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07" w:rsidRPr="00042254" w:rsidRDefault="00033D07" w:rsidP="00033D07">
      <w:pPr>
        <w:spacing w:line="360" w:lineRule="auto"/>
        <w:rPr>
          <w:b/>
          <w:sz w:val="20"/>
          <w:szCs w:val="20"/>
        </w:rPr>
      </w:pPr>
      <w:r w:rsidRPr="00042254">
        <w:rPr>
          <w:b/>
          <w:sz w:val="20"/>
          <w:szCs w:val="20"/>
        </w:rPr>
        <w:t xml:space="preserve">Table 1 Demographic and clinical characteristics of PD patients (n=177), with and without dyskinesia </w:t>
      </w:r>
    </w:p>
    <w:tbl>
      <w:tblPr>
        <w:tblW w:w="0" w:type="auto"/>
        <w:tblInd w:w="2" w:type="dxa"/>
        <w:tblLook w:val="01E0"/>
      </w:tblPr>
      <w:tblGrid>
        <w:gridCol w:w="3072"/>
        <w:gridCol w:w="2169"/>
        <w:gridCol w:w="2339"/>
        <w:gridCol w:w="1188"/>
      </w:tblGrid>
      <w:tr w:rsidR="00033D07" w:rsidRPr="00575648" w:rsidTr="00091628">
        <w:tc>
          <w:tcPr>
            <w:tcW w:w="3348" w:type="dxa"/>
            <w:shd w:val="clear" w:color="auto" w:fill="E6E6E6"/>
          </w:tcPr>
          <w:p w:rsidR="00033D07" w:rsidRPr="008A0B5F" w:rsidRDefault="00033D07" w:rsidP="00091628">
            <w:pPr>
              <w:spacing w:line="360" w:lineRule="auto"/>
              <w:outlineLvl w:val="0"/>
            </w:pPr>
          </w:p>
        </w:tc>
        <w:tc>
          <w:tcPr>
            <w:tcW w:w="2340" w:type="dxa"/>
            <w:shd w:val="clear" w:color="auto" w:fill="E6E6E6"/>
          </w:tcPr>
          <w:p w:rsidR="00033D07" w:rsidRPr="008A0B5F" w:rsidRDefault="00033D07" w:rsidP="00091628">
            <w:pPr>
              <w:spacing w:line="360" w:lineRule="auto"/>
              <w:jc w:val="center"/>
              <w:outlineLvl w:val="0"/>
            </w:pPr>
            <w:r w:rsidRPr="008A0B5F">
              <w:t>P</w:t>
            </w:r>
            <w:r>
              <w:t>D-Dys</w:t>
            </w:r>
            <w:r w:rsidRPr="008A0B5F">
              <w:t>+</w:t>
            </w:r>
          </w:p>
        </w:tc>
        <w:tc>
          <w:tcPr>
            <w:tcW w:w="2520" w:type="dxa"/>
            <w:shd w:val="clear" w:color="auto" w:fill="E6E6E6"/>
          </w:tcPr>
          <w:p w:rsidR="00033D07" w:rsidRPr="008A0B5F" w:rsidRDefault="00033D07" w:rsidP="00091628">
            <w:pPr>
              <w:spacing w:line="360" w:lineRule="auto"/>
              <w:jc w:val="center"/>
              <w:outlineLvl w:val="0"/>
            </w:pPr>
            <w:r w:rsidRPr="008A0B5F">
              <w:t>P</w:t>
            </w:r>
            <w:r>
              <w:t>D-Dys</w:t>
            </w:r>
            <w:r w:rsidRPr="008A0B5F">
              <w:t>-</w:t>
            </w:r>
          </w:p>
        </w:tc>
        <w:tc>
          <w:tcPr>
            <w:tcW w:w="1260" w:type="dxa"/>
            <w:shd w:val="clear" w:color="auto" w:fill="E6E6E6"/>
          </w:tcPr>
          <w:p w:rsidR="00033D07" w:rsidRPr="008A0B5F" w:rsidRDefault="00033D07" w:rsidP="00091628">
            <w:pPr>
              <w:spacing w:line="360" w:lineRule="auto"/>
              <w:jc w:val="center"/>
              <w:outlineLvl w:val="0"/>
            </w:pPr>
            <w:r>
              <w:t>p</w:t>
            </w:r>
          </w:p>
        </w:tc>
      </w:tr>
      <w:tr w:rsidR="00033D07" w:rsidRPr="00033D07" w:rsidTr="00091628"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  <w:vertAlign w:val="superscript"/>
              </w:rPr>
            </w:pPr>
            <w:r w:rsidRPr="00033D07">
              <w:rPr>
                <w:sz w:val="20"/>
                <w:szCs w:val="20"/>
              </w:rPr>
              <w:t>Number of patients (%)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90 (50.8%)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87 </w:t>
            </w:r>
            <w:r w:rsidRPr="00033D07">
              <w:rPr>
                <w:color w:val="000000"/>
                <w:sz w:val="20"/>
                <w:szCs w:val="20"/>
              </w:rPr>
              <w:t>(49.2%)</w:t>
            </w:r>
          </w:p>
        </w:tc>
        <w:tc>
          <w:tcPr>
            <w:tcW w:w="1260" w:type="dxa"/>
          </w:tcPr>
          <w:p w:rsidR="00033D07" w:rsidRPr="00033D07" w:rsidRDefault="00033D07" w:rsidP="003A1D29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0.214</w:t>
            </w:r>
          </w:p>
        </w:tc>
      </w:tr>
      <w:tr w:rsidR="00033D07" w:rsidRPr="00033D07" w:rsidTr="00091628"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Male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57 (63%)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59 (68%)</w:t>
            </w:r>
          </w:p>
        </w:tc>
        <w:tc>
          <w:tcPr>
            <w:tcW w:w="1260" w:type="dxa"/>
          </w:tcPr>
          <w:p w:rsidR="00033D07" w:rsidRPr="00033D07" w:rsidRDefault="00033D07" w:rsidP="003A1D29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0.530</w:t>
            </w:r>
          </w:p>
        </w:tc>
      </w:tr>
      <w:tr w:rsidR="00033D07" w:rsidRPr="00033D07" w:rsidTr="00091628"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Right-hand dominant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88 (98%)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84 (97%)</w:t>
            </w:r>
          </w:p>
        </w:tc>
        <w:tc>
          <w:tcPr>
            <w:tcW w:w="1260" w:type="dxa"/>
          </w:tcPr>
          <w:p w:rsidR="00033D07" w:rsidRPr="00033D07" w:rsidRDefault="00033D07" w:rsidP="003A1D29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0.623</w:t>
            </w:r>
          </w:p>
        </w:tc>
      </w:tr>
      <w:tr w:rsidR="00033D07" w:rsidRPr="00033D07" w:rsidTr="00091628"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Age, years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60.3±8.9 (38-79)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57.3±12.7 (28-82)</w:t>
            </w:r>
          </w:p>
        </w:tc>
        <w:tc>
          <w:tcPr>
            <w:tcW w:w="126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0.067</w:t>
            </w:r>
          </w:p>
        </w:tc>
      </w:tr>
      <w:tr w:rsidR="00033D07" w:rsidRPr="00033D07" w:rsidTr="00091628"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Education, years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11.4±3.7 (3-17)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12.4± 3.3 (4-17)</w:t>
            </w:r>
          </w:p>
        </w:tc>
        <w:tc>
          <w:tcPr>
            <w:tcW w:w="126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0.136</w:t>
            </w:r>
          </w:p>
        </w:tc>
      </w:tr>
      <w:tr w:rsidR="00033D07" w:rsidRPr="00033D07" w:rsidTr="00091628"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Positive family history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20 (22%</w:t>
            </w:r>
            <w:r w:rsidRPr="00033D07"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13 </w:t>
            </w:r>
            <w:r w:rsidRPr="00033D07">
              <w:rPr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1260" w:type="dxa"/>
          </w:tcPr>
          <w:p w:rsidR="00033D07" w:rsidRPr="00033D07" w:rsidRDefault="00033D07" w:rsidP="003A1D29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0.214</w:t>
            </w:r>
          </w:p>
        </w:tc>
      </w:tr>
      <w:tr w:rsidR="00033D07" w:rsidRPr="00033D07" w:rsidTr="00091628">
        <w:tc>
          <w:tcPr>
            <w:tcW w:w="3348" w:type="dxa"/>
            <w:shd w:val="clear" w:color="auto" w:fill="auto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Age at PD onset, years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47.3±9.6 (20-66)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50.7±12.4 (27-72)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0.045</w:t>
            </w:r>
          </w:p>
        </w:tc>
      </w:tr>
      <w:tr w:rsidR="00033D07" w:rsidRPr="00033D07" w:rsidTr="00091628">
        <w:trPr>
          <w:trHeight w:val="184"/>
        </w:trPr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Duration of disease, years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12.5±6.7 (3-37)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6.7±5.1 (0-25)</w:t>
            </w:r>
          </w:p>
        </w:tc>
        <w:tc>
          <w:tcPr>
            <w:tcW w:w="126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907"/>
        </w:trPr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Form of disease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  Tremor dominant</w:t>
            </w:r>
          </w:p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  Akinetic-rigid</w:t>
            </w:r>
          </w:p>
          <w:p w:rsidR="00033D07" w:rsidRPr="00033D07" w:rsidRDefault="00033D07" w:rsidP="003A1D29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  Postural instability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44 (49%)</w:t>
            </w:r>
          </w:p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24 (27%)</w:t>
            </w:r>
          </w:p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12 (13%)</w:t>
            </w:r>
          </w:p>
        </w:tc>
        <w:tc>
          <w:tcPr>
            <w:tcW w:w="2520" w:type="dxa"/>
            <w:vAlign w:val="center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43 (49%)</w:t>
            </w:r>
          </w:p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20 (23%)</w:t>
            </w:r>
          </w:p>
          <w:p w:rsidR="00033D07" w:rsidRPr="00033D07" w:rsidRDefault="00033D07" w:rsidP="003A1D29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11 (13%)</w:t>
            </w:r>
          </w:p>
        </w:tc>
        <w:tc>
          <w:tcPr>
            <w:tcW w:w="1260" w:type="dxa"/>
          </w:tcPr>
          <w:p w:rsidR="00033D07" w:rsidRPr="00033D07" w:rsidRDefault="00033D07" w:rsidP="003A1D29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33D07" w:rsidRPr="00033D07" w:rsidRDefault="00033D07" w:rsidP="003A1D29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033D07" w:rsidRPr="00033D07" w:rsidRDefault="00033D07" w:rsidP="003A1D29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0.241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auto"/>
          </w:tcPr>
          <w:p w:rsidR="00033D07" w:rsidRPr="00033D07" w:rsidRDefault="00033D07" w:rsidP="003A1D29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MMSE score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  <w:shd w:val="clear" w:color="auto" w:fill="auto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27.6±3.1 (14-30)</w:t>
            </w:r>
          </w:p>
        </w:tc>
        <w:tc>
          <w:tcPr>
            <w:tcW w:w="2520" w:type="dxa"/>
            <w:shd w:val="clear" w:color="auto" w:fill="auto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28.5±2.2 (16-30)</w:t>
            </w:r>
          </w:p>
        </w:tc>
        <w:tc>
          <w:tcPr>
            <w:tcW w:w="1260" w:type="dxa"/>
            <w:shd w:val="clear" w:color="auto" w:fill="auto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0.033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HDRS score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11.7±8.6 (0-39)</w:t>
            </w:r>
          </w:p>
        </w:tc>
        <w:tc>
          <w:tcPr>
            <w:tcW w:w="2520" w:type="dxa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10.3± 7.2 (0-26)</w:t>
            </w:r>
          </w:p>
        </w:tc>
        <w:tc>
          <w:tcPr>
            <w:tcW w:w="1260" w:type="dxa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0.220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</w:tcPr>
          <w:p w:rsidR="00033D07" w:rsidRPr="00033D07" w:rsidRDefault="00033D07" w:rsidP="003A1D29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HARS score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7.7±6.1 (0-21)</w:t>
            </w:r>
          </w:p>
        </w:tc>
        <w:tc>
          <w:tcPr>
            <w:tcW w:w="2520" w:type="dxa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6.9±5.8 (0-22)</w:t>
            </w:r>
          </w:p>
        </w:tc>
        <w:tc>
          <w:tcPr>
            <w:tcW w:w="1260" w:type="dxa"/>
          </w:tcPr>
          <w:p w:rsidR="00033D07" w:rsidRPr="00033D07" w:rsidRDefault="00033D07" w:rsidP="003A1D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0.506</w:t>
            </w:r>
          </w:p>
        </w:tc>
      </w:tr>
    </w:tbl>
    <w:p w:rsidR="00033D07" w:rsidRPr="00033D07" w:rsidRDefault="00033D07" w:rsidP="00033D07">
      <w:pPr>
        <w:spacing w:line="360" w:lineRule="auto"/>
        <w:rPr>
          <w:sz w:val="20"/>
          <w:szCs w:val="20"/>
        </w:rPr>
      </w:pPr>
    </w:p>
    <w:p w:rsidR="00033D07" w:rsidRPr="00033D07" w:rsidRDefault="00033D07" w:rsidP="00033D07">
      <w:pPr>
        <w:spacing w:line="360" w:lineRule="auto"/>
        <w:rPr>
          <w:sz w:val="20"/>
          <w:szCs w:val="20"/>
        </w:rPr>
      </w:pPr>
      <w:r w:rsidRPr="00033D07">
        <w:rPr>
          <w:sz w:val="20"/>
          <w:szCs w:val="20"/>
        </w:rPr>
        <w:t xml:space="preserve">PD-Dys+: PD patients with dyskinesia; PD-Dys-: PD patients without dyskinesia; MMSE: Mini Mental State Examination; HARS: Hamilton’s Anxiety Rating Scale; HDRS: Hamilton’s Depression Rating Scale; </w:t>
      </w:r>
      <w:r w:rsidRPr="00033D07">
        <w:rPr>
          <w:sz w:val="20"/>
          <w:szCs w:val="20"/>
          <w:vertAlign w:val="superscript"/>
        </w:rPr>
        <w:t>*</w:t>
      </w:r>
      <w:r w:rsidR="003A1D29" w:rsidRPr="003A1D29">
        <w:rPr>
          <w:sz w:val="20"/>
          <w:szCs w:val="20"/>
        </w:rPr>
        <w:t>ẋ±SD</w:t>
      </w:r>
      <w:r w:rsidR="003A1D29">
        <w:rPr>
          <w:sz w:val="20"/>
          <w:szCs w:val="20"/>
        </w:rPr>
        <w:t xml:space="preserve"> (</w:t>
      </w:r>
      <w:r w:rsidRPr="00033D07">
        <w:rPr>
          <w:sz w:val="20"/>
          <w:szCs w:val="20"/>
        </w:rPr>
        <w:t>values represent mean values±standard deviation with a range in parenthesis</w:t>
      </w:r>
      <w:r w:rsidR="003A1D29">
        <w:rPr>
          <w:sz w:val="20"/>
          <w:szCs w:val="20"/>
        </w:rPr>
        <w:t>)</w:t>
      </w:r>
      <w:r w:rsidRPr="00033D07">
        <w:rPr>
          <w:sz w:val="20"/>
          <w:szCs w:val="20"/>
        </w:rPr>
        <w:t xml:space="preserve">; </w:t>
      </w:r>
      <w:r w:rsidRPr="00033D07">
        <w:rPr>
          <w:sz w:val="20"/>
          <w:szCs w:val="20"/>
          <w:vertAlign w:val="superscript"/>
        </w:rPr>
        <w:t>#</w:t>
      </w:r>
      <w:r w:rsidRPr="00033D07">
        <w:rPr>
          <w:sz w:val="20"/>
          <w:szCs w:val="20"/>
        </w:rPr>
        <w:t>values represent the number of patients in percentages in parenthesis</w:t>
      </w:r>
    </w:p>
    <w:p w:rsidR="00033D07" w:rsidRPr="00033D07" w:rsidRDefault="00033D07" w:rsidP="00033D07">
      <w:pPr>
        <w:spacing w:line="360" w:lineRule="auto"/>
        <w:rPr>
          <w:sz w:val="20"/>
          <w:szCs w:val="20"/>
        </w:rPr>
      </w:pPr>
    </w:p>
    <w:p w:rsidR="00033D07" w:rsidRPr="00033D07" w:rsidRDefault="00033D07" w:rsidP="00033D07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</w:p>
    <w:p w:rsidR="00033D07" w:rsidRPr="00042254" w:rsidRDefault="00033D07" w:rsidP="00033D07">
      <w:pPr>
        <w:spacing w:line="360" w:lineRule="auto"/>
        <w:rPr>
          <w:b/>
          <w:sz w:val="20"/>
          <w:szCs w:val="20"/>
        </w:rPr>
      </w:pPr>
      <w:r w:rsidRPr="00033D07">
        <w:rPr>
          <w:sz w:val="20"/>
          <w:szCs w:val="20"/>
        </w:rPr>
        <w:br w:type="page"/>
      </w:r>
      <w:r w:rsidRPr="00042254">
        <w:rPr>
          <w:b/>
          <w:sz w:val="20"/>
          <w:szCs w:val="20"/>
        </w:rPr>
        <w:lastRenderedPageBreak/>
        <w:t>Table 2 Severity of motor and non-motor symptoms in PD patients with and without dyskinesia</w:t>
      </w:r>
    </w:p>
    <w:p w:rsidR="00033D07" w:rsidRPr="00033D07" w:rsidRDefault="00033D07" w:rsidP="00033D07">
      <w:pPr>
        <w:spacing w:line="360" w:lineRule="auto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Look w:val="01E0"/>
      </w:tblPr>
      <w:tblGrid>
        <w:gridCol w:w="3348"/>
        <w:gridCol w:w="2700"/>
        <w:gridCol w:w="2340"/>
        <w:gridCol w:w="1080"/>
      </w:tblGrid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PD-Dys+</w:t>
            </w:r>
          </w:p>
        </w:tc>
        <w:tc>
          <w:tcPr>
            <w:tcW w:w="2340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PD-Dys-</w:t>
            </w:r>
          </w:p>
        </w:tc>
        <w:tc>
          <w:tcPr>
            <w:tcW w:w="1080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HY state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2.5±0.7 (1.5-4)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2.1±0.5 (1-3)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UPDRS total score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68.9±22.3 (15-125)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48.8±22.2 (7-101)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SE score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72.6±16.1 (3-100)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80.6±13.2 (50-100)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Fluctuations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72 (80%)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26 (30 %)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414"/>
        </w:trPr>
        <w:tc>
          <w:tcPr>
            <w:tcW w:w="3348" w:type="dxa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Latency from PD onset, months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Latency from introduction of therapy, months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700" w:type="dxa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77.2±47.3 (0-252)</w:t>
            </w:r>
          </w:p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73.7±46.7 (12-294)</w:t>
            </w:r>
          </w:p>
        </w:tc>
        <w:tc>
          <w:tcPr>
            <w:tcW w:w="2340" w:type="dxa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61.8±50.9 (0-180)</w:t>
            </w:r>
          </w:p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55.2±30.5 (5-144)</w:t>
            </w:r>
          </w:p>
        </w:tc>
        <w:tc>
          <w:tcPr>
            <w:tcW w:w="1080" w:type="dxa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0.179</w:t>
            </w:r>
          </w:p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0.073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Wearing off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60 (67</w:t>
            </w:r>
            <w:r w:rsidRPr="00033D07">
              <w:rPr>
                <w:sz w:val="20"/>
                <w:szCs w:val="20"/>
              </w:rPr>
              <w:t>%)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21 (24%)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On-off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25 (28%)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7 (8%)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Motor blockade (freezing)</w:t>
            </w:r>
            <w:r w:rsidRPr="00033D07">
              <w:rPr>
                <w:sz w:val="20"/>
                <w:szCs w:val="20"/>
                <w:vertAlign w:val="superscript"/>
              </w:rPr>
              <w:t xml:space="preserve"> #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50 (56%)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22 (25%)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414"/>
        </w:trPr>
        <w:tc>
          <w:tcPr>
            <w:tcW w:w="3348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Latency from PD onset, months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Latency from introduction of therapy, months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97.2 ±59.6 (6-240)</w:t>
            </w:r>
          </w:p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102.5±53.6 (20-294)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62.8±67.3 (0-288)</w:t>
            </w:r>
          </w:p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62.7±39.6 (0-168)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0.037</w:t>
            </w:r>
          </w:p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0.004</w:t>
            </w:r>
          </w:p>
        </w:tc>
      </w:tr>
      <w:tr w:rsidR="00033D07" w:rsidRPr="00033D07" w:rsidTr="00091628">
        <w:trPr>
          <w:trHeight w:val="57"/>
        </w:trPr>
        <w:tc>
          <w:tcPr>
            <w:tcW w:w="3348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Medication psychosis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31 (34%)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10 (12%)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0.001</w:t>
            </w:r>
          </w:p>
        </w:tc>
      </w:tr>
    </w:tbl>
    <w:p w:rsidR="00033D07" w:rsidRPr="00033D07" w:rsidRDefault="00033D07" w:rsidP="00033D07">
      <w:pPr>
        <w:spacing w:line="360" w:lineRule="auto"/>
        <w:rPr>
          <w:sz w:val="20"/>
          <w:szCs w:val="20"/>
        </w:rPr>
      </w:pPr>
    </w:p>
    <w:p w:rsidR="00033D07" w:rsidRPr="00033D07" w:rsidRDefault="00033D07" w:rsidP="00033D07">
      <w:pPr>
        <w:spacing w:line="360" w:lineRule="auto"/>
        <w:rPr>
          <w:sz w:val="20"/>
          <w:szCs w:val="20"/>
        </w:rPr>
      </w:pPr>
      <w:r w:rsidRPr="00033D07">
        <w:rPr>
          <w:sz w:val="20"/>
          <w:szCs w:val="20"/>
        </w:rPr>
        <w:t>PD-Dys+:  PD patients with Dyskinesias; PD-Dys-: PD patients without Dyskinesia; H-Y: Hoehn-Yahr; UPDRS: Unified Parkinson Disease Rating Scale; SE: Schwab and England</w:t>
      </w:r>
    </w:p>
    <w:p w:rsidR="00033D07" w:rsidRPr="00033D07" w:rsidRDefault="00033D07" w:rsidP="00033D07">
      <w:pPr>
        <w:spacing w:line="360" w:lineRule="auto"/>
        <w:rPr>
          <w:sz w:val="20"/>
          <w:szCs w:val="20"/>
        </w:rPr>
      </w:pPr>
      <w:r w:rsidRPr="00033D07">
        <w:rPr>
          <w:sz w:val="20"/>
          <w:szCs w:val="20"/>
          <w:vertAlign w:val="superscript"/>
        </w:rPr>
        <w:t xml:space="preserve">* </w:t>
      </w:r>
      <w:r w:rsidR="00143A30" w:rsidRPr="00033D07">
        <w:rPr>
          <w:sz w:val="20"/>
          <w:szCs w:val="20"/>
          <w:vertAlign w:val="superscript"/>
        </w:rPr>
        <w:t>*</w:t>
      </w:r>
      <w:r w:rsidR="00143A30" w:rsidRPr="003A1D29">
        <w:rPr>
          <w:sz w:val="20"/>
          <w:szCs w:val="20"/>
        </w:rPr>
        <w:t>ẋ±SD</w:t>
      </w:r>
      <w:r w:rsidR="00143A30">
        <w:rPr>
          <w:sz w:val="20"/>
          <w:szCs w:val="20"/>
        </w:rPr>
        <w:t xml:space="preserve"> (v</w:t>
      </w:r>
      <w:r w:rsidRPr="00033D07">
        <w:rPr>
          <w:sz w:val="20"/>
          <w:szCs w:val="20"/>
        </w:rPr>
        <w:t>alues represent mean values ± Standard deviation with ranges shown in parenthesis</w:t>
      </w:r>
      <w:r w:rsidR="00143A30">
        <w:rPr>
          <w:sz w:val="20"/>
          <w:szCs w:val="20"/>
        </w:rPr>
        <w:t>)</w:t>
      </w:r>
      <w:r w:rsidRPr="00033D07">
        <w:rPr>
          <w:sz w:val="20"/>
          <w:szCs w:val="20"/>
        </w:rPr>
        <w:t xml:space="preserve">; </w:t>
      </w:r>
      <w:r w:rsidRPr="00033D07">
        <w:rPr>
          <w:sz w:val="20"/>
          <w:szCs w:val="20"/>
          <w:vertAlign w:val="superscript"/>
        </w:rPr>
        <w:t>#</w:t>
      </w:r>
      <w:r w:rsidRPr="00033D07">
        <w:rPr>
          <w:sz w:val="20"/>
          <w:szCs w:val="20"/>
        </w:rPr>
        <w:t>Values represent number of patients with percentages shown in parenthesis</w:t>
      </w:r>
    </w:p>
    <w:p w:rsidR="00033D07" w:rsidRPr="00033D07" w:rsidRDefault="00033D07" w:rsidP="00033D07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 w:rsidRPr="00033D07">
        <w:rPr>
          <w:sz w:val="20"/>
          <w:szCs w:val="20"/>
        </w:rPr>
        <w:br w:type="page"/>
      </w:r>
    </w:p>
    <w:p w:rsidR="00033D07" w:rsidRPr="00042254" w:rsidRDefault="00033D07" w:rsidP="00033D07">
      <w:pPr>
        <w:spacing w:line="360" w:lineRule="auto"/>
        <w:rPr>
          <w:b/>
          <w:sz w:val="20"/>
          <w:szCs w:val="20"/>
        </w:rPr>
      </w:pPr>
      <w:r w:rsidRPr="00042254">
        <w:rPr>
          <w:b/>
          <w:sz w:val="20"/>
          <w:szCs w:val="20"/>
        </w:rPr>
        <w:lastRenderedPageBreak/>
        <w:t>Table 3 Therapy applied in PD patients with and without dyskinesia</w:t>
      </w:r>
    </w:p>
    <w:tbl>
      <w:tblPr>
        <w:tblW w:w="9288" w:type="dxa"/>
        <w:tblInd w:w="2" w:type="dxa"/>
        <w:tblLayout w:type="fixed"/>
        <w:tblLook w:val="01E0"/>
      </w:tblPr>
      <w:tblGrid>
        <w:gridCol w:w="3652"/>
        <w:gridCol w:w="2410"/>
        <w:gridCol w:w="2326"/>
        <w:gridCol w:w="900"/>
      </w:tblGrid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PD-Dys+</w:t>
            </w:r>
          </w:p>
        </w:tc>
        <w:tc>
          <w:tcPr>
            <w:tcW w:w="2326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PD-Dys-</w:t>
            </w:r>
          </w:p>
        </w:tc>
        <w:tc>
          <w:tcPr>
            <w:tcW w:w="900" w:type="dxa"/>
            <w:shd w:val="clear" w:color="auto" w:fill="E6E6E6"/>
          </w:tcPr>
          <w:p w:rsidR="00033D07" w:rsidRPr="00033D07" w:rsidRDefault="00033D07" w:rsidP="00042254">
            <w:pPr>
              <w:spacing w:line="480" w:lineRule="auto"/>
              <w:jc w:val="center"/>
              <w:outlineLvl w:val="0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FFFFF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Latency (symptoms onset until therapy introduction) (months)</w:t>
            </w:r>
            <w:r w:rsidRPr="00033D07">
              <w:rPr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22.5±25.6 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FF0000"/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19.2±17.9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0.320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Duration of therapy, months</w:t>
            </w:r>
            <w:r w:rsidRPr="00033D07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129.5±62.7 </w:t>
            </w:r>
          </w:p>
        </w:tc>
        <w:tc>
          <w:tcPr>
            <w:tcW w:w="2326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58.1± 52.8 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Levodopa 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90 (100%)</w:t>
            </w:r>
          </w:p>
        </w:tc>
        <w:tc>
          <w:tcPr>
            <w:tcW w:w="2326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70 (81%)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FFFFF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Pramipexole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36 (40%)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28 (32%)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0.279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FFFFF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Ropinirole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23 (26%)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16 (18%)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0.250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Bromocriptine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15 (17%)</w:t>
            </w:r>
          </w:p>
        </w:tc>
        <w:tc>
          <w:tcPr>
            <w:tcW w:w="2326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5 (6%)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0.022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Amantadine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64 (71%)</w:t>
            </w:r>
          </w:p>
        </w:tc>
        <w:tc>
          <w:tcPr>
            <w:tcW w:w="2326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25 (29%)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0.001</w:t>
            </w:r>
          </w:p>
        </w:tc>
      </w:tr>
      <w:tr w:rsidR="00033D07" w:rsidRPr="00033D07" w:rsidTr="00091628">
        <w:trPr>
          <w:trHeight w:val="57"/>
        </w:trPr>
        <w:tc>
          <w:tcPr>
            <w:tcW w:w="3652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MAO B Inhibitors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2 (2%)</w:t>
            </w:r>
          </w:p>
        </w:tc>
        <w:tc>
          <w:tcPr>
            <w:tcW w:w="2326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9 (11%)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0.024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FFFFF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COMT Inhibitors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4 (4%)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5 (6%)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0.693</w:t>
            </w:r>
          </w:p>
        </w:tc>
      </w:tr>
      <w:tr w:rsidR="00033D07" w:rsidRPr="00033D07" w:rsidTr="00091628">
        <w:trPr>
          <w:trHeight w:val="69"/>
        </w:trPr>
        <w:tc>
          <w:tcPr>
            <w:tcW w:w="3652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Clozapine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27 (31%)</w:t>
            </w:r>
          </w:p>
        </w:tc>
        <w:tc>
          <w:tcPr>
            <w:tcW w:w="2326" w:type="dxa"/>
            <w:shd w:val="clear" w:color="auto" w:fill="F3F3F3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10 </w:t>
            </w:r>
            <w:r w:rsidRPr="00033D07">
              <w:rPr>
                <w:color w:val="000000"/>
                <w:sz w:val="20"/>
                <w:szCs w:val="20"/>
              </w:rPr>
              <w:t>(12%)</w:t>
            </w:r>
          </w:p>
        </w:tc>
        <w:tc>
          <w:tcPr>
            <w:tcW w:w="900" w:type="dxa"/>
            <w:shd w:val="clear" w:color="auto" w:fill="F3F3F3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033D07">
              <w:rPr>
                <w:color w:val="000000"/>
                <w:sz w:val="20"/>
                <w:szCs w:val="20"/>
              </w:rPr>
              <w:t>0.003</w:t>
            </w:r>
          </w:p>
        </w:tc>
      </w:tr>
      <w:tr w:rsidR="00033D07" w:rsidRPr="00033D07" w:rsidTr="00091628">
        <w:trPr>
          <w:trHeight w:val="57"/>
        </w:trPr>
        <w:tc>
          <w:tcPr>
            <w:tcW w:w="3652" w:type="dxa"/>
            <w:shd w:val="clear" w:color="auto" w:fill="FFFFFF"/>
          </w:tcPr>
          <w:p w:rsidR="00033D07" w:rsidRPr="00033D07" w:rsidRDefault="00033D07" w:rsidP="00042254">
            <w:pPr>
              <w:spacing w:line="480" w:lineRule="auto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Anticholinergics</w:t>
            </w:r>
            <w:r w:rsidRPr="00033D07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 xml:space="preserve">13 </w:t>
            </w:r>
            <w:r w:rsidRPr="00033D07">
              <w:rPr>
                <w:color w:val="000000"/>
                <w:sz w:val="20"/>
                <w:szCs w:val="20"/>
              </w:rPr>
              <w:t>(14%)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6 (7%)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033D07" w:rsidRPr="00033D07" w:rsidRDefault="00033D07" w:rsidP="0004225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033D07">
              <w:rPr>
                <w:sz w:val="20"/>
                <w:szCs w:val="20"/>
              </w:rPr>
              <w:t>0.117</w:t>
            </w:r>
          </w:p>
        </w:tc>
      </w:tr>
    </w:tbl>
    <w:p w:rsidR="00033D07" w:rsidRPr="00033D07" w:rsidRDefault="00033D07" w:rsidP="00033D07">
      <w:pPr>
        <w:spacing w:line="360" w:lineRule="auto"/>
        <w:rPr>
          <w:sz w:val="20"/>
          <w:szCs w:val="20"/>
        </w:rPr>
      </w:pPr>
    </w:p>
    <w:p w:rsidR="00033D07" w:rsidRPr="00033D07" w:rsidRDefault="00033D07" w:rsidP="00033D07">
      <w:pPr>
        <w:spacing w:line="360" w:lineRule="auto"/>
        <w:rPr>
          <w:sz w:val="20"/>
          <w:szCs w:val="20"/>
        </w:rPr>
      </w:pPr>
      <w:r w:rsidRPr="00033D07">
        <w:rPr>
          <w:sz w:val="20"/>
          <w:szCs w:val="20"/>
        </w:rPr>
        <w:t>PD-Dys+: PD patients with dyskinesias; PD-Dys-: PD patients without dyskinesia; MAO-B: Monoamine Oxidaze B; COMT: Catechol-</w:t>
      </w:r>
      <w:r w:rsidRPr="00033D07">
        <w:rPr>
          <w:i/>
          <w:iCs/>
          <w:sz w:val="20"/>
          <w:szCs w:val="20"/>
        </w:rPr>
        <w:t>O</w:t>
      </w:r>
      <w:r w:rsidRPr="00033D07">
        <w:rPr>
          <w:sz w:val="20"/>
          <w:szCs w:val="20"/>
        </w:rPr>
        <w:t>-methyltransferase</w:t>
      </w:r>
    </w:p>
    <w:p w:rsidR="00033D07" w:rsidRPr="00033D07" w:rsidRDefault="00033D07" w:rsidP="00033D07">
      <w:pPr>
        <w:spacing w:line="360" w:lineRule="auto"/>
        <w:rPr>
          <w:sz w:val="20"/>
          <w:szCs w:val="20"/>
        </w:rPr>
      </w:pPr>
      <w:r w:rsidRPr="00033D07">
        <w:rPr>
          <w:sz w:val="20"/>
          <w:szCs w:val="20"/>
          <w:vertAlign w:val="superscript"/>
        </w:rPr>
        <w:t xml:space="preserve">* </w:t>
      </w:r>
      <w:r w:rsidR="00143A30" w:rsidRPr="00033D07">
        <w:rPr>
          <w:sz w:val="20"/>
          <w:szCs w:val="20"/>
          <w:vertAlign w:val="superscript"/>
        </w:rPr>
        <w:t>*</w:t>
      </w:r>
      <w:r w:rsidR="00143A30" w:rsidRPr="003A1D29">
        <w:rPr>
          <w:sz w:val="20"/>
          <w:szCs w:val="20"/>
        </w:rPr>
        <w:t>ẋ±SD</w:t>
      </w:r>
      <w:r w:rsidR="00143A30">
        <w:rPr>
          <w:sz w:val="20"/>
          <w:szCs w:val="20"/>
        </w:rPr>
        <w:t xml:space="preserve"> (v</w:t>
      </w:r>
      <w:r w:rsidRPr="00033D07">
        <w:rPr>
          <w:sz w:val="20"/>
          <w:szCs w:val="20"/>
        </w:rPr>
        <w:t>alues represent mean values ± Standard deviation with ranges given in parenthesis</w:t>
      </w:r>
      <w:r w:rsidR="00143A30">
        <w:rPr>
          <w:sz w:val="20"/>
          <w:szCs w:val="20"/>
        </w:rPr>
        <w:t>)</w:t>
      </w:r>
      <w:r w:rsidRPr="00033D07">
        <w:rPr>
          <w:sz w:val="20"/>
          <w:szCs w:val="20"/>
        </w:rPr>
        <w:t xml:space="preserve">; </w:t>
      </w:r>
      <w:r w:rsidRPr="00033D07">
        <w:rPr>
          <w:sz w:val="20"/>
          <w:szCs w:val="20"/>
          <w:vertAlign w:val="superscript"/>
        </w:rPr>
        <w:t>#</w:t>
      </w:r>
      <w:r w:rsidRPr="00033D07">
        <w:rPr>
          <w:sz w:val="20"/>
          <w:szCs w:val="20"/>
        </w:rPr>
        <w:t>Values represent number of patients in percentages given in parenthesis</w:t>
      </w:r>
    </w:p>
    <w:p w:rsidR="00033D07" w:rsidRPr="00033D07" w:rsidRDefault="00033D07" w:rsidP="00033D0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033D07" w:rsidRPr="00033D07" w:rsidRDefault="00033D07" w:rsidP="00033D07">
      <w:pPr>
        <w:rPr>
          <w:sz w:val="20"/>
          <w:szCs w:val="20"/>
        </w:rPr>
      </w:pPr>
    </w:p>
    <w:p w:rsidR="00585C88" w:rsidRPr="00033D07" w:rsidRDefault="00585C88">
      <w:pPr>
        <w:rPr>
          <w:sz w:val="20"/>
          <w:szCs w:val="20"/>
        </w:rPr>
      </w:pPr>
    </w:p>
    <w:sectPr w:rsidR="00585C88" w:rsidRPr="00033D07" w:rsidSect="001B26DB">
      <w:footerReference w:type="default" r:id="rId6"/>
      <w:pgSz w:w="12240" w:h="15840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5A" w:rsidRDefault="00CE635A" w:rsidP="00933EE8">
      <w:r>
        <w:separator/>
      </w:r>
    </w:p>
  </w:endnote>
  <w:endnote w:type="continuationSeparator" w:id="1">
    <w:p w:rsidR="00CE635A" w:rsidRDefault="00CE635A" w:rsidP="00933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C2" w:rsidRDefault="00933EE8" w:rsidP="0059134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22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A30">
      <w:rPr>
        <w:rStyle w:val="PageNumber"/>
        <w:noProof/>
      </w:rPr>
      <w:t>3</w:t>
    </w:r>
    <w:r>
      <w:rPr>
        <w:rStyle w:val="PageNumber"/>
      </w:rPr>
      <w:fldChar w:fldCharType="end"/>
    </w:r>
  </w:p>
  <w:p w:rsidR="005379C2" w:rsidRDefault="00CE635A" w:rsidP="00BB08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5A" w:rsidRDefault="00CE635A" w:rsidP="00933EE8">
      <w:r>
        <w:separator/>
      </w:r>
    </w:p>
  </w:footnote>
  <w:footnote w:type="continuationSeparator" w:id="1">
    <w:p w:rsidR="00CE635A" w:rsidRDefault="00CE635A" w:rsidP="00933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D07"/>
    <w:rsid w:val="00033D07"/>
    <w:rsid w:val="00042254"/>
    <w:rsid w:val="00143A30"/>
    <w:rsid w:val="003A1D29"/>
    <w:rsid w:val="00585C88"/>
    <w:rsid w:val="00933EE8"/>
    <w:rsid w:val="00BE7BC8"/>
    <w:rsid w:val="00CE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3D07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33D07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rsid w:val="00033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2015-07-01T17:33:00Z</dcterms:created>
  <dcterms:modified xsi:type="dcterms:W3CDTF">2015-07-06T19:02:00Z</dcterms:modified>
</cp:coreProperties>
</file>