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30" w:rsidRPr="00454468" w:rsidRDefault="00F46F30" w:rsidP="00F46F30">
      <w:pPr>
        <w:pStyle w:val="Titulek"/>
        <w:keepNext/>
        <w:jc w:val="both"/>
        <w:rPr>
          <w:color w:val="auto"/>
          <w:lang w:val="en-US"/>
        </w:rPr>
      </w:pPr>
      <w:r w:rsidRPr="00454468">
        <w:rPr>
          <w:color w:val="auto"/>
          <w:lang w:val="en-US"/>
        </w:rPr>
        <w:t>Graph</w:t>
      </w:r>
      <w:r w:rsidR="007F793E" w:rsidRPr="00454468">
        <w:rPr>
          <w:color w:val="auto"/>
          <w:lang w:val="en-US"/>
        </w:rPr>
        <w:t xml:space="preserve"> </w:t>
      </w:r>
      <w:r w:rsidR="00B96B08" w:rsidRPr="00454468">
        <w:rPr>
          <w:color w:val="auto"/>
          <w:lang w:val="en-US"/>
        </w:rPr>
        <w:fldChar w:fldCharType="begin"/>
      </w:r>
      <w:r w:rsidRPr="00454468">
        <w:rPr>
          <w:color w:val="auto"/>
          <w:lang w:val="en-US"/>
        </w:rPr>
        <w:instrText xml:space="preserve"> SEQ Obrázek \* ARABIC </w:instrText>
      </w:r>
      <w:r w:rsidR="00B96B08" w:rsidRPr="00454468">
        <w:rPr>
          <w:color w:val="auto"/>
          <w:lang w:val="en-US"/>
        </w:rPr>
        <w:fldChar w:fldCharType="separate"/>
      </w:r>
      <w:r w:rsidR="006074B1" w:rsidRPr="00454468">
        <w:rPr>
          <w:noProof/>
          <w:color w:val="auto"/>
          <w:lang w:val="en-US"/>
        </w:rPr>
        <w:t>1</w:t>
      </w:r>
      <w:r w:rsidR="00B96B08" w:rsidRPr="00454468">
        <w:rPr>
          <w:color w:val="auto"/>
          <w:lang w:val="en-US"/>
        </w:rPr>
        <w:fldChar w:fldCharType="end"/>
      </w:r>
      <w:r w:rsidRPr="00454468">
        <w:rPr>
          <w:color w:val="auto"/>
          <w:lang w:val="en-US"/>
        </w:rPr>
        <w:t>- Average values of BMI in men and women within 11 years</w:t>
      </w:r>
    </w:p>
    <w:p w:rsidR="00A82F9B" w:rsidRPr="00454468" w:rsidRDefault="00A82F9B" w:rsidP="00E54C5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54468">
        <w:rPr>
          <w:noProof/>
          <w:lang w:val="en-US" w:eastAsia="cs-CZ"/>
        </w:rPr>
        <w:drawing>
          <wp:inline distT="0" distB="0" distL="0" distR="0" wp14:anchorId="47D7F0D4" wp14:editId="423ED97F">
            <wp:extent cx="5267325" cy="3167063"/>
            <wp:effectExtent l="0" t="0" r="9525" b="1460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E54C5F" w:rsidRPr="00454468" w:rsidRDefault="002F0FA4" w:rsidP="00E54C5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54468">
        <w:rPr>
          <w:rFonts w:ascii="Times New Roman" w:hAnsi="Times New Roman" w:cs="Times New Roman"/>
          <w:sz w:val="20"/>
          <w:szCs w:val="20"/>
          <w:lang w:val="en-US"/>
        </w:rPr>
        <w:t>Statistical significance between the years</w:t>
      </w:r>
      <w:r w:rsidR="00E54C5F" w:rsidRPr="00454468">
        <w:rPr>
          <w:rFonts w:ascii="Times New Roman" w:hAnsi="Times New Roman" w:cs="Times New Roman"/>
          <w:sz w:val="20"/>
          <w:szCs w:val="20"/>
          <w:lang w:val="en-US"/>
        </w:rPr>
        <w:t xml:space="preserve"> 1999 a</w:t>
      </w:r>
      <w:r w:rsidRPr="00454468">
        <w:rPr>
          <w:rFonts w:ascii="Times New Roman" w:hAnsi="Times New Roman" w:cs="Times New Roman"/>
          <w:sz w:val="20"/>
          <w:szCs w:val="20"/>
          <w:lang w:val="en-US"/>
        </w:rPr>
        <w:t>nd</w:t>
      </w:r>
      <w:r w:rsidR="00E54C5F" w:rsidRPr="00454468">
        <w:rPr>
          <w:rFonts w:ascii="Times New Roman" w:hAnsi="Times New Roman" w:cs="Times New Roman"/>
          <w:sz w:val="20"/>
          <w:szCs w:val="20"/>
          <w:lang w:val="en-US"/>
        </w:rPr>
        <w:t xml:space="preserve"> 2009</w:t>
      </w:r>
      <w:r w:rsidRPr="00454468">
        <w:rPr>
          <w:rFonts w:ascii="Times New Roman" w:hAnsi="Times New Roman" w:cs="Times New Roman"/>
          <w:sz w:val="20"/>
          <w:lang w:val="en-US"/>
        </w:rPr>
        <w:t>at the significance level</w:t>
      </w:r>
      <w:r w:rsidR="00E2438C" w:rsidRPr="00454468">
        <w:rPr>
          <w:rFonts w:ascii="Times New Roman" w:hAnsi="Times New Roman" w:cs="Times New Roman"/>
          <w:sz w:val="20"/>
          <w:lang w:val="en-US"/>
        </w:rPr>
        <w:t xml:space="preserve"> -</w:t>
      </w:r>
      <w:r w:rsidR="00E54C5F" w:rsidRPr="00454468">
        <w:rPr>
          <w:rFonts w:ascii="Times New Roman" w:hAnsi="Times New Roman" w:cs="Times New Roman"/>
          <w:sz w:val="20"/>
          <w:lang w:val="en-US"/>
        </w:rPr>
        <w:t xml:space="preserve"> * p&lt;0.05, ** p&lt;0.01, *** p&lt;0.001</w:t>
      </w:r>
    </w:p>
    <w:p w:rsidR="00F46F30" w:rsidRPr="00454468" w:rsidRDefault="00F46F30" w:rsidP="00F46F30">
      <w:pPr>
        <w:pStyle w:val="Titulek"/>
        <w:keepNext/>
        <w:jc w:val="both"/>
        <w:rPr>
          <w:color w:val="auto"/>
          <w:lang w:val="en-US"/>
        </w:rPr>
      </w:pPr>
      <w:r w:rsidRPr="00454468">
        <w:rPr>
          <w:color w:val="auto"/>
          <w:lang w:val="en-US"/>
        </w:rPr>
        <w:t>Graph</w:t>
      </w:r>
      <w:r w:rsidR="007F793E" w:rsidRPr="00454468">
        <w:rPr>
          <w:color w:val="auto"/>
          <w:lang w:val="en-US"/>
        </w:rPr>
        <w:t xml:space="preserve"> </w:t>
      </w:r>
      <w:r w:rsidR="00B96B08" w:rsidRPr="00454468">
        <w:rPr>
          <w:color w:val="auto"/>
          <w:lang w:val="en-US"/>
        </w:rPr>
        <w:fldChar w:fldCharType="begin"/>
      </w:r>
      <w:r w:rsidRPr="00454468">
        <w:rPr>
          <w:color w:val="auto"/>
          <w:lang w:val="en-US"/>
        </w:rPr>
        <w:instrText xml:space="preserve"> SEQ Obrázek \* ARABIC </w:instrText>
      </w:r>
      <w:r w:rsidR="00B96B08" w:rsidRPr="00454468">
        <w:rPr>
          <w:color w:val="auto"/>
          <w:lang w:val="en-US"/>
        </w:rPr>
        <w:fldChar w:fldCharType="separate"/>
      </w:r>
      <w:r w:rsidR="006074B1" w:rsidRPr="00454468">
        <w:rPr>
          <w:noProof/>
          <w:color w:val="auto"/>
          <w:lang w:val="en-US"/>
        </w:rPr>
        <w:t>2</w:t>
      </w:r>
      <w:r w:rsidR="00B96B08" w:rsidRPr="00454468">
        <w:rPr>
          <w:color w:val="auto"/>
          <w:lang w:val="en-US"/>
        </w:rPr>
        <w:fldChar w:fldCharType="end"/>
      </w:r>
      <w:r w:rsidRPr="00454468">
        <w:rPr>
          <w:color w:val="auto"/>
          <w:lang w:val="en-US"/>
        </w:rPr>
        <w:t xml:space="preserve"> - Average values of waist circumference in men and women within 11 years</w:t>
      </w:r>
    </w:p>
    <w:p w:rsidR="00A82F9B" w:rsidRPr="00454468" w:rsidRDefault="00A82F9B" w:rsidP="00E54C5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54468">
        <w:rPr>
          <w:noProof/>
          <w:lang w:val="en-US" w:eastAsia="cs-CZ"/>
        </w:rPr>
        <w:drawing>
          <wp:inline distT="0" distB="0" distL="0" distR="0" wp14:anchorId="002AA6DF" wp14:editId="7F50624B">
            <wp:extent cx="5486400" cy="2995613"/>
            <wp:effectExtent l="0" t="0" r="19050" b="1460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4C5F" w:rsidRPr="00454468" w:rsidRDefault="00E2438C" w:rsidP="00E54C5F">
      <w:pPr>
        <w:spacing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454468">
        <w:rPr>
          <w:rFonts w:ascii="Times New Roman" w:hAnsi="Times New Roman" w:cs="Times New Roman"/>
          <w:sz w:val="20"/>
          <w:szCs w:val="20"/>
          <w:lang w:val="en-US"/>
        </w:rPr>
        <w:t>Statistical significance between the years 1999 and 2009</w:t>
      </w:r>
      <w:r w:rsidRPr="00454468">
        <w:rPr>
          <w:rFonts w:ascii="Times New Roman" w:hAnsi="Times New Roman" w:cs="Times New Roman"/>
          <w:sz w:val="20"/>
          <w:lang w:val="en-US"/>
        </w:rPr>
        <w:t xml:space="preserve"> at the significance level -</w:t>
      </w:r>
      <w:r w:rsidR="00E54C5F" w:rsidRPr="00454468">
        <w:rPr>
          <w:rFonts w:ascii="Times New Roman" w:hAnsi="Times New Roman" w:cs="Times New Roman"/>
          <w:sz w:val="20"/>
          <w:lang w:val="en-US"/>
        </w:rPr>
        <w:t xml:space="preserve"> * p&lt;0.05, ** p&lt;0.01, *** p&lt;0.001</w:t>
      </w:r>
    </w:p>
    <w:p w:rsidR="00E54C5F" w:rsidRPr="00454468" w:rsidRDefault="00E54C5F" w:rsidP="00E54C5F">
      <w:pPr>
        <w:spacing w:line="360" w:lineRule="auto"/>
        <w:jc w:val="both"/>
        <w:rPr>
          <w:rFonts w:ascii="Times New Roman" w:hAnsi="Times New Roman" w:cs="Times New Roman"/>
          <w:sz w:val="20"/>
          <w:lang w:val="en-US"/>
        </w:rPr>
        <w:sectPr w:rsidR="00E54C5F" w:rsidRPr="00454468" w:rsidSect="00A82F9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C123B" w:rsidRPr="00454468" w:rsidRDefault="005C123B" w:rsidP="005C123B">
      <w:pPr>
        <w:pStyle w:val="Titulek"/>
        <w:keepNext/>
        <w:rPr>
          <w:color w:val="auto"/>
          <w:lang w:val="en-US"/>
        </w:rPr>
      </w:pPr>
      <w:r w:rsidRPr="00454468">
        <w:rPr>
          <w:color w:val="auto"/>
          <w:lang w:val="en-US"/>
        </w:rPr>
        <w:lastRenderedPageBreak/>
        <w:t>Graph</w:t>
      </w:r>
      <w:r w:rsidR="0006736E" w:rsidRPr="00454468">
        <w:rPr>
          <w:color w:val="auto"/>
          <w:lang w:val="en-US"/>
        </w:rPr>
        <w:t xml:space="preserve"> </w:t>
      </w:r>
      <w:r w:rsidR="00B96B08" w:rsidRPr="00454468">
        <w:rPr>
          <w:color w:val="auto"/>
          <w:lang w:val="en-US"/>
        </w:rPr>
        <w:fldChar w:fldCharType="begin"/>
      </w:r>
      <w:r w:rsidR="00F46F30" w:rsidRPr="00454468">
        <w:rPr>
          <w:color w:val="auto"/>
          <w:lang w:val="en-US"/>
        </w:rPr>
        <w:instrText xml:space="preserve"> SEQ Obrázek \* ARABIC </w:instrText>
      </w:r>
      <w:r w:rsidR="00B96B08" w:rsidRPr="00454468">
        <w:rPr>
          <w:color w:val="auto"/>
          <w:lang w:val="en-US"/>
        </w:rPr>
        <w:fldChar w:fldCharType="separate"/>
      </w:r>
      <w:r w:rsidR="006074B1" w:rsidRPr="00454468">
        <w:rPr>
          <w:noProof/>
          <w:color w:val="auto"/>
          <w:lang w:val="en-US"/>
        </w:rPr>
        <w:t>3</w:t>
      </w:r>
      <w:r w:rsidR="00B96B08" w:rsidRPr="00454468">
        <w:rPr>
          <w:color w:val="auto"/>
          <w:lang w:val="en-US"/>
        </w:rPr>
        <w:fldChar w:fldCharType="end"/>
      </w:r>
      <w:r w:rsidR="0006736E" w:rsidRPr="00454468">
        <w:rPr>
          <w:color w:val="auto"/>
          <w:lang w:val="en-US"/>
        </w:rPr>
        <w:t xml:space="preserve"> </w:t>
      </w:r>
      <w:r w:rsidR="00574A1C" w:rsidRPr="00454468">
        <w:rPr>
          <w:color w:val="auto"/>
          <w:lang w:val="en-US"/>
        </w:rPr>
        <w:t>– Distribution</w:t>
      </w:r>
      <w:r w:rsidR="0006736E" w:rsidRPr="00454468">
        <w:rPr>
          <w:color w:val="auto"/>
          <w:lang w:val="en-US"/>
        </w:rPr>
        <w:t xml:space="preserve"> </w:t>
      </w:r>
      <w:r w:rsidR="00574A1C" w:rsidRPr="00454468">
        <w:rPr>
          <w:color w:val="auto"/>
          <w:lang w:val="en-US"/>
        </w:rPr>
        <w:t>of</w:t>
      </w:r>
      <w:r w:rsidR="0006736E" w:rsidRPr="00454468">
        <w:rPr>
          <w:color w:val="auto"/>
          <w:lang w:val="en-US"/>
        </w:rPr>
        <w:t xml:space="preserve"> </w:t>
      </w:r>
      <w:r w:rsidR="00574A1C" w:rsidRPr="00454468">
        <w:rPr>
          <w:color w:val="auto"/>
          <w:lang w:val="en-US"/>
        </w:rPr>
        <w:t>men</w:t>
      </w:r>
      <w:r w:rsidR="00C72763" w:rsidRPr="00454468">
        <w:rPr>
          <w:color w:val="auto"/>
          <w:lang w:val="en-US"/>
        </w:rPr>
        <w:t xml:space="preserve"> in the BMI categories</w:t>
      </w:r>
    </w:p>
    <w:p w:rsidR="005C123B" w:rsidRPr="00454468" w:rsidRDefault="0030680A" w:rsidP="005C123B">
      <w:pPr>
        <w:pStyle w:val="Titulek"/>
        <w:keepNext/>
        <w:spacing w:line="360" w:lineRule="auto"/>
        <w:rPr>
          <w:color w:val="auto"/>
          <w:lang w:val="en-US"/>
        </w:rPr>
      </w:pPr>
      <w:r w:rsidRPr="00454468">
        <w:rPr>
          <w:noProof/>
          <w:lang w:val="en-US" w:eastAsia="cs-CZ"/>
        </w:rPr>
        <w:drawing>
          <wp:inline distT="0" distB="0" distL="0" distR="0" wp14:anchorId="49D7DAAC" wp14:editId="78ECD145">
            <wp:extent cx="5400000" cy="3780000"/>
            <wp:effectExtent l="0" t="0" r="10795" b="1143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F71F1" w:rsidRPr="00454468" w:rsidRDefault="000F71F1" w:rsidP="000F71F1">
      <w:pPr>
        <w:rPr>
          <w:sz w:val="20"/>
          <w:lang w:val="en-US"/>
        </w:rPr>
      </w:pPr>
      <w:r w:rsidRPr="00454468">
        <w:rPr>
          <w:rFonts w:ascii="Times New Roman" w:hAnsi="Times New Roman" w:cs="Times New Roman"/>
          <w:sz w:val="18"/>
          <w:szCs w:val="20"/>
          <w:lang w:val="en-US"/>
        </w:rPr>
        <w:t>Statistical significance between the years 1999 and 2009</w:t>
      </w:r>
      <w:r w:rsidRPr="00454468">
        <w:rPr>
          <w:rFonts w:ascii="Times New Roman" w:hAnsi="Times New Roman" w:cs="Times New Roman"/>
          <w:sz w:val="18"/>
          <w:lang w:val="en-US"/>
        </w:rPr>
        <w:t xml:space="preserve"> at the significance level - * p&lt;0.05, ** p&lt;0.01, *** p&lt;0.001</w:t>
      </w:r>
    </w:p>
    <w:p w:rsidR="005C123B" w:rsidRPr="00454468" w:rsidRDefault="005C123B" w:rsidP="005C123B">
      <w:pPr>
        <w:pStyle w:val="Titulek"/>
        <w:keepNext/>
        <w:rPr>
          <w:color w:val="auto"/>
          <w:lang w:val="en-US"/>
        </w:rPr>
      </w:pPr>
      <w:r w:rsidRPr="00454468">
        <w:rPr>
          <w:color w:val="auto"/>
          <w:lang w:val="en-US"/>
        </w:rPr>
        <w:t>Graph</w:t>
      </w:r>
      <w:r w:rsidR="0006736E" w:rsidRPr="00454468">
        <w:rPr>
          <w:color w:val="auto"/>
          <w:lang w:val="en-US"/>
        </w:rPr>
        <w:t xml:space="preserve"> </w:t>
      </w:r>
      <w:r w:rsidR="00B96B08" w:rsidRPr="00454468">
        <w:rPr>
          <w:color w:val="auto"/>
          <w:lang w:val="en-US"/>
        </w:rPr>
        <w:fldChar w:fldCharType="begin"/>
      </w:r>
      <w:r w:rsidR="00F46F30" w:rsidRPr="00454468">
        <w:rPr>
          <w:color w:val="auto"/>
          <w:lang w:val="en-US"/>
        </w:rPr>
        <w:instrText xml:space="preserve"> SEQ Obrázek \* ARABIC </w:instrText>
      </w:r>
      <w:r w:rsidR="00B96B08" w:rsidRPr="00454468">
        <w:rPr>
          <w:color w:val="auto"/>
          <w:lang w:val="en-US"/>
        </w:rPr>
        <w:fldChar w:fldCharType="separate"/>
      </w:r>
      <w:r w:rsidR="006074B1" w:rsidRPr="00454468">
        <w:rPr>
          <w:noProof/>
          <w:color w:val="auto"/>
          <w:lang w:val="en-US"/>
        </w:rPr>
        <w:t>4</w:t>
      </w:r>
      <w:r w:rsidR="00B96B08" w:rsidRPr="00454468">
        <w:rPr>
          <w:color w:val="auto"/>
          <w:lang w:val="en-US"/>
        </w:rPr>
        <w:fldChar w:fldCharType="end"/>
      </w:r>
      <w:r w:rsidR="0006736E" w:rsidRPr="00454468">
        <w:rPr>
          <w:color w:val="auto"/>
          <w:lang w:val="en-US"/>
        </w:rPr>
        <w:t xml:space="preserve"> </w:t>
      </w:r>
      <w:r w:rsidR="001F027E" w:rsidRPr="00454468">
        <w:rPr>
          <w:color w:val="auto"/>
          <w:lang w:val="en-US"/>
        </w:rPr>
        <w:t>–</w:t>
      </w:r>
      <w:r w:rsidR="0006736E" w:rsidRPr="00454468">
        <w:rPr>
          <w:color w:val="auto"/>
          <w:lang w:val="en-US"/>
        </w:rPr>
        <w:t xml:space="preserve"> </w:t>
      </w:r>
      <w:r w:rsidR="00C72763" w:rsidRPr="00454468">
        <w:rPr>
          <w:color w:val="auto"/>
          <w:lang w:val="en-US"/>
        </w:rPr>
        <w:t>Distribution</w:t>
      </w:r>
      <w:r w:rsidR="0006736E" w:rsidRPr="00454468">
        <w:rPr>
          <w:color w:val="auto"/>
          <w:lang w:val="en-US"/>
        </w:rPr>
        <w:t xml:space="preserve"> </w:t>
      </w:r>
      <w:r w:rsidR="00C72763" w:rsidRPr="00454468">
        <w:rPr>
          <w:color w:val="auto"/>
          <w:lang w:val="en-US"/>
        </w:rPr>
        <w:t>of</w:t>
      </w:r>
      <w:r w:rsidR="0006736E" w:rsidRPr="00454468">
        <w:rPr>
          <w:color w:val="auto"/>
          <w:lang w:val="en-US"/>
        </w:rPr>
        <w:t xml:space="preserve"> </w:t>
      </w:r>
      <w:r w:rsidR="00C72763" w:rsidRPr="00454468">
        <w:rPr>
          <w:color w:val="auto"/>
          <w:lang w:val="en-US"/>
        </w:rPr>
        <w:t>women in the BMI categories</w:t>
      </w:r>
    </w:p>
    <w:p w:rsidR="005C123B" w:rsidRPr="00454468" w:rsidRDefault="0030680A" w:rsidP="005C123B">
      <w:pPr>
        <w:rPr>
          <w:lang w:val="en-US"/>
        </w:rPr>
      </w:pPr>
      <w:r w:rsidRPr="00454468">
        <w:rPr>
          <w:noProof/>
          <w:lang w:val="en-US" w:eastAsia="cs-CZ"/>
        </w:rPr>
        <w:drawing>
          <wp:inline distT="0" distB="0" distL="0" distR="0" wp14:anchorId="30254DA3" wp14:editId="22202C93">
            <wp:extent cx="5400000" cy="3780000"/>
            <wp:effectExtent l="0" t="0" r="10795" b="1143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F71F1" w:rsidRPr="00454468" w:rsidRDefault="000F71F1" w:rsidP="005C123B">
      <w:pPr>
        <w:rPr>
          <w:sz w:val="20"/>
          <w:lang w:val="en-US"/>
        </w:rPr>
      </w:pPr>
      <w:r w:rsidRPr="00454468">
        <w:rPr>
          <w:rFonts w:ascii="Times New Roman" w:hAnsi="Times New Roman" w:cs="Times New Roman"/>
          <w:sz w:val="18"/>
          <w:szCs w:val="20"/>
          <w:lang w:val="en-US"/>
        </w:rPr>
        <w:t>Statistical significance between the years 1999 and 2009</w:t>
      </w:r>
      <w:r w:rsidRPr="00454468">
        <w:rPr>
          <w:rFonts w:ascii="Times New Roman" w:hAnsi="Times New Roman" w:cs="Times New Roman"/>
          <w:sz w:val="18"/>
          <w:lang w:val="en-US"/>
        </w:rPr>
        <w:t xml:space="preserve"> at the significance level - * p&lt;0.05, ** p&lt;0.01, *** p&lt;0.001</w:t>
      </w:r>
    </w:p>
    <w:p w:rsidR="005C123B" w:rsidRPr="00454468" w:rsidRDefault="005C123B" w:rsidP="005C123B">
      <w:pPr>
        <w:pStyle w:val="Titulek"/>
        <w:keepNext/>
        <w:rPr>
          <w:color w:val="auto"/>
          <w:lang w:val="en-US"/>
        </w:rPr>
      </w:pPr>
      <w:r w:rsidRPr="00454468">
        <w:rPr>
          <w:color w:val="auto"/>
          <w:lang w:val="en-US"/>
        </w:rPr>
        <w:lastRenderedPageBreak/>
        <w:t>Graph</w:t>
      </w:r>
      <w:r w:rsidR="0006736E" w:rsidRPr="00454468">
        <w:rPr>
          <w:color w:val="auto"/>
          <w:lang w:val="en-US"/>
        </w:rPr>
        <w:t xml:space="preserve"> </w:t>
      </w:r>
      <w:r w:rsidR="00B96B08" w:rsidRPr="00454468">
        <w:rPr>
          <w:color w:val="auto"/>
          <w:lang w:val="en-US"/>
        </w:rPr>
        <w:fldChar w:fldCharType="begin"/>
      </w:r>
      <w:r w:rsidR="00F46F30" w:rsidRPr="00454468">
        <w:rPr>
          <w:color w:val="auto"/>
          <w:lang w:val="en-US"/>
        </w:rPr>
        <w:instrText xml:space="preserve"> SEQ Obrázek \* ARABIC </w:instrText>
      </w:r>
      <w:r w:rsidR="00B96B08" w:rsidRPr="00454468">
        <w:rPr>
          <w:color w:val="auto"/>
          <w:lang w:val="en-US"/>
        </w:rPr>
        <w:fldChar w:fldCharType="separate"/>
      </w:r>
      <w:r w:rsidR="006074B1" w:rsidRPr="00454468">
        <w:rPr>
          <w:noProof/>
          <w:color w:val="auto"/>
          <w:lang w:val="en-US"/>
        </w:rPr>
        <w:t>5</w:t>
      </w:r>
      <w:r w:rsidR="00B96B08" w:rsidRPr="00454468">
        <w:rPr>
          <w:color w:val="auto"/>
          <w:lang w:val="en-US"/>
        </w:rPr>
        <w:fldChar w:fldCharType="end"/>
      </w:r>
      <w:r w:rsidR="00C72763" w:rsidRPr="00454468">
        <w:rPr>
          <w:color w:val="auto"/>
          <w:lang w:val="en-US"/>
        </w:rPr>
        <w:t xml:space="preserve"> – Distribution</w:t>
      </w:r>
      <w:r w:rsidR="0006736E" w:rsidRPr="00454468">
        <w:rPr>
          <w:color w:val="auto"/>
          <w:lang w:val="en-US"/>
        </w:rPr>
        <w:t xml:space="preserve"> </w:t>
      </w:r>
      <w:r w:rsidR="00C72763" w:rsidRPr="00454468">
        <w:rPr>
          <w:color w:val="auto"/>
          <w:lang w:val="en-US"/>
        </w:rPr>
        <w:t>of</w:t>
      </w:r>
      <w:r w:rsidR="0006736E" w:rsidRPr="00454468">
        <w:rPr>
          <w:color w:val="auto"/>
          <w:lang w:val="en-US"/>
        </w:rPr>
        <w:t xml:space="preserve"> </w:t>
      </w:r>
      <w:r w:rsidR="00C72763" w:rsidRPr="00454468">
        <w:rPr>
          <w:color w:val="auto"/>
          <w:lang w:val="en-US"/>
        </w:rPr>
        <w:t>men</w:t>
      </w:r>
      <w:r w:rsidR="0006736E" w:rsidRPr="00454468">
        <w:rPr>
          <w:color w:val="auto"/>
          <w:lang w:val="en-US"/>
        </w:rPr>
        <w:t xml:space="preserve"> </w:t>
      </w:r>
      <w:r w:rsidR="00C72763" w:rsidRPr="00454468">
        <w:rPr>
          <w:color w:val="auto"/>
          <w:lang w:val="en-US"/>
        </w:rPr>
        <w:t>in separate risk categories</w:t>
      </w:r>
      <w:r w:rsidR="0006736E" w:rsidRPr="00454468">
        <w:rPr>
          <w:color w:val="auto"/>
          <w:lang w:val="en-US"/>
        </w:rPr>
        <w:t xml:space="preserve"> </w:t>
      </w:r>
      <w:r w:rsidR="00C72763" w:rsidRPr="00454468">
        <w:rPr>
          <w:color w:val="auto"/>
          <w:lang w:val="en-US"/>
        </w:rPr>
        <w:t>according to the</w:t>
      </w:r>
      <w:r w:rsidR="0006736E" w:rsidRPr="00454468">
        <w:rPr>
          <w:color w:val="auto"/>
          <w:lang w:val="en-US"/>
        </w:rPr>
        <w:t xml:space="preserve"> </w:t>
      </w:r>
      <w:r w:rsidR="00C72763" w:rsidRPr="00454468">
        <w:rPr>
          <w:color w:val="auto"/>
          <w:lang w:val="en-US"/>
        </w:rPr>
        <w:t>waist</w:t>
      </w:r>
      <w:r w:rsidR="0006736E" w:rsidRPr="00454468">
        <w:rPr>
          <w:color w:val="auto"/>
          <w:lang w:val="en-US"/>
        </w:rPr>
        <w:t xml:space="preserve"> </w:t>
      </w:r>
      <w:r w:rsidR="00C72763" w:rsidRPr="00454468">
        <w:rPr>
          <w:color w:val="auto"/>
          <w:lang w:val="en-US"/>
        </w:rPr>
        <w:t>circumference</w:t>
      </w:r>
    </w:p>
    <w:p w:rsidR="005C123B" w:rsidRPr="00454468" w:rsidRDefault="00036DE0" w:rsidP="005C123B">
      <w:pPr>
        <w:rPr>
          <w:lang w:val="en-US"/>
        </w:rPr>
      </w:pPr>
      <w:r w:rsidRPr="00454468">
        <w:rPr>
          <w:noProof/>
          <w:lang w:val="en-US" w:eastAsia="cs-CZ"/>
        </w:rPr>
        <w:drawing>
          <wp:inline distT="0" distB="0" distL="0" distR="0" wp14:anchorId="475ACC62" wp14:editId="015FA24C">
            <wp:extent cx="5400000" cy="3780000"/>
            <wp:effectExtent l="0" t="0" r="10795" b="11430"/>
            <wp:docPr id="15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F71F1" w:rsidRPr="00454468" w:rsidRDefault="000F71F1" w:rsidP="000F71F1">
      <w:pPr>
        <w:rPr>
          <w:sz w:val="20"/>
          <w:lang w:val="en-US"/>
        </w:rPr>
      </w:pPr>
      <w:r w:rsidRPr="00454468">
        <w:rPr>
          <w:rFonts w:ascii="Times New Roman" w:hAnsi="Times New Roman" w:cs="Times New Roman"/>
          <w:sz w:val="18"/>
          <w:szCs w:val="20"/>
          <w:lang w:val="en-US"/>
        </w:rPr>
        <w:t>Statistical significance between the years 1999 and 2009</w:t>
      </w:r>
      <w:r w:rsidRPr="00454468">
        <w:rPr>
          <w:rFonts w:ascii="Times New Roman" w:hAnsi="Times New Roman" w:cs="Times New Roman"/>
          <w:sz w:val="18"/>
          <w:lang w:val="en-US"/>
        </w:rPr>
        <w:t xml:space="preserve"> at the significance level - * p&lt;0.05, ** p&lt;0.01, *** p&lt;0.001</w:t>
      </w:r>
    </w:p>
    <w:p w:rsidR="005C123B" w:rsidRPr="00454468" w:rsidRDefault="005C123B" w:rsidP="005C123B">
      <w:pPr>
        <w:pStyle w:val="Titulek"/>
        <w:keepNext/>
        <w:rPr>
          <w:color w:val="auto"/>
          <w:lang w:val="en-US"/>
        </w:rPr>
      </w:pPr>
      <w:r w:rsidRPr="00454468">
        <w:rPr>
          <w:color w:val="auto"/>
          <w:lang w:val="en-US"/>
        </w:rPr>
        <w:t>Graph</w:t>
      </w:r>
      <w:r w:rsidR="0006736E" w:rsidRPr="00454468">
        <w:rPr>
          <w:color w:val="auto"/>
          <w:lang w:val="en-US"/>
        </w:rPr>
        <w:t xml:space="preserve"> </w:t>
      </w:r>
      <w:r w:rsidR="00B96B08" w:rsidRPr="00454468">
        <w:rPr>
          <w:color w:val="auto"/>
          <w:lang w:val="en-US"/>
        </w:rPr>
        <w:fldChar w:fldCharType="begin"/>
      </w:r>
      <w:r w:rsidR="00F46F30" w:rsidRPr="00454468">
        <w:rPr>
          <w:color w:val="auto"/>
          <w:lang w:val="en-US"/>
        </w:rPr>
        <w:instrText xml:space="preserve"> SEQ Obrázek \* ARABIC </w:instrText>
      </w:r>
      <w:r w:rsidR="00B96B08" w:rsidRPr="00454468">
        <w:rPr>
          <w:color w:val="auto"/>
          <w:lang w:val="en-US"/>
        </w:rPr>
        <w:fldChar w:fldCharType="separate"/>
      </w:r>
      <w:r w:rsidR="006074B1" w:rsidRPr="00454468">
        <w:rPr>
          <w:noProof/>
          <w:color w:val="auto"/>
          <w:lang w:val="en-US"/>
        </w:rPr>
        <w:t>6</w:t>
      </w:r>
      <w:r w:rsidR="00B96B08" w:rsidRPr="00454468">
        <w:rPr>
          <w:color w:val="auto"/>
          <w:lang w:val="en-US"/>
        </w:rPr>
        <w:fldChar w:fldCharType="end"/>
      </w:r>
      <w:r w:rsidR="0006736E" w:rsidRPr="00454468">
        <w:rPr>
          <w:color w:val="auto"/>
          <w:lang w:val="en-US"/>
        </w:rPr>
        <w:t xml:space="preserve"> </w:t>
      </w:r>
      <w:r w:rsidR="001F027E" w:rsidRPr="00454468">
        <w:rPr>
          <w:color w:val="auto"/>
          <w:lang w:val="en-US"/>
        </w:rPr>
        <w:t>–</w:t>
      </w:r>
      <w:r w:rsidR="0006736E" w:rsidRPr="00454468">
        <w:rPr>
          <w:color w:val="auto"/>
          <w:lang w:val="en-US"/>
        </w:rPr>
        <w:t xml:space="preserve"> </w:t>
      </w:r>
      <w:r w:rsidR="00C72763" w:rsidRPr="00454468">
        <w:rPr>
          <w:color w:val="auto"/>
          <w:lang w:val="en-US"/>
        </w:rPr>
        <w:t>Distribution</w:t>
      </w:r>
      <w:r w:rsidR="0006736E" w:rsidRPr="00454468">
        <w:rPr>
          <w:color w:val="auto"/>
          <w:lang w:val="en-US"/>
        </w:rPr>
        <w:t xml:space="preserve"> </w:t>
      </w:r>
      <w:r w:rsidR="00C72763" w:rsidRPr="00454468">
        <w:rPr>
          <w:color w:val="auto"/>
          <w:lang w:val="en-US"/>
        </w:rPr>
        <w:t>of</w:t>
      </w:r>
      <w:r w:rsidR="0006736E" w:rsidRPr="00454468">
        <w:rPr>
          <w:color w:val="auto"/>
          <w:lang w:val="en-US"/>
        </w:rPr>
        <w:t xml:space="preserve"> </w:t>
      </w:r>
      <w:r w:rsidR="00C72763" w:rsidRPr="00454468">
        <w:rPr>
          <w:color w:val="auto"/>
          <w:lang w:val="en-US"/>
        </w:rPr>
        <w:t>women</w:t>
      </w:r>
      <w:r w:rsidR="0006736E" w:rsidRPr="00454468">
        <w:rPr>
          <w:color w:val="auto"/>
          <w:lang w:val="en-US"/>
        </w:rPr>
        <w:t xml:space="preserve"> </w:t>
      </w:r>
      <w:r w:rsidR="00C72763" w:rsidRPr="00454468">
        <w:rPr>
          <w:color w:val="auto"/>
          <w:lang w:val="en-US"/>
        </w:rPr>
        <w:t>in separate risk categories</w:t>
      </w:r>
      <w:r w:rsidR="0006736E" w:rsidRPr="00454468">
        <w:rPr>
          <w:color w:val="auto"/>
          <w:lang w:val="en-US"/>
        </w:rPr>
        <w:t xml:space="preserve"> </w:t>
      </w:r>
      <w:r w:rsidR="00C72763" w:rsidRPr="00454468">
        <w:rPr>
          <w:color w:val="auto"/>
          <w:lang w:val="en-US"/>
        </w:rPr>
        <w:t>according to the</w:t>
      </w:r>
      <w:r w:rsidR="0006736E" w:rsidRPr="00454468">
        <w:rPr>
          <w:color w:val="auto"/>
          <w:lang w:val="en-US"/>
        </w:rPr>
        <w:t xml:space="preserve"> </w:t>
      </w:r>
      <w:r w:rsidR="00C72763" w:rsidRPr="00454468">
        <w:rPr>
          <w:color w:val="auto"/>
          <w:lang w:val="en-US"/>
        </w:rPr>
        <w:t>waist</w:t>
      </w:r>
      <w:r w:rsidR="0006736E" w:rsidRPr="00454468">
        <w:rPr>
          <w:color w:val="auto"/>
          <w:lang w:val="en-US"/>
        </w:rPr>
        <w:t xml:space="preserve"> </w:t>
      </w:r>
      <w:r w:rsidR="00C72763" w:rsidRPr="00454468">
        <w:rPr>
          <w:color w:val="auto"/>
          <w:lang w:val="en-US"/>
        </w:rPr>
        <w:t>circumference</w:t>
      </w:r>
    </w:p>
    <w:p w:rsidR="005C123B" w:rsidRPr="00454468" w:rsidRDefault="00D73547" w:rsidP="005C123B">
      <w:pPr>
        <w:rPr>
          <w:lang w:val="en-US"/>
        </w:rPr>
      </w:pPr>
      <w:r w:rsidRPr="00454468">
        <w:rPr>
          <w:noProof/>
          <w:lang w:val="en-US" w:eastAsia="cs-CZ"/>
        </w:rPr>
        <w:drawing>
          <wp:inline distT="0" distB="0" distL="0" distR="0" wp14:anchorId="4CE1F727" wp14:editId="13D38031">
            <wp:extent cx="5400000" cy="3816000"/>
            <wp:effectExtent l="0" t="0" r="10795" b="13335"/>
            <wp:docPr id="16" name="Graf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F71F1" w:rsidRPr="00454468" w:rsidRDefault="000F71F1" w:rsidP="000F71F1">
      <w:pPr>
        <w:rPr>
          <w:sz w:val="20"/>
          <w:lang w:val="en-US"/>
        </w:rPr>
      </w:pPr>
      <w:r w:rsidRPr="00454468">
        <w:rPr>
          <w:rFonts w:ascii="Times New Roman" w:hAnsi="Times New Roman" w:cs="Times New Roman"/>
          <w:sz w:val="18"/>
          <w:szCs w:val="20"/>
          <w:lang w:val="en-US"/>
        </w:rPr>
        <w:t>Statistical significance between the years 1999 and 2009</w:t>
      </w:r>
      <w:r w:rsidRPr="00454468">
        <w:rPr>
          <w:rFonts w:ascii="Times New Roman" w:hAnsi="Times New Roman" w:cs="Times New Roman"/>
          <w:sz w:val="18"/>
          <w:lang w:val="en-US"/>
        </w:rPr>
        <w:t xml:space="preserve"> at the significance level - * p&lt;0.05, ** p&lt;0.01, *** p&lt;0.001</w:t>
      </w:r>
    </w:p>
    <w:p w:rsidR="000F71F1" w:rsidRPr="00454468" w:rsidRDefault="000F71F1" w:rsidP="005C123B">
      <w:pPr>
        <w:rPr>
          <w:lang w:val="en-US"/>
        </w:rPr>
        <w:sectPr w:rsidR="000F71F1" w:rsidRPr="00454468" w:rsidSect="00C7276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5C123B" w:rsidRPr="00454468" w:rsidRDefault="005C123B" w:rsidP="005C123B">
      <w:pPr>
        <w:pStyle w:val="Titulek"/>
        <w:keepNext/>
        <w:spacing w:line="360" w:lineRule="auto"/>
        <w:rPr>
          <w:color w:val="auto"/>
          <w:lang w:val="en-US"/>
        </w:rPr>
      </w:pPr>
      <w:r w:rsidRPr="00454468">
        <w:rPr>
          <w:color w:val="auto"/>
          <w:lang w:val="en-US"/>
        </w:rPr>
        <w:lastRenderedPageBreak/>
        <w:t xml:space="preserve">Table </w:t>
      </w:r>
      <w:r w:rsidR="00B96B08" w:rsidRPr="00454468">
        <w:rPr>
          <w:color w:val="auto"/>
          <w:lang w:val="en-US"/>
        </w:rPr>
        <w:fldChar w:fldCharType="begin"/>
      </w:r>
      <w:r w:rsidRPr="00454468">
        <w:rPr>
          <w:color w:val="auto"/>
          <w:lang w:val="en-US"/>
        </w:rPr>
        <w:instrText xml:space="preserve"> SEQ Tabulka \* ARABIC </w:instrText>
      </w:r>
      <w:r w:rsidR="00B96B08" w:rsidRPr="00454468">
        <w:rPr>
          <w:color w:val="auto"/>
          <w:lang w:val="en-US"/>
        </w:rPr>
        <w:fldChar w:fldCharType="separate"/>
      </w:r>
      <w:r w:rsidR="006074B1" w:rsidRPr="00454468">
        <w:rPr>
          <w:noProof/>
          <w:color w:val="auto"/>
          <w:lang w:val="en-US"/>
        </w:rPr>
        <w:t>1</w:t>
      </w:r>
      <w:r w:rsidR="00B96B08" w:rsidRPr="00454468">
        <w:rPr>
          <w:color w:val="auto"/>
          <w:lang w:val="en-US"/>
        </w:rPr>
        <w:fldChar w:fldCharType="end"/>
      </w:r>
      <w:r w:rsidRPr="00454468">
        <w:rPr>
          <w:color w:val="auto"/>
          <w:lang w:val="en-US"/>
        </w:rPr>
        <w:t xml:space="preserve"> – Average values of </w:t>
      </w:r>
      <w:r w:rsidR="00C72763" w:rsidRPr="00454468">
        <w:rPr>
          <w:color w:val="auto"/>
          <w:lang w:val="en-US"/>
        </w:rPr>
        <w:t>biochemical</w:t>
      </w:r>
      <w:r w:rsidRPr="00454468">
        <w:rPr>
          <w:color w:val="auto"/>
          <w:lang w:val="en-US"/>
        </w:rPr>
        <w:t xml:space="preserve"> parameters in men within 11 years</w:t>
      </w:r>
    </w:p>
    <w:tbl>
      <w:tblPr>
        <w:tblStyle w:val="Mkatabulky"/>
        <w:tblW w:w="5000" w:type="pct"/>
        <w:tblLook w:val="0620" w:firstRow="1" w:lastRow="0" w:firstColumn="0" w:lastColumn="0" w:noHBand="1" w:noVBand="1"/>
      </w:tblPr>
      <w:tblGrid>
        <w:gridCol w:w="1659"/>
        <w:gridCol w:w="1141"/>
        <w:gridCol w:w="1140"/>
        <w:gridCol w:w="1140"/>
        <w:gridCol w:w="1143"/>
        <w:gridCol w:w="1143"/>
        <w:gridCol w:w="1143"/>
        <w:gridCol w:w="1143"/>
        <w:gridCol w:w="1143"/>
        <w:gridCol w:w="1143"/>
        <w:gridCol w:w="1143"/>
        <w:gridCol w:w="1137"/>
      </w:tblGrid>
      <w:tr w:rsidR="005C123B" w:rsidRPr="00454468" w:rsidTr="00C72763">
        <w:trPr>
          <w:trHeight w:val="431"/>
        </w:trPr>
        <w:tc>
          <w:tcPr>
            <w:tcW w:w="583" w:type="pct"/>
            <w:vAlign w:val="center"/>
          </w:tcPr>
          <w:p w:rsidR="005C123B" w:rsidRPr="00454468" w:rsidRDefault="005C123B" w:rsidP="00C727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1999 (n=6154)</w:t>
            </w:r>
          </w:p>
        </w:tc>
        <w:tc>
          <w:tcPr>
            <w:tcW w:w="401" w:type="pct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 (n=6404)</w:t>
            </w:r>
          </w:p>
        </w:tc>
        <w:tc>
          <w:tcPr>
            <w:tcW w:w="401" w:type="pct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2001 (n=6161)</w:t>
            </w:r>
          </w:p>
        </w:tc>
        <w:tc>
          <w:tcPr>
            <w:tcW w:w="402" w:type="pct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2002 (n=4995)</w:t>
            </w:r>
          </w:p>
        </w:tc>
        <w:tc>
          <w:tcPr>
            <w:tcW w:w="402" w:type="pct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2003 (n=5306)</w:t>
            </w:r>
          </w:p>
        </w:tc>
        <w:tc>
          <w:tcPr>
            <w:tcW w:w="402" w:type="pct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2004 (n=4056)</w:t>
            </w:r>
          </w:p>
        </w:tc>
        <w:tc>
          <w:tcPr>
            <w:tcW w:w="402" w:type="pct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2005 (n=5021)</w:t>
            </w:r>
          </w:p>
        </w:tc>
        <w:tc>
          <w:tcPr>
            <w:tcW w:w="402" w:type="pct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2006 (n=5419)</w:t>
            </w:r>
          </w:p>
        </w:tc>
        <w:tc>
          <w:tcPr>
            <w:tcW w:w="402" w:type="pct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 (n=5786)</w:t>
            </w:r>
          </w:p>
        </w:tc>
        <w:tc>
          <w:tcPr>
            <w:tcW w:w="402" w:type="pct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 (n=7057)</w:t>
            </w:r>
          </w:p>
        </w:tc>
        <w:tc>
          <w:tcPr>
            <w:tcW w:w="400" w:type="pct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2009 (n=7496)</w:t>
            </w:r>
          </w:p>
        </w:tc>
      </w:tr>
      <w:tr w:rsidR="005C123B" w:rsidRPr="00454468" w:rsidTr="00C72763">
        <w:trPr>
          <w:trHeight w:val="529"/>
        </w:trPr>
        <w:tc>
          <w:tcPr>
            <w:tcW w:w="583" w:type="pct"/>
          </w:tcPr>
          <w:p w:rsidR="005C123B" w:rsidRPr="00454468" w:rsidRDefault="005C123B" w:rsidP="00C7276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GLC </w:t>
            </w:r>
            <w:proofErr w:type="spellStart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mmol</w:t>
            </w:r>
            <w:proofErr w:type="spellEnd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/l</w:t>
            </w:r>
          </w:p>
        </w:tc>
        <w:tc>
          <w:tcPr>
            <w:tcW w:w="401" w:type="pct"/>
          </w:tcPr>
          <w:p w:rsidR="005C123B" w:rsidRPr="00454468" w:rsidRDefault="005C123B" w:rsidP="00C72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5.1 ± 0.9</w:t>
            </w:r>
          </w:p>
        </w:tc>
        <w:tc>
          <w:tcPr>
            <w:tcW w:w="401" w:type="pct"/>
          </w:tcPr>
          <w:p w:rsidR="005C123B" w:rsidRPr="00454468" w:rsidRDefault="005C123B" w:rsidP="00C72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5.1 ± 0.9</w:t>
            </w:r>
          </w:p>
        </w:tc>
        <w:tc>
          <w:tcPr>
            <w:tcW w:w="401" w:type="pct"/>
          </w:tcPr>
          <w:p w:rsidR="005C123B" w:rsidRPr="00454468" w:rsidRDefault="005C123B" w:rsidP="00C72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4.9 ± 0.9</w:t>
            </w:r>
          </w:p>
        </w:tc>
        <w:tc>
          <w:tcPr>
            <w:tcW w:w="402" w:type="pct"/>
          </w:tcPr>
          <w:p w:rsidR="005C123B" w:rsidRPr="00454468" w:rsidRDefault="005C123B" w:rsidP="00C72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5.0 ± 0.9</w:t>
            </w:r>
          </w:p>
        </w:tc>
        <w:tc>
          <w:tcPr>
            <w:tcW w:w="402" w:type="pct"/>
          </w:tcPr>
          <w:p w:rsidR="005C123B" w:rsidRPr="00454468" w:rsidRDefault="005C123B" w:rsidP="00C72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4.9 ± 0.8</w:t>
            </w:r>
          </w:p>
        </w:tc>
        <w:tc>
          <w:tcPr>
            <w:tcW w:w="402" w:type="pct"/>
          </w:tcPr>
          <w:p w:rsidR="005C123B" w:rsidRPr="00454468" w:rsidRDefault="005C123B" w:rsidP="00C72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4.9 ± 0.8</w:t>
            </w:r>
          </w:p>
        </w:tc>
        <w:tc>
          <w:tcPr>
            <w:tcW w:w="402" w:type="pct"/>
          </w:tcPr>
          <w:p w:rsidR="005C123B" w:rsidRPr="00454468" w:rsidRDefault="005C123B" w:rsidP="00C72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4.9 ± 0.8</w:t>
            </w:r>
          </w:p>
        </w:tc>
        <w:tc>
          <w:tcPr>
            <w:tcW w:w="402" w:type="pct"/>
          </w:tcPr>
          <w:p w:rsidR="005C123B" w:rsidRPr="00454468" w:rsidRDefault="005C123B" w:rsidP="00C72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4.9 ± 0.8</w:t>
            </w:r>
          </w:p>
        </w:tc>
        <w:tc>
          <w:tcPr>
            <w:tcW w:w="402" w:type="pct"/>
          </w:tcPr>
          <w:p w:rsidR="005C123B" w:rsidRPr="00454468" w:rsidRDefault="005C123B" w:rsidP="00C72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4.8 ± 0.7</w:t>
            </w:r>
          </w:p>
        </w:tc>
        <w:tc>
          <w:tcPr>
            <w:tcW w:w="402" w:type="pct"/>
          </w:tcPr>
          <w:p w:rsidR="005C123B" w:rsidRPr="00454468" w:rsidRDefault="005C123B" w:rsidP="00C727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4.9 ± 0.7</w:t>
            </w:r>
          </w:p>
        </w:tc>
        <w:tc>
          <w:tcPr>
            <w:tcW w:w="400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8 ± 0.7 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5C123B" w:rsidRPr="00454468" w:rsidTr="00C72763">
        <w:trPr>
          <w:trHeight w:val="529"/>
        </w:trPr>
        <w:tc>
          <w:tcPr>
            <w:tcW w:w="583" w:type="pct"/>
          </w:tcPr>
          <w:p w:rsidR="005C123B" w:rsidRPr="00454468" w:rsidRDefault="005C123B" w:rsidP="00BD618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TG </w:t>
            </w:r>
            <w:proofErr w:type="spellStart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mmol</w:t>
            </w:r>
            <w:proofErr w:type="spellEnd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/l</w:t>
            </w:r>
          </w:p>
        </w:tc>
        <w:tc>
          <w:tcPr>
            <w:tcW w:w="401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01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01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00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 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5C123B" w:rsidRPr="00454468" w:rsidTr="00C72763">
        <w:trPr>
          <w:trHeight w:val="529"/>
        </w:trPr>
        <w:tc>
          <w:tcPr>
            <w:tcW w:w="583" w:type="pct"/>
          </w:tcPr>
          <w:p w:rsidR="005C123B" w:rsidRPr="00454468" w:rsidRDefault="005C123B" w:rsidP="00C7276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CHOL </w:t>
            </w:r>
            <w:proofErr w:type="spellStart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mmol</w:t>
            </w:r>
            <w:proofErr w:type="spellEnd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/l</w:t>
            </w:r>
          </w:p>
        </w:tc>
        <w:tc>
          <w:tcPr>
            <w:tcW w:w="401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01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01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00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0 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5C123B" w:rsidRPr="00454468" w:rsidTr="00C72763">
        <w:trPr>
          <w:trHeight w:val="529"/>
        </w:trPr>
        <w:tc>
          <w:tcPr>
            <w:tcW w:w="583" w:type="pct"/>
          </w:tcPr>
          <w:p w:rsidR="005C123B" w:rsidRPr="00454468" w:rsidRDefault="005C123B" w:rsidP="00C7276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HDL </w:t>
            </w:r>
            <w:proofErr w:type="spellStart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mmol</w:t>
            </w:r>
            <w:proofErr w:type="spellEnd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/l</w:t>
            </w:r>
          </w:p>
        </w:tc>
        <w:tc>
          <w:tcPr>
            <w:tcW w:w="401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01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01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400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4 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5C123B" w:rsidRPr="00454468" w:rsidTr="00C72763">
        <w:trPr>
          <w:trHeight w:val="529"/>
        </w:trPr>
        <w:tc>
          <w:tcPr>
            <w:tcW w:w="583" w:type="pct"/>
          </w:tcPr>
          <w:p w:rsidR="005C123B" w:rsidRPr="00454468" w:rsidRDefault="005C123B" w:rsidP="00C7276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LDL </w:t>
            </w:r>
            <w:proofErr w:type="spellStart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mmol</w:t>
            </w:r>
            <w:proofErr w:type="spellEnd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/l</w:t>
            </w:r>
          </w:p>
        </w:tc>
        <w:tc>
          <w:tcPr>
            <w:tcW w:w="401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01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01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9 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02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400" w:type="pct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9 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</w:tbl>
    <w:p w:rsidR="005C123B" w:rsidRPr="00454468" w:rsidRDefault="001979F9" w:rsidP="005C123B">
      <w:pPr>
        <w:spacing w:line="360" w:lineRule="auto"/>
        <w:jc w:val="both"/>
        <w:rPr>
          <w:sz w:val="20"/>
          <w:lang w:val="en-US"/>
        </w:rPr>
      </w:pPr>
      <w:r w:rsidRPr="00454468">
        <w:rPr>
          <w:sz w:val="20"/>
          <w:szCs w:val="20"/>
          <w:lang w:val="en-US"/>
        </w:rPr>
        <w:t xml:space="preserve">GLC – glycaemia; TG – triglycerides; CHOL – total cholesterol, HDL – HDL cholesterol, LDL – LDL cholesterol, </w:t>
      </w:r>
      <w:r w:rsidRPr="00454468">
        <w:rPr>
          <w:rFonts w:ascii="Times New Roman" w:hAnsi="Times New Roman" w:cs="Times New Roman"/>
          <w:sz w:val="20"/>
          <w:szCs w:val="20"/>
          <w:lang w:val="en-US"/>
        </w:rPr>
        <w:t>Statistical significance between the years 1999 and 2009</w:t>
      </w:r>
      <w:r w:rsidRPr="00454468">
        <w:rPr>
          <w:rFonts w:ascii="Times New Roman" w:hAnsi="Times New Roman" w:cs="Times New Roman"/>
          <w:sz w:val="20"/>
          <w:lang w:val="en-US"/>
        </w:rPr>
        <w:t xml:space="preserve"> at the significance level - * p&lt;0.05, ** p&lt;0.01, *** p&lt;0.001</w:t>
      </w:r>
    </w:p>
    <w:p w:rsidR="008C4B53" w:rsidRPr="00454468" w:rsidRDefault="008C4B53" w:rsidP="005C123B">
      <w:pPr>
        <w:pStyle w:val="Titulek"/>
        <w:keepNext/>
        <w:spacing w:line="360" w:lineRule="auto"/>
        <w:rPr>
          <w:color w:val="auto"/>
          <w:lang w:val="en-US"/>
        </w:rPr>
      </w:pPr>
    </w:p>
    <w:p w:rsidR="008C4B53" w:rsidRPr="00454468" w:rsidRDefault="008C4B53" w:rsidP="005C123B">
      <w:pPr>
        <w:pStyle w:val="Titulek"/>
        <w:keepNext/>
        <w:spacing w:line="360" w:lineRule="auto"/>
        <w:rPr>
          <w:color w:val="auto"/>
          <w:lang w:val="en-US"/>
        </w:rPr>
      </w:pPr>
    </w:p>
    <w:p w:rsidR="008C4B53" w:rsidRPr="00454468" w:rsidRDefault="008C4B53" w:rsidP="005C123B">
      <w:pPr>
        <w:pStyle w:val="Titulek"/>
        <w:keepNext/>
        <w:spacing w:line="360" w:lineRule="auto"/>
        <w:rPr>
          <w:color w:val="auto"/>
          <w:lang w:val="en-US"/>
        </w:rPr>
      </w:pPr>
    </w:p>
    <w:p w:rsidR="008C4B53" w:rsidRPr="00454468" w:rsidRDefault="008C4B53" w:rsidP="005C123B">
      <w:pPr>
        <w:pStyle w:val="Titulek"/>
        <w:keepNext/>
        <w:spacing w:line="360" w:lineRule="auto"/>
        <w:rPr>
          <w:color w:val="auto"/>
          <w:lang w:val="en-US"/>
        </w:rPr>
      </w:pPr>
    </w:p>
    <w:p w:rsidR="008C4B53" w:rsidRPr="00454468" w:rsidRDefault="008C4B53" w:rsidP="005C123B">
      <w:pPr>
        <w:pStyle w:val="Titulek"/>
        <w:keepNext/>
        <w:spacing w:line="360" w:lineRule="auto"/>
        <w:rPr>
          <w:color w:val="auto"/>
          <w:lang w:val="en-US"/>
        </w:rPr>
      </w:pPr>
    </w:p>
    <w:p w:rsidR="008C4B53" w:rsidRPr="00454468" w:rsidRDefault="008C4B53" w:rsidP="005C123B">
      <w:pPr>
        <w:pStyle w:val="Titulek"/>
        <w:keepNext/>
        <w:spacing w:line="360" w:lineRule="auto"/>
        <w:rPr>
          <w:color w:val="auto"/>
          <w:lang w:val="en-US"/>
        </w:rPr>
      </w:pPr>
    </w:p>
    <w:p w:rsidR="008C4B53" w:rsidRPr="00454468" w:rsidRDefault="008C4B53" w:rsidP="008C4B53">
      <w:pPr>
        <w:rPr>
          <w:lang w:val="en-US"/>
        </w:rPr>
      </w:pPr>
    </w:p>
    <w:p w:rsidR="005C123B" w:rsidRPr="00454468" w:rsidRDefault="005C123B" w:rsidP="005C123B">
      <w:pPr>
        <w:pStyle w:val="Titulek"/>
        <w:keepNext/>
        <w:spacing w:line="360" w:lineRule="auto"/>
        <w:rPr>
          <w:color w:val="auto"/>
          <w:lang w:val="en-US"/>
        </w:rPr>
      </w:pPr>
      <w:r w:rsidRPr="00454468">
        <w:rPr>
          <w:color w:val="auto"/>
          <w:lang w:val="en-US"/>
        </w:rPr>
        <w:lastRenderedPageBreak/>
        <w:t xml:space="preserve">Table </w:t>
      </w:r>
      <w:r w:rsidR="00B96B08" w:rsidRPr="00454468">
        <w:rPr>
          <w:color w:val="auto"/>
          <w:lang w:val="en-US"/>
        </w:rPr>
        <w:fldChar w:fldCharType="begin"/>
      </w:r>
      <w:r w:rsidRPr="00454468">
        <w:rPr>
          <w:color w:val="auto"/>
          <w:lang w:val="en-US"/>
        </w:rPr>
        <w:instrText xml:space="preserve"> SEQ Tabulka \* ARABIC </w:instrText>
      </w:r>
      <w:r w:rsidR="00B96B08" w:rsidRPr="00454468">
        <w:rPr>
          <w:color w:val="auto"/>
          <w:lang w:val="en-US"/>
        </w:rPr>
        <w:fldChar w:fldCharType="separate"/>
      </w:r>
      <w:r w:rsidR="006074B1" w:rsidRPr="00454468">
        <w:rPr>
          <w:noProof/>
          <w:color w:val="auto"/>
          <w:lang w:val="en-US"/>
        </w:rPr>
        <w:t>2</w:t>
      </w:r>
      <w:r w:rsidR="00B96B08" w:rsidRPr="00454468">
        <w:rPr>
          <w:color w:val="auto"/>
          <w:lang w:val="en-US"/>
        </w:rPr>
        <w:fldChar w:fldCharType="end"/>
      </w:r>
      <w:r w:rsidRPr="00454468">
        <w:rPr>
          <w:color w:val="auto"/>
          <w:lang w:val="en-US"/>
        </w:rPr>
        <w:t xml:space="preserve"> – Average values of </w:t>
      </w:r>
      <w:r w:rsidR="00C72763" w:rsidRPr="00454468">
        <w:rPr>
          <w:color w:val="auto"/>
          <w:lang w:val="en-US"/>
        </w:rPr>
        <w:t>biochemical</w:t>
      </w:r>
      <w:r w:rsidR="0006736E" w:rsidRPr="00454468">
        <w:rPr>
          <w:color w:val="auto"/>
          <w:lang w:val="en-US"/>
        </w:rPr>
        <w:t xml:space="preserve"> </w:t>
      </w:r>
      <w:r w:rsidRPr="00454468">
        <w:rPr>
          <w:color w:val="auto"/>
          <w:lang w:val="en-US"/>
        </w:rPr>
        <w:t>parameters in women within 11 years</w:t>
      </w:r>
    </w:p>
    <w:tbl>
      <w:tblPr>
        <w:tblStyle w:val="Mkatabulky"/>
        <w:tblW w:w="0" w:type="auto"/>
        <w:tblLook w:val="0620" w:firstRow="1" w:lastRow="0" w:firstColumn="0" w:lastColumn="0" w:noHBand="1" w:noVBand="1"/>
      </w:tblPr>
      <w:tblGrid>
        <w:gridCol w:w="1758"/>
        <w:gridCol w:w="1131"/>
        <w:gridCol w:w="1133"/>
        <w:gridCol w:w="1133"/>
        <w:gridCol w:w="1133"/>
        <w:gridCol w:w="1133"/>
        <w:gridCol w:w="1132"/>
        <w:gridCol w:w="1133"/>
        <w:gridCol w:w="1133"/>
        <w:gridCol w:w="1133"/>
        <w:gridCol w:w="1133"/>
        <w:gridCol w:w="1133"/>
      </w:tblGrid>
      <w:tr w:rsidR="005C123B" w:rsidRPr="00454468" w:rsidTr="00C72763">
        <w:trPr>
          <w:trHeight w:val="431"/>
        </w:trPr>
        <w:tc>
          <w:tcPr>
            <w:tcW w:w="1758" w:type="dxa"/>
            <w:vAlign w:val="center"/>
          </w:tcPr>
          <w:p w:rsidR="005C123B" w:rsidRPr="00454468" w:rsidRDefault="005C123B" w:rsidP="00C7276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vAlign w:val="center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1999 (n=330)</w:t>
            </w:r>
          </w:p>
        </w:tc>
        <w:tc>
          <w:tcPr>
            <w:tcW w:w="1133" w:type="dxa"/>
            <w:vAlign w:val="center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2000 (n=371)</w:t>
            </w:r>
          </w:p>
        </w:tc>
        <w:tc>
          <w:tcPr>
            <w:tcW w:w="1133" w:type="dxa"/>
            <w:vAlign w:val="center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2001 (n=431)</w:t>
            </w:r>
          </w:p>
        </w:tc>
        <w:tc>
          <w:tcPr>
            <w:tcW w:w="1133" w:type="dxa"/>
            <w:vAlign w:val="center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2002 (n=359)</w:t>
            </w:r>
          </w:p>
        </w:tc>
        <w:tc>
          <w:tcPr>
            <w:tcW w:w="1133" w:type="dxa"/>
            <w:vAlign w:val="center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2003 (n=524)</w:t>
            </w:r>
          </w:p>
        </w:tc>
        <w:tc>
          <w:tcPr>
            <w:tcW w:w="1132" w:type="dxa"/>
            <w:vAlign w:val="center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2004 (n=443)</w:t>
            </w:r>
          </w:p>
        </w:tc>
        <w:tc>
          <w:tcPr>
            <w:tcW w:w="1133" w:type="dxa"/>
            <w:vAlign w:val="center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2005 (n=540)</w:t>
            </w:r>
          </w:p>
        </w:tc>
        <w:tc>
          <w:tcPr>
            <w:tcW w:w="1133" w:type="dxa"/>
            <w:vAlign w:val="center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2006 (n=606)</w:t>
            </w:r>
          </w:p>
        </w:tc>
        <w:tc>
          <w:tcPr>
            <w:tcW w:w="1133" w:type="dxa"/>
            <w:vAlign w:val="center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 (n=671)</w:t>
            </w:r>
          </w:p>
        </w:tc>
        <w:tc>
          <w:tcPr>
            <w:tcW w:w="1133" w:type="dxa"/>
            <w:vAlign w:val="center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 (n=857)</w:t>
            </w:r>
          </w:p>
        </w:tc>
        <w:tc>
          <w:tcPr>
            <w:tcW w:w="1133" w:type="dxa"/>
            <w:vAlign w:val="center"/>
          </w:tcPr>
          <w:p w:rsidR="005C123B" w:rsidRPr="00454468" w:rsidRDefault="005C123B" w:rsidP="00C7276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2009 (n=975)</w:t>
            </w:r>
          </w:p>
        </w:tc>
      </w:tr>
      <w:tr w:rsidR="005C123B" w:rsidRPr="00454468" w:rsidTr="00C72763">
        <w:trPr>
          <w:trHeight w:val="529"/>
        </w:trPr>
        <w:tc>
          <w:tcPr>
            <w:tcW w:w="1758" w:type="dxa"/>
          </w:tcPr>
          <w:p w:rsidR="005C123B" w:rsidRPr="00454468" w:rsidRDefault="005C123B" w:rsidP="00C7276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GLC </w:t>
            </w:r>
            <w:proofErr w:type="spellStart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mmol</w:t>
            </w:r>
            <w:proofErr w:type="spellEnd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/l</w:t>
            </w:r>
          </w:p>
        </w:tc>
        <w:tc>
          <w:tcPr>
            <w:tcW w:w="1131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 ± 0,6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4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2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6 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***</w:t>
            </w:r>
          </w:p>
        </w:tc>
      </w:tr>
      <w:tr w:rsidR="005C123B" w:rsidRPr="00454468" w:rsidTr="00C72763">
        <w:trPr>
          <w:trHeight w:val="529"/>
        </w:trPr>
        <w:tc>
          <w:tcPr>
            <w:tcW w:w="1758" w:type="dxa"/>
          </w:tcPr>
          <w:p w:rsidR="005C123B" w:rsidRPr="00454468" w:rsidRDefault="005C123B" w:rsidP="00BD618F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TG </w:t>
            </w:r>
            <w:proofErr w:type="spellStart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mmol</w:t>
            </w:r>
            <w:proofErr w:type="spellEnd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/l</w:t>
            </w:r>
          </w:p>
        </w:tc>
        <w:tc>
          <w:tcPr>
            <w:tcW w:w="1131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 ± 0,8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132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5C123B" w:rsidRPr="00454468" w:rsidTr="00C72763">
        <w:trPr>
          <w:trHeight w:val="529"/>
        </w:trPr>
        <w:tc>
          <w:tcPr>
            <w:tcW w:w="1758" w:type="dxa"/>
          </w:tcPr>
          <w:p w:rsidR="005C123B" w:rsidRPr="00454468" w:rsidRDefault="005C123B" w:rsidP="00C7276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CHOL </w:t>
            </w:r>
            <w:proofErr w:type="spellStart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mmol</w:t>
            </w:r>
            <w:proofErr w:type="spellEnd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/l</w:t>
            </w:r>
          </w:p>
        </w:tc>
        <w:tc>
          <w:tcPr>
            <w:tcW w:w="1131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132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9 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5C123B" w:rsidRPr="00454468" w:rsidTr="00C72763">
        <w:trPr>
          <w:trHeight w:val="529"/>
        </w:trPr>
        <w:tc>
          <w:tcPr>
            <w:tcW w:w="1758" w:type="dxa"/>
          </w:tcPr>
          <w:p w:rsidR="005C123B" w:rsidRPr="00454468" w:rsidRDefault="005C123B" w:rsidP="00C7276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HDL </w:t>
            </w:r>
            <w:proofErr w:type="spellStart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mmol</w:t>
            </w:r>
            <w:proofErr w:type="spellEnd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/l</w:t>
            </w:r>
          </w:p>
        </w:tc>
        <w:tc>
          <w:tcPr>
            <w:tcW w:w="1131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2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4 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br/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**</w:t>
            </w:r>
          </w:p>
        </w:tc>
      </w:tr>
      <w:tr w:rsidR="005C123B" w:rsidRPr="00454468" w:rsidTr="00C72763">
        <w:trPr>
          <w:trHeight w:val="529"/>
        </w:trPr>
        <w:tc>
          <w:tcPr>
            <w:tcW w:w="1758" w:type="dxa"/>
          </w:tcPr>
          <w:p w:rsidR="005C123B" w:rsidRPr="00454468" w:rsidRDefault="005C123B" w:rsidP="00C7276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LDL </w:t>
            </w:r>
            <w:proofErr w:type="spellStart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mmol</w:t>
            </w:r>
            <w:proofErr w:type="spellEnd"/>
            <w:r w:rsidRPr="004544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/l</w:t>
            </w:r>
          </w:p>
        </w:tc>
        <w:tc>
          <w:tcPr>
            <w:tcW w:w="1131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 ± 1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132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9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133" w:type="dxa"/>
          </w:tcPr>
          <w:p w:rsidR="005C123B" w:rsidRPr="00454468" w:rsidRDefault="005C123B" w:rsidP="00BD61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0 ± 0</w:t>
            </w:r>
            <w:r w:rsidR="00BD618F"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45446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8 </w:t>
            </w:r>
          </w:p>
        </w:tc>
      </w:tr>
    </w:tbl>
    <w:p w:rsidR="005C123B" w:rsidRPr="00454468" w:rsidRDefault="00BD618F" w:rsidP="005C123B">
      <w:pPr>
        <w:spacing w:line="36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454468">
        <w:rPr>
          <w:sz w:val="20"/>
          <w:szCs w:val="20"/>
          <w:lang w:val="en-US"/>
        </w:rPr>
        <w:t xml:space="preserve">GLC – </w:t>
      </w:r>
      <w:r w:rsidR="001979F9" w:rsidRPr="00454468">
        <w:rPr>
          <w:sz w:val="20"/>
          <w:szCs w:val="20"/>
          <w:lang w:val="en-US"/>
        </w:rPr>
        <w:t>glycaemia</w:t>
      </w:r>
      <w:r w:rsidRPr="00454468">
        <w:rPr>
          <w:sz w:val="20"/>
          <w:szCs w:val="20"/>
          <w:lang w:val="en-US"/>
        </w:rPr>
        <w:t xml:space="preserve">; TG – triglycerides; </w:t>
      </w:r>
      <w:r w:rsidR="001979F9" w:rsidRPr="00454468">
        <w:rPr>
          <w:sz w:val="20"/>
          <w:szCs w:val="20"/>
          <w:lang w:val="en-US"/>
        </w:rPr>
        <w:t xml:space="preserve">CHOL – total cholesterol, HDL – HDL cholesterol, LDL – LDL cholesterol, </w:t>
      </w:r>
      <w:r w:rsidR="005C123B" w:rsidRPr="00454468">
        <w:rPr>
          <w:rFonts w:ascii="Times New Roman" w:hAnsi="Times New Roman" w:cs="Times New Roman"/>
          <w:sz w:val="20"/>
          <w:szCs w:val="20"/>
          <w:lang w:val="en-US"/>
        </w:rPr>
        <w:t>Statistical significance between the years 1999 and 2009</w:t>
      </w:r>
      <w:r w:rsidR="005C123B" w:rsidRPr="00454468">
        <w:rPr>
          <w:rFonts w:ascii="Times New Roman" w:hAnsi="Times New Roman" w:cs="Times New Roman"/>
          <w:sz w:val="20"/>
          <w:lang w:val="en-US"/>
        </w:rPr>
        <w:t xml:space="preserve"> at the significance level - * p&lt;0.05, ** p&lt;0.01, *** p&lt;0.001</w:t>
      </w:r>
    </w:p>
    <w:p w:rsidR="005C123B" w:rsidRPr="00454468" w:rsidRDefault="005C123B" w:rsidP="005C123B">
      <w:pPr>
        <w:pStyle w:val="Titulek"/>
        <w:keepNext/>
        <w:jc w:val="both"/>
        <w:rPr>
          <w:color w:val="auto"/>
          <w:lang w:val="en-US"/>
        </w:rPr>
        <w:sectPr w:rsidR="005C123B" w:rsidRPr="00454468" w:rsidSect="00C7276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F71F1" w:rsidRPr="00454468" w:rsidRDefault="000F71F1" w:rsidP="000F71F1">
      <w:pPr>
        <w:pStyle w:val="Titulek"/>
        <w:keepNext/>
        <w:rPr>
          <w:lang w:val="en-US"/>
        </w:rPr>
      </w:pPr>
      <w:r w:rsidRPr="00454468">
        <w:rPr>
          <w:color w:val="auto"/>
          <w:lang w:val="en-US"/>
        </w:rPr>
        <w:lastRenderedPageBreak/>
        <w:t>Graph</w:t>
      </w:r>
      <w:r w:rsidR="0006736E" w:rsidRPr="00454468">
        <w:rPr>
          <w:color w:val="auto"/>
          <w:lang w:val="en-US"/>
        </w:rPr>
        <w:t xml:space="preserve"> </w:t>
      </w:r>
      <w:r w:rsidR="00B96B08" w:rsidRPr="00454468">
        <w:rPr>
          <w:color w:val="auto"/>
          <w:lang w:val="en-US"/>
        </w:rPr>
        <w:fldChar w:fldCharType="begin"/>
      </w:r>
      <w:r w:rsidRPr="00454468">
        <w:rPr>
          <w:color w:val="auto"/>
          <w:lang w:val="en-US"/>
        </w:rPr>
        <w:instrText xml:space="preserve"> SEQ Obrázek \* ARABIC </w:instrText>
      </w:r>
      <w:r w:rsidR="00B96B08" w:rsidRPr="00454468">
        <w:rPr>
          <w:color w:val="auto"/>
          <w:lang w:val="en-US"/>
        </w:rPr>
        <w:fldChar w:fldCharType="separate"/>
      </w:r>
      <w:r w:rsidR="006074B1" w:rsidRPr="00454468">
        <w:rPr>
          <w:noProof/>
          <w:color w:val="auto"/>
          <w:lang w:val="en-US"/>
        </w:rPr>
        <w:t>7</w:t>
      </w:r>
      <w:r w:rsidR="00B96B08" w:rsidRPr="00454468">
        <w:rPr>
          <w:color w:val="auto"/>
          <w:lang w:val="en-US"/>
        </w:rPr>
        <w:fldChar w:fldCharType="end"/>
      </w:r>
      <w:r w:rsidRPr="00454468">
        <w:rPr>
          <w:color w:val="auto"/>
          <w:lang w:val="en-US"/>
        </w:rPr>
        <w:t xml:space="preserve"> </w:t>
      </w:r>
      <w:r w:rsidR="0006736E" w:rsidRPr="00454468">
        <w:rPr>
          <w:color w:val="auto"/>
          <w:lang w:val="en-US"/>
        </w:rPr>
        <w:t>–</w:t>
      </w:r>
      <w:r w:rsidRPr="00454468">
        <w:rPr>
          <w:color w:val="auto"/>
          <w:lang w:val="en-US"/>
        </w:rPr>
        <w:t xml:space="preserve"> Number</w:t>
      </w:r>
      <w:r w:rsidR="0006736E" w:rsidRPr="00454468">
        <w:rPr>
          <w:color w:val="auto"/>
          <w:lang w:val="en-US"/>
        </w:rPr>
        <w:t xml:space="preserve"> </w:t>
      </w:r>
      <w:r w:rsidRPr="00454468">
        <w:rPr>
          <w:color w:val="auto"/>
          <w:lang w:val="en-US"/>
        </w:rPr>
        <w:t>of</w:t>
      </w:r>
      <w:r w:rsidR="0006736E" w:rsidRPr="00454468">
        <w:rPr>
          <w:color w:val="auto"/>
          <w:lang w:val="en-US"/>
        </w:rPr>
        <w:t xml:space="preserve"> </w:t>
      </w:r>
      <w:r w:rsidRPr="00454468">
        <w:rPr>
          <w:color w:val="auto"/>
          <w:lang w:val="en-US"/>
        </w:rPr>
        <w:t>men</w:t>
      </w:r>
      <w:r w:rsidR="0006736E" w:rsidRPr="00454468">
        <w:rPr>
          <w:color w:val="auto"/>
          <w:lang w:val="en-US"/>
        </w:rPr>
        <w:t xml:space="preserve"> </w:t>
      </w:r>
      <w:r w:rsidRPr="00454468">
        <w:rPr>
          <w:color w:val="auto"/>
          <w:lang w:val="en-US"/>
        </w:rPr>
        <w:t>with</w:t>
      </w:r>
      <w:r w:rsidR="0006736E" w:rsidRPr="00454468">
        <w:rPr>
          <w:color w:val="auto"/>
          <w:lang w:val="en-US"/>
        </w:rPr>
        <w:t xml:space="preserve"> </w:t>
      </w:r>
      <w:r w:rsidRPr="00454468">
        <w:rPr>
          <w:color w:val="auto"/>
          <w:lang w:val="en-US"/>
        </w:rPr>
        <w:t>normal</w:t>
      </w:r>
      <w:r w:rsidR="0006736E" w:rsidRPr="00454468">
        <w:rPr>
          <w:color w:val="auto"/>
          <w:lang w:val="en-US"/>
        </w:rPr>
        <w:t xml:space="preserve"> </w:t>
      </w:r>
      <w:r w:rsidRPr="00454468">
        <w:rPr>
          <w:color w:val="auto"/>
          <w:lang w:val="en-US"/>
        </w:rPr>
        <w:t>values</w:t>
      </w:r>
      <w:r w:rsidR="0006736E" w:rsidRPr="00454468">
        <w:rPr>
          <w:color w:val="auto"/>
          <w:lang w:val="en-US"/>
        </w:rPr>
        <w:t xml:space="preserve"> </w:t>
      </w:r>
      <w:r w:rsidRPr="00454468">
        <w:rPr>
          <w:color w:val="auto"/>
          <w:lang w:val="en-US"/>
        </w:rPr>
        <w:t>of</w:t>
      </w:r>
      <w:r w:rsidR="0006736E" w:rsidRPr="00454468">
        <w:rPr>
          <w:color w:val="auto"/>
          <w:lang w:val="en-US"/>
        </w:rPr>
        <w:t xml:space="preserve"> </w:t>
      </w:r>
      <w:r w:rsidRPr="00454468">
        <w:rPr>
          <w:color w:val="auto"/>
          <w:lang w:val="en-US"/>
        </w:rPr>
        <w:t>glucose, cholesterol and triglycerides</w:t>
      </w:r>
    </w:p>
    <w:p w:rsidR="00F46F30" w:rsidRPr="00454468" w:rsidRDefault="00F46F30" w:rsidP="00F46F30">
      <w:pPr>
        <w:rPr>
          <w:lang w:val="en-US"/>
        </w:rPr>
      </w:pPr>
      <w:r w:rsidRPr="00454468">
        <w:rPr>
          <w:noProof/>
          <w:lang w:val="en-US" w:eastAsia="cs-CZ"/>
        </w:rPr>
        <w:drawing>
          <wp:inline distT="0" distB="0" distL="0" distR="0" wp14:anchorId="33E9A1C2" wp14:editId="24EF4DAB">
            <wp:extent cx="5400000" cy="3600000"/>
            <wp:effectExtent l="0" t="0" r="10795" b="19685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87E1F" w:rsidRPr="00454468" w:rsidRDefault="00D87E1F" w:rsidP="00D87E1F">
      <w:pPr>
        <w:rPr>
          <w:sz w:val="20"/>
          <w:lang w:val="en-US"/>
        </w:rPr>
      </w:pPr>
      <w:r w:rsidRPr="00454468">
        <w:rPr>
          <w:rFonts w:ascii="Times New Roman" w:hAnsi="Times New Roman" w:cs="Times New Roman"/>
          <w:sz w:val="18"/>
          <w:szCs w:val="20"/>
          <w:lang w:val="en-US"/>
        </w:rPr>
        <w:t>Statistical significance between the years 1999 and 2009</w:t>
      </w:r>
      <w:r w:rsidRPr="00454468">
        <w:rPr>
          <w:rFonts w:ascii="Times New Roman" w:hAnsi="Times New Roman" w:cs="Times New Roman"/>
          <w:sz w:val="18"/>
          <w:lang w:val="en-US"/>
        </w:rPr>
        <w:t xml:space="preserve"> at the significance level - * p&lt;0.05, ** p&lt;0.01, *** p&lt;0.001</w:t>
      </w:r>
    </w:p>
    <w:sectPr w:rsidR="00D87E1F" w:rsidRPr="00454468" w:rsidSect="00AD6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E399D"/>
    <w:multiLevelType w:val="multilevel"/>
    <w:tmpl w:val="963A927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sz w:val="26"/>
        <w:szCs w:val="26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42FA2622"/>
    <w:multiLevelType w:val="hybridMultilevel"/>
    <w:tmpl w:val="57409620"/>
    <w:lvl w:ilvl="0" w:tplc="4EAA221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759F"/>
    <w:rsid w:val="000113EA"/>
    <w:rsid w:val="00017778"/>
    <w:rsid w:val="00036DE0"/>
    <w:rsid w:val="00041870"/>
    <w:rsid w:val="00043A81"/>
    <w:rsid w:val="00043DAE"/>
    <w:rsid w:val="00047015"/>
    <w:rsid w:val="000528EE"/>
    <w:rsid w:val="0006736E"/>
    <w:rsid w:val="0007520E"/>
    <w:rsid w:val="00081242"/>
    <w:rsid w:val="000A0F46"/>
    <w:rsid w:val="000A2811"/>
    <w:rsid w:val="000B73D7"/>
    <w:rsid w:val="000D4FA8"/>
    <w:rsid w:val="000D6B7F"/>
    <w:rsid w:val="000E5149"/>
    <w:rsid w:val="000F509E"/>
    <w:rsid w:val="000F71F1"/>
    <w:rsid w:val="000F7558"/>
    <w:rsid w:val="001056FB"/>
    <w:rsid w:val="0011362E"/>
    <w:rsid w:val="00120AA4"/>
    <w:rsid w:val="001254C7"/>
    <w:rsid w:val="001314F6"/>
    <w:rsid w:val="00135C75"/>
    <w:rsid w:val="0014152F"/>
    <w:rsid w:val="00145EC6"/>
    <w:rsid w:val="00146C67"/>
    <w:rsid w:val="00162A93"/>
    <w:rsid w:val="001636E2"/>
    <w:rsid w:val="00170638"/>
    <w:rsid w:val="00175E68"/>
    <w:rsid w:val="00193D78"/>
    <w:rsid w:val="00194564"/>
    <w:rsid w:val="001960A2"/>
    <w:rsid w:val="00197642"/>
    <w:rsid w:val="001979F9"/>
    <w:rsid w:val="001B15B5"/>
    <w:rsid w:val="001C1E7B"/>
    <w:rsid w:val="001C3BE7"/>
    <w:rsid w:val="001C6D4C"/>
    <w:rsid w:val="001F027E"/>
    <w:rsid w:val="001F376A"/>
    <w:rsid w:val="0020538C"/>
    <w:rsid w:val="00213AF4"/>
    <w:rsid w:val="00220223"/>
    <w:rsid w:val="002277DC"/>
    <w:rsid w:val="00243088"/>
    <w:rsid w:val="002453C0"/>
    <w:rsid w:val="0026510F"/>
    <w:rsid w:val="00272A20"/>
    <w:rsid w:val="00287EA6"/>
    <w:rsid w:val="00295D12"/>
    <w:rsid w:val="002A0DC0"/>
    <w:rsid w:val="002C237A"/>
    <w:rsid w:val="002D5A93"/>
    <w:rsid w:val="002F0FA4"/>
    <w:rsid w:val="00303529"/>
    <w:rsid w:val="00304198"/>
    <w:rsid w:val="0030680A"/>
    <w:rsid w:val="00322DDD"/>
    <w:rsid w:val="0032634D"/>
    <w:rsid w:val="00333E8C"/>
    <w:rsid w:val="003425BD"/>
    <w:rsid w:val="00345EC2"/>
    <w:rsid w:val="00376DE3"/>
    <w:rsid w:val="00383A2E"/>
    <w:rsid w:val="003871BC"/>
    <w:rsid w:val="00392F30"/>
    <w:rsid w:val="003A432B"/>
    <w:rsid w:val="003A4D6A"/>
    <w:rsid w:val="003E19D9"/>
    <w:rsid w:val="003E3BBB"/>
    <w:rsid w:val="003F594B"/>
    <w:rsid w:val="00413675"/>
    <w:rsid w:val="00423254"/>
    <w:rsid w:val="004243FA"/>
    <w:rsid w:val="00427E66"/>
    <w:rsid w:val="00444B54"/>
    <w:rsid w:val="004473D9"/>
    <w:rsid w:val="00450733"/>
    <w:rsid w:val="00452023"/>
    <w:rsid w:val="00454468"/>
    <w:rsid w:val="00456663"/>
    <w:rsid w:val="00472B77"/>
    <w:rsid w:val="0047661C"/>
    <w:rsid w:val="00495140"/>
    <w:rsid w:val="004B02A8"/>
    <w:rsid w:val="004C4936"/>
    <w:rsid w:val="004C5462"/>
    <w:rsid w:val="004C75FC"/>
    <w:rsid w:val="004C7FE1"/>
    <w:rsid w:val="004E4AC2"/>
    <w:rsid w:val="004F61EB"/>
    <w:rsid w:val="004F736D"/>
    <w:rsid w:val="0050194C"/>
    <w:rsid w:val="00503157"/>
    <w:rsid w:val="00504130"/>
    <w:rsid w:val="005206D7"/>
    <w:rsid w:val="00530DB2"/>
    <w:rsid w:val="00531133"/>
    <w:rsid w:val="00531DB9"/>
    <w:rsid w:val="005528BE"/>
    <w:rsid w:val="00572283"/>
    <w:rsid w:val="00574A1C"/>
    <w:rsid w:val="00590FAD"/>
    <w:rsid w:val="00593FDE"/>
    <w:rsid w:val="005B0254"/>
    <w:rsid w:val="005B0E6E"/>
    <w:rsid w:val="005B2CCD"/>
    <w:rsid w:val="005B5817"/>
    <w:rsid w:val="005C123B"/>
    <w:rsid w:val="005C5E8E"/>
    <w:rsid w:val="005D0D69"/>
    <w:rsid w:val="005D7792"/>
    <w:rsid w:val="005D77E2"/>
    <w:rsid w:val="005F567F"/>
    <w:rsid w:val="006074B1"/>
    <w:rsid w:val="006141CE"/>
    <w:rsid w:val="00622FF1"/>
    <w:rsid w:val="00624492"/>
    <w:rsid w:val="00627388"/>
    <w:rsid w:val="00632923"/>
    <w:rsid w:val="00645404"/>
    <w:rsid w:val="00646333"/>
    <w:rsid w:val="00670D4C"/>
    <w:rsid w:val="006A138F"/>
    <w:rsid w:val="006B03B3"/>
    <w:rsid w:val="006B36F8"/>
    <w:rsid w:val="006B3B2B"/>
    <w:rsid w:val="006D279C"/>
    <w:rsid w:val="00705EF4"/>
    <w:rsid w:val="00711781"/>
    <w:rsid w:val="00717D1C"/>
    <w:rsid w:val="0072289E"/>
    <w:rsid w:val="0073667B"/>
    <w:rsid w:val="00740D71"/>
    <w:rsid w:val="0074770F"/>
    <w:rsid w:val="00751EF1"/>
    <w:rsid w:val="00757234"/>
    <w:rsid w:val="00761AB0"/>
    <w:rsid w:val="00762502"/>
    <w:rsid w:val="00771BBB"/>
    <w:rsid w:val="00775903"/>
    <w:rsid w:val="00777C61"/>
    <w:rsid w:val="0078354E"/>
    <w:rsid w:val="00796336"/>
    <w:rsid w:val="007B1E45"/>
    <w:rsid w:val="007C4B8C"/>
    <w:rsid w:val="007E1087"/>
    <w:rsid w:val="007E4E1C"/>
    <w:rsid w:val="007F18A8"/>
    <w:rsid w:val="007F7440"/>
    <w:rsid w:val="007F793E"/>
    <w:rsid w:val="00811018"/>
    <w:rsid w:val="008112DB"/>
    <w:rsid w:val="00815093"/>
    <w:rsid w:val="00823183"/>
    <w:rsid w:val="008278CF"/>
    <w:rsid w:val="00833424"/>
    <w:rsid w:val="008409C4"/>
    <w:rsid w:val="008613B0"/>
    <w:rsid w:val="00865A16"/>
    <w:rsid w:val="0088759F"/>
    <w:rsid w:val="008951FC"/>
    <w:rsid w:val="00895465"/>
    <w:rsid w:val="008A4582"/>
    <w:rsid w:val="008A7A0C"/>
    <w:rsid w:val="008C4B53"/>
    <w:rsid w:val="008E19B8"/>
    <w:rsid w:val="008E48A8"/>
    <w:rsid w:val="008F7416"/>
    <w:rsid w:val="00900EB2"/>
    <w:rsid w:val="00901ED6"/>
    <w:rsid w:val="00934C34"/>
    <w:rsid w:val="00954F2A"/>
    <w:rsid w:val="00957C5D"/>
    <w:rsid w:val="009619FA"/>
    <w:rsid w:val="00970114"/>
    <w:rsid w:val="0097080F"/>
    <w:rsid w:val="00971A75"/>
    <w:rsid w:val="00990081"/>
    <w:rsid w:val="00993BC6"/>
    <w:rsid w:val="009A0300"/>
    <w:rsid w:val="009B4155"/>
    <w:rsid w:val="009C0CAA"/>
    <w:rsid w:val="009C7259"/>
    <w:rsid w:val="009D08DA"/>
    <w:rsid w:val="009D7EB9"/>
    <w:rsid w:val="009E4FBB"/>
    <w:rsid w:val="009E55C7"/>
    <w:rsid w:val="009F6521"/>
    <w:rsid w:val="00A04456"/>
    <w:rsid w:val="00A13445"/>
    <w:rsid w:val="00A1413D"/>
    <w:rsid w:val="00A165C5"/>
    <w:rsid w:val="00A50A20"/>
    <w:rsid w:val="00A62852"/>
    <w:rsid w:val="00A6432D"/>
    <w:rsid w:val="00A81453"/>
    <w:rsid w:val="00A82F9B"/>
    <w:rsid w:val="00A8502B"/>
    <w:rsid w:val="00A904A1"/>
    <w:rsid w:val="00A94BE2"/>
    <w:rsid w:val="00A971BE"/>
    <w:rsid w:val="00AA11F1"/>
    <w:rsid w:val="00AA1FE5"/>
    <w:rsid w:val="00AB1CBB"/>
    <w:rsid w:val="00AD44A6"/>
    <w:rsid w:val="00AD64DD"/>
    <w:rsid w:val="00AE18FD"/>
    <w:rsid w:val="00AE2B5E"/>
    <w:rsid w:val="00AF32D1"/>
    <w:rsid w:val="00B003E5"/>
    <w:rsid w:val="00B06F1A"/>
    <w:rsid w:val="00B0774C"/>
    <w:rsid w:val="00B11362"/>
    <w:rsid w:val="00B12072"/>
    <w:rsid w:val="00B13297"/>
    <w:rsid w:val="00B2107A"/>
    <w:rsid w:val="00B35748"/>
    <w:rsid w:val="00B402F6"/>
    <w:rsid w:val="00B6339C"/>
    <w:rsid w:val="00B66586"/>
    <w:rsid w:val="00B72368"/>
    <w:rsid w:val="00B725D1"/>
    <w:rsid w:val="00B77E9B"/>
    <w:rsid w:val="00B929A6"/>
    <w:rsid w:val="00B96B08"/>
    <w:rsid w:val="00BC5AAF"/>
    <w:rsid w:val="00BD0196"/>
    <w:rsid w:val="00BD3A22"/>
    <w:rsid w:val="00BD618F"/>
    <w:rsid w:val="00BE2B53"/>
    <w:rsid w:val="00C271DD"/>
    <w:rsid w:val="00C31D33"/>
    <w:rsid w:val="00C542DD"/>
    <w:rsid w:val="00C614A8"/>
    <w:rsid w:val="00C6790C"/>
    <w:rsid w:val="00C72763"/>
    <w:rsid w:val="00C82CC1"/>
    <w:rsid w:val="00CA2301"/>
    <w:rsid w:val="00CA7F36"/>
    <w:rsid w:val="00CB4963"/>
    <w:rsid w:val="00CD7BF8"/>
    <w:rsid w:val="00CE79A1"/>
    <w:rsid w:val="00CF72A4"/>
    <w:rsid w:val="00D01A5B"/>
    <w:rsid w:val="00D15924"/>
    <w:rsid w:val="00D17EBC"/>
    <w:rsid w:val="00D410DA"/>
    <w:rsid w:val="00D47DF3"/>
    <w:rsid w:val="00D51F03"/>
    <w:rsid w:val="00D60C39"/>
    <w:rsid w:val="00D66561"/>
    <w:rsid w:val="00D70F97"/>
    <w:rsid w:val="00D715FA"/>
    <w:rsid w:val="00D73547"/>
    <w:rsid w:val="00D83CC9"/>
    <w:rsid w:val="00D86952"/>
    <w:rsid w:val="00D87E1F"/>
    <w:rsid w:val="00D92E87"/>
    <w:rsid w:val="00DA3D86"/>
    <w:rsid w:val="00DB6B5E"/>
    <w:rsid w:val="00DC2373"/>
    <w:rsid w:val="00DD13B7"/>
    <w:rsid w:val="00DF7893"/>
    <w:rsid w:val="00E02F48"/>
    <w:rsid w:val="00E1365C"/>
    <w:rsid w:val="00E15BB0"/>
    <w:rsid w:val="00E1630C"/>
    <w:rsid w:val="00E17EFD"/>
    <w:rsid w:val="00E2438C"/>
    <w:rsid w:val="00E323F5"/>
    <w:rsid w:val="00E33C44"/>
    <w:rsid w:val="00E54C5F"/>
    <w:rsid w:val="00E56A06"/>
    <w:rsid w:val="00E70BE2"/>
    <w:rsid w:val="00E766CB"/>
    <w:rsid w:val="00E768A6"/>
    <w:rsid w:val="00E8610A"/>
    <w:rsid w:val="00EA1BBB"/>
    <w:rsid w:val="00EB2075"/>
    <w:rsid w:val="00EC2D1E"/>
    <w:rsid w:val="00EC61EE"/>
    <w:rsid w:val="00ED5590"/>
    <w:rsid w:val="00EE5010"/>
    <w:rsid w:val="00EE67C6"/>
    <w:rsid w:val="00EF624C"/>
    <w:rsid w:val="00F02444"/>
    <w:rsid w:val="00F04118"/>
    <w:rsid w:val="00F20CE3"/>
    <w:rsid w:val="00F307CA"/>
    <w:rsid w:val="00F43194"/>
    <w:rsid w:val="00F46F30"/>
    <w:rsid w:val="00F474C9"/>
    <w:rsid w:val="00F551DB"/>
    <w:rsid w:val="00F564BE"/>
    <w:rsid w:val="00F6018B"/>
    <w:rsid w:val="00F73C0B"/>
    <w:rsid w:val="00F916E3"/>
    <w:rsid w:val="00F95C8E"/>
    <w:rsid w:val="00F96B7D"/>
    <w:rsid w:val="00FA554C"/>
    <w:rsid w:val="00FA611B"/>
    <w:rsid w:val="00FB14E6"/>
    <w:rsid w:val="00FB490E"/>
    <w:rsid w:val="00FB58CB"/>
    <w:rsid w:val="00FE5CDB"/>
    <w:rsid w:val="00FF3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3424"/>
  </w:style>
  <w:style w:type="paragraph" w:styleId="Nadpis1">
    <w:name w:val="heading 1"/>
    <w:basedOn w:val="Normln"/>
    <w:next w:val="Normln"/>
    <w:link w:val="Nadpis1Char"/>
    <w:uiPriority w:val="9"/>
    <w:qFormat/>
    <w:rsid w:val="00A62852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2852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6285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6285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E54C5F"/>
    <w:pPr>
      <w:spacing w:line="240" w:lineRule="auto"/>
    </w:pPr>
    <w:rPr>
      <w:rFonts w:ascii="Times New Roman" w:eastAsia="Calibri" w:hAnsi="Times New Roman" w:cs="Times New Roman"/>
      <w:b/>
      <w:bCs/>
      <w:color w:val="4F81BD" w:themeColor="accent1"/>
      <w:sz w:val="18"/>
      <w:szCs w:val="18"/>
    </w:rPr>
  </w:style>
  <w:style w:type="table" w:styleId="Mkatabulky">
    <w:name w:val="Table Grid"/>
    <w:basedOn w:val="Normlntabulka"/>
    <w:uiPriority w:val="59"/>
    <w:rsid w:val="00E5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zvraznn11">
    <w:name w:val="Světlé stínování – zvýraznění 11"/>
    <w:basedOn w:val="Normlntabulka"/>
    <w:uiPriority w:val="60"/>
    <w:rsid w:val="00E54C5F"/>
    <w:pPr>
      <w:spacing w:after="0" w:line="240" w:lineRule="auto"/>
    </w:pPr>
    <w:rPr>
      <w:rFonts w:ascii="Times New Roman" w:hAnsi="Times New Roman" w:cs="Times New Roman"/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E1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B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929A6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628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2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628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628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430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3424"/>
  </w:style>
  <w:style w:type="paragraph" w:styleId="Nadpis1">
    <w:name w:val="heading 1"/>
    <w:basedOn w:val="Normln"/>
    <w:next w:val="Normln"/>
    <w:link w:val="Nadpis1Char"/>
    <w:uiPriority w:val="9"/>
    <w:qFormat/>
    <w:rsid w:val="00A62852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2852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6285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6285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E54C5F"/>
    <w:pPr>
      <w:spacing w:line="240" w:lineRule="auto"/>
    </w:pPr>
    <w:rPr>
      <w:rFonts w:ascii="Times New Roman" w:eastAsia="Calibri" w:hAnsi="Times New Roman" w:cs="Times New Roman"/>
      <w:b/>
      <w:bCs/>
      <w:color w:val="4F81BD" w:themeColor="accent1"/>
      <w:sz w:val="18"/>
      <w:szCs w:val="18"/>
    </w:rPr>
  </w:style>
  <w:style w:type="table" w:styleId="Mkatabulky">
    <w:name w:val="Table Grid"/>
    <w:basedOn w:val="Normlntabulka"/>
    <w:uiPriority w:val="59"/>
    <w:rsid w:val="00E5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zvraznn11">
    <w:name w:val="Světlé stínování – zvýraznění 11"/>
    <w:basedOn w:val="Normlntabulka"/>
    <w:uiPriority w:val="60"/>
    <w:rsid w:val="00E54C5F"/>
    <w:pPr>
      <w:spacing w:after="0" w:line="240" w:lineRule="auto"/>
    </w:pPr>
    <w:rPr>
      <w:rFonts w:ascii="Times New Roman" w:hAnsi="Times New Roman" w:cs="Times New Roman"/>
      <w:color w:val="365F91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E1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B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929A6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628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2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628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628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MI\frekven&#269;n&#237;%20tabulky%201999-20009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MI\frekven&#269;n&#237;%20tabulky%201999-20009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MI\frekven&#269;n&#237;%20tabulky%201999-20009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EMI\frekven&#269;n&#237;%20tabulky%201999-20009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List1!$A$19</c:f>
              <c:strCache>
                <c:ptCount val="1"/>
                <c:pt idx="0">
                  <c:v>men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26,9</a:t>
                    </a:r>
                    <a:r>
                      <a:rPr lang="cs-CZ"/>
                      <a:t> ***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List1!$B$18:$L$18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List1!$B$19:$L$19</c:f>
              <c:numCache>
                <c:formatCode>0.0</c:formatCode>
                <c:ptCount val="11"/>
                <c:pt idx="0">
                  <c:v>26.6</c:v>
                </c:pt>
                <c:pt idx="1">
                  <c:v>26.3</c:v>
                </c:pt>
                <c:pt idx="2">
                  <c:v>26.8</c:v>
                </c:pt>
                <c:pt idx="3">
                  <c:v>26.6</c:v>
                </c:pt>
                <c:pt idx="4">
                  <c:v>26.7</c:v>
                </c:pt>
                <c:pt idx="5">
                  <c:v>26.7</c:v>
                </c:pt>
                <c:pt idx="6">
                  <c:v>26.3</c:v>
                </c:pt>
                <c:pt idx="7">
                  <c:v>26.6</c:v>
                </c:pt>
                <c:pt idx="8">
                  <c:v>26.5</c:v>
                </c:pt>
                <c:pt idx="9">
                  <c:v>26.7</c:v>
                </c:pt>
                <c:pt idx="10">
                  <c:v>26.9</c:v>
                </c:pt>
              </c:numCache>
            </c:numRef>
          </c:val>
        </c:ser>
        <c:ser>
          <c:idx val="1"/>
          <c:order val="1"/>
          <c:tx>
            <c:strRef>
              <c:f>List1!$A$20</c:f>
              <c:strCache>
                <c:ptCount val="1"/>
                <c:pt idx="0">
                  <c:v>women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List1!$B$18:$L$18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List1!$B$20:$L$20</c:f>
              <c:numCache>
                <c:formatCode>0.0</c:formatCode>
                <c:ptCount val="11"/>
                <c:pt idx="0">
                  <c:v>24</c:v>
                </c:pt>
                <c:pt idx="1">
                  <c:v>24.7</c:v>
                </c:pt>
                <c:pt idx="2">
                  <c:v>24</c:v>
                </c:pt>
                <c:pt idx="3">
                  <c:v>23.5</c:v>
                </c:pt>
                <c:pt idx="4">
                  <c:v>24.1</c:v>
                </c:pt>
                <c:pt idx="5">
                  <c:v>23.7</c:v>
                </c:pt>
                <c:pt idx="6">
                  <c:v>23.6</c:v>
                </c:pt>
                <c:pt idx="7">
                  <c:v>23.9</c:v>
                </c:pt>
                <c:pt idx="8">
                  <c:v>23.6</c:v>
                </c:pt>
                <c:pt idx="9">
                  <c:v>24</c:v>
                </c:pt>
                <c:pt idx="10">
                  <c:v>24.2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-25"/>
        <c:axId val="174532480"/>
        <c:axId val="175570944"/>
      </c:barChart>
      <c:catAx>
        <c:axId val="1745324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cs-CZ"/>
                  <a:t>years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75570944"/>
        <c:crosses val="autoZero"/>
        <c:auto val="1"/>
        <c:lblAlgn val="ctr"/>
        <c:lblOffset val="100"/>
        <c:noMultiLvlLbl val="0"/>
      </c:catAx>
      <c:valAx>
        <c:axId val="1755709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BMI (kg/m</a:t>
                </a:r>
                <a:r>
                  <a:rPr lang="cs-CZ" baseline="30000"/>
                  <a:t>2</a:t>
                </a:r>
                <a:r>
                  <a:rPr lang="cs-CZ"/>
                  <a:t>)</a:t>
                </a:r>
              </a:p>
            </c:rich>
          </c:tx>
          <c:overlay val="0"/>
        </c:title>
        <c:numFmt formatCode="0.0" sourceLinked="1"/>
        <c:majorTickMark val="none"/>
        <c:minorTickMark val="none"/>
        <c:tickLblPos val="nextTo"/>
        <c:crossAx val="174532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4756826282790641E-2"/>
          <c:y val="0.84648458208756816"/>
          <c:w val="0.11483931597157956"/>
          <c:h val="0.14502584887007305"/>
        </c:manualLayout>
      </c:layout>
      <c:overlay val="1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List1!$A$24</c:f>
              <c:strCache>
                <c:ptCount val="1"/>
                <c:pt idx="0">
                  <c:v>men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92,7</a:t>
                    </a:r>
                    <a:r>
                      <a:rPr lang="cs-CZ"/>
                      <a:t>***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List1!$B$23:$L$23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List1!$B$24:$L$24</c:f>
              <c:numCache>
                <c:formatCode>0.0</c:formatCode>
                <c:ptCount val="11"/>
                <c:pt idx="0">
                  <c:v>93.4</c:v>
                </c:pt>
                <c:pt idx="1">
                  <c:v>93.2</c:v>
                </c:pt>
                <c:pt idx="2">
                  <c:v>92.8</c:v>
                </c:pt>
                <c:pt idx="3">
                  <c:v>91.9</c:v>
                </c:pt>
                <c:pt idx="4">
                  <c:v>92.5</c:v>
                </c:pt>
                <c:pt idx="5">
                  <c:v>92</c:v>
                </c:pt>
                <c:pt idx="6">
                  <c:v>92.4</c:v>
                </c:pt>
                <c:pt idx="7">
                  <c:v>92.2</c:v>
                </c:pt>
                <c:pt idx="8">
                  <c:v>91.9</c:v>
                </c:pt>
                <c:pt idx="9">
                  <c:v>92.4</c:v>
                </c:pt>
                <c:pt idx="10">
                  <c:v>92.7</c:v>
                </c:pt>
              </c:numCache>
            </c:numRef>
          </c:val>
        </c:ser>
        <c:ser>
          <c:idx val="1"/>
          <c:order val="1"/>
          <c:tx>
            <c:strRef>
              <c:f>List1!$A$25</c:f>
              <c:strCache>
                <c:ptCount val="1"/>
                <c:pt idx="0">
                  <c:v>women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List1!$B$23:$L$23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List1!$B$25:$L$25</c:f>
              <c:numCache>
                <c:formatCode>0.0</c:formatCode>
                <c:ptCount val="11"/>
                <c:pt idx="0">
                  <c:v>77.400000000000006</c:v>
                </c:pt>
                <c:pt idx="1">
                  <c:v>78.5</c:v>
                </c:pt>
                <c:pt idx="2">
                  <c:v>76.599999999999994</c:v>
                </c:pt>
                <c:pt idx="3">
                  <c:v>75.400000000000006</c:v>
                </c:pt>
                <c:pt idx="4">
                  <c:v>77.400000000000006</c:v>
                </c:pt>
                <c:pt idx="5">
                  <c:v>76.2</c:v>
                </c:pt>
                <c:pt idx="6">
                  <c:v>76.7</c:v>
                </c:pt>
                <c:pt idx="7">
                  <c:v>77.599999999999994</c:v>
                </c:pt>
                <c:pt idx="8">
                  <c:v>77.099999999999994</c:v>
                </c:pt>
                <c:pt idx="9">
                  <c:v>77.5</c:v>
                </c:pt>
                <c:pt idx="10">
                  <c:v>78.2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75703552"/>
        <c:axId val="175705472"/>
      </c:barChart>
      <c:catAx>
        <c:axId val="1757035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75705472"/>
        <c:crosses val="autoZero"/>
        <c:auto val="1"/>
        <c:lblAlgn val="ctr"/>
        <c:lblOffset val="100"/>
        <c:noMultiLvlLbl val="0"/>
      </c:catAx>
      <c:valAx>
        <c:axId val="1757054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waist circumference (cm)</a:t>
                </a:r>
              </a:p>
            </c:rich>
          </c:tx>
          <c:overlay val="0"/>
        </c:title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175703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7695538057742828E-2"/>
          <c:y val="0.81906058617672772"/>
          <c:w val="0.11025371828521441"/>
          <c:h val="0.15332621403365518"/>
        </c:manualLayout>
      </c:layout>
      <c:overlay val="1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Men</a:t>
            </a:r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BMI!$N$51</c:f>
              <c:strCache>
                <c:ptCount val="1"/>
                <c:pt idx="0">
                  <c:v>Normal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65000"/>
                </a:schemeClr>
              </a:solidFill>
            </a:ln>
          </c:spPr>
          <c:invertIfNegative val="0"/>
          <c:dLbls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28,4%</a:t>
                    </a:r>
                    <a:r>
                      <a:rPr lang="cs-CZ"/>
                      <a:t>***</a:t>
                    </a:r>
                    <a:endParaRPr lang="en-US"/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BMI!$O$50:$Y$50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BMI!$O$51:$Y$51</c:f>
              <c:numCache>
                <c:formatCode>0.0%</c:formatCode>
                <c:ptCount val="11"/>
                <c:pt idx="0">
                  <c:v>0.33582213373154257</c:v>
                </c:pt>
                <c:pt idx="1">
                  <c:v>0.3183341311632365</c:v>
                </c:pt>
                <c:pt idx="2">
                  <c:v>0.31578073089701075</c:v>
                </c:pt>
                <c:pt idx="3">
                  <c:v>0.33394495412844138</c:v>
                </c:pt>
                <c:pt idx="4">
                  <c:v>0.31938283510125504</c:v>
                </c:pt>
                <c:pt idx="5">
                  <c:v>0.3316720657861954</c:v>
                </c:pt>
                <c:pt idx="6">
                  <c:v>0.3228789706473677</c:v>
                </c:pt>
                <c:pt idx="7">
                  <c:v>0.33054626532887543</c:v>
                </c:pt>
                <c:pt idx="8">
                  <c:v>0.32265881945646591</c:v>
                </c:pt>
                <c:pt idx="9">
                  <c:v>0.30032721582017424</c:v>
                </c:pt>
                <c:pt idx="10">
                  <c:v>0.28409242687324698</c:v>
                </c:pt>
              </c:numCache>
            </c:numRef>
          </c:val>
        </c:ser>
        <c:ser>
          <c:idx val="1"/>
          <c:order val="1"/>
          <c:tx>
            <c:strRef>
              <c:f>BMI!$N$52</c:f>
              <c:strCache>
                <c:ptCount val="1"/>
                <c:pt idx="0">
                  <c:v>Overweight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invertIfNegative val="0"/>
          <c:dLbls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57,1%</a:t>
                    </a:r>
                    <a:r>
                      <a:rPr lang="cs-CZ"/>
                      <a:t>***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BMI!$O$50:$Y$50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BMI!$O$52:$Y$52</c:f>
              <c:numCache>
                <c:formatCode>0.0%</c:formatCode>
                <c:ptCount val="11"/>
                <c:pt idx="0">
                  <c:v>0.51982744317239094</c:v>
                </c:pt>
                <c:pt idx="1">
                  <c:v>0.52640816977820171</c:v>
                </c:pt>
                <c:pt idx="2">
                  <c:v>0.53338870431893659</c:v>
                </c:pt>
                <c:pt idx="3">
                  <c:v>0.52354740061162053</c:v>
                </c:pt>
                <c:pt idx="4">
                  <c:v>0.52690453230472623</c:v>
                </c:pt>
                <c:pt idx="5">
                  <c:v>0.52529279840518361</c:v>
                </c:pt>
                <c:pt idx="6">
                  <c:v>0.54583835946924009</c:v>
                </c:pt>
                <c:pt idx="7">
                  <c:v>0.54143441099962841</c:v>
                </c:pt>
                <c:pt idx="8">
                  <c:v>0.55772892504760252</c:v>
                </c:pt>
                <c:pt idx="9">
                  <c:v>0.57120500782472661</c:v>
                </c:pt>
                <c:pt idx="10">
                  <c:v>0.57085615066114603</c:v>
                </c:pt>
              </c:numCache>
            </c:numRef>
          </c:val>
        </c:ser>
        <c:ser>
          <c:idx val="2"/>
          <c:order val="2"/>
          <c:tx>
            <c:strRef>
              <c:f>BMI!$N$53</c:f>
              <c:strCache>
                <c:ptCount val="1"/>
                <c:pt idx="0">
                  <c:v>Class I obesity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 baseline="0"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BMI!$O$50:$Y$50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BMI!$O$53:$Y$53</c:f>
              <c:numCache>
                <c:formatCode>0.0%</c:formatCode>
                <c:ptCount val="11"/>
                <c:pt idx="0">
                  <c:v>0.12543554006968638</c:v>
                </c:pt>
                <c:pt idx="1">
                  <c:v>0.13451412158927745</c:v>
                </c:pt>
                <c:pt idx="2">
                  <c:v>0.13222591362126246</c:v>
                </c:pt>
                <c:pt idx="3">
                  <c:v>0.12660550458715597</c:v>
                </c:pt>
                <c:pt idx="4">
                  <c:v>0.13539054966248795</c:v>
                </c:pt>
                <c:pt idx="5">
                  <c:v>0.12833291801644656</c:v>
                </c:pt>
                <c:pt idx="6">
                  <c:v>0.11278648974668302</c:v>
                </c:pt>
                <c:pt idx="7">
                  <c:v>0.10776662950576014</c:v>
                </c:pt>
                <c:pt idx="8">
                  <c:v>0.10593733771853912</c:v>
                </c:pt>
                <c:pt idx="9">
                  <c:v>0.11310285958173298</c:v>
                </c:pt>
                <c:pt idx="10">
                  <c:v>0.1286229464404969</c:v>
                </c:pt>
              </c:numCache>
            </c:numRef>
          </c:val>
        </c:ser>
        <c:ser>
          <c:idx val="3"/>
          <c:order val="3"/>
          <c:tx>
            <c:strRef>
              <c:f>BMI!$N$54</c:f>
              <c:strCache>
                <c:ptCount val="1"/>
                <c:pt idx="0">
                  <c:v>Class II+III obesity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solidFill>
                <a:schemeClr val="bg1">
                  <a:lumMod val="50000"/>
                </a:schemeClr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BMI!$O$50:$Y$50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BMI!$O$54:$Y$54</c:f>
              <c:numCache>
                <c:formatCode>0.0%</c:formatCode>
                <c:ptCount val="11"/>
                <c:pt idx="0">
                  <c:v>1.9000000000000031E-2</c:v>
                </c:pt>
                <c:pt idx="1">
                  <c:v>2.1000000000000036E-2</c:v>
                </c:pt>
                <c:pt idx="2">
                  <c:v>1.9000000000000031E-2</c:v>
                </c:pt>
                <c:pt idx="3">
                  <c:v>1.6000000000000021E-2</c:v>
                </c:pt>
                <c:pt idx="4">
                  <c:v>1.8000000000000023E-2</c:v>
                </c:pt>
                <c:pt idx="5">
                  <c:v>1.4999999999999998E-2</c:v>
                </c:pt>
                <c:pt idx="6">
                  <c:v>1.8000000000000023E-2</c:v>
                </c:pt>
                <c:pt idx="7">
                  <c:v>2.0000000000000032E-2</c:v>
                </c:pt>
                <c:pt idx="8">
                  <c:v>1.4000000000000005E-2</c:v>
                </c:pt>
                <c:pt idx="9">
                  <c:v>1.4999999999999998E-2</c:v>
                </c:pt>
                <c:pt idx="10">
                  <c:v>1.6000000000000021E-2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serLines/>
        <c:axId val="177934336"/>
        <c:axId val="177935872"/>
      </c:barChart>
      <c:catAx>
        <c:axId val="177934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77935872"/>
        <c:crosses val="autoZero"/>
        <c:auto val="1"/>
        <c:lblAlgn val="ctr"/>
        <c:lblOffset val="100"/>
        <c:noMultiLvlLbl val="0"/>
      </c:catAx>
      <c:valAx>
        <c:axId val="177935872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793433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cs-CZ" sz="1400" b="1" i="0" baseline="0">
                <a:effectLst/>
              </a:rPr>
              <a:t>Women</a:t>
            </a:r>
            <a:endParaRPr lang="cs-CZ" sz="1400">
              <a:effectLst/>
            </a:endParaRPr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BMI!$A$105</c:f>
              <c:strCache>
                <c:ptCount val="1"/>
                <c:pt idx="0">
                  <c:v>Normal</c:v>
                </c:pt>
              </c:strCache>
            </c:strRef>
          </c:tx>
          <c:spPr>
            <a:solidFill>
              <a:sysClr val="window" lastClr="FFFFFF">
                <a:lumMod val="85000"/>
              </a:sysClr>
            </a:solidFill>
            <a:ln>
              <a:solidFill>
                <a:schemeClr val="bg1">
                  <a:lumMod val="75000"/>
                </a:schemeClr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BMI!$B$104:$L$104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BMI!$B$105:$L$105</c:f>
              <c:numCache>
                <c:formatCode>0.0%</c:formatCode>
                <c:ptCount val="11"/>
                <c:pt idx="0">
                  <c:v>0.69040247678018574</c:v>
                </c:pt>
                <c:pt idx="1">
                  <c:v>0.64187327823691465</c:v>
                </c:pt>
                <c:pt idx="2">
                  <c:v>0.69358669833729159</c:v>
                </c:pt>
                <c:pt idx="3">
                  <c:v>0.75774647887323965</c:v>
                </c:pt>
                <c:pt idx="4">
                  <c:v>0.68063872255489222</c:v>
                </c:pt>
                <c:pt idx="5">
                  <c:v>0.70387243735763094</c:v>
                </c:pt>
                <c:pt idx="6">
                  <c:v>0.70577281191806363</c:v>
                </c:pt>
                <c:pt idx="7">
                  <c:v>0.70198675496688745</c:v>
                </c:pt>
                <c:pt idx="8">
                  <c:v>0.71300448430493268</c:v>
                </c:pt>
                <c:pt idx="9">
                  <c:v>0.66900584795321771</c:v>
                </c:pt>
                <c:pt idx="10">
                  <c:v>0.65262076053443119</c:v>
                </c:pt>
              </c:numCache>
            </c:numRef>
          </c:val>
        </c:ser>
        <c:ser>
          <c:idx val="1"/>
          <c:order val="1"/>
          <c:tx>
            <c:strRef>
              <c:f>BMI!$A$106</c:f>
              <c:strCache>
                <c:ptCount val="1"/>
                <c:pt idx="0">
                  <c:v>Overweight</c:v>
                </c:pt>
              </c:strCache>
            </c:strRef>
          </c:tx>
          <c:spPr>
            <a:solidFill>
              <a:sysClr val="window" lastClr="FFFFFF">
                <a:lumMod val="65000"/>
              </a:sysClr>
            </a:solidFill>
            <a:ln>
              <a:solidFill>
                <a:schemeClr val="bg1">
                  <a:lumMod val="50000"/>
                </a:schemeClr>
              </a:solidFill>
            </a:ln>
          </c:spPr>
          <c:invertIfNegative val="0"/>
          <c:dLbls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26,2%</a:t>
                    </a:r>
                    <a:r>
                      <a:rPr lang="cs-CZ"/>
                      <a:t>*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BMI!$B$104:$L$104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BMI!$B$106:$L$106</c:f>
              <c:numCache>
                <c:formatCode>0.0%</c:formatCode>
                <c:ptCount val="11"/>
                <c:pt idx="0">
                  <c:v>0.19814241486068121</c:v>
                </c:pt>
                <c:pt idx="1">
                  <c:v>0.21212121212121221</c:v>
                </c:pt>
                <c:pt idx="2">
                  <c:v>0.2185273159144894</c:v>
                </c:pt>
                <c:pt idx="3">
                  <c:v>0.18028169014084533</c:v>
                </c:pt>
                <c:pt idx="4">
                  <c:v>0.21556886227544936</c:v>
                </c:pt>
                <c:pt idx="5">
                  <c:v>0.21640091116173157</c:v>
                </c:pt>
                <c:pt idx="6">
                  <c:v>0.21787709497206731</c:v>
                </c:pt>
                <c:pt idx="7">
                  <c:v>0.20033112582781459</c:v>
                </c:pt>
                <c:pt idx="8">
                  <c:v>0.23318385650224221</c:v>
                </c:pt>
                <c:pt idx="9">
                  <c:v>0.25964912280701724</c:v>
                </c:pt>
                <c:pt idx="10">
                  <c:v>0.26207605344295992</c:v>
                </c:pt>
              </c:numCache>
            </c:numRef>
          </c:val>
        </c:ser>
        <c:ser>
          <c:idx val="2"/>
          <c:order val="2"/>
          <c:tx>
            <c:strRef>
              <c:f>BMI!$A$107</c:f>
              <c:strCache>
                <c:ptCount val="1"/>
                <c:pt idx="0">
                  <c:v>Class I obesity</c:v>
                </c:pt>
              </c:strCache>
            </c:strRef>
          </c:tx>
          <c:spPr>
            <a:solidFill>
              <a:sysClr val="windowText" lastClr="000000">
                <a:lumMod val="75000"/>
                <a:lumOff val="25000"/>
              </a:sysClr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BMI!$B$104:$L$104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BMI!$B$107:$L$107</c:f>
              <c:numCache>
                <c:formatCode>0.0%</c:formatCode>
                <c:ptCount val="11"/>
                <c:pt idx="0">
                  <c:v>9.907120743034048E-2</c:v>
                </c:pt>
                <c:pt idx="1">
                  <c:v>0.12121212121212138</c:v>
                </c:pt>
                <c:pt idx="2">
                  <c:v>7.3634204275534437E-2</c:v>
                </c:pt>
                <c:pt idx="3">
                  <c:v>5.0704225352112789E-2</c:v>
                </c:pt>
                <c:pt idx="4">
                  <c:v>8.7824351297405207E-2</c:v>
                </c:pt>
                <c:pt idx="5">
                  <c:v>6.8337129840546934E-2</c:v>
                </c:pt>
                <c:pt idx="6">
                  <c:v>6.5176908752327761E-2</c:v>
                </c:pt>
                <c:pt idx="7">
                  <c:v>7.6158940397350966E-2</c:v>
                </c:pt>
                <c:pt idx="8">
                  <c:v>4.3348281016442523E-2</c:v>
                </c:pt>
                <c:pt idx="9">
                  <c:v>6.4327485380117039E-2</c:v>
                </c:pt>
                <c:pt idx="10">
                  <c:v>7.3997944501541776E-2</c:v>
                </c:pt>
              </c:numCache>
            </c:numRef>
          </c:val>
        </c:ser>
        <c:ser>
          <c:idx val="3"/>
          <c:order val="3"/>
          <c:tx>
            <c:strRef>
              <c:f>BMI!$A$108</c:f>
              <c:strCache>
                <c:ptCount val="1"/>
                <c:pt idx="0">
                  <c:v>Class II+III obesity</c:v>
                </c:pt>
              </c:strCache>
            </c:strRef>
          </c:tx>
          <c:spPr>
            <a:solidFill>
              <a:sysClr val="windowText" lastClr="000000">
                <a:lumMod val="65000"/>
                <a:lumOff val="35000"/>
              </a:sysClr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>
                    <a:solidFill>
                      <a:sysClr val="windowText" lastClr="000000"/>
                    </a:solidFill>
                  </a:defRPr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BMI!$B$104:$L$104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BMI!$B$108:$L$108</c:f>
              <c:numCache>
                <c:formatCode>0.0%</c:formatCode>
                <c:ptCount val="11"/>
                <c:pt idx="0">
                  <c:v>1.2E-2</c:v>
                </c:pt>
                <c:pt idx="1">
                  <c:v>2.5000000000000001E-2</c:v>
                </c:pt>
                <c:pt idx="2">
                  <c:v>1.4E-2</c:v>
                </c:pt>
                <c:pt idx="3">
                  <c:v>1.0999999999999998E-2</c:v>
                </c:pt>
                <c:pt idx="4">
                  <c:v>1.6000000000000021E-2</c:v>
                </c:pt>
                <c:pt idx="5">
                  <c:v>1.0999999999999998E-2</c:v>
                </c:pt>
                <c:pt idx="6">
                  <c:v>1.0999999999999998E-2</c:v>
                </c:pt>
                <c:pt idx="7">
                  <c:v>2.1999999999999999E-2</c:v>
                </c:pt>
                <c:pt idx="8">
                  <c:v>1.0000000000000005E-2</c:v>
                </c:pt>
                <c:pt idx="9">
                  <c:v>7.0000000000000088E-3</c:v>
                </c:pt>
                <c:pt idx="10">
                  <c:v>1.0999999999999998E-2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serLines/>
        <c:axId val="178071424"/>
        <c:axId val="178072960"/>
      </c:barChart>
      <c:catAx>
        <c:axId val="178071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78072960"/>
        <c:crosses val="autoZero"/>
        <c:auto val="1"/>
        <c:lblAlgn val="ctr"/>
        <c:lblOffset val="100"/>
        <c:noMultiLvlLbl val="0"/>
      </c:catAx>
      <c:valAx>
        <c:axId val="178072960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807142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Men</a:t>
            </a:r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pas!$A$9</c:f>
              <c:strCache>
                <c:ptCount val="1"/>
                <c:pt idx="0">
                  <c:v>Normal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85000"/>
                </a:schemeClr>
              </a:solidFill>
            </a:ln>
          </c:spPr>
          <c:invertIfNegative val="0"/>
          <c:dLbls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60,1%</a:t>
                    </a:r>
                    <a:r>
                      <a:rPr lang="cs-CZ"/>
                      <a:t>***</a:t>
                    </a:r>
                    <a:endParaRPr lang="en-US"/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pas!$B$8:$L$8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pas!$B$9:$L$9</c:f>
              <c:numCache>
                <c:formatCode>0.0%</c:formatCode>
                <c:ptCount val="11"/>
                <c:pt idx="0">
                  <c:v>0.57116326186054356</c:v>
                </c:pt>
                <c:pt idx="1">
                  <c:v>0.57220305569245933</c:v>
                </c:pt>
                <c:pt idx="2">
                  <c:v>0.5905673274094313</c:v>
                </c:pt>
                <c:pt idx="3">
                  <c:v>0.62969175927867704</c:v>
                </c:pt>
                <c:pt idx="4">
                  <c:v>0.60901655695192458</c:v>
                </c:pt>
                <c:pt idx="5">
                  <c:v>0.6250323247995867</c:v>
                </c:pt>
                <c:pt idx="6">
                  <c:v>0.62064727570667855</c:v>
                </c:pt>
                <c:pt idx="7">
                  <c:v>0.6270499710592331</c:v>
                </c:pt>
                <c:pt idx="8">
                  <c:v>0.63553733737301765</c:v>
                </c:pt>
                <c:pt idx="9">
                  <c:v>0.61441524512063928</c:v>
                </c:pt>
                <c:pt idx="10">
                  <c:v>0.60057803468208215</c:v>
                </c:pt>
              </c:numCache>
            </c:numRef>
          </c:val>
        </c:ser>
        <c:ser>
          <c:idx val="1"/>
          <c:order val="1"/>
          <c:tx>
            <c:strRef>
              <c:f>pas!$A$10</c:f>
              <c:strCache>
                <c:ptCount val="1"/>
                <c:pt idx="0">
                  <c:v>Risk level I (&gt; 94 cm)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bg1">
                  <a:lumMod val="65000"/>
                </a:schemeClr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pas!$B$8:$L$8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pas!$B$10:$L$10</c:f>
              <c:numCache>
                <c:formatCode>0.0%</c:formatCode>
                <c:ptCount val="11"/>
                <c:pt idx="0">
                  <c:v>0.26540604423434122</c:v>
                </c:pt>
                <c:pt idx="1">
                  <c:v>0.26745523246262526</c:v>
                </c:pt>
                <c:pt idx="2">
                  <c:v>0.25341763499658226</c:v>
                </c:pt>
                <c:pt idx="3">
                  <c:v>0.23359194799748403</c:v>
                </c:pt>
                <c:pt idx="4">
                  <c:v>0.2357869539198085</c:v>
                </c:pt>
                <c:pt idx="5">
                  <c:v>0.24696146883889369</c:v>
                </c:pt>
                <c:pt idx="6">
                  <c:v>0.2486685784514544</c:v>
                </c:pt>
                <c:pt idx="7">
                  <c:v>0.24117306579201234</c:v>
                </c:pt>
                <c:pt idx="8">
                  <c:v>0.23881661022990555</c:v>
                </c:pt>
                <c:pt idx="9">
                  <c:v>0.25649300753035176</c:v>
                </c:pt>
                <c:pt idx="10">
                  <c:v>0.25679190751445086</c:v>
                </c:pt>
              </c:numCache>
            </c:numRef>
          </c:val>
        </c:ser>
        <c:ser>
          <c:idx val="2"/>
          <c:order val="2"/>
          <c:tx>
            <c:strRef>
              <c:f>pas!$A$11</c:f>
              <c:strCache>
                <c:ptCount val="1"/>
                <c:pt idx="0">
                  <c:v>Risk level II (&gt; 102 cm)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invertIfNegative val="0"/>
          <c:dLbls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14,3%</a:t>
                    </a:r>
                    <a:r>
                      <a:rPr lang="cs-CZ"/>
                      <a:t>**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pas!$B$8:$L$8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pas!$B$11:$L$11</c:f>
              <c:numCache>
                <c:formatCode>0.0%</c:formatCode>
                <c:ptCount val="11"/>
                <c:pt idx="0">
                  <c:v>0.16343069390511564</c:v>
                </c:pt>
                <c:pt idx="1">
                  <c:v>0.16034171184491539</c:v>
                </c:pt>
                <c:pt idx="2">
                  <c:v>0.15601503759398544</c:v>
                </c:pt>
                <c:pt idx="3">
                  <c:v>0.13671629272384175</c:v>
                </c:pt>
                <c:pt idx="4">
                  <c:v>0.15519648912826703</c:v>
                </c:pt>
                <c:pt idx="5">
                  <c:v>0.12800620636152071</c:v>
                </c:pt>
                <c:pt idx="6">
                  <c:v>0.13068414584186824</c:v>
                </c:pt>
                <c:pt idx="7">
                  <c:v>0.13177696314875537</c:v>
                </c:pt>
                <c:pt idx="8">
                  <c:v>0.12564605239707721</c:v>
                </c:pt>
                <c:pt idx="9">
                  <c:v>0.12909174734900877</c:v>
                </c:pt>
                <c:pt idx="10">
                  <c:v>0.14263005780346821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serLines/>
        <c:axId val="178162304"/>
        <c:axId val="178995584"/>
      </c:barChart>
      <c:catAx>
        <c:axId val="178162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78995584"/>
        <c:crosses val="autoZero"/>
        <c:auto val="1"/>
        <c:lblAlgn val="ctr"/>
        <c:lblOffset val="100"/>
        <c:noMultiLvlLbl val="0"/>
      </c:catAx>
      <c:valAx>
        <c:axId val="178995584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81623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n-US" sz="1400"/>
              <a:t>Women</a:t>
            </a:r>
          </a:p>
        </c:rich>
      </c:tx>
      <c:overlay val="0"/>
    </c:title>
    <c:autoTitleDeleted val="0"/>
    <c:plotArea>
      <c:layout/>
      <c:barChart>
        <c:barDir val="bar"/>
        <c:grouping val="percentStacked"/>
        <c:varyColors val="0"/>
        <c:ser>
          <c:idx val="2"/>
          <c:order val="0"/>
          <c:tx>
            <c:strRef>
              <c:f>pas!$A$23</c:f>
              <c:strCache>
                <c:ptCount val="1"/>
                <c:pt idx="0">
                  <c:v>Normal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85000"/>
                </a:schemeClr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pas!$B$22:$L$22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pas!$B$23:$L$23</c:f>
              <c:numCache>
                <c:formatCode>0.0%</c:formatCode>
                <c:ptCount val="11"/>
                <c:pt idx="0">
                  <c:v>0.6788079470198688</c:v>
                </c:pt>
                <c:pt idx="1">
                  <c:v>0.66268656716418073</c:v>
                </c:pt>
                <c:pt idx="2">
                  <c:v>0.73589743589743595</c:v>
                </c:pt>
                <c:pt idx="3">
                  <c:v>0.76435045317220562</c:v>
                </c:pt>
                <c:pt idx="4">
                  <c:v>0.68498942917547678</c:v>
                </c:pt>
                <c:pt idx="5">
                  <c:v>0.71912832929782078</c:v>
                </c:pt>
                <c:pt idx="6">
                  <c:v>0.70306513409961691</c:v>
                </c:pt>
                <c:pt idx="7">
                  <c:v>0.67184801381692694</c:v>
                </c:pt>
                <c:pt idx="8">
                  <c:v>0.69892473118279574</c:v>
                </c:pt>
                <c:pt idx="9">
                  <c:v>0.68170426065162903</c:v>
                </c:pt>
                <c:pt idx="10">
                  <c:v>0.64718853362734285</c:v>
                </c:pt>
              </c:numCache>
            </c:numRef>
          </c:val>
        </c:ser>
        <c:ser>
          <c:idx val="3"/>
          <c:order val="1"/>
          <c:tx>
            <c:strRef>
              <c:f>pas!$A$24</c:f>
              <c:strCache>
                <c:ptCount val="1"/>
                <c:pt idx="0">
                  <c:v>Risk level I (&gt; 80 cm)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bg1">
                  <a:lumMod val="50000"/>
                </a:schemeClr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pas!$B$22:$L$22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pas!$B$24:$L$24</c:f>
              <c:numCache>
                <c:formatCode>0.0%</c:formatCode>
                <c:ptCount val="11"/>
                <c:pt idx="0">
                  <c:v>0.17218543046357621</c:v>
                </c:pt>
                <c:pt idx="1">
                  <c:v>0.13432835820895517</c:v>
                </c:pt>
                <c:pt idx="2">
                  <c:v>0.14102564102564102</c:v>
                </c:pt>
                <c:pt idx="3">
                  <c:v>0.13293051359516644</c:v>
                </c:pt>
                <c:pt idx="4">
                  <c:v>0.14376321353065541</c:v>
                </c:pt>
                <c:pt idx="5">
                  <c:v>0.13075060532687652</c:v>
                </c:pt>
                <c:pt idx="6">
                  <c:v>0.17241379310344859</c:v>
                </c:pt>
                <c:pt idx="7">
                  <c:v>0.15544041450777271</c:v>
                </c:pt>
                <c:pt idx="8">
                  <c:v>0.16129032258064521</c:v>
                </c:pt>
                <c:pt idx="9">
                  <c:v>0.17669172932330818</c:v>
                </c:pt>
                <c:pt idx="10">
                  <c:v>0.19184123484013269</c:v>
                </c:pt>
              </c:numCache>
            </c:numRef>
          </c:val>
        </c:ser>
        <c:ser>
          <c:idx val="0"/>
          <c:order val="2"/>
          <c:tx>
            <c:strRef>
              <c:f>pas!$A$25</c:f>
              <c:strCache>
                <c:ptCount val="1"/>
                <c:pt idx="0">
                  <c:v>Risk level II (&gt; 88 cm)</c:v>
                </c:pt>
              </c:strCache>
            </c:strRef>
          </c:tx>
          <c:spPr>
            <a:solidFill>
              <a:schemeClr val="tx1">
                <a:lumMod val="75000"/>
                <a:lumOff val="25000"/>
              </a:schemeClr>
            </a:solidFill>
            <a:ln>
              <a:solidFill>
                <a:schemeClr val="tx1">
                  <a:lumMod val="65000"/>
                  <a:lumOff val="35000"/>
                </a:schemeClr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>
                    <a:solidFill>
                      <a:schemeClr val="bg1"/>
                    </a:solidFill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pas!$B$22:$L$22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pas!$B$25:$L$25</c:f>
              <c:numCache>
                <c:formatCode>0.0%</c:formatCode>
                <c:ptCount val="11"/>
                <c:pt idx="0">
                  <c:v>0.1490066225165563</c:v>
                </c:pt>
                <c:pt idx="1">
                  <c:v>0.20298507462686571</c:v>
                </c:pt>
                <c:pt idx="2">
                  <c:v>0.12307692307692331</c:v>
                </c:pt>
                <c:pt idx="3">
                  <c:v>0.1027190332326284</c:v>
                </c:pt>
                <c:pt idx="4">
                  <c:v>0.17124735729386917</c:v>
                </c:pt>
                <c:pt idx="5">
                  <c:v>0.1501210653753027</c:v>
                </c:pt>
                <c:pt idx="6">
                  <c:v>0.12452107279693513</c:v>
                </c:pt>
                <c:pt idx="7">
                  <c:v>0.17271157167530224</c:v>
                </c:pt>
                <c:pt idx="8">
                  <c:v>0.13978494623655913</c:v>
                </c:pt>
                <c:pt idx="9">
                  <c:v>0.1416040100250627</c:v>
                </c:pt>
                <c:pt idx="10">
                  <c:v>0.16097023153252518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serLines/>
        <c:axId val="179117440"/>
        <c:axId val="179135616"/>
      </c:barChart>
      <c:catAx>
        <c:axId val="1791174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79135616"/>
        <c:crosses val="autoZero"/>
        <c:auto val="1"/>
        <c:lblAlgn val="ctr"/>
        <c:lblOffset val="100"/>
        <c:noMultiLvlLbl val="0"/>
      </c:catAx>
      <c:valAx>
        <c:axId val="179135616"/>
        <c:scaling>
          <c:orientation val="minMax"/>
        </c:scaling>
        <c:delete val="0"/>
        <c:axPos val="b"/>
        <c:majorGridlines/>
        <c:numFmt formatCode="0%" sourceLinked="1"/>
        <c:majorTickMark val="none"/>
        <c:minorTickMark val="none"/>
        <c:tickLblPos val="nextTo"/>
        <c:spPr>
          <a:ln w="9525">
            <a:noFill/>
          </a:ln>
        </c:spPr>
        <c:crossAx val="1791174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List2!$A$23</c:f>
              <c:strCache>
                <c:ptCount val="1"/>
                <c:pt idx="0">
                  <c:v>glucose</c:v>
                </c:pt>
              </c:strCache>
            </c:strRef>
          </c:tx>
          <c:spPr>
            <a:solidFill>
              <a:schemeClr val="bg1">
                <a:lumMod val="95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81,6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82,4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85,9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85,3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87,9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89,1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89,3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87,0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89,6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89,4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91,0</a:t>
                    </a:r>
                    <a:r>
                      <a:rPr lang="cs-CZ"/>
                      <a:t>***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List2!$B$22:$L$22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List2!$B$23:$L$23</c:f>
              <c:numCache>
                <c:formatCode>0.0%</c:formatCode>
                <c:ptCount val="11"/>
                <c:pt idx="0">
                  <c:v>0.8157056950831274</c:v>
                </c:pt>
                <c:pt idx="1">
                  <c:v>0.82428115015974468</c:v>
                </c:pt>
                <c:pt idx="2">
                  <c:v>0.85888125613346467</c:v>
                </c:pt>
                <c:pt idx="3">
                  <c:v>0.85303913405495424</c:v>
                </c:pt>
                <c:pt idx="4">
                  <c:v>0.87851821192052981</c:v>
                </c:pt>
                <c:pt idx="5">
                  <c:v>0.89073379753615423</c:v>
                </c:pt>
                <c:pt idx="6">
                  <c:v>0.89315686274509798</c:v>
                </c:pt>
                <c:pt idx="7">
                  <c:v>0.87015503875969014</c:v>
                </c:pt>
                <c:pt idx="8">
                  <c:v>0.89637145079735481</c:v>
                </c:pt>
                <c:pt idx="9">
                  <c:v>0.89362024549174113</c:v>
                </c:pt>
                <c:pt idx="10">
                  <c:v>0.90981131785329905</c:v>
                </c:pt>
              </c:numCache>
            </c:numRef>
          </c:val>
        </c:ser>
        <c:ser>
          <c:idx val="1"/>
          <c:order val="1"/>
          <c:tx>
            <c:strRef>
              <c:f>List2!$A$24</c:f>
              <c:strCache>
                <c:ptCount val="1"/>
                <c:pt idx="0">
                  <c:v>cholesterol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34,0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34,0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37,3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42,3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42,9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44,9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46,9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50,1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49,7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46,6</a:t>
                    </a:r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48,8</a:t>
                    </a:r>
                    <a:r>
                      <a:rPr lang="cs-CZ"/>
                      <a:t>***</a:t>
                    </a:r>
                    <a:endParaRPr lang="en-US"/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List2!$B$22:$L$22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List2!$B$24:$L$24</c:f>
              <c:numCache>
                <c:formatCode>0.0%</c:formatCode>
                <c:ptCount val="11"/>
                <c:pt idx="0">
                  <c:v>0.34</c:v>
                </c:pt>
                <c:pt idx="1">
                  <c:v>0.34</c:v>
                </c:pt>
                <c:pt idx="2">
                  <c:v>0.37300000000000011</c:v>
                </c:pt>
                <c:pt idx="3">
                  <c:v>0.42300000000000015</c:v>
                </c:pt>
                <c:pt idx="4">
                  <c:v>0.42900000000000016</c:v>
                </c:pt>
                <c:pt idx="5">
                  <c:v>0.44900000000000001</c:v>
                </c:pt>
                <c:pt idx="6">
                  <c:v>0.46900000000000008</c:v>
                </c:pt>
                <c:pt idx="7">
                  <c:v>0.501</c:v>
                </c:pt>
                <c:pt idx="8">
                  <c:v>0.49700000000000011</c:v>
                </c:pt>
                <c:pt idx="9">
                  <c:v>0.46600000000000008</c:v>
                </c:pt>
                <c:pt idx="10">
                  <c:v>0.48800000000000016</c:v>
                </c:pt>
              </c:numCache>
            </c:numRef>
          </c:val>
        </c:ser>
        <c:ser>
          <c:idx val="2"/>
          <c:order val="2"/>
          <c:tx>
            <c:strRef>
              <c:f>List2!$A$25</c:f>
              <c:strCache>
                <c:ptCount val="1"/>
                <c:pt idx="0">
                  <c:v>triglycerides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54,6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53,6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55,9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61,5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61,1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62,1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64,4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66,6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68,2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65,4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en-US"/>
                      <a:t>67,1</a:t>
                    </a:r>
                    <a:r>
                      <a:rPr lang="cs-CZ"/>
                      <a:t>***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cs-C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List2!$B$22:$L$22</c:f>
              <c:numCache>
                <c:formatCode>General</c:formatCode>
                <c:ptCount val="11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</c:numCache>
            </c:numRef>
          </c:cat>
          <c:val>
            <c:numRef>
              <c:f>List2!$B$25:$L$25</c:f>
              <c:numCache>
                <c:formatCode>0.0%</c:formatCode>
                <c:ptCount val="11"/>
                <c:pt idx="0">
                  <c:v>0.54622871046228738</c:v>
                </c:pt>
                <c:pt idx="1">
                  <c:v>0.53566149297856636</c:v>
                </c:pt>
                <c:pt idx="2">
                  <c:v>0.5587885985748221</c:v>
                </c:pt>
                <c:pt idx="3">
                  <c:v>0.61506188378435078</c:v>
                </c:pt>
                <c:pt idx="4">
                  <c:v>0.61107628004179748</c:v>
                </c:pt>
                <c:pt idx="5">
                  <c:v>0.62100000000000022</c:v>
                </c:pt>
                <c:pt idx="6">
                  <c:v>0.6436708860759498</c:v>
                </c:pt>
                <c:pt idx="7">
                  <c:v>0.66600907476819926</c:v>
                </c:pt>
                <c:pt idx="8">
                  <c:v>0.68162393162393164</c:v>
                </c:pt>
                <c:pt idx="9">
                  <c:v>0.65359688917692782</c:v>
                </c:pt>
                <c:pt idx="10">
                  <c:v>0.67098814229249049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9302400"/>
        <c:axId val="179304320"/>
      </c:barChart>
      <c:catAx>
        <c:axId val="1793024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years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9304320"/>
        <c:crosses val="autoZero"/>
        <c:auto val="1"/>
        <c:lblAlgn val="ctr"/>
        <c:lblOffset val="100"/>
        <c:noMultiLvlLbl val="0"/>
      </c:catAx>
      <c:valAx>
        <c:axId val="179304320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793024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FF926-5953-4600-A892-F2FBAB53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6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Pavlík Vladimír</cp:lastModifiedBy>
  <cp:revision>32</cp:revision>
  <cp:lastPrinted>2014-11-20T08:55:00Z</cp:lastPrinted>
  <dcterms:created xsi:type="dcterms:W3CDTF">2014-11-18T11:52:00Z</dcterms:created>
  <dcterms:modified xsi:type="dcterms:W3CDTF">2014-11-20T13:37:00Z</dcterms:modified>
</cp:coreProperties>
</file>