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121" w:rsidRPr="00B41C65" w:rsidRDefault="00780121" w:rsidP="00481EAF">
      <w:pPr>
        <w:jc w:val="both"/>
        <w:rPr>
          <w:rFonts w:ascii="Times New Roman" w:hAnsi="Times New Roman" w:cs="Times New Roman"/>
          <w:b/>
          <w:i/>
          <w:sz w:val="24"/>
          <w:szCs w:val="24"/>
        </w:rPr>
      </w:pPr>
      <w:r w:rsidRPr="00B41C65">
        <w:rPr>
          <w:rFonts w:ascii="Times New Roman" w:hAnsi="Times New Roman" w:cs="Times New Roman"/>
          <w:b/>
          <w:i/>
          <w:sz w:val="24"/>
          <w:szCs w:val="24"/>
        </w:rPr>
        <w:t>Dear Editor,</w:t>
      </w:r>
    </w:p>
    <w:p w:rsidR="00780121" w:rsidRPr="00B41C65" w:rsidRDefault="00780121" w:rsidP="00481EAF">
      <w:pPr>
        <w:pStyle w:val="HTMLPreformatted"/>
        <w:shd w:val="clear" w:color="auto" w:fill="FFFFFF"/>
        <w:spacing w:line="255" w:lineRule="atLeast"/>
        <w:jc w:val="both"/>
        <w:rPr>
          <w:rFonts w:ascii="Times New Roman" w:hAnsi="Times New Roman" w:cs="Times New Roman"/>
          <w:b/>
          <w:i/>
          <w:color w:val="2A2A2A"/>
          <w:sz w:val="24"/>
          <w:szCs w:val="24"/>
        </w:rPr>
      </w:pPr>
      <w:r w:rsidRPr="00B41C65">
        <w:rPr>
          <w:rFonts w:ascii="Times New Roman" w:hAnsi="Times New Roman" w:cs="Times New Roman"/>
          <w:b/>
          <w:i/>
          <w:sz w:val="24"/>
          <w:szCs w:val="24"/>
        </w:rPr>
        <w:t>Thank you very much for all efforts that you and reviewers made reading our manuscript:</w:t>
      </w:r>
      <w:r w:rsidRPr="00B41C65">
        <w:rPr>
          <w:rFonts w:ascii="Times New Roman" w:hAnsi="Times New Roman" w:cs="Times New Roman"/>
          <w:b/>
          <w:i/>
          <w:color w:val="2A2A2A"/>
          <w:sz w:val="24"/>
          <w:szCs w:val="24"/>
        </w:rPr>
        <w:t xml:space="preserve"> </w:t>
      </w:r>
      <w:proofErr w:type="spellStart"/>
      <w:r w:rsidRPr="00B41C65">
        <w:rPr>
          <w:rFonts w:ascii="Times New Roman" w:hAnsi="Times New Roman" w:cs="Times New Roman"/>
          <w:b/>
          <w:i/>
          <w:sz w:val="24"/>
          <w:szCs w:val="24"/>
        </w:rPr>
        <w:t>Tacrolimus</w:t>
      </w:r>
      <w:proofErr w:type="spellEnd"/>
      <w:r w:rsidRPr="00B41C65">
        <w:rPr>
          <w:rFonts w:ascii="Times New Roman" w:hAnsi="Times New Roman" w:cs="Times New Roman"/>
          <w:b/>
          <w:i/>
          <w:sz w:val="24"/>
          <w:szCs w:val="24"/>
        </w:rPr>
        <w:t xml:space="preserve"> concentration/dose ratio as a therapeutic drug monitoring strategy: the influence of gender and co-medication. We </w:t>
      </w:r>
      <w:r w:rsidR="006671A1" w:rsidRPr="00B41C65">
        <w:rPr>
          <w:rFonts w:ascii="Times New Roman" w:hAnsi="Times New Roman" w:cs="Times New Roman"/>
          <w:b/>
          <w:i/>
          <w:sz w:val="24"/>
          <w:szCs w:val="24"/>
        </w:rPr>
        <w:t xml:space="preserve">have </w:t>
      </w:r>
      <w:r w:rsidRPr="00B41C65">
        <w:rPr>
          <w:rFonts w:ascii="Times New Roman" w:hAnsi="Times New Roman" w:cs="Times New Roman"/>
          <w:b/>
          <w:i/>
          <w:sz w:val="24"/>
          <w:szCs w:val="24"/>
        </w:rPr>
        <w:t xml:space="preserve">carefully read and discussed all </w:t>
      </w:r>
      <w:r w:rsidR="006671A1" w:rsidRPr="00B41C65">
        <w:rPr>
          <w:rFonts w:ascii="Times New Roman" w:hAnsi="Times New Roman" w:cs="Times New Roman"/>
          <w:b/>
          <w:i/>
          <w:sz w:val="24"/>
          <w:szCs w:val="24"/>
        </w:rPr>
        <w:t xml:space="preserve">the </w:t>
      </w:r>
      <w:r w:rsidRPr="00B41C65">
        <w:rPr>
          <w:rFonts w:ascii="Times New Roman" w:hAnsi="Times New Roman" w:cs="Times New Roman"/>
          <w:b/>
          <w:i/>
          <w:sz w:val="24"/>
          <w:szCs w:val="24"/>
        </w:rPr>
        <w:t xml:space="preserve">comments and suggestions and found that we can follow them and incorporate in the new version of this paper. </w:t>
      </w:r>
    </w:p>
    <w:p w:rsidR="00481EAF" w:rsidRPr="00B41C65" w:rsidRDefault="00481EAF" w:rsidP="00481EAF">
      <w:pPr>
        <w:spacing w:after="0" w:line="240" w:lineRule="auto"/>
        <w:jc w:val="both"/>
        <w:rPr>
          <w:rFonts w:ascii="Times New Roman" w:eastAsia="Times New Roman" w:hAnsi="Times New Roman" w:cs="Times New Roman"/>
          <w:b/>
          <w:i/>
          <w:color w:val="2A2A2A"/>
          <w:sz w:val="24"/>
          <w:szCs w:val="24"/>
        </w:rPr>
      </w:pPr>
    </w:p>
    <w:p w:rsidR="00780121" w:rsidRPr="00B41C65" w:rsidRDefault="00780121" w:rsidP="00481EAF">
      <w:pPr>
        <w:spacing w:after="0" w:line="240" w:lineRule="auto"/>
        <w:jc w:val="both"/>
        <w:rPr>
          <w:rFonts w:ascii="Times New Roman" w:eastAsia="Times New Roman" w:hAnsi="Times New Roman" w:cs="Times New Roman"/>
          <w:b/>
          <w:i/>
          <w:color w:val="2A2A2A"/>
          <w:sz w:val="24"/>
          <w:szCs w:val="24"/>
        </w:rPr>
      </w:pPr>
      <w:r w:rsidRPr="00B41C65">
        <w:rPr>
          <w:rFonts w:ascii="Times New Roman" w:eastAsia="Times New Roman" w:hAnsi="Times New Roman" w:cs="Times New Roman"/>
          <w:b/>
          <w:i/>
          <w:color w:val="2A2A2A"/>
          <w:sz w:val="24"/>
          <w:szCs w:val="24"/>
        </w:rPr>
        <w:t>Answer to the Reviewers' comments:</w:t>
      </w:r>
    </w:p>
    <w:p w:rsidR="00780121" w:rsidRPr="00481EAF" w:rsidRDefault="00780121" w:rsidP="00481EAF">
      <w:pPr>
        <w:shd w:val="clear" w:color="auto" w:fill="FFFFFF"/>
        <w:spacing w:line="276" w:lineRule="atLeast"/>
        <w:jc w:val="both"/>
        <w:rPr>
          <w:rFonts w:ascii="Times New Roman" w:eastAsia="Times New Roman" w:hAnsi="Times New Roman" w:cs="Times New Roman"/>
        </w:rPr>
      </w:pPr>
    </w:p>
    <w:p w:rsidR="00481EAF" w:rsidRDefault="0093652A" w:rsidP="00481EAF">
      <w:pPr>
        <w:shd w:val="clear" w:color="auto" w:fill="FFFFFF"/>
        <w:spacing w:line="276" w:lineRule="atLeast"/>
        <w:jc w:val="both"/>
        <w:rPr>
          <w:rFonts w:ascii="Times New Roman" w:eastAsia="Times New Roman" w:hAnsi="Times New Roman" w:cs="Times New Roman"/>
        </w:rPr>
      </w:pPr>
      <w:proofErr w:type="spellStart"/>
      <w:r w:rsidRPr="00481EAF">
        <w:rPr>
          <w:rFonts w:ascii="Times New Roman" w:eastAsia="Times New Roman" w:hAnsi="Times New Roman" w:cs="Times New Roman"/>
        </w:rPr>
        <w:t>Recenzent</w:t>
      </w:r>
      <w:proofErr w:type="spellEnd"/>
      <w:r w:rsidRPr="00481EAF">
        <w:rPr>
          <w:rFonts w:ascii="Times New Roman" w:eastAsia="Times New Roman" w:hAnsi="Times New Roman" w:cs="Times New Roman"/>
        </w:rPr>
        <w:t xml:space="preserve"> A:</w:t>
      </w:r>
    </w:p>
    <w:p w:rsidR="00DF343D" w:rsidRPr="00481EAF" w:rsidRDefault="0093652A" w:rsidP="00481EAF">
      <w:pPr>
        <w:shd w:val="clear" w:color="auto" w:fill="FFFFFF"/>
        <w:spacing w:line="276" w:lineRule="atLeast"/>
        <w:jc w:val="both"/>
        <w:rPr>
          <w:rFonts w:ascii="Times New Roman" w:eastAsia="Times New Roman" w:hAnsi="Times New Roman" w:cs="Times New Roman"/>
        </w:rPr>
      </w:pPr>
      <w:r w:rsidRPr="00481EAF">
        <w:rPr>
          <w:rFonts w:ascii="Times New Roman" w:eastAsia="Times New Roman" w:hAnsi="Times New Roman" w:cs="Times New Roman"/>
        </w:rPr>
        <w:br/>
      </w:r>
      <w:proofErr w:type="spellStart"/>
      <w:proofErr w:type="gramStart"/>
      <w:r w:rsidRPr="00481EAF">
        <w:rPr>
          <w:rFonts w:ascii="Times New Roman" w:eastAsia="Times New Roman" w:hAnsi="Times New Roman" w:cs="Times New Roman"/>
        </w:rPr>
        <w:t>Tema</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rukopisa</w:t>
      </w:r>
      <w:proofErr w:type="spellEnd"/>
      <w:r w:rsidRPr="00481EAF">
        <w:rPr>
          <w:rFonts w:ascii="Times New Roman" w:eastAsia="Times New Roman" w:hAnsi="Times New Roman" w:cs="Times New Roman"/>
        </w:rPr>
        <w:t xml:space="preserve"> je </w:t>
      </w:r>
      <w:proofErr w:type="spellStart"/>
      <w:r w:rsidRPr="00481EAF">
        <w:rPr>
          <w:rFonts w:ascii="Times New Roman" w:eastAsia="Times New Roman" w:hAnsi="Times New Roman" w:cs="Times New Roman"/>
        </w:rPr>
        <w:t>aktuelna</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i</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značajna</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za</w:t>
      </w:r>
      <w:proofErr w:type="spellEnd"/>
      <w:r w:rsidRPr="00481EAF">
        <w:rPr>
          <w:rFonts w:ascii="Times New Roman" w:eastAsia="Times New Roman" w:hAnsi="Times New Roman" w:cs="Times New Roman"/>
        </w:rPr>
        <w:t xml:space="preserve"> oblast </w:t>
      </w:r>
      <w:proofErr w:type="spellStart"/>
      <w:r w:rsidRPr="00481EAF">
        <w:rPr>
          <w:rFonts w:ascii="Times New Roman" w:eastAsia="Times New Roman" w:hAnsi="Times New Roman" w:cs="Times New Roman"/>
        </w:rPr>
        <w:t>farmakoterapije</w:t>
      </w:r>
      <w:proofErr w:type="spellEnd"/>
      <w:r w:rsid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transplantacije</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bubrega</w:t>
      </w:r>
      <w:proofErr w:type="spellEnd"/>
      <w:r w:rsidRPr="00481EAF">
        <w:rPr>
          <w:rFonts w:ascii="Times New Roman" w:eastAsia="Times New Roman" w:hAnsi="Times New Roman" w:cs="Times New Roman"/>
        </w:rPr>
        <w:t>.</w:t>
      </w:r>
      <w:proofErr w:type="gram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Polne</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razlike</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i</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interakcije</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lekova</w:t>
      </w:r>
      <w:proofErr w:type="spellEnd"/>
      <w:r w:rsidRPr="00481EAF">
        <w:rPr>
          <w:rFonts w:ascii="Times New Roman" w:eastAsia="Times New Roman" w:hAnsi="Times New Roman" w:cs="Times New Roman"/>
        </w:rPr>
        <w:t xml:space="preserve"> </w:t>
      </w:r>
      <w:proofErr w:type="spellStart"/>
      <w:proofErr w:type="gramStart"/>
      <w:r w:rsidRPr="00481EAF">
        <w:rPr>
          <w:rFonts w:ascii="Times New Roman" w:eastAsia="Times New Roman" w:hAnsi="Times New Roman" w:cs="Times New Roman"/>
        </w:rPr>
        <w:t>sa</w:t>
      </w:r>
      <w:proofErr w:type="spellEnd"/>
      <w:proofErr w:type="gram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takrolimusom</w:t>
      </w:r>
      <w:proofErr w:type="spellEnd"/>
      <w:r w:rsid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su</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predmet</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brojnih</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istraživanja</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Evaluacija</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odnosa</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koncentracije</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i</w:t>
      </w:r>
      <w:proofErr w:type="spellEnd"/>
      <w:r w:rsidRPr="00481EAF">
        <w:rPr>
          <w:rFonts w:ascii="Times New Roman" w:eastAsia="Times New Roman" w:hAnsi="Times New Roman" w:cs="Times New Roman"/>
        </w:rPr>
        <w:t xml:space="preserve"> doze</w:t>
      </w:r>
      <w:r w:rsid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takrolimusa</w:t>
      </w:r>
      <w:proofErr w:type="spellEnd"/>
      <w:r w:rsidRPr="00481EAF">
        <w:rPr>
          <w:rFonts w:ascii="Times New Roman" w:eastAsia="Times New Roman" w:hAnsi="Times New Roman" w:cs="Times New Roman"/>
        </w:rPr>
        <w:t xml:space="preserve"> </w:t>
      </w:r>
      <w:proofErr w:type="spellStart"/>
      <w:proofErr w:type="gramStart"/>
      <w:r w:rsidRPr="00481EAF">
        <w:rPr>
          <w:rFonts w:ascii="Times New Roman" w:eastAsia="Times New Roman" w:hAnsi="Times New Roman" w:cs="Times New Roman"/>
        </w:rPr>
        <w:t>na</w:t>
      </w:r>
      <w:proofErr w:type="spellEnd"/>
      <w:proofErr w:type="gram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dozni</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režim</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takrolimusa</w:t>
      </w:r>
      <w:proofErr w:type="spellEnd"/>
      <w:r w:rsidRPr="00481EAF">
        <w:rPr>
          <w:rFonts w:ascii="Times New Roman" w:eastAsia="Times New Roman" w:hAnsi="Times New Roman" w:cs="Times New Roman"/>
        </w:rPr>
        <w:t xml:space="preserve"> u </w:t>
      </w:r>
      <w:proofErr w:type="spellStart"/>
      <w:r w:rsidRPr="00481EAF">
        <w:rPr>
          <w:rFonts w:ascii="Times New Roman" w:eastAsia="Times New Roman" w:hAnsi="Times New Roman" w:cs="Times New Roman"/>
        </w:rPr>
        <w:t>pacijenata</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sa</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transplantiranim</w:t>
      </w:r>
      <w:proofErr w:type="spellEnd"/>
      <w:r w:rsid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bubregom</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može</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predstavljati</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novi</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pristup</w:t>
      </w:r>
      <w:proofErr w:type="spellEnd"/>
      <w:r w:rsidRPr="00481EAF">
        <w:rPr>
          <w:rFonts w:ascii="Times New Roman" w:eastAsia="Times New Roman" w:hAnsi="Times New Roman" w:cs="Times New Roman"/>
        </w:rPr>
        <w:t xml:space="preserve"> u </w:t>
      </w:r>
      <w:proofErr w:type="spellStart"/>
      <w:r w:rsidRPr="00481EAF">
        <w:rPr>
          <w:rFonts w:ascii="Times New Roman" w:eastAsia="Times New Roman" w:hAnsi="Times New Roman" w:cs="Times New Roman"/>
        </w:rPr>
        <w:t>terapijskom</w:t>
      </w:r>
      <w:proofErr w:type="spellEnd"/>
      <w:r w:rsidRPr="00481EAF">
        <w:rPr>
          <w:rFonts w:ascii="Times New Roman" w:eastAsia="Times New Roman" w:hAnsi="Times New Roman" w:cs="Times New Roman"/>
        </w:rPr>
        <w:t xml:space="preserve"> </w:t>
      </w:r>
      <w:r w:rsidR="00481EAF">
        <w:rPr>
          <w:rFonts w:ascii="Times New Roman" w:eastAsia="Times New Roman" w:hAnsi="Times New Roman" w:cs="Times New Roman"/>
        </w:rPr>
        <w:t xml:space="preserve">monitoring </w:t>
      </w:r>
      <w:proofErr w:type="spellStart"/>
      <w:r w:rsidRPr="00481EAF">
        <w:rPr>
          <w:rFonts w:ascii="Times New Roman" w:eastAsia="Times New Roman" w:hAnsi="Times New Roman" w:cs="Times New Roman"/>
        </w:rPr>
        <w:t>imunosupresivnih</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lekova</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Naslov</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rada</w:t>
      </w:r>
      <w:proofErr w:type="spellEnd"/>
      <w:r w:rsidRPr="00481EAF">
        <w:rPr>
          <w:rFonts w:ascii="Times New Roman" w:eastAsia="Times New Roman" w:hAnsi="Times New Roman" w:cs="Times New Roman"/>
        </w:rPr>
        <w:t xml:space="preserve"> je </w:t>
      </w:r>
      <w:proofErr w:type="spellStart"/>
      <w:r w:rsidRPr="00481EAF">
        <w:rPr>
          <w:rFonts w:ascii="Times New Roman" w:eastAsia="Times New Roman" w:hAnsi="Times New Roman" w:cs="Times New Roman"/>
        </w:rPr>
        <w:t>jasan</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i</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adekvatno</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označava</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njegov</w:t>
      </w:r>
      <w:proofErr w:type="spellEnd"/>
      <w:r w:rsid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sadržaj</w:t>
      </w:r>
      <w:proofErr w:type="spellEnd"/>
      <w:r w:rsidRPr="00481EAF">
        <w:rPr>
          <w:rFonts w:ascii="Times New Roman" w:eastAsia="Times New Roman" w:hAnsi="Times New Roman" w:cs="Times New Roman"/>
        </w:rPr>
        <w:t xml:space="preserve">. </w:t>
      </w:r>
      <w:proofErr w:type="spellStart"/>
      <w:proofErr w:type="gramStart"/>
      <w:r w:rsidRPr="00481EAF">
        <w:rPr>
          <w:rFonts w:ascii="Times New Roman" w:eastAsia="Times New Roman" w:hAnsi="Times New Roman" w:cs="Times New Roman"/>
        </w:rPr>
        <w:t>Primenjena</w:t>
      </w:r>
      <w:proofErr w:type="spellEnd"/>
      <w:r w:rsidRPr="00481EAF">
        <w:rPr>
          <w:rFonts w:ascii="Times New Roman" w:eastAsia="Times New Roman" w:hAnsi="Times New Roman" w:cs="Times New Roman"/>
        </w:rPr>
        <w:t xml:space="preserve"> je </w:t>
      </w:r>
      <w:proofErr w:type="spellStart"/>
      <w:r w:rsidRPr="00481EAF">
        <w:rPr>
          <w:rFonts w:ascii="Times New Roman" w:eastAsia="Times New Roman" w:hAnsi="Times New Roman" w:cs="Times New Roman"/>
        </w:rPr>
        <w:t>odgovarajuća</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statistička</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obrada</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i</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interpretacija</w:t>
      </w:r>
      <w:proofErr w:type="spellEnd"/>
      <w:r w:rsid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rezultata</w:t>
      </w:r>
      <w:proofErr w:type="spellEnd"/>
      <w:r w:rsidRPr="00481EAF">
        <w:rPr>
          <w:rFonts w:ascii="Times New Roman" w:eastAsia="Times New Roman" w:hAnsi="Times New Roman" w:cs="Times New Roman"/>
        </w:rPr>
        <w:t>.</w:t>
      </w:r>
      <w:proofErr w:type="gramEnd"/>
      <w:r w:rsidRPr="00481EAF">
        <w:rPr>
          <w:rFonts w:ascii="Times New Roman" w:eastAsia="Times New Roman" w:hAnsi="Times New Roman" w:cs="Times New Roman"/>
        </w:rPr>
        <w:t xml:space="preserve"> </w:t>
      </w:r>
      <w:proofErr w:type="gramStart"/>
      <w:r w:rsidRPr="00481EAF">
        <w:rPr>
          <w:rFonts w:ascii="Times New Roman" w:eastAsia="Times New Roman" w:hAnsi="Times New Roman" w:cs="Times New Roman"/>
        </w:rPr>
        <w:t xml:space="preserve">Reference </w:t>
      </w:r>
      <w:proofErr w:type="spellStart"/>
      <w:r w:rsidRPr="00481EAF">
        <w:rPr>
          <w:rFonts w:ascii="Times New Roman" w:eastAsia="Times New Roman" w:hAnsi="Times New Roman" w:cs="Times New Roman"/>
        </w:rPr>
        <w:t>su</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pravilno</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navedene</w:t>
      </w:r>
      <w:proofErr w:type="spellEnd"/>
      <w:r w:rsidRPr="00481EAF">
        <w:rPr>
          <w:rFonts w:ascii="Times New Roman" w:eastAsia="Times New Roman" w:hAnsi="Times New Roman" w:cs="Times New Roman"/>
        </w:rPr>
        <w:t xml:space="preserve"> u </w:t>
      </w:r>
      <w:proofErr w:type="spellStart"/>
      <w:r w:rsidRPr="00481EAF">
        <w:rPr>
          <w:rFonts w:ascii="Times New Roman" w:eastAsia="Times New Roman" w:hAnsi="Times New Roman" w:cs="Times New Roman"/>
        </w:rPr>
        <w:t>tekstu</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i</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poglavlju</w:t>
      </w:r>
      <w:proofErr w:type="spellEnd"/>
      <w:r w:rsidRPr="00481EAF">
        <w:rPr>
          <w:rFonts w:ascii="Times New Roman" w:eastAsia="Times New Roman" w:hAnsi="Times New Roman" w:cs="Times New Roman"/>
        </w:rPr>
        <w:t xml:space="preserve"> literature.</w:t>
      </w:r>
      <w:proofErr w:type="gramEnd"/>
      <w:r w:rsidRPr="00481EAF">
        <w:rPr>
          <w:rFonts w:ascii="Times New Roman" w:eastAsia="Times New Roman" w:hAnsi="Times New Roman" w:cs="Times New Roman"/>
        </w:rPr>
        <w:t xml:space="preserve"> S</w:t>
      </w:r>
      <w:r w:rsid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obzirom</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da</w:t>
      </w:r>
      <w:proofErr w:type="spellEnd"/>
      <w:r w:rsidRPr="00481EAF">
        <w:rPr>
          <w:rFonts w:ascii="Times New Roman" w:eastAsia="Times New Roman" w:hAnsi="Times New Roman" w:cs="Times New Roman"/>
        </w:rPr>
        <w:t xml:space="preserve"> se ne </w:t>
      </w:r>
      <w:proofErr w:type="spellStart"/>
      <w:r w:rsidRPr="00481EAF">
        <w:rPr>
          <w:rFonts w:ascii="Times New Roman" w:eastAsia="Times New Roman" w:hAnsi="Times New Roman" w:cs="Times New Roman"/>
        </w:rPr>
        <w:t>radi</w:t>
      </w:r>
      <w:proofErr w:type="spellEnd"/>
      <w:r w:rsidRPr="00481EAF">
        <w:rPr>
          <w:rFonts w:ascii="Times New Roman" w:eastAsia="Times New Roman" w:hAnsi="Times New Roman" w:cs="Times New Roman"/>
        </w:rPr>
        <w:t xml:space="preserve"> o </w:t>
      </w:r>
      <w:proofErr w:type="spellStart"/>
      <w:r w:rsidRPr="00481EAF">
        <w:rPr>
          <w:rFonts w:ascii="Times New Roman" w:eastAsia="Times New Roman" w:hAnsi="Times New Roman" w:cs="Times New Roman"/>
        </w:rPr>
        <w:t>preglednom</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radu</w:t>
      </w:r>
      <w:proofErr w:type="spellEnd"/>
      <w:r w:rsidRPr="00481EAF">
        <w:rPr>
          <w:rFonts w:ascii="Times New Roman" w:eastAsia="Times New Roman" w:hAnsi="Times New Roman" w:cs="Times New Roman"/>
        </w:rPr>
        <w:t xml:space="preserve">, u </w:t>
      </w:r>
      <w:proofErr w:type="spellStart"/>
      <w:r w:rsidRPr="00481EAF">
        <w:rPr>
          <w:rFonts w:ascii="Times New Roman" w:eastAsia="Times New Roman" w:hAnsi="Times New Roman" w:cs="Times New Roman"/>
        </w:rPr>
        <w:t>cilju</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njegove</w:t>
      </w:r>
      <w:proofErr w:type="spellEnd"/>
      <w:proofErr w:type="gramStart"/>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konciznosti</w:t>
      </w:r>
      <w:proofErr w:type="spellEnd"/>
      <w:proofErr w:type="gramEnd"/>
      <w:r w:rsid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potrebno</w:t>
      </w:r>
      <w:proofErr w:type="spellEnd"/>
      <w:r w:rsidRPr="00481EAF">
        <w:rPr>
          <w:rFonts w:ascii="Times New Roman" w:eastAsia="Times New Roman" w:hAnsi="Times New Roman" w:cs="Times New Roman"/>
        </w:rPr>
        <w:t xml:space="preserve"> je </w:t>
      </w:r>
      <w:proofErr w:type="spellStart"/>
      <w:r w:rsidRPr="00481EAF">
        <w:rPr>
          <w:rFonts w:ascii="Times New Roman" w:eastAsia="Times New Roman" w:hAnsi="Times New Roman" w:cs="Times New Roman"/>
        </w:rPr>
        <w:t>izbaciti</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tabelu</w:t>
      </w:r>
      <w:proofErr w:type="spellEnd"/>
      <w:r w:rsidRPr="00481EAF">
        <w:rPr>
          <w:rFonts w:ascii="Times New Roman" w:eastAsia="Times New Roman" w:hAnsi="Times New Roman" w:cs="Times New Roman"/>
        </w:rPr>
        <w:t xml:space="preserve"> 10.</w:t>
      </w:r>
    </w:p>
    <w:p w:rsidR="00DF343D" w:rsidRPr="00B41C65" w:rsidRDefault="00B4290A" w:rsidP="00481EAF">
      <w:pPr>
        <w:shd w:val="clear" w:color="auto" w:fill="FFFFFF"/>
        <w:spacing w:line="276" w:lineRule="atLeast"/>
        <w:jc w:val="both"/>
        <w:rPr>
          <w:rFonts w:ascii="Times New Roman" w:eastAsia="Times New Roman" w:hAnsi="Times New Roman" w:cs="Times New Roman"/>
          <w:b/>
          <w:i/>
          <w:sz w:val="24"/>
          <w:szCs w:val="24"/>
        </w:rPr>
      </w:pPr>
      <w:proofErr w:type="spellStart"/>
      <w:r w:rsidRPr="00B41C65">
        <w:rPr>
          <w:rFonts w:ascii="Times New Roman" w:eastAsia="Times New Roman" w:hAnsi="Times New Roman" w:cs="Times New Roman"/>
          <w:b/>
          <w:i/>
          <w:sz w:val="24"/>
          <w:szCs w:val="24"/>
        </w:rPr>
        <w:t>Hvala</w:t>
      </w:r>
      <w:proofErr w:type="spellEnd"/>
      <w:r w:rsidRPr="00B41C65">
        <w:rPr>
          <w:rFonts w:ascii="Times New Roman" w:eastAsia="Times New Roman" w:hAnsi="Times New Roman" w:cs="Times New Roman"/>
          <w:b/>
          <w:i/>
          <w:sz w:val="24"/>
          <w:szCs w:val="24"/>
        </w:rPr>
        <w:t xml:space="preserve"> </w:t>
      </w:r>
      <w:proofErr w:type="spellStart"/>
      <w:r w:rsidRPr="00B41C65">
        <w:rPr>
          <w:rFonts w:ascii="Times New Roman" w:eastAsia="Times New Roman" w:hAnsi="Times New Roman" w:cs="Times New Roman"/>
          <w:b/>
          <w:i/>
          <w:sz w:val="24"/>
          <w:szCs w:val="24"/>
        </w:rPr>
        <w:t>Vam</w:t>
      </w:r>
      <w:proofErr w:type="spellEnd"/>
      <w:r w:rsidRPr="00B41C65">
        <w:rPr>
          <w:rFonts w:ascii="Times New Roman" w:eastAsia="Times New Roman" w:hAnsi="Times New Roman" w:cs="Times New Roman"/>
          <w:b/>
          <w:i/>
          <w:sz w:val="24"/>
          <w:szCs w:val="24"/>
        </w:rPr>
        <w:t xml:space="preserve"> </w:t>
      </w:r>
      <w:proofErr w:type="spellStart"/>
      <w:proofErr w:type="gramStart"/>
      <w:r w:rsidRPr="00B41C65">
        <w:rPr>
          <w:rFonts w:ascii="Times New Roman" w:eastAsia="Times New Roman" w:hAnsi="Times New Roman" w:cs="Times New Roman"/>
          <w:b/>
          <w:i/>
          <w:sz w:val="24"/>
          <w:szCs w:val="24"/>
        </w:rPr>
        <w:t>na</w:t>
      </w:r>
      <w:proofErr w:type="spellEnd"/>
      <w:proofErr w:type="gramEnd"/>
      <w:r w:rsidRPr="00B41C65">
        <w:rPr>
          <w:rFonts w:ascii="Times New Roman" w:eastAsia="Times New Roman" w:hAnsi="Times New Roman" w:cs="Times New Roman"/>
          <w:b/>
          <w:i/>
          <w:sz w:val="24"/>
          <w:szCs w:val="24"/>
        </w:rPr>
        <w:t xml:space="preserve"> </w:t>
      </w:r>
      <w:proofErr w:type="spellStart"/>
      <w:r w:rsidRPr="00B41C65">
        <w:rPr>
          <w:rFonts w:ascii="Times New Roman" w:eastAsia="Times New Roman" w:hAnsi="Times New Roman" w:cs="Times New Roman"/>
          <w:b/>
          <w:i/>
          <w:sz w:val="24"/>
          <w:szCs w:val="24"/>
        </w:rPr>
        <w:t>izdvojenom</w:t>
      </w:r>
      <w:proofErr w:type="spellEnd"/>
      <w:r w:rsidRPr="00B41C65">
        <w:rPr>
          <w:rFonts w:ascii="Times New Roman" w:eastAsia="Times New Roman" w:hAnsi="Times New Roman" w:cs="Times New Roman"/>
          <w:b/>
          <w:i/>
          <w:sz w:val="24"/>
          <w:szCs w:val="24"/>
        </w:rPr>
        <w:t xml:space="preserve"> </w:t>
      </w:r>
      <w:proofErr w:type="spellStart"/>
      <w:r w:rsidRPr="00B41C65">
        <w:rPr>
          <w:rFonts w:ascii="Times New Roman" w:eastAsia="Times New Roman" w:hAnsi="Times New Roman" w:cs="Times New Roman"/>
          <w:b/>
          <w:i/>
          <w:sz w:val="24"/>
          <w:szCs w:val="24"/>
        </w:rPr>
        <w:t>vremenu</w:t>
      </w:r>
      <w:proofErr w:type="spellEnd"/>
      <w:r w:rsidRPr="00B41C65">
        <w:rPr>
          <w:rFonts w:ascii="Times New Roman" w:eastAsia="Times New Roman" w:hAnsi="Times New Roman" w:cs="Times New Roman"/>
          <w:b/>
          <w:i/>
          <w:sz w:val="24"/>
          <w:szCs w:val="24"/>
        </w:rPr>
        <w:t xml:space="preserve"> </w:t>
      </w:r>
      <w:proofErr w:type="spellStart"/>
      <w:r w:rsidRPr="00B41C65">
        <w:rPr>
          <w:rFonts w:ascii="Times New Roman" w:eastAsia="Times New Roman" w:hAnsi="Times New Roman" w:cs="Times New Roman"/>
          <w:b/>
          <w:i/>
          <w:sz w:val="24"/>
          <w:szCs w:val="24"/>
        </w:rPr>
        <w:t>i</w:t>
      </w:r>
      <w:proofErr w:type="spellEnd"/>
      <w:r w:rsidRPr="00B41C65">
        <w:rPr>
          <w:rFonts w:ascii="Times New Roman" w:eastAsia="Times New Roman" w:hAnsi="Times New Roman" w:cs="Times New Roman"/>
          <w:b/>
          <w:i/>
          <w:sz w:val="24"/>
          <w:szCs w:val="24"/>
        </w:rPr>
        <w:t xml:space="preserve"> </w:t>
      </w:r>
      <w:proofErr w:type="spellStart"/>
      <w:r w:rsidRPr="00B41C65">
        <w:rPr>
          <w:rFonts w:ascii="Times New Roman" w:eastAsia="Times New Roman" w:hAnsi="Times New Roman" w:cs="Times New Roman"/>
          <w:b/>
          <w:i/>
          <w:sz w:val="24"/>
          <w:szCs w:val="24"/>
        </w:rPr>
        <w:t>korisnim</w:t>
      </w:r>
      <w:proofErr w:type="spellEnd"/>
      <w:r w:rsidRPr="00B41C65">
        <w:rPr>
          <w:rFonts w:ascii="Times New Roman" w:eastAsia="Times New Roman" w:hAnsi="Times New Roman" w:cs="Times New Roman"/>
          <w:b/>
          <w:i/>
          <w:sz w:val="24"/>
          <w:szCs w:val="24"/>
        </w:rPr>
        <w:t xml:space="preserve"> </w:t>
      </w:r>
      <w:proofErr w:type="spellStart"/>
      <w:r w:rsidRPr="00B41C65">
        <w:rPr>
          <w:rFonts w:ascii="Times New Roman" w:eastAsia="Times New Roman" w:hAnsi="Times New Roman" w:cs="Times New Roman"/>
          <w:b/>
          <w:i/>
          <w:sz w:val="24"/>
          <w:szCs w:val="24"/>
        </w:rPr>
        <w:t>kritikama</w:t>
      </w:r>
      <w:proofErr w:type="spellEnd"/>
      <w:r w:rsidRPr="00B41C65">
        <w:rPr>
          <w:rFonts w:ascii="Times New Roman" w:eastAsia="Times New Roman" w:hAnsi="Times New Roman" w:cs="Times New Roman"/>
          <w:b/>
          <w:i/>
          <w:sz w:val="24"/>
          <w:szCs w:val="24"/>
        </w:rPr>
        <w:t xml:space="preserve">, </w:t>
      </w:r>
      <w:proofErr w:type="spellStart"/>
      <w:r w:rsidRPr="00B41C65">
        <w:rPr>
          <w:rFonts w:ascii="Times New Roman" w:eastAsia="Times New Roman" w:hAnsi="Times New Roman" w:cs="Times New Roman"/>
          <w:b/>
          <w:i/>
          <w:sz w:val="24"/>
          <w:szCs w:val="24"/>
        </w:rPr>
        <w:t>tabela</w:t>
      </w:r>
      <w:proofErr w:type="spellEnd"/>
      <w:r w:rsidRPr="00B41C65">
        <w:rPr>
          <w:rFonts w:ascii="Times New Roman" w:eastAsia="Times New Roman" w:hAnsi="Times New Roman" w:cs="Times New Roman"/>
          <w:b/>
          <w:i/>
          <w:sz w:val="24"/>
          <w:szCs w:val="24"/>
        </w:rPr>
        <w:t xml:space="preserve"> </w:t>
      </w:r>
      <w:proofErr w:type="spellStart"/>
      <w:r w:rsidRPr="00B41C65">
        <w:rPr>
          <w:rFonts w:ascii="Times New Roman" w:eastAsia="Times New Roman" w:hAnsi="Times New Roman" w:cs="Times New Roman"/>
          <w:b/>
          <w:i/>
          <w:sz w:val="24"/>
          <w:szCs w:val="24"/>
        </w:rPr>
        <w:t>broj</w:t>
      </w:r>
      <w:proofErr w:type="spellEnd"/>
      <w:r w:rsidRPr="00B41C65">
        <w:rPr>
          <w:rFonts w:ascii="Times New Roman" w:eastAsia="Times New Roman" w:hAnsi="Times New Roman" w:cs="Times New Roman"/>
          <w:b/>
          <w:i/>
          <w:sz w:val="24"/>
          <w:szCs w:val="24"/>
        </w:rPr>
        <w:t xml:space="preserve"> 10 je </w:t>
      </w:r>
      <w:proofErr w:type="spellStart"/>
      <w:r w:rsidRPr="00B41C65">
        <w:rPr>
          <w:rFonts w:ascii="Times New Roman" w:eastAsia="Times New Roman" w:hAnsi="Times New Roman" w:cs="Times New Roman"/>
          <w:b/>
          <w:i/>
          <w:sz w:val="24"/>
          <w:szCs w:val="24"/>
        </w:rPr>
        <w:t>izbrisana</w:t>
      </w:r>
      <w:proofErr w:type="spellEnd"/>
      <w:r w:rsidRPr="00B41C65">
        <w:rPr>
          <w:rFonts w:ascii="Times New Roman" w:eastAsia="Times New Roman" w:hAnsi="Times New Roman" w:cs="Times New Roman"/>
          <w:b/>
          <w:i/>
          <w:sz w:val="24"/>
          <w:szCs w:val="24"/>
        </w:rPr>
        <w:t xml:space="preserve"> </w:t>
      </w:r>
      <w:proofErr w:type="spellStart"/>
      <w:r w:rsidRPr="00B41C65">
        <w:rPr>
          <w:rFonts w:ascii="Times New Roman" w:eastAsia="Times New Roman" w:hAnsi="Times New Roman" w:cs="Times New Roman"/>
          <w:b/>
          <w:i/>
          <w:sz w:val="24"/>
          <w:szCs w:val="24"/>
        </w:rPr>
        <w:t>iz</w:t>
      </w:r>
      <w:proofErr w:type="spellEnd"/>
      <w:r w:rsidRPr="00B41C65">
        <w:rPr>
          <w:rFonts w:ascii="Times New Roman" w:eastAsia="Times New Roman" w:hAnsi="Times New Roman" w:cs="Times New Roman"/>
          <w:b/>
          <w:i/>
          <w:sz w:val="24"/>
          <w:szCs w:val="24"/>
        </w:rPr>
        <w:t xml:space="preserve"> </w:t>
      </w:r>
      <w:proofErr w:type="spellStart"/>
      <w:r w:rsidRPr="00B41C65">
        <w:rPr>
          <w:rFonts w:ascii="Times New Roman" w:eastAsia="Times New Roman" w:hAnsi="Times New Roman" w:cs="Times New Roman"/>
          <w:b/>
          <w:i/>
          <w:sz w:val="24"/>
          <w:szCs w:val="24"/>
        </w:rPr>
        <w:t>diskusije</w:t>
      </w:r>
      <w:proofErr w:type="spellEnd"/>
      <w:r w:rsidRPr="00B41C65">
        <w:rPr>
          <w:rFonts w:ascii="Times New Roman" w:eastAsia="Times New Roman" w:hAnsi="Times New Roman" w:cs="Times New Roman"/>
          <w:b/>
          <w:i/>
          <w:sz w:val="24"/>
          <w:szCs w:val="24"/>
        </w:rPr>
        <w:t>.</w:t>
      </w:r>
    </w:p>
    <w:p w:rsidR="00481EAF" w:rsidRDefault="0093652A" w:rsidP="00481EAF">
      <w:pPr>
        <w:shd w:val="clear" w:color="auto" w:fill="FFFFFF"/>
        <w:spacing w:line="276" w:lineRule="atLeast"/>
        <w:jc w:val="both"/>
        <w:rPr>
          <w:rFonts w:ascii="Times New Roman" w:eastAsia="Times New Roman" w:hAnsi="Times New Roman" w:cs="Times New Roman"/>
        </w:rPr>
      </w:pPr>
      <w:r w:rsidRPr="00481EAF">
        <w:rPr>
          <w:rFonts w:ascii="Times New Roman" w:eastAsia="Times New Roman" w:hAnsi="Times New Roman" w:cs="Times New Roman"/>
        </w:rPr>
        <w:br/>
      </w:r>
      <w:r w:rsidRPr="00481EAF">
        <w:rPr>
          <w:rFonts w:ascii="Times New Roman" w:eastAsia="Times New Roman" w:hAnsi="Times New Roman" w:cs="Times New Roman"/>
        </w:rPr>
        <w:br/>
      </w:r>
      <w:proofErr w:type="spellStart"/>
      <w:r w:rsidRPr="00481EAF">
        <w:rPr>
          <w:rFonts w:ascii="Times New Roman" w:eastAsia="Times New Roman" w:hAnsi="Times New Roman" w:cs="Times New Roman"/>
        </w:rPr>
        <w:t>Recenzent</w:t>
      </w:r>
      <w:proofErr w:type="spellEnd"/>
      <w:r w:rsidRPr="00481EAF">
        <w:rPr>
          <w:rFonts w:ascii="Times New Roman" w:eastAsia="Times New Roman" w:hAnsi="Times New Roman" w:cs="Times New Roman"/>
        </w:rPr>
        <w:t xml:space="preserve"> B:</w:t>
      </w:r>
    </w:p>
    <w:p w:rsidR="00481EAF" w:rsidRDefault="0093652A" w:rsidP="00481EAF">
      <w:pPr>
        <w:shd w:val="clear" w:color="auto" w:fill="FFFFFF"/>
        <w:spacing w:line="276" w:lineRule="atLeast"/>
        <w:jc w:val="both"/>
        <w:rPr>
          <w:rFonts w:ascii="Times New Roman" w:eastAsia="Times New Roman" w:hAnsi="Times New Roman" w:cs="Times New Roman"/>
        </w:rPr>
      </w:pPr>
      <w:r w:rsidRPr="00481EAF">
        <w:rPr>
          <w:rFonts w:ascii="Times New Roman" w:eastAsia="Times New Roman" w:hAnsi="Times New Roman" w:cs="Times New Roman"/>
        </w:rPr>
        <w:br/>
        <w:t xml:space="preserve">In the manuscript entitled </w:t>
      </w:r>
      <w:proofErr w:type="spellStart"/>
      <w:r w:rsidRPr="00481EAF">
        <w:rPr>
          <w:rFonts w:ascii="Times New Roman" w:eastAsia="Times New Roman" w:hAnsi="Times New Roman" w:cs="Times New Roman"/>
        </w:rPr>
        <w:t>Tacrolimus</w:t>
      </w:r>
      <w:proofErr w:type="spellEnd"/>
      <w:r w:rsidRPr="00481EAF">
        <w:rPr>
          <w:rFonts w:ascii="Times New Roman" w:eastAsia="Times New Roman" w:hAnsi="Times New Roman" w:cs="Times New Roman"/>
        </w:rPr>
        <w:t xml:space="preserve"> concentration/dose ratio as a</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therapeutic drug monitoring strategy: the influence of gender and</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 xml:space="preserve">co-medication the authors used </w:t>
      </w:r>
      <w:proofErr w:type="spellStart"/>
      <w:r w:rsidRPr="00481EAF">
        <w:rPr>
          <w:rFonts w:ascii="Times New Roman" w:eastAsia="Times New Roman" w:hAnsi="Times New Roman" w:cs="Times New Roman"/>
        </w:rPr>
        <w:t>Ctrough</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tacrolimus</w:t>
      </w:r>
      <w:proofErr w:type="spellEnd"/>
      <w:r w:rsidRPr="00481EAF">
        <w:rPr>
          <w:rFonts w:ascii="Times New Roman" w:eastAsia="Times New Roman" w:hAnsi="Times New Roman" w:cs="Times New Roman"/>
        </w:rPr>
        <w:t xml:space="preserve"> (TTC) to assess the effect</w:t>
      </w:r>
      <w:r w:rsidRPr="00481EAF">
        <w:rPr>
          <w:rFonts w:ascii="Times New Roman" w:eastAsia="Times New Roman" w:hAnsi="Times New Roman" w:cs="Times New Roman"/>
        </w:rPr>
        <w:br/>
        <w:t xml:space="preserve">of gender and co-medication on </w:t>
      </w:r>
      <w:proofErr w:type="spellStart"/>
      <w:r w:rsidRPr="00481EAF">
        <w:rPr>
          <w:rFonts w:ascii="Times New Roman" w:eastAsia="Times New Roman" w:hAnsi="Times New Roman" w:cs="Times New Roman"/>
        </w:rPr>
        <w:t>tacrolimus</w:t>
      </w:r>
      <w:proofErr w:type="spellEnd"/>
      <w:r w:rsidRPr="00481EAF">
        <w:rPr>
          <w:rFonts w:ascii="Times New Roman" w:eastAsia="Times New Roman" w:hAnsi="Times New Roman" w:cs="Times New Roman"/>
        </w:rPr>
        <w:t xml:space="preserve"> concentration-dose ratio (C/D).</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The study included 54 patients with mean follow-up time of 636.70 ± 209.28</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days after transplantation, which were divided into three groups according</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to co-medication with prednisone (a group with doses &lt; 0.15 mg/kg, a group</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with doses from 0.15-0.25 mg/kg and a group with doses &gt; 0.25 mg/kg). Main</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results in the article indicate the effect of gender and co-medication with</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 xml:space="preserve">PPI and calcium channel blockers on </w:t>
      </w:r>
      <w:proofErr w:type="spellStart"/>
      <w:r w:rsidRPr="00481EAF">
        <w:rPr>
          <w:rFonts w:ascii="Times New Roman" w:eastAsia="Times New Roman" w:hAnsi="Times New Roman" w:cs="Times New Roman"/>
        </w:rPr>
        <w:t>tacrolimus</w:t>
      </w:r>
      <w:proofErr w:type="spellEnd"/>
      <w:r w:rsidRPr="00481EAF">
        <w:rPr>
          <w:rFonts w:ascii="Times New Roman" w:eastAsia="Times New Roman" w:hAnsi="Times New Roman" w:cs="Times New Roman"/>
        </w:rPr>
        <w:t xml:space="preserve"> pharmacokinetics.</w:t>
      </w:r>
      <w:r w:rsidRPr="00481EAF">
        <w:rPr>
          <w:rFonts w:ascii="Times New Roman" w:eastAsia="Times New Roman" w:hAnsi="Times New Roman" w:cs="Times New Roman"/>
        </w:rPr>
        <w:br/>
      </w:r>
      <w:r w:rsidRPr="00481EAF">
        <w:rPr>
          <w:rFonts w:ascii="Times New Roman" w:eastAsia="Times New Roman" w:hAnsi="Times New Roman" w:cs="Times New Roman"/>
        </w:rPr>
        <w:br/>
        <w:t>Generally, the article is very well written. The sentences’ structures and</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organization of the manuscript are in compliance with the requirements of</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the journal. Perhaps fewer tables in the article would be more suitable for</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the publication. Considering the novelty and originality of the research,</w:t>
      </w:r>
      <w:r w:rsid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tacrolimus</w:t>
      </w:r>
      <w:proofErr w:type="spellEnd"/>
      <w:r w:rsidRPr="00481EAF">
        <w:rPr>
          <w:rFonts w:ascii="Times New Roman" w:eastAsia="Times New Roman" w:hAnsi="Times New Roman" w:cs="Times New Roman"/>
        </w:rPr>
        <w:t xml:space="preserve"> TDM is still in focus of clinical practice (although there are</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numerous articles in this area), and identification of the sources of</w:t>
      </w:r>
      <w:r w:rsid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tacrolimus</w:t>
      </w:r>
      <w:proofErr w:type="spellEnd"/>
      <w:r w:rsidRPr="00481EAF">
        <w:rPr>
          <w:rFonts w:ascii="Times New Roman" w:eastAsia="Times New Roman" w:hAnsi="Times New Roman" w:cs="Times New Roman"/>
        </w:rPr>
        <w:t xml:space="preserve"> pharmacokinetic variability is of a great importance for</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appropriate dosing of the drug.</w:t>
      </w:r>
    </w:p>
    <w:p w:rsidR="00481EAF" w:rsidRDefault="0093652A" w:rsidP="00481EAF">
      <w:pPr>
        <w:shd w:val="clear" w:color="auto" w:fill="FFFFFF"/>
        <w:spacing w:line="276" w:lineRule="atLeast"/>
        <w:jc w:val="both"/>
        <w:rPr>
          <w:rFonts w:ascii="Times New Roman" w:eastAsia="Times New Roman" w:hAnsi="Times New Roman" w:cs="Times New Roman"/>
        </w:rPr>
      </w:pPr>
      <w:r w:rsidRPr="00481EAF">
        <w:rPr>
          <w:rFonts w:ascii="Times New Roman" w:eastAsia="Times New Roman" w:hAnsi="Times New Roman" w:cs="Times New Roman"/>
        </w:rPr>
        <w:t>However, there are some specific concerns that should be addressed before</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publication. None of them is disputing the correctness of the data but some</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raise doubts about the proper data analysis and consequently usefulness</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and/or the scientific significance of the study results.</w:t>
      </w:r>
    </w:p>
    <w:p w:rsidR="00DF343D" w:rsidRPr="00481EAF" w:rsidRDefault="0093652A" w:rsidP="00481EAF">
      <w:pPr>
        <w:shd w:val="clear" w:color="auto" w:fill="FFFFFF"/>
        <w:spacing w:line="276" w:lineRule="atLeast"/>
        <w:jc w:val="both"/>
        <w:rPr>
          <w:rFonts w:ascii="Times New Roman" w:eastAsia="Times New Roman" w:hAnsi="Times New Roman" w:cs="Times New Roman"/>
        </w:rPr>
      </w:pPr>
      <w:r w:rsidRPr="00481EAF">
        <w:rPr>
          <w:rFonts w:ascii="Times New Roman" w:eastAsia="Times New Roman" w:hAnsi="Times New Roman" w:cs="Times New Roman"/>
        </w:rPr>
        <w:lastRenderedPageBreak/>
        <w:br/>
        <w:t xml:space="preserve">1. A major concern is the validity of gender effect on </w:t>
      </w:r>
      <w:proofErr w:type="spellStart"/>
      <w:r w:rsidRPr="00481EAF">
        <w:rPr>
          <w:rFonts w:ascii="Times New Roman" w:eastAsia="Times New Roman" w:hAnsi="Times New Roman" w:cs="Times New Roman"/>
        </w:rPr>
        <w:t>tacrolimus</w:t>
      </w:r>
      <w:proofErr w:type="spellEnd"/>
      <w:r w:rsidRPr="00481EAF">
        <w:rPr>
          <w:rFonts w:ascii="Times New Roman" w:eastAsia="Times New Roman" w:hAnsi="Times New Roman" w:cs="Times New Roman"/>
        </w:rPr>
        <w:t xml:space="preserve"> C/D for</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several reasons. Females’ body weights were significantly lower compared</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 xml:space="preserve">to men (Table 1), and </w:t>
      </w:r>
      <w:proofErr w:type="spellStart"/>
      <w:r w:rsidRPr="00481EAF">
        <w:rPr>
          <w:rFonts w:ascii="Times New Roman" w:eastAsia="Times New Roman" w:hAnsi="Times New Roman" w:cs="Times New Roman"/>
        </w:rPr>
        <w:t>tacrolimus</w:t>
      </w:r>
      <w:proofErr w:type="spellEnd"/>
      <w:r w:rsidRPr="00481EAF">
        <w:rPr>
          <w:rFonts w:ascii="Times New Roman" w:eastAsia="Times New Roman" w:hAnsi="Times New Roman" w:cs="Times New Roman"/>
        </w:rPr>
        <w:t xml:space="preserve"> daily dose (TDD) and consequently C are</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lower in female patients (Table 2). Hence, it is needed to clarify how</w:t>
      </w:r>
      <w:r w:rsid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tacrolimus</w:t>
      </w:r>
      <w:proofErr w:type="spellEnd"/>
      <w:r w:rsidRPr="00481EAF">
        <w:rPr>
          <w:rFonts w:ascii="Times New Roman" w:eastAsia="Times New Roman" w:hAnsi="Times New Roman" w:cs="Times New Roman"/>
        </w:rPr>
        <w:t xml:space="preserve"> dosing regimen (dose) was calculated/assessed, and together with</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body weight distribution it should represent a cornerstone of discussion.</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Especially it should be explained why by default gender was used as factor</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 xml:space="preserve">for defining groups. Due to rather </w:t>
      </w:r>
      <w:proofErr w:type="spellStart"/>
      <w:r w:rsidRPr="00481EAF">
        <w:rPr>
          <w:rFonts w:ascii="Times New Roman" w:eastAsia="Times New Roman" w:hAnsi="Times New Roman" w:cs="Times New Roman"/>
        </w:rPr>
        <w:t>heterogenous</w:t>
      </w:r>
      <w:proofErr w:type="spellEnd"/>
      <w:r w:rsidRPr="00481EAF">
        <w:rPr>
          <w:rFonts w:ascii="Times New Roman" w:eastAsia="Times New Roman" w:hAnsi="Times New Roman" w:cs="Times New Roman"/>
        </w:rPr>
        <w:t xml:space="preserve"> group of patients (Table 2</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shows that male and female patients had significantly different biochemical</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profiles), other factors may more or less contributes to variability of</w:t>
      </w:r>
      <w:r w:rsid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tacrolimus</w:t>
      </w:r>
      <w:proofErr w:type="spellEnd"/>
      <w:r w:rsidRPr="00481EAF">
        <w:rPr>
          <w:rFonts w:ascii="Times New Roman" w:eastAsia="Times New Roman" w:hAnsi="Times New Roman" w:cs="Times New Roman"/>
        </w:rPr>
        <w:t xml:space="preserve"> pharmacokinetics, and their effects sometimes can overlap with</w:t>
      </w:r>
      <w:r w:rsidRPr="00481EAF">
        <w:rPr>
          <w:rFonts w:ascii="Times New Roman" w:eastAsia="Times New Roman" w:hAnsi="Times New Roman" w:cs="Times New Roman"/>
        </w:rPr>
        <w:br/>
        <w:t>gender. Perhaps if the patients were divided according to one of biochemical</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parameters, similar results would be expected. Moreover, dividing</w:t>
      </w:r>
      <w:r w:rsid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heterogenous</w:t>
      </w:r>
      <w:proofErr w:type="spellEnd"/>
      <w:r w:rsidRPr="00481EAF">
        <w:rPr>
          <w:rFonts w:ascii="Times New Roman" w:eastAsia="Times New Roman" w:hAnsi="Times New Roman" w:cs="Times New Roman"/>
        </w:rPr>
        <w:t xml:space="preserve"> population into two groups (male, female) and additionally into</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two based on concomitant therapies (PPI-</w:t>
      </w:r>
      <w:proofErr w:type="spellStart"/>
      <w:r w:rsidRPr="00481EAF">
        <w:rPr>
          <w:rFonts w:ascii="Times New Roman" w:eastAsia="Times New Roman" w:hAnsi="Times New Roman" w:cs="Times New Roman"/>
        </w:rPr>
        <w:t>noPPI</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CaB-noCaB</w:t>
      </w:r>
      <w:proofErr w:type="spellEnd"/>
      <w:r w:rsidRPr="00481EAF">
        <w:rPr>
          <w:rFonts w:ascii="Times New Roman" w:eastAsia="Times New Roman" w:hAnsi="Times New Roman" w:cs="Times New Roman"/>
        </w:rPr>
        <w:t>) without keeping</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 xml:space="preserve">the groups based on prednisone dose (which influences </w:t>
      </w:r>
      <w:proofErr w:type="spellStart"/>
      <w:r w:rsidRPr="00481EAF">
        <w:rPr>
          <w:rFonts w:ascii="Times New Roman" w:eastAsia="Times New Roman" w:hAnsi="Times New Roman" w:cs="Times New Roman"/>
        </w:rPr>
        <w:t>tacrolimus</w:t>
      </w:r>
      <w:proofErr w:type="spellEnd"/>
      <w:r w:rsidRPr="00481EAF">
        <w:rPr>
          <w:rFonts w:ascii="Times New Roman" w:eastAsia="Times New Roman" w:hAnsi="Times New Roman" w:cs="Times New Roman"/>
        </w:rPr>
        <w:t xml:space="preserve"> PK) may</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lead to bias. Hence, using student t-test or Mann-Whitney U test does not</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seem completely appropriate in this data analysis, and perhaps testing all</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 xml:space="preserve">possible factors on </w:t>
      </w:r>
      <w:proofErr w:type="spellStart"/>
      <w:r w:rsidRPr="00481EAF">
        <w:rPr>
          <w:rFonts w:ascii="Times New Roman" w:eastAsia="Times New Roman" w:hAnsi="Times New Roman" w:cs="Times New Roman"/>
        </w:rPr>
        <w:t>tacrolimus</w:t>
      </w:r>
      <w:proofErr w:type="spellEnd"/>
      <w:r w:rsidRPr="00481EAF">
        <w:rPr>
          <w:rFonts w:ascii="Times New Roman" w:eastAsia="Times New Roman" w:hAnsi="Times New Roman" w:cs="Times New Roman"/>
        </w:rPr>
        <w:t xml:space="preserve"> C/D simultaneously would be more suitable,</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 xml:space="preserve">and it would reveal or confirm “real” sources of </w:t>
      </w:r>
      <w:proofErr w:type="spellStart"/>
      <w:r w:rsidRPr="00481EAF">
        <w:rPr>
          <w:rFonts w:ascii="Times New Roman" w:eastAsia="Times New Roman" w:hAnsi="Times New Roman" w:cs="Times New Roman"/>
        </w:rPr>
        <w:t>tacrolimus</w:t>
      </w:r>
      <w:proofErr w:type="spellEnd"/>
      <w:r w:rsidRPr="00481EAF">
        <w:rPr>
          <w:rFonts w:ascii="Times New Roman" w:eastAsia="Times New Roman" w:hAnsi="Times New Roman" w:cs="Times New Roman"/>
        </w:rPr>
        <w:t xml:space="preserve"> variability</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observed in patients in the study. Furthermore, Figure 1 shows great</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variability in primary outcomes of the study, wide 25-75th percentiles,</w:t>
      </w:r>
      <w:r w:rsidRPr="00481EAF">
        <w:rPr>
          <w:rFonts w:ascii="Times New Roman" w:eastAsia="Times New Roman" w:hAnsi="Times New Roman" w:cs="Times New Roman"/>
        </w:rPr>
        <w:br/>
        <w:t>overlapping in ranges of primary outcome values between groups, and too many</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outliers, while the conclusions in the article are made solely on the</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results from average/median values without critical appraisal.</w:t>
      </w:r>
    </w:p>
    <w:p w:rsidR="001C1C78" w:rsidRPr="00B41C65" w:rsidRDefault="001C1C78" w:rsidP="00481EAF">
      <w:pPr>
        <w:shd w:val="clear" w:color="auto" w:fill="FFFFFF"/>
        <w:spacing w:line="276" w:lineRule="atLeast"/>
        <w:jc w:val="both"/>
        <w:rPr>
          <w:rFonts w:ascii="Times New Roman" w:hAnsi="Times New Roman" w:cs="Times New Roman"/>
          <w:b/>
          <w:i/>
          <w:sz w:val="24"/>
          <w:szCs w:val="24"/>
        </w:rPr>
      </w:pPr>
      <w:r w:rsidRPr="00B41C65">
        <w:rPr>
          <w:rFonts w:ascii="Times New Roman" w:eastAsia="Times New Roman" w:hAnsi="Times New Roman" w:cs="Times New Roman"/>
          <w:b/>
          <w:i/>
          <w:sz w:val="24"/>
          <w:szCs w:val="24"/>
        </w:rPr>
        <w:t xml:space="preserve">According to your suggestion </w:t>
      </w:r>
      <w:r w:rsidRPr="00B41C65">
        <w:rPr>
          <w:rFonts w:ascii="Times New Roman" w:hAnsi="Times New Roman" w:cs="Times New Roman"/>
          <w:b/>
          <w:i/>
          <w:sz w:val="24"/>
          <w:szCs w:val="24"/>
        </w:rPr>
        <w:t xml:space="preserve">Two-way between-groups analysis of variance has been performed, and mutual influence of gender and co-medication has been estimated. This analysis confirmed already obtained </w:t>
      </w:r>
      <w:r w:rsidR="00D57E86" w:rsidRPr="00B41C65">
        <w:rPr>
          <w:rFonts w:ascii="Times New Roman" w:hAnsi="Times New Roman" w:cs="Times New Roman"/>
          <w:b/>
          <w:i/>
          <w:sz w:val="24"/>
          <w:szCs w:val="24"/>
        </w:rPr>
        <w:t xml:space="preserve">results in our study.  </w:t>
      </w:r>
      <w:r w:rsidR="000A3C69" w:rsidRPr="00B41C65">
        <w:rPr>
          <w:rFonts w:ascii="Times New Roman" w:hAnsi="Times New Roman" w:cs="Times New Roman"/>
          <w:b/>
          <w:i/>
          <w:sz w:val="24"/>
          <w:szCs w:val="24"/>
        </w:rPr>
        <w:t>Namely, w</w:t>
      </w:r>
      <w:r w:rsidR="00D57E86" w:rsidRPr="00B41C65">
        <w:rPr>
          <w:rFonts w:ascii="Times New Roman" w:hAnsi="Times New Roman" w:cs="Times New Roman"/>
          <w:b/>
          <w:i/>
          <w:sz w:val="24"/>
          <w:szCs w:val="24"/>
        </w:rPr>
        <w:t xml:space="preserve">hen dependent variables were both TTC and </w:t>
      </w:r>
      <w:proofErr w:type="spellStart"/>
      <w:r w:rsidR="00D57E86" w:rsidRPr="00B41C65">
        <w:rPr>
          <w:rFonts w:ascii="Times New Roman" w:hAnsi="Times New Roman" w:cs="Times New Roman"/>
          <w:b/>
          <w:i/>
          <w:sz w:val="24"/>
          <w:szCs w:val="24"/>
        </w:rPr>
        <w:t>tacrolimus</w:t>
      </w:r>
      <w:proofErr w:type="spellEnd"/>
      <w:r w:rsidR="00D57E86" w:rsidRPr="00B41C65">
        <w:rPr>
          <w:rFonts w:ascii="Times New Roman" w:hAnsi="Times New Roman" w:cs="Times New Roman"/>
          <w:b/>
          <w:i/>
          <w:sz w:val="24"/>
          <w:szCs w:val="24"/>
        </w:rPr>
        <w:t xml:space="preserve"> C/D ratio, statistically significant individual influence of gender was substantiated, like it was already shown with other performed statistical method</w:t>
      </w:r>
      <w:r w:rsidR="00B551E8" w:rsidRPr="00B41C65">
        <w:rPr>
          <w:rFonts w:ascii="Times New Roman" w:hAnsi="Times New Roman" w:cs="Times New Roman"/>
          <w:b/>
          <w:i/>
          <w:sz w:val="24"/>
          <w:szCs w:val="24"/>
        </w:rPr>
        <w:t>s</w:t>
      </w:r>
      <w:r w:rsidR="00D57E86" w:rsidRPr="00B41C65">
        <w:rPr>
          <w:rFonts w:ascii="Times New Roman" w:hAnsi="Times New Roman" w:cs="Times New Roman"/>
          <w:b/>
          <w:i/>
          <w:sz w:val="24"/>
          <w:szCs w:val="24"/>
        </w:rPr>
        <w:t xml:space="preserve">. It actually justified our aim to divide patients according to gender, although it is </w:t>
      </w:r>
      <w:r w:rsidR="009F711E" w:rsidRPr="00B41C65">
        <w:rPr>
          <w:rFonts w:ascii="Times New Roman" w:hAnsi="Times New Roman" w:cs="Times New Roman"/>
          <w:b/>
          <w:i/>
          <w:sz w:val="24"/>
          <w:szCs w:val="24"/>
        </w:rPr>
        <w:t xml:space="preserve">based on already known facts, as well as performed investigations cited in the literature. </w:t>
      </w:r>
      <w:r w:rsidR="00BD616F" w:rsidRPr="00B41C65">
        <w:rPr>
          <w:rFonts w:ascii="Times New Roman" w:hAnsi="Times New Roman" w:cs="Times New Roman"/>
          <w:b/>
          <w:i/>
          <w:sz w:val="24"/>
          <w:szCs w:val="24"/>
        </w:rPr>
        <w:t xml:space="preserve"> </w:t>
      </w:r>
      <w:r w:rsidR="00C3792E" w:rsidRPr="00B41C65">
        <w:rPr>
          <w:rFonts w:ascii="Times New Roman" w:hAnsi="Times New Roman" w:cs="Times New Roman"/>
          <w:b/>
          <w:i/>
          <w:sz w:val="24"/>
          <w:szCs w:val="24"/>
        </w:rPr>
        <w:t xml:space="preserve">Very well known physiological differences in biochemical parameters between genders, also shown in our study, according to our </w:t>
      </w:r>
      <w:proofErr w:type="spellStart"/>
      <w:r w:rsidR="00C3792E" w:rsidRPr="00B41C65">
        <w:rPr>
          <w:rFonts w:ascii="Times New Roman" w:hAnsi="Times New Roman" w:cs="Times New Roman"/>
          <w:b/>
          <w:i/>
          <w:sz w:val="24"/>
          <w:szCs w:val="24"/>
        </w:rPr>
        <w:t>opinione</w:t>
      </w:r>
      <w:proofErr w:type="spellEnd"/>
      <w:r w:rsidR="00C3792E" w:rsidRPr="00B41C65">
        <w:rPr>
          <w:rFonts w:ascii="Times New Roman" w:hAnsi="Times New Roman" w:cs="Times New Roman"/>
          <w:b/>
          <w:i/>
          <w:sz w:val="24"/>
          <w:szCs w:val="24"/>
        </w:rPr>
        <w:t xml:space="preserve">, only </w:t>
      </w:r>
      <w:proofErr w:type="gramStart"/>
      <w:r w:rsidR="00C3792E" w:rsidRPr="00B41C65">
        <w:rPr>
          <w:rFonts w:ascii="Times New Roman" w:hAnsi="Times New Roman" w:cs="Times New Roman"/>
          <w:b/>
          <w:i/>
          <w:sz w:val="24"/>
          <w:szCs w:val="24"/>
        </w:rPr>
        <w:t>justif</w:t>
      </w:r>
      <w:r w:rsidR="005B055C" w:rsidRPr="00B41C65">
        <w:rPr>
          <w:rFonts w:ascii="Times New Roman" w:hAnsi="Times New Roman" w:cs="Times New Roman"/>
          <w:b/>
          <w:i/>
          <w:sz w:val="24"/>
          <w:szCs w:val="24"/>
        </w:rPr>
        <w:t>y</w:t>
      </w:r>
      <w:r w:rsidR="00C3792E" w:rsidRPr="00B41C65">
        <w:rPr>
          <w:rFonts w:ascii="Times New Roman" w:hAnsi="Times New Roman" w:cs="Times New Roman"/>
          <w:b/>
          <w:i/>
          <w:sz w:val="24"/>
          <w:szCs w:val="24"/>
        </w:rPr>
        <w:t xml:space="preserve">  division</w:t>
      </w:r>
      <w:proofErr w:type="gramEnd"/>
      <w:r w:rsidR="00C3792E" w:rsidRPr="00B41C65">
        <w:rPr>
          <w:rFonts w:ascii="Times New Roman" w:hAnsi="Times New Roman" w:cs="Times New Roman"/>
          <w:b/>
          <w:i/>
          <w:sz w:val="24"/>
          <w:szCs w:val="24"/>
        </w:rPr>
        <w:t xml:space="preserve"> in groups in respect to gender.  </w:t>
      </w:r>
      <w:proofErr w:type="gramStart"/>
      <w:r w:rsidR="00557EC0" w:rsidRPr="00B41C65">
        <w:rPr>
          <w:rFonts w:ascii="Times New Roman" w:hAnsi="Times New Roman" w:cs="Times New Roman"/>
          <w:b/>
          <w:i/>
          <w:sz w:val="24"/>
          <w:szCs w:val="24"/>
        </w:rPr>
        <w:t>Comments concerning variability in primary outcomes of the study was</w:t>
      </w:r>
      <w:proofErr w:type="gramEnd"/>
      <w:r w:rsidR="00557EC0" w:rsidRPr="00B41C65">
        <w:rPr>
          <w:rFonts w:ascii="Times New Roman" w:hAnsi="Times New Roman" w:cs="Times New Roman"/>
          <w:b/>
          <w:i/>
          <w:sz w:val="24"/>
          <w:szCs w:val="24"/>
        </w:rPr>
        <w:t xml:space="preserve"> given in the “Discussion”.</w:t>
      </w:r>
    </w:p>
    <w:p w:rsidR="00481EAF" w:rsidRDefault="00481EAF" w:rsidP="00481EAF">
      <w:pPr>
        <w:shd w:val="clear" w:color="auto" w:fill="FFFFFF"/>
        <w:spacing w:line="276" w:lineRule="atLeast"/>
        <w:jc w:val="both"/>
        <w:rPr>
          <w:rFonts w:ascii="Times New Roman" w:eastAsia="Times New Roman" w:hAnsi="Times New Roman" w:cs="Times New Roman"/>
        </w:rPr>
      </w:pPr>
    </w:p>
    <w:p w:rsidR="00481EAF" w:rsidRDefault="0093652A" w:rsidP="00481EAF">
      <w:pPr>
        <w:shd w:val="clear" w:color="auto" w:fill="FFFFFF"/>
        <w:spacing w:line="276" w:lineRule="atLeast"/>
        <w:jc w:val="both"/>
        <w:rPr>
          <w:rFonts w:ascii="Times New Roman" w:eastAsia="Times New Roman" w:hAnsi="Times New Roman" w:cs="Times New Roman"/>
        </w:rPr>
      </w:pPr>
      <w:r w:rsidRPr="00481EAF">
        <w:rPr>
          <w:rFonts w:ascii="Times New Roman" w:eastAsia="Times New Roman" w:hAnsi="Times New Roman" w:cs="Times New Roman"/>
        </w:rPr>
        <w:t>2. Other specific comments:</w:t>
      </w:r>
    </w:p>
    <w:p w:rsidR="00DF343D" w:rsidRPr="00481EAF" w:rsidRDefault="0093652A" w:rsidP="00481EAF">
      <w:pPr>
        <w:shd w:val="clear" w:color="auto" w:fill="FFFFFF"/>
        <w:spacing w:line="276" w:lineRule="atLeast"/>
        <w:jc w:val="both"/>
        <w:rPr>
          <w:rFonts w:ascii="Times New Roman" w:eastAsia="Times New Roman" w:hAnsi="Times New Roman" w:cs="Times New Roman"/>
        </w:rPr>
      </w:pPr>
      <w:r w:rsidRPr="00481EAF">
        <w:rPr>
          <w:rFonts w:ascii="Times New Roman" w:eastAsia="Times New Roman" w:hAnsi="Times New Roman" w:cs="Times New Roman"/>
        </w:rPr>
        <w:br/>
        <w:t>- Pg6, line 8 “to show its potential to be used as TDM strategy in the</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real clinical settings“. This objective has not been addressed in the</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discussion, and results do not support using C/D as TDM tool. In fact, I do</w:t>
      </w:r>
      <w:r w:rsidRPr="00481EAF">
        <w:rPr>
          <w:rFonts w:ascii="Times New Roman" w:eastAsia="Times New Roman" w:hAnsi="Times New Roman" w:cs="Times New Roman"/>
        </w:rPr>
        <w:br/>
        <w:t>not think that the results presented in the manuscript can be extrapolated</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to the second objective of the study. Hence, additional patients (study) to</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whom dosing would be made according to the presented results in this</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manuscript are required to show the use of C/D as TDM strategy. Hence, the</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conclusions (Conclusion in abstract, and Pg16, line 14), as well, should be</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based on the results of the study.</w:t>
      </w:r>
    </w:p>
    <w:p w:rsidR="00557EC0" w:rsidRPr="00B41C65" w:rsidRDefault="00557EC0" w:rsidP="00481EAF">
      <w:pPr>
        <w:shd w:val="clear" w:color="auto" w:fill="FFFFFF"/>
        <w:spacing w:line="276" w:lineRule="atLeast"/>
        <w:jc w:val="both"/>
        <w:rPr>
          <w:rFonts w:ascii="Times New Roman" w:eastAsia="Times New Roman" w:hAnsi="Times New Roman" w:cs="Times New Roman"/>
          <w:b/>
          <w:i/>
          <w:sz w:val="24"/>
          <w:szCs w:val="24"/>
        </w:rPr>
      </w:pPr>
      <w:r w:rsidRPr="00B41C65">
        <w:rPr>
          <w:rFonts w:ascii="Times New Roman" w:eastAsia="Times New Roman" w:hAnsi="Times New Roman" w:cs="Times New Roman"/>
          <w:b/>
          <w:i/>
          <w:sz w:val="24"/>
          <w:szCs w:val="24"/>
        </w:rPr>
        <w:t xml:space="preserve">The authors agree that additional study </w:t>
      </w:r>
      <w:r w:rsidR="00223F4E" w:rsidRPr="00B41C65">
        <w:rPr>
          <w:rFonts w:ascii="Times New Roman" w:eastAsia="Times New Roman" w:hAnsi="Times New Roman" w:cs="Times New Roman"/>
          <w:b/>
          <w:i/>
          <w:sz w:val="24"/>
          <w:szCs w:val="24"/>
        </w:rPr>
        <w:t xml:space="preserve">in which </w:t>
      </w:r>
      <w:proofErr w:type="spellStart"/>
      <w:r w:rsidR="00223F4E" w:rsidRPr="00B41C65">
        <w:rPr>
          <w:rFonts w:ascii="Times New Roman" w:eastAsia="Times New Roman" w:hAnsi="Times New Roman" w:cs="Times New Roman"/>
          <w:b/>
          <w:i/>
          <w:sz w:val="24"/>
          <w:szCs w:val="24"/>
        </w:rPr>
        <w:t>tacrolimus</w:t>
      </w:r>
      <w:proofErr w:type="spellEnd"/>
      <w:r w:rsidR="00223F4E" w:rsidRPr="00B41C65">
        <w:rPr>
          <w:rFonts w:ascii="Times New Roman" w:eastAsia="Times New Roman" w:hAnsi="Times New Roman" w:cs="Times New Roman"/>
          <w:b/>
          <w:i/>
          <w:sz w:val="24"/>
          <w:szCs w:val="24"/>
        </w:rPr>
        <w:t xml:space="preserve"> dosing would be made according to use </w:t>
      </w:r>
      <w:proofErr w:type="spellStart"/>
      <w:r w:rsidR="00223F4E" w:rsidRPr="00B41C65">
        <w:rPr>
          <w:rFonts w:ascii="Times New Roman" w:eastAsia="Times New Roman" w:hAnsi="Times New Roman" w:cs="Times New Roman"/>
          <w:b/>
          <w:i/>
          <w:sz w:val="24"/>
          <w:szCs w:val="24"/>
        </w:rPr>
        <w:t>tacrolimus</w:t>
      </w:r>
      <w:proofErr w:type="spellEnd"/>
      <w:r w:rsidR="00223F4E" w:rsidRPr="00B41C65">
        <w:rPr>
          <w:rFonts w:ascii="Times New Roman" w:eastAsia="Times New Roman" w:hAnsi="Times New Roman" w:cs="Times New Roman"/>
          <w:b/>
          <w:i/>
          <w:sz w:val="24"/>
          <w:szCs w:val="24"/>
        </w:rPr>
        <w:t xml:space="preserve"> C/D as TDM strategy</w:t>
      </w:r>
      <w:r w:rsidR="008C5986" w:rsidRPr="00B41C65">
        <w:rPr>
          <w:rFonts w:ascii="Times New Roman" w:eastAsia="Times New Roman" w:hAnsi="Times New Roman" w:cs="Times New Roman"/>
          <w:b/>
          <w:i/>
          <w:sz w:val="24"/>
          <w:szCs w:val="24"/>
        </w:rPr>
        <w:t xml:space="preserve">. We </w:t>
      </w:r>
      <w:r w:rsidR="00223F4E" w:rsidRPr="00B41C65">
        <w:rPr>
          <w:rFonts w:ascii="Times New Roman" w:eastAsia="Times New Roman" w:hAnsi="Times New Roman" w:cs="Times New Roman"/>
          <w:b/>
          <w:i/>
          <w:sz w:val="24"/>
          <w:szCs w:val="24"/>
        </w:rPr>
        <w:t>actually stated in our conclusions that: ”</w:t>
      </w:r>
      <w:r w:rsidR="00223F4E" w:rsidRPr="00B41C65">
        <w:rPr>
          <w:rFonts w:ascii="Times New Roman" w:hAnsi="Times New Roman" w:cs="Times New Roman"/>
          <w:b/>
          <w:i/>
          <w:sz w:val="24"/>
          <w:szCs w:val="24"/>
          <w:lang w:val="sr-Latn-CS"/>
        </w:rPr>
        <w:t xml:space="preserve">According to the findings from our study, it may be concluded that tacrolimus C/D ratio, in </w:t>
      </w:r>
      <w:r w:rsidR="00223F4E" w:rsidRPr="00B41C65">
        <w:rPr>
          <w:rFonts w:ascii="Times New Roman" w:hAnsi="Times New Roman" w:cs="Times New Roman"/>
          <w:b/>
          <w:i/>
          <w:sz w:val="24"/>
          <w:szCs w:val="24"/>
          <w:lang w:val="sr-Latn-CS"/>
        </w:rPr>
        <w:lastRenderedPageBreak/>
        <w:t xml:space="preserve">the context of </w:t>
      </w:r>
      <w:r w:rsidR="00223F4E" w:rsidRPr="00B41C65">
        <w:rPr>
          <w:rFonts w:ascii="Times New Roman" w:hAnsi="Times New Roman" w:cs="Times New Roman"/>
          <w:b/>
          <w:i/>
          <w:sz w:val="24"/>
          <w:szCs w:val="24"/>
        </w:rPr>
        <w:t xml:space="preserve">TDD, TDD per body weight and TTC values, </w:t>
      </w:r>
      <w:r w:rsidR="00223F4E" w:rsidRPr="00B41C65">
        <w:rPr>
          <w:rFonts w:ascii="Times New Roman" w:hAnsi="Times New Roman" w:cs="Times New Roman"/>
          <w:b/>
          <w:i/>
          <w:sz w:val="24"/>
          <w:szCs w:val="24"/>
          <w:lang w:val="sr-Latn-CS"/>
        </w:rPr>
        <w:t xml:space="preserve">can be the useful TDM tool instead of target concentrations only (TTC). </w:t>
      </w:r>
      <w:r w:rsidR="00223F4E" w:rsidRPr="00B41C65">
        <w:rPr>
          <w:rFonts w:ascii="Times New Roman" w:hAnsi="Times New Roman" w:cs="Times New Roman"/>
          <w:b/>
          <w:i/>
          <w:sz w:val="24"/>
          <w:szCs w:val="24"/>
          <w:shd w:val="clear" w:color="auto" w:fill="FFFFFF"/>
        </w:rPr>
        <w:t>Therefore, further study should be done in order to define the target effects and associated target C/D ratio for rational dose individualization in the real clinical settings of renal transplantation</w:t>
      </w:r>
      <w:r w:rsidR="00AD75CB" w:rsidRPr="00B41C65">
        <w:rPr>
          <w:rFonts w:ascii="Times New Roman" w:hAnsi="Times New Roman" w:cs="Times New Roman"/>
          <w:b/>
          <w:i/>
          <w:sz w:val="24"/>
          <w:szCs w:val="24"/>
          <w:shd w:val="clear" w:color="auto" w:fill="FFFFFF"/>
        </w:rPr>
        <w:t>”</w:t>
      </w:r>
      <w:r w:rsidR="00223F4E" w:rsidRPr="00B41C65">
        <w:rPr>
          <w:rFonts w:ascii="Times New Roman" w:hAnsi="Times New Roman" w:cs="Times New Roman"/>
          <w:b/>
          <w:i/>
          <w:sz w:val="24"/>
          <w:szCs w:val="24"/>
          <w:shd w:val="clear" w:color="auto" w:fill="FFFFFF"/>
        </w:rPr>
        <w:t>. However, since it is not actually shown in this study, we excluded this statement as second objective of the study</w:t>
      </w:r>
      <w:r w:rsidR="00AD75CB" w:rsidRPr="00B41C65">
        <w:rPr>
          <w:rFonts w:ascii="Times New Roman" w:hAnsi="Times New Roman" w:cs="Times New Roman"/>
          <w:b/>
          <w:i/>
          <w:sz w:val="24"/>
          <w:szCs w:val="24"/>
          <w:shd w:val="clear" w:color="auto" w:fill="FFFFFF"/>
        </w:rPr>
        <w:t xml:space="preserve">, both in abstracts and in the text, as you requested. Conclusions were also changed and based on the results of the study, as you suggested.  </w:t>
      </w:r>
      <w:r w:rsidR="00223F4E" w:rsidRPr="00B41C65">
        <w:rPr>
          <w:rStyle w:val="apple-converted-space"/>
          <w:rFonts w:ascii="Times New Roman" w:hAnsi="Times New Roman" w:cs="Times New Roman"/>
          <w:b/>
          <w:i/>
          <w:sz w:val="24"/>
          <w:szCs w:val="24"/>
          <w:shd w:val="clear" w:color="auto" w:fill="FFFFFF"/>
        </w:rPr>
        <w:t> </w:t>
      </w:r>
      <w:r w:rsidR="00223F4E" w:rsidRPr="00B41C65">
        <w:rPr>
          <w:rFonts w:ascii="Times New Roman" w:eastAsia="Times New Roman" w:hAnsi="Times New Roman" w:cs="Times New Roman"/>
          <w:b/>
          <w:i/>
          <w:sz w:val="24"/>
          <w:szCs w:val="24"/>
        </w:rPr>
        <w:t xml:space="preserve"> </w:t>
      </w:r>
    </w:p>
    <w:p w:rsidR="00DF343D" w:rsidRPr="00481EAF" w:rsidRDefault="0093652A" w:rsidP="00481EAF">
      <w:pPr>
        <w:shd w:val="clear" w:color="auto" w:fill="FFFFFF"/>
        <w:spacing w:line="276" w:lineRule="atLeast"/>
        <w:jc w:val="both"/>
        <w:rPr>
          <w:rFonts w:ascii="Times New Roman" w:eastAsia="Times New Roman" w:hAnsi="Times New Roman" w:cs="Times New Roman"/>
        </w:rPr>
      </w:pPr>
      <w:r w:rsidRPr="00B41C65">
        <w:rPr>
          <w:rFonts w:ascii="Times New Roman" w:eastAsia="Times New Roman" w:hAnsi="Times New Roman" w:cs="Times New Roman"/>
          <w:b/>
        </w:rPr>
        <w:br/>
      </w:r>
      <w:r w:rsidRPr="00481EAF">
        <w:rPr>
          <w:rFonts w:ascii="Times New Roman" w:eastAsia="Times New Roman" w:hAnsi="Times New Roman" w:cs="Times New Roman"/>
        </w:rPr>
        <w:t>- Pg 8, line 14. Please clarify in the methods what was/were target</w:t>
      </w:r>
      <w:r w:rsid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tacrolimus</w:t>
      </w:r>
      <w:proofErr w:type="spellEnd"/>
      <w:r w:rsidRPr="00481EAF">
        <w:rPr>
          <w:rFonts w:ascii="Times New Roman" w:eastAsia="Times New Roman" w:hAnsi="Times New Roman" w:cs="Times New Roman"/>
        </w:rPr>
        <w:t xml:space="preserve"> levels in your study according to post-transplantation period,</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 xml:space="preserve">how specific level for individual patient was chosen, and how </w:t>
      </w:r>
      <w:proofErr w:type="spellStart"/>
      <w:r w:rsidRPr="00481EAF">
        <w:rPr>
          <w:rFonts w:ascii="Times New Roman" w:eastAsia="Times New Roman" w:hAnsi="Times New Roman" w:cs="Times New Roman"/>
        </w:rPr>
        <w:t>tacrolimus</w:t>
      </w:r>
      <w:proofErr w:type="spellEnd"/>
      <w:r w:rsidR="00481EAF">
        <w:rPr>
          <w:rFonts w:ascii="Times New Roman" w:eastAsia="Times New Roman" w:hAnsi="Times New Roman" w:cs="Times New Roman"/>
        </w:rPr>
        <w:t xml:space="preserve"> </w:t>
      </w:r>
      <w:r w:rsidRPr="00481EAF">
        <w:rPr>
          <w:rFonts w:ascii="Times New Roman" w:eastAsia="Times New Roman" w:hAnsi="Times New Roman" w:cs="Times New Roman"/>
        </w:rPr>
        <w:t>doses were calculated/assessed.</w:t>
      </w:r>
    </w:p>
    <w:p w:rsidR="00481EAF" w:rsidRPr="00B41C65" w:rsidRDefault="00325D6F" w:rsidP="00481EAF">
      <w:pPr>
        <w:shd w:val="clear" w:color="auto" w:fill="FFFFFF"/>
        <w:spacing w:line="276" w:lineRule="atLeast"/>
        <w:jc w:val="both"/>
        <w:rPr>
          <w:rFonts w:ascii="Times New Roman" w:hAnsi="Times New Roman" w:cs="Times New Roman"/>
          <w:b/>
          <w:i/>
          <w:sz w:val="24"/>
          <w:szCs w:val="24"/>
        </w:rPr>
      </w:pPr>
      <w:r w:rsidRPr="00B41C65">
        <w:rPr>
          <w:rStyle w:val="hps"/>
          <w:rFonts w:ascii="Times New Roman" w:hAnsi="Times New Roman" w:cs="Times New Roman"/>
          <w:b/>
          <w:i/>
          <w:sz w:val="24"/>
          <w:szCs w:val="24"/>
        </w:rPr>
        <w:t>TTC were more precisely defined i</w:t>
      </w:r>
      <w:r w:rsidR="00683F2E" w:rsidRPr="00B41C65">
        <w:rPr>
          <w:rStyle w:val="hps"/>
          <w:rFonts w:ascii="Times New Roman" w:hAnsi="Times New Roman" w:cs="Times New Roman"/>
          <w:b/>
          <w:i/>
          <w:sz w:val="24"/>
          <w:szCs w:val="24"/>
        </w:rPr>
        <w:t>n the methodology</w:t>
      </w:r>
      <w:r w:rsidRPr="00B41C65">
        <w:rPr>
          <w:rStyle w:val="hps"/>
          <w:rFonts w:ascii="Times New Roman" w:hAnsi="Times New Roman" w:cs="Times New Roman"/>
          <w:b/>
          <w:i/>
          <w:sz w:val="24"/>
          <w:szCs w:val="24"/>
        </w:rPr>
        <w:t>.  On the other hand, in everyday clinical practice, o</w:t>
      </w:r>
      <w:r w:rsidRPr="00B41C65">
        <w:rPr>
          <w:rFonts w:ascii="Times New Roman" w:hAnsi="Times New Roman" w:cs="Times New Roman"/>
          <w:b/>
          <w:i/>
          <w:sz w:val="24"/>
          <w:szCs w:val="24"/>
        </w:rPr>
        <w:t xml:space="preserve">n the day of transplantation, </w:t>
      </w:r>
      <w:proofErr w:type="spellStart"/>
      <w:r w:rsidRPr="00B41C65">
        <w:rPr>
          <w:rFonts w:ascii="Times New Roman" w:hAnsi="Times New Roman" w:cs="Times New Roman"/>
          <w:b/>
          <w:i/>
          <w:sz w:val="24"/>
          <w:szCs w:val="24"/>
        </w:rPr>
        <w:t>tacrolimus</w:t>
      </w:r>
      <w:proofErr w:type="spellEnd"/>
      <w:r w:rsidRPr="00B41C65">
        <w:rPr>
          <w:rFonts w:ascii="Times New Roman" w:hAnsi="Times New Roman" w:cs="Times New Roman"/>
          <w:b/>
          <w:i/>
          <w:sz w:val="24"/>
          <w:szCs w:val="24"/>
        </w:rPr>
        <w:t xml:space="preserve"> is introduced, in an initial oral dose of 0.1-0.3 mg/kg</w:t>
      </w:r>
      <w:r w:rsidRPr="00B41C65">
        <w:rPr>
          <w:rFonts w:ascii="Times New Roman" w:hAnsi="Times New Roman" w:cs="Times New Roman"/>
          <w:b/>
          <w:i/>
          <w:sz w:val="24"/>
          <w:szCs w:val="24"/>
          <w:lang w:val="sr-Latn-CS"/>
        </w:rPr>
        <w:t xml:space="preserve">/day, divided into 12-hour intervals.  </w:t>
      </w:r>
      <w:r w:rsidRPr="00B41C65">
        <w:rPr>
          <w:rFonts w:ascii="Times New Roman" w:hAnsi="Times New Roman" w:cs="Times New Roman"/>
          <w:b/>
          <w:i/>
          <w:sz w:val="24"/>
          <w:szCs w:val="24"/>
        </w:rPr>
        <w:t xml:space="preserve">Three days after the transplantation, </w:t>
      </w:r>
      <w:proofErr w:type="spellStart"/>
      <w:r w:rsidRPr="00B41C65">
        <w:rPr>
          <w:rFonts w:ascii="Times New Roman" w:hAnsi="Times New Roman" w:cs="Times New Roman"/>
          <w:b/>
          <w:i/>
          <w:sz w:val="24"/>
          <w:szCs w:val="24"/>
        </w:rPr>
        <w:t>tacrolimus</w:t>
      </w:r>
      <w:proofErr w:type="spellEnd"/>
      <w:r w:rsidRPr="00B41C65">
        <w:rPr>
          <w:rFonts w:ascii="Times New Roman" w:hAnsi="Times New Roman" w:cs="Times New Roman"/>
          <w:b/>
          <w:i/>
          <w:sz w:val="24"/>
          <w:szCs w:val="24"/>
        </w:rPr>
        <w:t xml:space="preserve"> dose is adjusted depending on the whole blood TTC, empirically worldwide. The aim of this and many other studies is actually to investigate, determine and </w:t>
      </w:r>
      <w:r w:rsidR="008C5986" w:rsidRPr="00B41C65">
        <w:rPr>
          <w:rFonts w:ascii="Times New Roman" w:hAnsi="Times New Roman" w:cs="Times New Roman"/>
          <w:b/>
          <w:i/>
          <w:sz w:val="24"/>
          <w:szCs w:val="24"/>
        </w:rPr>
        <w:t xml:space="preserve">recommend some other, more precise parameter than TTC for TDM.  </w:t>
      </w:r>
      <w:r w:rsidR="0091422F" w:rsidRPr="00B41C65">
        <w:rPr>
          <w:rFonts w:ascii="Times New Roman" w:hAnsi="Times New Roman" w:cs="Times New Roman"/>
          <w:b/>
          <w:i/>
          <w:sz w:val="24"/>
          <w:szCs w:val="24"/>
        </w:rPr>
        <w:t xml:space="preserve">Exact dosing of the </w:t>
      </w:r>
      <w:proofErr w:type="spellStart"/>
      <w:r w:rsidR="0091422F" w:rsidRPr="00B41C65">
        <w:rPr>
          <w:rFonts w:ascii="Times New Roman" w:hAnsi="Times New Roman" w:cs="Times New Roman"/>
          <w:b/>
          <w:i/>
          <w:sz w:val="24"/>
          <w:szCs w:val="24"/>
        </w:rPr>
        <w:t>tacrolimus</w:t>
      </w:r>
      <w:proofErr w:type="spellEnd"/>
      <w:r w:rsidR="0091422F" w:rsidRPr="00B41C65">
        <w:rPr>
          <w:rFonts w:ascii="Times New Roman" w:hAnsi="Times New Roman" w:cs="Times New Roman"/>
          <w:b/>
          <w:i/>
          <w:sz w:val="24"/>
          <w:szCs w:val="24"/>
        </w:rPr>
        <w:t xml:space="preserve"> according to body weight is part of the problem, since </w:t>
      </w:r>
      <w:proofErr w:type="spellStart"/>
      <w:r w:rsidR="008C5986" w:rsidRPr="00B41C65">
        <w:rPr>
          <w:rFonts w:ascii="Times New Roman" w:hAnsi="Times New Roman" w:cs="Times New Roman"/>
          <w:b/>
          <w:i/>
          <w:sz w:val="24"/>
          <w:szCs w:val="24"/>
        </w:rPr>
        <w:t>tacrolimus</w:t>
      </w:r>
      <w:proofErr w:type="spellEnd"/>
      <w:r w:rsidR="008C5986" w:rsidRPr="00B41C65">
        <w:rPr>
          <w:rFonts w:ascii="Times New Roman" w:hAnsi="Times New Roman" w:cs="Times New Roman"/>
          <w:b/>
          <w:i/>
          <w:sz w:val="24"/>
          <w:szCs w:val="24"/>
        </w:rPr>
        <w:t xml:space="preserve"> is narrow therapeutic index drug, and </w:t>
      </w:r>
      <w:r w:rsidR="0091422F" w:rsidRPr="00B41C65">
        <w:rPr>
          <w:rFonts w:ascii="Times New Roman" w:hAnsi="Times New Roman" w:cs="Times New Roman"/>
          <w:b/>
          <w:i/>
          <w:sz w:val="24"/>
          <w:szCs w:val="24"/>
        </w:rPr>
        <w:t xml:space="preserve">actual dosing is also difficult due to existed pharmaceutical formulations on the market (0.5; 1, and 5mg).  </w:t>
      </w:r>
    </w:p>
    <w:p w:rsidR="00DF343D" w:rsidRPr="00481EAF" w:rsidRDefault="0093652A" w:rsidP="00481EAF">
      <w:pPr>
        <w:shd w:val="clear" w:color="auto" w:fill="FFFFFF"/>
        <w:spacing w:line="276" w:lineRule="atLeast"/>
        <w:jc w:val="both"/>
        <w:rPr>
          <w:rFonts w:ascii="Times New Roman" w:eastAsia="Times New Roman" w:hAnsi="Times New Roman" w:cs="Times New Roman"/>
        </w:rPr>
      </w:pPr>
      <w:r w:rsidRPr="00481EAF">
        <w:rPr>
          <w:rFonts w:ascii="Times New Roman" w:eastAsia="Times New Roman" w:hAnsi="Times New Roman" w:cs="Times New Roman"/>
        </w:rPr>
        <w:br/>
        <w:t>- In Table 1 report number of patients (male, female) concomitantly treated</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with individual PPI (</w:t>
      </w:r>
      <w:proofErr w:type="spellStart"/>
      <w:r w:rsidRPr="00481EAF">
        <w:rPr>
          <w:rFonts w:ascii="Times New Roman" w:eastAsia="Times New Roman" w:hAnsi="Times New Roman" w:cs="Times New Roman"/>
        </w:rPr>
        <w:t>pantoprazole</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esomeprazole</w:t>
      </w:r>
      <w:proofErr w:type="spellEnd"/>
      <w:r w:rsidRPr="00481EAF">
        <w:rPr>
          <w:rFonts w:ascii="Times New Roman" w:eastAsia="Times New Roman" w:hAnsi="Times New Roman" w:cs="Times New Roman"/>
        </w:rPr>
        <w:t>) and calcium blockers</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w:t>
      </w:r>
      <w:proofErr w:type="spellStart"/>
      <w:r w:rsidRPr="00481EAF">
        <w:rPr>
          <w:rFonts w:ascii="Times New Roman" w:eastAsia="Times New Roman" w:hAnsi="Times New Roman" w:cs="Times New Roman"/>
        </w:rPr>
        <w:t>amlodipine</w:t>
      </w:r>
      <w:proofErr w:type="spellEnd"/>
      <w:r w:rsidRPr="00481EAF">
        <w:rPr>
          <w:rFonts w:ascii="Times New Roman" w:eastAsia="Times New Roman" w:hAnsi="Times New Roman" w:cs="Times New Roman"/>
        </w:rPr>
        <w:t xml:space="preserve">, </w:t>
      </w:r>
      <w:proofErr w:type="spellStart"/>
      <w:r w:rsidRPr="00481EAF">
        <w:rPr>
          <w:rFonts w:ascii="Times New Roman" w:eastAsia="Times New Roman" w:hAnsi="Times New Roman" w:cs="Times New Roman"/>
        </w:rPr>
        <w:t>nifedipine</w:t>
      </w:r>
      <w:proofErr w:type="spellEnd"/>
      <w:r w:rsidRPr="00481EAF">
        <w:rPr>
          <w:rFonts w:ascii="Times New Roman" w:eastAsia="Times New Roman" w:hAnsi="Times New Roman" w:cs="Times New Roman"/>
        </w:rPr>
        <w:t>). Report also number of patients (male, female) who</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were concomitantly treated with both PPI and calcium blockers.</w:t>
      </w:r>
    </w:p>
    <w:p w:rsidR="00481EAF" w:rsidRPr="00B41C65" w:rsidRDefault="00BA675D" w:rsidP="00481EAF">
      <w:pPr>
        <w:shd w:val="clear" w:color="auto" w:fill="FFFFFF"/>
        <w:spacing w:line="276" w:lineRule="atLeast"/>
        <w:jc w:val="both"/>
        <w:rPr>
          <w:rStyle w:val="hps"/>
          <w:rFonts w:ascii="Times New Roman" w:hAnsi="Times New Roman" w:cs="Times New Roman"/>
          <w:b/>
          <w:i/>
          <w:sz w:val="24"/>
          <w:szCs w:val="24"/>
        </w:rPr>
      </w:pPr>
      <w:r w:rsidRPr="00B41C65">
        <w:rPr>
          <w:rStyle w:val="hps"/>
          <w:rFonts w:ascii="Times New Roman" w:hAnsi="Times New Roman" w:cs="Times New Roman"/>
          <w:b/>
          <w:i/>
          <w:sz w:val="24"/>
          <w:szCs w:val="24"/>
        </w:rPr>
        <w:t>The objection is</w:t>
      </w:r>
      <w:r w:rsidRPr="00B41C65">
        <w:rPr>
          <w:rFonts w:ascii="Times New Roman" w:hAnsi="Times New Roman" w:cs="Times New Roman"/>
          <w:b/>
          <w:i/>
          <w:sz w:val="24"/>
          <w:szCs w:val="24"/>
        </w:rPr>
        <w:t xml:space="preserve"> </w:t>
      </w:r>
      <w:r w:rsidRPr="00B41C65">
        <w:rPr>
          <w:rStyle w:val="hps"/>
          <w:rFonts w:ascii="Times New Roman" w:hAnsi="Times New Roman" w:cs="Times New Roman"/>
          <w:b/>
          <w:i/>
          <w:sz w:val="24"/>
          <w:szCs w:val="24"/>
        </w:rPr>
        <w:t>accepted</w:t>
      </w:r>
      <w:r w:rsidRPr="00B41C65">
        <w:rPr>
          <w:rFonts w:ascii="Times New Roman" w:hAnsi="Times New Roman" w:cs="Times New Roman"/>
          <w:b/>
          <w:i/>
          <w:sz w:val="24"/>
          <w:szCs w:val="24"/>
        </w:rPr>
        <w:t xml:space="preserve"> </w:t>
      </w:r>
      <w:r w:rsidRPr="00B41C65">
        <w:rPr>
          <w:rStyle w:val="hps"/>
          <w:rFonts w:ascii="Times New Roman" w:hAnsi="Times New Roman" w:cs="Times New Roman"/>
          <w:b/>
          <w:i/>
          <w:sz w:val="24"/>
          <w:szCs w:val="24"/>
        </w:rPr>
        <w:t>and</w:t>
      </w:r>
      <w:r w:rsidRPr="00B41C65">
        <w:rPr>
          <w:rFonts w:ascii="Times New Roman" w:hAnsi="Times New Roman" w:cs="Times New Roman"/>
          <w:b/>
          <w:i/>
          <w:sz w:val="24"/>
          <w:szCs w:val="24"/>
        </w:rPr>
        <w:t xml:space="preserve"> </w:t>
      </w:r>
      <w:r w:rsidRPr="00B41C65">
        <w:rPr>
          <w:rStyle w:val="hps"/>
          <w:rFonts w:ascii="Times New Roman" w:hAnsi="Times New Roman" w:cs="Times New Roman"/>
          <w:b/>
          <w:i/>
          <w:sz w:val="24"/>
          <w:szCs w:val="24"/>
        </w:rPr>
        <w:t>supplemented</w:t>
      </w:r>
      <w:r w:rsidRPr="00B41C65">
        <w:rPr>
          <w:rFonts w:ascii="Times New Roman" w:hAnsi="Times New Roman" w:cs="Times New Roman"/>
          <w:b/>
          <w:i/>
          <w:sz w:val="24"/>
          <w:szCs w:val="24"/>
        </w:rPr>
        <w:t xml:space="preserve"> </w:t>
      </w:r>
      <w:r w:rsidRPr="00B41C65">
        <w:rPr>
          <w:rStyle w:val="hps"/>
          <w:rFonts w:ascii="Times New Roman" w:hAnsi="Times New Roman" w:cs="Times New Roman"/>
          <w:b/>
          <w:i/>
          <w:sz w:val="24"/>
          <w:szCs w:val="24"/>
        </w:rPr>
        <w:t>in the</w:t>
      </w:r>
      <w:r w:rsidRPr="00B41C65">
        <w:rPr>
          <w:rFonts w:ascii="Times New Roman" w:hAnsi="Times New Roman" w:cs="Times New Roman"/>
          <w:b/>
          <w:i/>
          <w:sz w:val="24"/>
          <w:szCs w:val="24"/>
        </w:rPr>
        <w:t xml:space="preserve"> </w:t>
      </w:r>
      <w:r w:rsidR="00A5083F" w:rsidRPr="00B41C65">
        <w:rPr>
          <w:rFonts w:ascii="Times New Roman" w:hAnsi="Times New Roman" w:cs="Times New Roman"/>
          <w:b/>
          <w:i/>
          <w:sz w:val="24"/>
          <w:szCs w:val="24"/>
        </w:rPr>
        <w:t xml:space="preserve">text of the </w:t>
      </w:r>
      <w:r w:rsidRPr="00B41C65">
        <w:rPr>
          <w:rStyle w:val="hps"/>
          <w:rFonts w:ascii="Times New Roman" w:hAnsi="Times New Roman" w:cs="Times New Roman"/>
          <w:b/>
          <w:i/>
          <w:sz w:val="24"/>
          <w:szCs w:val="24"/>
        </w:rPr>
        <w:t>results. It is very important to say that the unit of monitoring is control outpatient examination</w:t>
      </w:r>
      <w:r w:rsidR="00A5083F" w:rsidRPr="00B41C65">
        <w:rPr>
          <w:rStyle w:val="hps"/>
          <w:rFonts w:ascii="Times New Roman" w:hAnsi="Times New Roman" w:cs="Times New Roman"/>
          <w:b/>
          <w:i/>
          <w:sz w:val="24"/>
          <w:szCs w:val="24"/>
        </w:rPr>
        <w:t xml:space="preserve">, </w:t>
      </w:r>
      <w:r w:rsidRPr="00B41C65">
        <w:rPr>
          <w:rStyle w:val="hps"/>
          <w:rFonts w:ascii="Times New Roman" w:hAnsi="Times New Roman" w:cs="Times New Roman"/>
          <w:b/>
          <w:i/>
          <w:sz w:val="24"/>
          <w:szCs w:val="24"/>
        </w:rPr>
        <w:t>not the patient</w:t>
      </w:r>
      <w:r w:rsidR="00A5083F" w:rsidRPr="00B41C65">
        <w:rPr>
          <w:rStyle w:val="hps"/>
          <w:rFonts w:ascii="Times New Roman" w:hAnsi="Times New Roman" w:cs="Times New Roman"/>
          <w:b/>
          <w:i/>
          <w:sz w:val="24"/>
          <w:szCs w:val="24"/>
        </w:rPr>
        <w:t xml:space="preserve"> itself. Therefore</w:t>
      </w:r>
      <w:proofErr w:type="gramStart"/>
      <w:r w:rsidR="00A5083F" w:rsidRPr="00B41C65">
        <w:rPr>
          <w:rStyle w:val="hps"/>
          <w:rFonts w:ascii="Times New Roman" w:hAnsi="Times New Roman" w:cs="Times New Roman"/>
          <w:b/>
          <w:i/>
          <w:sz w:val="24"/>
          <w:szCs w:val="24"/>
        </w:rPr>
        <w:t>,  we</w:t>
      </w:r>
      <w:proofErr w:type="gramEnd"/>
      <w:r w:rsidR="00A5083F" w:rsidRPr="00B41C65">
        <w:rPr>
          <w:rStyle w:val="hps"/>
          <w:rFonts w:ascii="Times New Roman" w:hAnsi="Times New Roman" w:cs="Times New Roman"/>
          <w:b/>
          <w:i/>
          <w:sz w:val="24"/>
          <w:szCs w:val="24"/>
        </w:rPr>
        <w:t xml:space="preserve"> </w:t>
      </w:r>
      <w:proofErr w:type="spellStart"/>
      <w:r w:rsidR="00A5083F" w:rsidRPr="00B41C65">
        <w:rPr>
          <w:rStyle w:val="hps"/>
          <w:rFonts w:ascii="Times New Roman" w:hAnsi="Times New Roman" w:cs="Times New Roman"/>
          <w:b/>
          <w:i/>
          <w:sz w:val="24"/>
          <w:szCs w:val="24"/>
        </w:rPr>
        <w:t>can not</w:t>
      </w:r>
      <w:proofErr w:type="spellEnd"/>
      <w:r w:rsidR="00A5083F" w:rsidRPr="00B41C65">
        <w:rPr>
          <w:rStyle w:val="hps"/>
          <w:rFonts w:ascii="Times New Roman" w:hAnsi="Times New Roman" w:cs="Times New Roman"/>
          <w:b/>
          <w:i/>
          <w:sz w:val="24"/>
          <w:szCs w:val="24"/>
        </w:rPr>
        <w:t xml:space="preserve"> report  actual number of patients who were treated with PPI or calcium blockers, or both and implement that in Table 1.  As we already mentioned, actual number of outpatient examinations of patients treated with these medications, including their </w:t>
      </w:r>
      <w:proofErr w:type="gramStart"/>
      <w:r w:rsidR="00A5083F" w:rsidRPr="00B41C65">
        <w:rPr>
          <w:rStyle w:val="hps"/>
          <w:rFonts w:ascii="Times New Roman" w:hAnsi="Times New Roman" w:cs="Times New Roman"/>
          <w:b/>
          <w:i/>
          <w:sz w:val="24"/>
          <w:szCs w:val="24"/>
        </w:rPr>
        <w:t xml:space="preserve">combinations </w:t>
      </w:r>
      <w:r w:rsidRPr="00B41C65">
        <w:rPr>
          <w:rStyle w:val="hps"/>
          <w:rFonts w:ascii="Times New Roman" w:hAnsi="Times New Roman" w:cs="Times New Roman"/>
          <w:b/>
          <w:i/>
          <w:sz w:val="24"/>
          <w:szCs w:val="24"/>
        </w:rPr>
        <w:t>,</w:t>
      </w:r>
      <w:proofErr w:type="gramEnd"/>
      <w:r w:rsidRPr="00B41C65">
        <w:rPr>
          <w:rStyle w:val="hps"/>
          <w:rFonts w:ascii="Times New Roman" w:hAnsi="Times New Roman" w:cs="Times New Roman"/>
          <w:b/>
          <w:i/>
          <w:sz w:val="24"/>
          <w:szCs w:val="24"/>
        </w:rPr>
        <w:t xml:space="preserve"> </w:t>
      </w:r>
      <w:r w:rsidR="00A5083F" w:rsidRPr="00B41C65">
        <w:rPr>
          <w:rStyle w:val="hps"/>
          <w:rFonts w:ascii="Times New Roman" w:hAnsi="Times New Roman" w:cs="Times New Roman"/>
          <w:b/>
          <w:i/>
          <w:sz w:val="24"/>
          <w:szCs w:val="24"/>
        </w:rPr>
        <w:t>i</w:t>
      </w:r>
      <w:r w:rsidRPr="00B41C65">
        <w:rPr>
          <w:rStyle w:val="hps"/>
          <w:rFonts w:ascii="Times New Roman" w:hAnsi="Times New Roman" w:cs="Times New Roman"/>
          <w:b/>
          <w:i/>
          <w:sz w:val="24"/>
          <w:szCs w:val="24"/>
        </w:rPr>
        <w:t>s</w:t>
      </w:r>
      <w:r w:rsidR="00A5083F" w:rsidRPr="00B41C65">
        <w:rPr>
          <w:rStyle w:val="hps"/>
          <w:rFonts w:ascii="Times New Roman" w:hAnsi="Times New Roman" w:cs="Times New Roman"/>
          <w:b/>
          <w:i/>
          <w:sz w:val="24"/>
          <w:szCs w:val="24"/>
        </w:rPr>
        <w:t xml:space="preserve"> additionally given in the text in absolute number</w:t>
      </w:r>
      <w:r w:rsidR="00A77E28" w:rsidRPr="00B41C65">
        <w:rPr>
          <w:rStyle w:val="hps"/>
          <w:rFonts w:ascii="Times New Roman" w:hAnsi="Times New Roman" w:cs="Times New Roman"/>
          <w:b/>
          <w:i/>
          <w:sz w:val="24"/>
          <w:szCs w:val="24"/>
        </w:rPr>
        <w:t>,</w:t>
      </w:r>
      <w:r w:rsidR="00A5083F" w:rsidRPr="00B41C65">
        <w:rPr>
          <w:rStyle w:val="hps"/>
          <w:rFonts w:ascii="Times New Roman" w:hAnsi="Times New Roman" w:cs="Times New Roman"/>
          <w:b/>
          <w:i/>
          <w:sz w:val="24"/>
          <w:szCs w:val="24"/>
        </w:rPr>
        <w:t xml:space="preserve"> in order to somehow answer to your suggestions. </w:t>
      </w:r>
    </w:p>
    <w:p w:rsidR="00DF343D" w:rsidRPr="00481EAF" w:rsidRDefault="0093652A" w:rsidP="00481EAF">
      <w:pPr>
        <w:shd w:val="clear" w:color="auto" w:fill="FFFFFF"/>
        <w:spacing w:line="276" w:lineRule="atLeast"/>
        <w:jc w:val="both"/>
        <w:rPr>
          <w:rFonts w:ascii="Times New Roman" w:eastAsia="Times New Roman" w:hAnsi="Times New Roman" w:cs="Times New Roman"/>
        </w:rPr>
      </w:pPr>
      <w:r w:rsidRPr="00481EAF">
        <w:rPr>
          <w:rFonts w:ascii="Times New Roman" w:eastAsia="Times New Roman" w:hAnsi="Times New Roman" w:cs="Times New Roman"/>
        </w:rPr>
        <w:br/>
        <w:t>- Were all patients treated with PPI and calcium blockers during whole</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follow-up period?</w:t>
      </w:r>
    </w:p>
    <w:p w:rsidR="00481EAF" w:rsidRPr="00B41C65" w:rsidRDefault="00A45F51" w:rsidP="00481EAF">
      <w:pPr>
        <w:shd w:val="clear" w:color="auto" w:fill="FFFFFF"/>
        <w:spacing w:line="276" w:lineRule="atLeast"/>
        <w:jc w:val="both"/>
        <w:rPr>
          <w:rStyle w:val="hps"/>
          <w:rFonts w:ascii="Times New Roman" w:hAnsi="Times New Roman" w:cs="Times New Roman"/>
          <w:b/>
          <w:i/>
          <w:sz w:val="24"/>
          <w:szCs w:val="24"/>
        </w:rPr>
      </w:pPr>
      <w:r w:rsidRPr="00B41C65">
        <w:rPr>
          <w:rFonts w:ascii="Times New Roman" w:eastAsia="Times New Roman" w:hAnsi="Times New Roman" w:cs="Times New Roman"/>
          <w:b/>
          <w:i/>
          <w:sz w:val="24"/>
          <w:szCs w:val="24"/>
        </w:rPr>
        <w:t>No, they were not</w:t>
      </w:r>
      <w:r w:rsidR="00A77E28" w:rsidRPr="00B41C65">
        <w:rPr>
          <w:rFonts w:ascii="Times New Roman" w:eastAsia="Times New Roman" w:hAnsi="Times New Roman" w:cs="Times New Roman"/>
          <w:b/>
          <w:i/>
          <w:sz w:val="24"/>
          <w:szCs w:val="24"/>
        </w:rPr>
        <w:t xml:space="preserve"> treated with both </w:t>
      </w:r>
      <w:proofErr w:type="gramStart"/>
      <w:r w:rsidR="00A77E28" w:rsidRPr="00B41C65">
        <w:rPr>
          <w:rFonts w:ascii="Times New Roman" w:eastAsia="Times New Roman" w:hAnsi="Times New Roman" w:cs="Times New Roman"/>
          <w:b/>
          <w:i/>
          <w:sz w:val="24"/>
          <w:szCs w:val="24"/>
        </w:rPr>
        <w:t>kind</w:t>
      </w:r>
      <w:proofErr w:type="gramEnd"/>
      <w:r w:rsidR="00A77E28" w:rsidRPr="00B41C65">
        <w:rPr>
          <w:rFonts w:ascii="Times New Roman" w:eastAsia="Times New Roman" w:hAnsi="Times New Roman" w:cs="Times New Roman"/>
          <w:b/>
          <w:i/>
          <w:sz w:val="24"/>
          <w:szCs w:val="24"/>
        </w:rPr>
        <w:t xml:space="preserve"> of drugs</w:t>
      </w:r>
      <w:r w:rsidR="006F7F78" w:rsidRPr="00B41C65">
        <w:rPr>
          <w:rFonts w:ascii="Times New Roman" w:eastAsia="Times New Roman" w:hAnsi="Times New Roman" w:cs="Times New Roman"/>
          <w:b/>
          <w:i/>
          <w:sz w:val="24"/>
          <w:szCs w:val="24"/>
        </w:rPr>
        <w:t xml:space="preserve"> during whole follow-up period</w:t>
      </w:r>
      <w:r w:rsidR="00A77E28" w:rsidRPr="00B41C65">
        <w:rPr>
          <w:rFonts w:ascii="Times New Roman" w:eastAsia="Times New Roman" w:hAnsi="Times New Roman" w:cs="Times New Roman"/>
          <w:b/>
          <w:i/>
          <w:sz w:val="24"/>
          <w:szCs w:val="24"/>
        </w:rPr>
        <w:t xml:space="preserve">, but at least during some time </w:t>
      </w:r>
      <w:r w:rsidR="006F7F78" w:rsidRPr="00B41C65">
        <w:rPr>
          <w:rFonts w:ascii="Times New Roman" w:eastAsia="Times New Roman" w:hAnsi="Times New Roman" w:cs="Times New Roman"/>
          <w:b/>
          <w:i/>
          <w:sz w:val="24"/>
          <w:szCs w:val="24"/>
        </w:rPr>
        <w:t xml:space="preserve">of the </w:t>
      </w:r>
      <w:r w:rsidR="00A77E28" w:rsidRPr="00B41C65">
        <w:rPr>
          <w:rFonts w:ascii="Times New Roman" w:eastAsia="Times New Roman" w:hAnsi="Times New Roman" w:cs="Times New Roman"/>
          <w:b/>
          <w:i/>
          <w:sz w:val="24"/>
          <w:szCs w:val="24"/>
        </w:rPr>
        <w:t xml:space="preserve">study. This is, as we already explained, result of the fact </w:t>
      </w:r>
      <w:proofErr w:type="gramStart"/>
      <w:r w:rsidR="00A77E28" w:rsidRPr="00B41C65">
        <w:rPr>
          <w:rFonts w:ascii="Times New Roman" w:eastAsia="Times New Roman" w:hAnsi="Times New Roman" w:cs="Times New Roman"/>
          <w:b/>
          <w:i/>
          <w:sz w:val="24"/>
          <w:szCs w:val="24"/>
        </w:rPr>
        <w:t>that  the</w:t>
      </w:r>
      <w:proofErr w:type="gramEnd"/>
      <w:r w:rsidR="00A77E28" w:rsidRPr="00B41C65">
        <w:rPr>
          <w:rFonts w:ascii="Times New Roman" w:eastAsia="Times New Roman" w:hAnsi="Times New Roman" w:cs="Times New Roman"/>
          <w:b/>
          <w:i/>
          <w:sz w:val="24"/>
          <w:szCs w:val="24"/>
        </w:rPr>
        <w:t xml:space="preserve"> unit of monito</w:t>
      </w:r>
      <w:r w:rsidR="006F7F78" w:rsidRPr="00B41C65">
        <w:rPr>
          <w:rFonts w:ascii="Times New Roman" w:eastAsia="Times New Roman" w:hAnsi="Times New Roman" w:cs="Times New Roman"/>
          <w:b/>
          <w:i/>
          <w:sz w:val="24"/>
          <w:szCs w:val="24"/>
        </w:rPr>
        <w:t>r</w:t>
      </w:r>
      <w:r w:rsidR="00A77E28" w:rsidRPr="00B41C65">
        <w:rPr>
          <w:rFonts w:ascii="Times New Roman" w:eastAsia="Times New Roman" w:hAnsi="Times New Roman" w:cs="Times New Roman"/>
          <w:b/>
          <w:i/>
          <w:sz w:val="24"/>
          <w:szCs w:val="24"/>
        </w:rPr>
        <w:t>ing</w:t>
      </w:r>
      <w:r w:rsidR="006F7F78" w:rsidRPr="00B41C65">
        <w:rPr>
          <w:rFonts w:ascii="Times New Roman" w:eastAsia="Times New Roman" w:hAnsi="Times New Roman" w:cs="Times New Roman"/>
          <w:b/>
          <w:i/>
          <w:sz w:val="24"/>
          <w:szCs w:val="24"/>
        </w:rPr>
        <w:t xml:space="preserve"> in our</w:t>
      </w:r>
      <w:r w:rsidR="00A77E28" w:rsidRPr="00B41C65">
        <w:rPr>
          <w:rFonts w:ascii="Times New Roman" w:eastAsia="Times New Roman" w:hAnsi="Times New Roman" w:cs="Times New Roman"/>
          <w:b/>
          <w:i/>
          <w:sz w:val="24"/>
          <w:szCs w:val="24"/>
        </w:rPr>
        <w:t xml:space="preserve"> study is </w:t>
      </w:r>
      <w:r w:rsidR="00A77E28" w:rsidRPr="00B41C65">
        <w:rPr>
          <w:rStyle w:val="hps"/>
          <w:rFonts w:ascii="Times New Roman" w:hAnsi="Times New Roman" w:cs="Times New Roman"/>
          <w:b/>
          <w:i/>
          <w:sz w:val="24"/>
          <w:szCs w:val="24"/>
        </w:rPr>
        <w:t>control outpatient examination.</w:t>
      </w:r>
    </w:p>
    <w:p w:rsidR="00DF343D" w:rsidRPr="00481EAF" w:rsidRDefault="0093652A" w:rsidP="00481EAF">
      <w:pPr>
        <w:shd w:val="clear" w:color="auto" w:fill="FFFFFF"/>
        <w:spacing w:line="276" w:lineRule="atLeast"/>
        <w:jc w:val="both"/>
        <w:rPr>
          <w:rFonts w:ascii="Times New Roman" w:eastAsia="Times New Roman" w:hAnsi="Times New Roman" w:cs="Times New Roman"/>
        </w:rPr>
      </w:pPr>
      <w:r w:rsidRPr="00481EAF">
        <w:rPr>
          <w:rFonts w:ascii="Times New Roman" w:eastAsia="Times New Roman" w:hAnsi="Times New Roman" w:cs="Times New Roman"/>
        </w:rPr>
        <w:br/>
        <w:t>- The manuscript has 10 tables, which is rather too many. Some data in</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tables are double presented (in Table 4, 6, 8), and the authors are</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supported to present data differently. The authors can also consider to</w:t>
      </w:r>
      <w:r w:rsidRPr="00481EAF">
        <w:rPr>
          <w:rFonts w:ascii="Times New Roman" w:eastAsia="Times New Roman" w:hAnsi="Times New Roman" w:cs="Times New Roman"/>
        </w:rPr>
        <w:br/>
        <w:t>merge some of them, or to exclude some and to present its results in the</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text. Consider excluding exact p value, and mark values where p&lt;0.001</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 xml:space="preserve">with *, **, respectively. Table 10 is not required as it is not part of </w:t>
      </w:r>
      <w:r w:rsidRPr="00481EAF">
        <w:rPr>
          <w:rFonts w:ascii="Times New Roman" w:eastAsia="Times New Roman" w:hAnsi="Times New Roman" w:cs="Times New Roman"/>
        </w:rPr>
        <w:lastRenderedPageBreak/>
        <w:t>the</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 xml:space="preserve">results; it represents overview of drugs that interact with </w:t>
      </w:r>
      <w:proofErr w:type="spellStart"/>
      <w:r w:rsidRPr="00481EAF">
        <w:rPr>
          <w:rFonts w:ascii="Times New Roman" w:eastAsia="Times New Roman" w:hAnsi="Times New Roman" w:cs="Times New Roman"/>
        </w:rPr>
        <w:t>tacrolimus</w:t>
      </w:r>
      <w:proofErr w:type="spellEnd"/>
      <w:r w:rsidRPr="00481EAF">
        <w:rPr>
          <w:rFonts w:ascii="Times New Roman" w:eastAsia="Times New Roman" w:hAnsi="Times New Roman" w:cs="Times New Roman"/>
        </w:rPr>
        <w:t>, so</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it can be omitted in the final manuscript.</w:t>
      </w:r>
    </w:p>
    <w:p w:rsidR="00DF343D" w:rsidRPr="00B41C65" w:rsidRDefault="00683F2E" w:rsidP="00481EAF">
      <w:pPr>
        <w:shd w:val="clear" w:color="auto" w:fill="FFFFFF"/>
        <w:spacing w:line="276" w:lineRule="atLeast"/>
        <w:jc w:val="both"/>
        <w:rPr>
          <w:rFonts w:ascii="Times New Roman" w:eastAsia="Times New Roman" w:hAnsi="Times New Roman" w:cs="Times New Roman"/>
          <w:b/>
          <w:i/>
          <w:sz w:val="24"/>
          <w:szCs w:val="24"/>
        </w:rPr>
      </w:pPr>
      <w:r w:rsidRPr="00B41C65">
        <w:rPr>
          <w:rFonts w:ascii="Times New Roman" w:eastAsia="Times New Roman" w:hAnsi="Times New Roman" w:cs="Times New Roman"/>
          <w:b/>
          <w:i/>
          <w:sz w:val="24"/>
          <w:szCs w:val="24"/>
        </w:rPr>
        <w:t xml:space="preserve">The table 10 is </w:t>
      </w:r>
      <w:r w:rsidR="00A77E28" w:rsidRPr="00B41C65">
        <w:rPr>
          <w:rFonts w:ascii="Times New Roman" w:eastAsia="Times New Roman" w:hAnsi="Times New Roman" w:cs="Times New Roman"/>
          <w:b/>
          <w:i/>
          <w:sz w:val="24"/>
          <w:szCs w:val="24"/>
        </w:rPr>
        <w:t xml:space="preserve">omitted according to suggestion, </w:t>
      </w:r>
      <w:r w:rsidRPr="00B41C65">
        <w:rPr>
          <w:rFonts w:ascii="Times New Roman" w:eastAsia="Times New Roman" w:hAnsi="Times New Roman" w:cs="Times New Roman"/>
          <w:b/>
          <w:i/>
          <w:sz w:val="24"/>
          <w:szCs w:val="24"/>
        </w:rPr>
        <w:t xml:space="preserve">and table 6 and 8 are </w:t>
      </w:r>
      <w:r w:rsidR="00F75963" w:rsidRPr="00B41C65">
        <w:rPr>
          <w:rFonts w:ascii="Times New Roman" w:eastAsia="Times New Roman" w:hAnsi="Times New Roman" w:cs="Times New Roman"/>
          <w:b/>
          <w:i/>
          <w:sz w:val="24"/>
          <w:szCs w:val="24"/>
        </w:rPr>
        <w:t xml:space="preserve">merged </w:t>
      </w:r>
      <w:r w:rsidR="00DB28F0" w:rsidRPr="00B41C65">
        <w:rPr>
          <w:rStyle w:val="hps"/>
          <w:rFonts w:ascii="Times New Roman" w:hAnsi="Times New Roman" w:cs="Times New Roman"/>
          <w:b/>
          <w:i/>
          <w:sz w:val="24"/>
          <w:szCs w:val="24"/>
        </w:rPr>
        <w:t xml:space="preserve">into one </w:t>
      </w:r>
      <w:r w:rsidR="00F75963" w:rsidRPr="00B41C65">
        <w:rPr>
          <w:rStyle w:val="hps"/>
          <w:rFonts w:ascii="Times New Roman" w:hAnsi="Times New Roman" w:cs="Times New Roman"/>
          <w:b/>
          <w:i/>
          <w:sz w:val="24"/>
          <w:szCs w:val="24"/>
        </w:rPr>
        <w:t xml:space="preserve">new </w:t>
      </w:r>
      <w:proofErr w:type="gramStart"/>
      <w:r w:rsidR="00DB28F0" w:rsidRPr="00B41C65">
        <w:rPr>
          <w:rStyle w:val="hps"/>
          <w:rFonts w:ascii="Times New Roman" w:hAnsi="Times New Roman" w:cs="Times New Roman"/>
          <w:b/>
          <w:i/>
          <w:sz w:val="24"/>
          <w:szCs w:val="24"/>
        </w:rPr>
        <w:t>table</w:t>
      </w:r>
      <w:r w:rsidR="00E65E0C" w:rsidRPr="00B41C65">
        <w:rPr>
          <w:rStyle w:val="hps"/>
          <w:rFonts w:ascii="Times New Roman" w:hAnsi="Times New Roman" w:cs="Times New Roman"/>
          <w:b/>
          <w:i/>
          <w:sz w:val="24"/>
          <w:szCs w:val="24"/>
        </w:rPr>
        <w:t xml:space="preserve"> </w:t>
      </w:r>
      <w:r w:rsidR="00F75963" w:rsidRPr="00B41C65">
        <w:rPr>
          <w:rStyle w:val="hps"/>
          <w:rFonts w:ascii="Times New Roman" w:hAnsi="Times New Roman" w:cs="Times New Roman"/>
          <w:b/>
          <w:i/>
          <w:sz w:val="24"/>
          <w:szCs w:val="24"/>
        </w:rPr>
        <w:t xml:space="preserve"> 6</w:t>
      </w:r>
      <w:proofErr w:type="gramEnd"/>
      <w:r w:rsidR="00DB28F0" w:rsidRPr="00B41C65">
        <w:rPr>
          <w:rStyle w:val="hps"/>
          <w:rFonts w:ascii="Times New Roman" w:hAnsi="Times New Roman" w:cs="Times New Roman"/>
          <w:b/>
          <w:i/>
          <w:sz w:val="24"/>
          <w:szCs w:val="24"/>
        </w:rPr>
        <w:t xml:space="preserve">. Also, </w:t>
      </w:r>
      <w:r w:rsidR="00F75963" w:rsidRPr="00B41C65">
        <w:rPr>
          <w:rStyle w:val="hps"/>
          <w:rFonts w:ascii="Times New Roman" w:hAnsi="Times New Roman" w:cs="Times New Roman"/>
          <w:b/>
          <w:i/>
          <w:sz w:val="24"/>
          <w:szCs w:val="24"/>
        </w:rPr>
        <w:t xml:space="preserve">exact p values were deleted </w:t>
      </w:r>
      <w:r w:rsidR="00DB28F0" w:rsidRPr="00B41C65">
        <w:rPr>
          <w:rStyle w:val="hps"/>
          <w:rFonts w:ascii="Times New Roman" w:hAnsi="Times New Roman" w:cs="Times New Roman"/>
          <w:b/>
          <w:i/>
          <w:sz w:val="24"/>
          <w:szCs w:val="24"/>
        </w:rPr>
        <w:t>from the tables</w:t>
      </w:r>
      <w:r w:rsidR="00F75963" w:rsidRPr="00B41C65">
        <w:rPr>
          <w:rStyle w:val="hps"/>
          <w:rFonts w:ascii="Times New Roman" w:hAnsi="Times New Roman" w:cs="Times New Roman"/>
          <w:b/>
          <w:i/>
          <w:sz w:val="24"/>
          <w:szCs w:val="24"/>
        </w:rPr>
        <w:t xml:space="preserve">. </w:t>
      </w:r>
      <w:r w:rsidR="00DB28F0" w:rsidRPr="00B41C65">
        <w:rPr>
          <w:rStyle w:val="hps"/>
          <w:rFonts w:ascii="Times New Roman" w:hAnsi="Times New Roman" w:cs="Times New Roman"/>
          <w:b/>
          <w:i/>
          <w:sz w:val="24"/>
          <w:szCs w:val="24"/>
        </w:rPr>
        <w:t xml:space="preserve"> The significant difference (p&lt;0.05) </w:t>
      </w:r>
      <w:r w:rsidR="00F75963" w:rsidRPr="00B41C65">
        <w:rPr>
          <w:rStyle w:val="hps"/>
          <w:rFonts w:ascii="Times New Roman" w:hAnsi="Times New Roman" w:cs="Times New Roman"/>
          <w:b/>
          <w:i/>
          <w:sz w:val="24"/>
          <w:szCs w:val="24"/>
        </w:rPr>
        <w:t xml:space="preserve">was </w:t>
      </w:r>
      <w:r w:rsidR="00DB28F0" w:rsidRPr="00B41C65">
        <w:rPr>
          <w:rStyle w:val="hps"/>
          <w:rFonts w:ascii="Times New Roman" w:hAnsi="Times New Roman" w:cs="Times New Roman"/>
          <w:b/>
          <w:i/>
          <w:sz w:val="24"/>
          <w:szCs w:val="24"/>
        </w:rPr>
        <w:t>marked only with the symbol *</w:t>
      </w:r>
      <w:r w:rsidR="00F75963" w:rsidRPr="00B41C65">
        <w:rPr>
          <w:rStyle w:val="hps"/>
          <w:rFonts w:ascii="Times New Roman" w:hAnsi="Times New Roman" w:cs="Times New Roman"/>
          <w:b/>
          <w:i/>
          <w:sz w:val="24"/>
          <w:szCs w:val="24"/>
        </w:rPr>
        <w:t xml:space="preserve"> in these tables</w:t>
      </w:r>
      <w:r w:rsidR="005F42FF" w:rsidRPr="00B41C65">
        <w:rPr>
          <w:rStyle w:val="hps"/>
          <w:rFonts w:ascii="Times New Roman" w:hAnsi="Times New Roman" w:cs="Times New Roman"/>
          <w:b/>
          <w:i/>
          <w:sz w:val="24"/>
          <w:szCs w:val="24"/>
        </w:rPr>
        <w:t xml:space="preserve">. </w:t>
      </w:r>
    </w:p>
    <w:p w:rsidR="00DF343D" w:rsidRPr="00481EAF" w:rsidRDefault="0093652A" w:rsidP="00481EAF">
      <w:pPr>
        <w:shd w:val="clear" w:color="auto" w:fill="FFFFFF"/>
        <w:spacing w:line="276" w:lineRule="atLeast"/>
        <w:jc w:val="both"/>
        <w:rPr>
          <w:rFonts w:ascii="Times New Roman" w:eastAsia="Times New Roman" w:hAnsi="Times New Roman" w:cs="Times New Roman"/>
        </w:rPr>
      </w:pPr>
      <w:r w:rsidRPr="00481EAF">
        <w:rPr>
          <w:rFonts w:ascii="Times New Roman" w:eastAsia="Times New Roman" w:hAnsi="Times New Roman" w:cs="Times New Roman"/>
        </w:rPr>
        <w:br/>
        <w:t xml:space="preserve">- 54 patients </w:t>
      </w:r>
      <w:proofErr w:type="gramStart"/>
      <w:r w:rsidRPr="00481EAF">
        <w:rPr>
          <w:rFonts w:ascii="Times New Roman" w:eastAsia="Times New Roman" w:hAnsi="Times New Roman" w:cs="Times New Roman"/>
        </w:rPr>
        <w:t>with approximately 35 examinations/patient</w:t>
      </w:r>
      <w:proofErr w:type="gramEnd"/>
      <w:r w:rsidRPr="00481EAF">
        <w:rPr>
          <w:rFonts w:ascii="Times New Roman" w:eastAsia="Times New Roman" w:hAnsi="Times New Roman" w:cs="Times New Roman"/>
        </w:rPr>
        <w:t xml:space="preserve"> were included, and</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they were followed for average 2 years. Perhaps, the authors can consider to</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evaluate or to discuss effect of post-transplantation period, or factors</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that remain constant and those that change during time and their influences</w:t>
      </w:r>
      <w:r w:rsidR="00481EAF">
        <w:rPr>
          <w:rFonts w:ascii="Times New Roman" w:eastAsia="Times New Roman" w:hAnsi="Times New Roman" w:cs="Times New Roman"/>
        </w:rPr>
        <w:t xml:space="preserve"> </w:t>
      </w:r>
      <w:r w:rsidRPr="00481EAF">
        <w:rPr>
          <w:rFonts w:ascii="Times New Roman" w:eastAsia="Times New Roman" w:hAnsi="Times New Roman" w:cs="Times New Roman"/>
        </w:rPr>
        <w:t xml:space="preserve">on </w:t>
      </w:r>
      <w:proofErr w:type="spellStart"/>
      <w:r w:rsidRPr="00481EAF">
        <w:rPr>
          <w:rFonts w:ascii="Times New Roman" w:eastAsia="Times New Roman" w:hAnsi="Times New Roman" w:cs="Times New Roman"/>
        </w:rPr>
        <w:t>tacrolimus</w:t>
      </w:r>
      <w:proofErr w:type="spellEnd"/>
      <w:r w:rsidRPr="00481EAF">
        <w:rPr>
          <w:rFonts w:ascii="Times New Roman" w:eastAsia="Times New Roman" w:hAnsi="Times New Roman" w:cs="Times New Roman"/>
        </w:rPr>
        <w:t xml:space="preserve"> pharmacokinetics.</w:t>
      </w:r>
    </w:p>
    <w:p w:rsidR="00F75963" w:rsidRPr="00B41C65" w:rsidRDefault="002A7DDE" w:rsidP="00481EAF">
      <w:pPr>
        <w:shd w:val="clear" w:color="auto" w:fill="FFFFFF"/>
        <w:spacing w:line="276" w:lineRule="atLeast"/>
        <w:jc w:val="both"/>
        <w:rPr>
          <w:rFonts w:ascii="Times New Roman" w:eastAsia="Times New Roman" w:hAnsi="Times New Roman" w:cs="Times New Roman"/>
          <w:b/>
          <w:i/>
          <w:sz w:val="24"/>
          <w:szCs w:val="24"/>
        </w:rPr>
      </w:pPr>
      <w:r w:rsidRPr="00B41C65">
        <w:rPr>
          <w:rFonts w:ascii="Times New Roman" w:hAnsi="Times New Roman" w:cs="Times New Roman"/>
          <w:b/>
          <w:i/>
          <w:color w:val="000000" w:themeColor="text1"/>
          <w:sz w:val="24"/>
          <w:szCs w:val="24"/>
        </w:rPr>
        <w:t xml:space="preserve">As it was already mentioned, </w:t>
      </w:r>
      <w:r w:rsidR="00261F34" w:rsidRPr="00B41C65">
        <w:rPr>
          <w:rFonts w:ascii="Times New Roman" w:hAnsi="Times New Roman" w:cs="Times New Roman"/>
          <w:b/>
          <w:i/>
          <w:color w:val="000000" w:themeColor="text1"/>
          <w:sz w:val="24"/>
          <w:szCs w:val="24"/>
        </w:rPr>
        <w:t xml:space="preserve">in the future studies clinical outcomes routinely followed by </w:t>
      </w:r>
      <w:proofErr w:type="spellStart"/>
      <w:r w:rsidR="00261F34" w:rsidRPr="00B41C65">
        <w:rPr>
          <w:rFonts w:ascii="Times New Roman" w:hAnsi="Times New Roman" w:cs="Times New Roman"/>
          <w:b/>
          <w:i/>
          <w:color w:val="000000" w:themeColor="text1"/>
          <w:sz w:val="24"/>
          <w:szCs w:val="24"/>
        </w:rPr>
        <w:t>transplantologists</w:t>
      </w:r>
      <w:proofErr w:type="spellEnd"/>
      <w:r w:rsidR="00261F34" w:rsidRPr="00B41C65">
        <w:rPr>
          <w:rFonts w:ascii="Times New Roman" w:hAnsi="Times New Roman" w:cs="Times New Roman"/>
          <w:b/>
          <w:i/>
          <w:color w:val="000000" w:themeColor="text1"/>
          <w:sz w:val="24"/>
          <w:szCs w:val="24"/>
        </w:rPr>
        <w:t xml:space="preserve"> would be tested to be associated with </w:t>
      </w:r>
      <w:proofErr w:type="spellStart"/>
      <w:r w:rsidR="00261F34" w:rsidRPr="00B41C65">
        <w:rPr>
          <w:rFonts w:ascii="Times New Roman" w:hAnsi="Times New Roman" w:cs="Times New Roman"/>
          <w:b/>
          <w:i/>
          <w:color w:val="000000" w:themeColor="text1"/>
          <w:sz w:val="24"/>
          <w:szCs w:val="24"/>
        </w:rPr>
        <w:t>tacrolimus</w:t>
      </w:r>
      <w:proofErr w:type="spellEnd"/>
      <w:r w:rsidR="00261F34" w:rsidRPr="00B41C65">
        <w:rPr>
          <w:rFonts w:ascii="Times New Roman" w:hAnsi="Times New Roman" w:cs="Times New Roman"/>
          <w:b/>
          <w:i/>
          <w:color w:val="000000" w:themeColor="text1"/>
          <w:sz w:val="24"/>
          <w:szCs w:val="24"/>
        </w:rPr>
        <w:t xml:space="preserve"> C/D ratio calculated (estimated) in this paper. </w:t>
      </w:r>
      <w:r w:rsidR="00A94EA7" w:rsidRPr="00B41C65">
        <w:rPr>
          <w:rFonts w:ascii="Times New Roman" w:hAnsi="Times New Roman" w:cs="Times New Roman"/>
          <w:b/>
          <w:i/>
          <w:color w:val="000000" w:themeColor="text1"/>
          <w:sz w:val="24"/>
          <w:szCs w:val="24"/>
        </w:rPr>
        <w:t>O</w:t>
      </w:r>
      <w:r w:rsidR="00261F34" w:rsidRPr="00B41C65">
        <w:rPr>
          <w:rFonts w:ascii="Times New Roman" w:hAnsi="Times New Roman" w:cs="Times New Roman"/>
          <w:b/>
          <w:i/>
          <w:color w:val="000000" w:themeColor="text1"/>
          <w:sz w:val="24"/>
          <w:szCs w:val="24"/>
        </w:rPr>
        <w:t>ur aim was not considering any clinical outcomes</w:t>
      </w:r>
      <w:r w:rsidR="00A94EA7" w:rsidRPr="00B41C65">
        <w:rPr>
          <w:rFonts w:ascii="Times New Roman" w:hAnsi="Times New Roman" w:cs="Times New Roman"/>
          <w:b/>
          <w:i/>
          <w:color w:val="000000" w:themeColor="text1"/>
          <w:sz w:val="24"/>
          <w:szCs w:val="24"/>
        </w:rPr>
        <w:t xml:space="preserve"> (constant or non-constant)</w:t>
      </w:r>
      <w:r w:rsidR="00261F34" w:rsidRPr="00B41C65">
        <w:rPr>
          <w:rFonts w:ascii="Times New Roman" w:hAnsi="Times New Roman" w:cs="Times New Roman"/>
          <w:b/>
          <w:i/>
          <w:color w:val="000000" w:themeColor="text1"/>
          <w:sz w:val="24"/>
          <w:szCs w:val="24"/>
        </w:rPr>
        <w:t>, but investigating the inf</w:t>
      </w:r>
      <w:r w:rsidR="00A94EA7" w:rsidRPr="00B41C65">
        <w:rPr>
          <w:rFonts w:ascii="Times New Roman" w:hAnsi="Times New Roman" w:cs="Times New Roman"/>
          <w:b/>
          <w:i/>
          <w:color w:val="000000" w:themeColor="text1"/>
          <w:sz w:val="24"/>
          <w:szCs w:val="24"/>
        </w:rPr>
        <w:t>l</w:t>
      </w:r>
      <w:r w:rsidR="00261F34" w:rsidRPr="00B41C65">
        <w:rPr>
          <w:rFonts w:ascii="Times New Roman" w:hAnsi="Times New Roman" w:cs="Times New Roman"/>
          <w:b/>
          <w:i/>
          <w:color w:val="000000" w:themeColor="text1"/>
          <w:sz w:val="24"/>
          <w:szCs w:val="24"/>
        </w:rPr>
        <w:t>ue</w:t>
      </w:r>
      <w:r w:rsidR="00A94EA7" w:rsidRPr="00B41C65">
        <w:rPr>
          <w:rFonts w:ascii="Times New Roman" w:hAnsi="Times New Roman" w:cs="Times New Roman"/>
          <w:b/>
          <w:i/>
          <w:color w:val="000000" w:themeColor="text1"/>
          <w:sz w:val="24"/>
          <w:szCs w:val="24"/>
        </w:rPr>
        <w:t>n</w:t>
      </w:r>
      <w:r w:rsidR="00261F34" w:rsidRPr="00B41C65">
        <w:rPr>
          <w:rFonts w:ascii="Times New Roman" w:hAnsi="Times New Roman" w:cs="Times New Roman"/>
          <w:b/>
          <w:i/>
          <w:color w:val="000000" w:themeColor="text1"/>
          <w:sz w:val="24"/>
          <w:szCs w:val="24"/>
        </w:rPr>
        <w:t xml:space="preserve">ce of gender and </w:t>
      </w:r>
      <w:proofErr w:type="spellStart"/>
      <w:r w:rsidR="00261F34" w:rsidRPr="00B41C65">
        <w:rPr>
          <w:rFonts w:ascii="Times New Roman" w:hAnsi="Times New Roman" w:cs="Times New Roman"/>
          <w:b/>
          <w:i/>
          <w:color w:val="000000" w:themeColor="text1"/>
          <w:sz w:val="24"/>
          <w:szCs w:val="24"/>
        </w:rPr>
        <w:t>comedication</w:t>
      </w:r>
      <w:proofErr w:type="spellEnd"/>
      <w:r w:rsidR="00261F34" w:rsidRPr="00B41C65">
        <w:rPr>
          <w:rFonts w:ascii="Times New Roman" w:hAnsi="Times New Roman" w:cs="Times New Roman"/>
          <w:b/>
          <w:i/>
          <w:color w:val="000000" w:themeColor="text1"/>
          <w:sz w:val="24"/>
          <w:szCs w:val="24"/>
        </w:rPr>
        <w:t xml:space="preserve"> on </w:t>
      </w:r>
      <w:proofErr w:type="spellStart"/>
      <w:r w:rsidR="00261F34" w:rsidRPr="00B41C65">
        <w:rPr>
          <w:rFonts w:ascii="Times New Roman" w:hAnsi="Times New Roman" w:cs="Times New Roman"/>
          <w:b/>
          <w:i/>
          <w:color w:val="000000" w:themeColor="text1"/>
          <w:sz w:val="24"/>
          <w:szCs w:val="24"/>
        </w:rPr>
        <w:t>tacrolimus</w:t>
      </w:r>
      <w:proofErr w:type="spellEnd"/>
      <w:r w:rsidR="00261F34" w:rsidRPr="00B41C65">
        <w:rPr>
          <w:rFonts w:ascii="Times New Roman" w:hAnsi="Times New Roman" w:cs="Times New Roman"/>
          <w:b/>
          <w:i/>
          <w:color w:val="000000" w:themeColor="text1"/>
          <w:sz w:val="24"/>
          <w:szCs w:val="24"/>
        </w:rPr>
        <w:t xml:space="preserve"> exposure in this category of patients.</w:t>
      </w:r>
      <w:r w:rsidR="00A94EA7" w:rsidRPr="00B41C65">
        <w:rPr>
          <w:rFonts w:ascii="Times New Roman" w:hAnsi="Times New Roman" w:cs="Times New Roman"/>
          <w:b/>
          <w:i/>
          <w:color w:val="000000" w:themeColor="text1"/>
          <w:sz w:val="24"/>
          <w:szCs w:val="24"/>
        </w:rPr>
        <w:t xml:space="preserve"> </w:t>
      </w:r>
      <w:r w:rsidR="005F42FF" w:rsidRPr="00B41C65">
        <w:rPr>
          <w:rFonts w:ascii="Times New Roman" w:hAnsi="Times New Roman" w:cs="Times New Roman"/>
          <w:b/>
          <w:i/>
          <w:color w:val="000000" w:themeColor="text1"/>
          <w:sz w:val="24"/>
          <w:szCs w:val="24"/>
        </w:rPr>
        <w:t>W</w:t>
      </w:r>
      <w:r w:rsidR="00A94EA7" w:rsidRPr="00B41C65">
        <w:rPr>
          <w:rFonts w:ascii="Times New Roman" w:hAnsi="Times New Roman" w:cs="Times New Roman"/>
          <w:b/>
          <w:i/>
          <w:color w:val="000000" w:themeColor="text1"/>
          <w:sz w:val="24"/>
          <w:szCs w:val="24"/>
        </w:rPr>
        <w:t xml:space="preserve">e consider that the primary aim is fulfilled, taking into account your suggestions, </w:t>
      </w:r>
      <w:r w:rsidR="005F42FF" w:rsidRPr="00B41C65">
        <w:rPr>
          <w:rFonts w:ascii="Times New Roman" w:hAnsi="Times New Roman" w:cs="Times New Roman"/>
          <w:b/>
          <w:i/>
          <w:color w:val="000000" w:themeColor="text1"/>
          <w:sz w:val="24"/>
          <w:szCs w:val="24"/>
        </w:rPr>
        <w:t xml:space="preserve">and most </w:t>
      </w:r>
      <w:r w:rsidR="00A94EA7" w:rsidRPr="00B41C65">
        <w:rPr>
          <w:rFonts w:ascii="Times New Roman" w:hAnsi="Times New Roman" w:cs="Times New Roman"/>
          <w:b/>
          <w:i/>
          <w:color w:val="000000" w:themeColor="text1"/>
          <w:sz w:val="24"/>
          <w:szCs w:val="24"/>
        </w:rPr>
        <w:t xml:space="preserve">of them are valuable for our future </w:t>
      </w:r>
      <w:r w:rsidR="005F42FF" w:rsidRPr="00B41C65">
        <w:rPr>
          <w:rFonts w:ascii="Times New Roman" w:hAnsi="Times New Roman" w:cs="Times New Roman"/>
          <w:b/>
          <w:i/>
          <w:color w:val="000000" w:themeColor="text1"/>
          <w:sz w:val="24"/>
          <w:szCs w:val="24"/>
        </w:rPr>
        <w:t xml:space="preserve">work. Therefore, the authors thank the referee to his/her efforts to contribute to the quality of the submitted text. </w:t>
      </w:r>
      <w:r w:rsidR="00261F34" w:rsidRPr="00B41C65">
        <w:rPr>
          <w:rFonts w:ascii="Times New Roman" w:hAnsi="Times New Roman" w:cs="Times New Roman"/>
          <w:b/>
          <w:i/>
          <w:color w:val="000000" w:themeColor="text1"/>
          <w:sz w:val="24"/>
          <w:szCs w:val="24"/>
        </w:rPr>
        <w:t xml:space="preserve"> </w:t>
      </w:r>
      <w:r w:rsidRPr="00B41C65">
        <w:rPr>
          <w:rFonts w:ascii="Times New Roman" w:hAnsi="Times New Roman" w:cs="Times New Roman"/>
          <w:b/>
          <w:i/>
          <w:color w:val="000000" w:themeColor="text1"/>
          <w:sz w:val="24"/>
          <w:szCs w:val="24"/>
        </w:rPr>
        <w:t xml:space="preserve">   </w:t>
      </w:r>
      <w:r w:rsidR="00F75963" w:rsidRPr="00B41C65">
        <w:rPr>
          <w:rFonts w:ascii="Times New Roman" w:hAnsi="Times New Roman" w:cs="Times New Roman"/>
          <w:b/>
          <w:i/>
          <w:sz w:val="24"/>
          <w:szCs w:val="24"/>
        </w:rPr>
        <w:t xml:space="preserve"> </w:t>
      </w:r>
    </w:p>
    <w:p w:rsidR="00F75963" w:rsidRPr="00B41C65" w:rsidRDefault="00F75963" w:rsidP="00481EAF">
      <w:pPr>
        <w:shd w:val="clear" w:color="auto" w:fill="FFFFFF"/>
        <w:spacing w:line="276" w:lineRule="atLeast"/>
        <w:jc w:val="both"/>
        <w:rPr>
          <w:rFonts w:ascii="Times New Roman" w:eastAsia="Times New Roman" w:hAnsi="Times New Roman" w:cs="Times New Roman"/>
          <w:b/>
          <w:i/>
          <w:sz w:val="24"/>
          <w:szCs w:val="24"/>
        </w:rPr>
      </w:pPr>
    </w:p>
    <w:p w:rsidR="00780121" w:rsidRPr="00B41C65" w:rsidRDefault="00780121" w:rsidP="00481EAF">
      <w:pPr>
        <w:shd w:val="clear" w:color="auto" w:fill="FFFFFF"/>
        <w:spacing w:line="276" w:lineRule="atLeast"/>
        <w:jc w:val="both"/>
        <w:rPr>
          <w:rStyle w:val="hps"/>
          <w:rFonts w:ascii="Times New Roman" w:hAnsi="Times New Roman" w:cs="Times New Roman"/>
          <w:b/>
          <w:i/>
          <w:sz w:val="24"/>
          <w:szCs w:val="24"/>
        </w:rPr>
      </w:pPr>
      <w:r w:rsidRPr="00B41C65">
        <w:rPr>
          <w:rStyle w:val="hps"/>
          <w:rFonts w:ascii="Times New Roman" w:hAnsi="Times New Roman" w:cs="Times New Roman"/>
          <w:b/>
          <w:i/>
          <w:sz w:val="24"/>
          <w:szCs w:val="24"/>
        </w:rPr>
        <w:t>Sincerely,</w:t>
      </w:r>
    </w:p>
    <w:p w:rsidR="00780121" w:rsidRPr="00B41C65" w:rsidRDefault="00A94EA7" w:rsidP="00481EAF">
      <w:pPr>
        <w:shd w:val="clear" w:color="auto" w:fill="FFFFFF"/>
        <w:spacing w:line="276" w:lineRule="atLeast"/>
        <w:jc w:val="both"/>
        <w:rPr>
          <w:rFonts w:ascii="Times New Roman" w:hAnsi="Times New Roman" w:cs="Times New Roman"/>
          <w:b/>
          <w:i/>
          <w:sz w:val="24"/>
          <w:szCs w:val="24"/>
        </w:rPr>
      </w:pPr>
      <w:r w:rsidRPr="00B41C65">
        <w:rPr>
          <w:rFonts w:ascii="Times New Roman" w:hAnsi="Times New Roman" w:cs="Times New Roman"/>
          <w:b/>
          <w:i/>
          <w:sz w:val="24"/>
          <w:szCs w:val="24"/>
        </w:rPr>
        <w:t>Authors</w:t>
      </w:r>
    </w:p>
    <w:sectPr w:rsidR="00780121" w:rsidRPr="00B41C65" w:rsidSect="00BE320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12903"/>
    <w:multiLevelType w:val="multilevel"/>
    <w:tmpl w:val="0B66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93652A"/>
    <w:rsid w:val="000A3C69"/>
    <w:rsid w:val="001C1C78"/>
    <w:rsid w:val="00223F4E"/>
    <w:rsid w:val="00261F34"/>
    <w:rsid w:val="002856BB"/>
    <w:rsid w:val="002A7DDE"/>
    <w:rsid w:val="0032041B"/>
    <w:rsid w:val="00325D6F"/>
    <w:rsid w:val="003C3AB0"/>
    <w:rsid w:val="00481EAF"/>
    <w:rsid w:val="00497F88"/>
    <w:rsid w:val="004A6653"/>
    <w:rsid w:val="004C222E"/>
    <w:rsid w:val="00557EC0"/>
    <w:rsid w:val="005B055C"/>
    <w:rsid w:val="005F42FF"/>
    <w:rsid w:val="006671A1"/>
    <w:rsid w:val="00683F2E"/>
    <w:rsid w:val="006B6DDD"/>
    <w:rsid w:val="006F7F78"/>
    <w:rsid w:val="00727D5D"/>
    <w:rsid w:val="00780121"/>
    <w:rsid w:val="00824E62"/>
    <w:rsid w:val="008C5986"/>
    <w:rsid w:val="0091422F"/>
    <w:rsid w:val="0093652A"/>
    <w:rsid w:val="009E3648"/>
    <w:rsid w:val="009F54F4"/>
    <w:rsid w:val="009F711E"/>
    <w:rsid w:val="00A227DB"/>
    <w:rsid w:val="00A45F51"/>
    <w:rsid w:val="00A5083F"/>
    <w:rsid w:val="00A77E28"/>
    <w:rsid w:val="00A94EA7"/>
    <w:rsid w:val="00AC1D21"/>
    <w:rsid w:val="00AD75CB"/>
    <w:rsid w:val="00B41C65"/>
    <w:rsid w:val="00B4290A"/>
    <w:rsid w:val="00B551E8"/>
    <w:rsid w:val="00B73EC9"/>
    <w:rsid w:val="00B86715"/>
    <w:rsid w:val="00BA675D"/>
    <w:rsid w:val="00BB19C1"/>
    <w:rsid w:val="00BD616F"/>
    <w:rsid w:val="00BE320A"/>
    <w:rsid w:val="00BE57EB"/>
    <w:rsid w:val="00C14583"/>
    <w:rsid w:val="00C3792E"/>
    <w:rsid w:val="00CA2E49"/>
    <w:rsid w:val="00CB6235"/>
    <w:rsid w:val="00D5766A"/>
    <w:rsid w:val="00D57E86"/>
    <w:rsid w:val="00DA3141"/>
    <w:rsid w:val="00DB28F0"/>
    <w:rsid w:val="00DF343D"/>
    <w:rsid w:val="00E200F0"/>
    <w:rsid w:val="00E65E0C"/>
    <w:rsid w:val="00EE2942"/>
    <w:rsid w:val="00F75963"/>
    <w:rsid w:val="00F76FA6"/>
    <w:rsid w:val="00FF6D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2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3652A"/>
  </w:style>
  <w:style w:type="character" w:styleId="Hyperlink">
    <w:name w:val="Hyperlink"/>
    <w:basedOn w:val="DefaultParagraphFont"/>
    <w:uiPriority w:val="99"/>
    <w:semiHidden/>
    <w:unhideWhenUsed/>
    <w:rsid w:val="0093652A"/>
    <w:rPr>
      <w:color w:val="0000FF"/>
      <w:u w:val="single"/>
    </w:rPr>
  </w:style>
  <w:style w:type="character" w:customStyle="1" w:styleId="shorttext">
    <w:name w:val="short_text"/>
    <w:basedOn w:val="DefaultParagraphFont"/>
    <w:rsid w:val="004C222E"/>
  </w:style>
  <w:style w:type="character" w:customStyle="1" w:styleId="hps">
    <w:name w:val="hps"/>
    <w:basedOn w:val="DefaultParagraphFont"/>
    <w:rsid w:val="004C222E"/>
  </w:style>
  <w:style w:type="paragraph" w:styleId="HTMLPreformatted">
    <w:name w:val="HTML Preformatted"/>
    <w:basedOn w:val="Normal"/>
    <w:link w:val="HTMLPreformattedChar"/>
    <w:uiPriority w:val="99"/>
    <w:semiHidden/>
    <w:unhideWhenUsed/>
    <w:rsid w:val="00780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80121"/>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410467833">
      <w:bodyDiv w:val="1"/>
      <w:marLeft w:val="0"/>
      <w:marRight w:val="0"/>
      <w:marTop w:val="0"/>
      <w:marBottom w:val="0"/>
      <w:divBdr>
        <w:top w:val="none" w:sz="0" w:space="0" w:color="auto"/>
        <w:left w:val="none" w:sz="0" w:space="0" w:color="auto"/>
        <w:bottom w:val="none" w:sz="0" w:space="0" w:color="auto"/>
        <w:right w:val="none" w:sz="0" w:space="0" w:color="auto"/>
      </w:divBdr>
    </w:div>
    <w:div w:id="1862625385">
      <w:bodyDiv w:val="1"/>
      <w:marLeft w:val="0"/>
      <w:marRight w:val="0"/>
      <w:marTop w:val="0"/>
      <w:marBottom w:val="0"/>
      <w:divBdr>
        <w:top w:val="none" w:sz="0" w:space="0" w:color="auto"/>
        <w:left w:val="none" w:sz="0" w:space="0" w:color="auto"/>
        <w:bottom w:val="none" w:sz="0" w:space="0" w:color="auto"/>
        <w:right w:val="none" w:sz="0" w:space="0" w:color="auto"/>
      </w:divBdr>
      <w:divsChild>
        <w:div w:id="1925720186">
          <w:marLeft w:val="0"/>
          <w:marRight w:val="0"/>
          <w:marTop w:val="0"/>
          <w:marBottom w:val="0"/>
          <w:divBdr>
            <w:top w:val="none" w:sz="0" w:space="0" w:color="auto"/>
            <w:left w:val="none" w:sz="0" w:space="0" w:color="auto"/>
            <w:bottom w:val="none" w:sz="0" w:space="0" w:color="auto"/>
            <w:right w:val="none" w:sz="0" w:space="0" w:color="auto"/>
          </w:divBdr>
          <w:divsChild>
            <w:div w:id="459961882">
              <w:marLeft w:val="0"/>
              <w:marRight w:val="0"/>
              <w:marTop w:val="0"/>
              <w:marBottom w:val="0"/>
              <w:divBdr>
                <w:top w:val="none" w:sz="0" w:space="0" w:color="auto"/>
                <w:left w:val="none" w:sz="0" w:space="0" w:color="auto"/>
                <w:bottom w:val="none" w:sz="0" w:space="0" w:color="auto"/>
                <w:right w:val="none" w:sz="0" w:space="0" w:color="auto"/>
              </w:divBdr>
              <w:divsChild>
                <w:div w:id="269823580">
                  <w:marLeft w:val="0"/>
                  <w:marRight w:val="0"/>
                  <w:marTop w:val="100"/>
                  <w:marBottom w:val="100"/>
                  <w:divBdr>
                    <w:top w:val="none" w:sz="0" w:space="0" w:color="auto"/>
                    <w:left w:val="none" w:sz="0" w:space="0" w:color="auto"/>
                    <w:bottom w:val="none" w:sz="0" w:space="0" w:color="auto"/>
                    <w:right w:val="none" w:sz="0" w:space="0" w:color="auto"/>
                  </w:divBdr>
                  <w:divsChild>
                    <w:div w:id="143207017">
                      <w:marLeft w:val="0"/>
                      <w:marRight w:val="0"/>
                      <w:marTop w:val="0"/>
                      <w:marBottom w:val="0"/>
                      <w:divBdr>
                        <w:top w:val="none" w:sz="0" w:space="0" w:color="auto"/>
                        <w:left w:val="none" w:sz="0" w:space="0" w:color="auto"/>
                        <w:bottom w:val="none" w:sz="0" w:space="0" w:color="auto"/>
                        <w:right w:val="none" w:sz="0" w:space="0" w:color="auto"/>
                      </w:divBdr>
                      <w:divsChild>
                        <w:div w:id="1127625398">
                          <w:marLeft w:val="0"/>
                          <w:marRight w:val="0"/>
                          <w:marTop w:val="0"/>
                          <w:marBottom w:val="0"/>
                          <w:divBdr>
                            <w:top w:val="none" w:sz="0" w:space="0" w:color="auto"/>
                            <w:left w:val="none" w:sz="0" w:space="0" w:color="auto"/>
                            <w:bottom w:val="none" w:sz="0" w:space="0" w:color="auto"/>
                            <w:right w:val="none" w:sz="0" w:space="0" w:color="auto"/>
                          </w:divBdr>
                          <w:divsChild>
                            <w:div w:id="1946886174">
                              <w:marLeft w:val="0"/>
                              <w:marRight w:val="0"/>
                              <w:marTop w:val="0"/>
                              <w:marBottom w:val="0"/>
                              <w:divBdr>
                                <w:top w:val="none" w:sz="0" w:space="0" w:color="auto"/>
                                <w:left w:val="none" w:sz="0" w:space="0" w:color="auto"/>
                                <w:bottom w:val="none" w:sz="0" w:space="0" w:color="auto"/>
                                <w:right w:val="none" w:sz="0" w:space="0" w:color="auto"/>
                              </w:divBdr>
                              <w:divsChild>
                                <w:div w:id="2133398843">
                                  <w:marLeft w:val="0"/>
                                  <w:marRight w:val="0"/>
                                  <w:marTop w:val="0"/>
                                  <w:marBottom w:val="0"/>
                                  <w:divBdr>
                                    <w:top w:val="none" w:sz="0" w:space="0" w:color="auto"/>
                                    <w:left w:val="none" w:sz="0" w:space="0" w:color="auto"/>
                                    <w:bottom w:val="none" w:sz="0" w:space="0" w:color="auto"/>
                                    <w:right w:val="none" w:sz="0" w:space="0" w:color="auto"/>
                                  </w:divBdr>
                                  <w:divsChild>
                                    <w:div w:id="376199458">
                                      <w:marLeft w:val="0"/>
                                      <w:marRight w:val="0"/>
                                      <w:marTop w:val="0"/>
                                      <w:marBottom w:val="0"/>
                                      <w:divBdr>
                                        <w:top w:val="none" w:sz="0" w:space="0" w:color="auto"/>
                                        <w:left w:val="none" w:sz="0" w:space="0" w:color="auto"/>
                                        <w:bottom w:val="none" w:sz="0" w:space="0" w:color="auto"/>
                                        <w:right w:val="none" w:sz="0" w:space="0" w:color="auto"/>
                                      </w:divBdr>
                                      <w:divsChild>
                                        <w:div w:id="1464927316">
                                          <w:marLeft w:val="0"/>
                                          <w:marRight w:val="0"/>
                                          <w:marTop w:val="0"/>
                                          <w:marBottom w:val="0"/>
                                          <w:divBdr>
                                            <w:top w:val="none" w:sz="0" w:space="0" w:color="auto"/>
                                            <w:left w:val="none" w:sz="0" w:space="0" w:color="auto"/>
                                            <w:bottom w:val="none" w:sz="0" w:space="0" w:color="auto"/>
                                            <w:right w:val="none" w:sz="0" w:space="0" w:color="auto"/>
                                          </w:divBdr>
                                          <w:divsChild>
                                            <w:div w:id="940645597">
                                              <w:marLeft w:val="0"/>
                                              <w:marRight w:val="0"/>
                                              <w:marTop w:val="0"/>
                                              <w:marBottom w:val="0"/>
                                              <w:divBdr>
                                                <w:top w:val="none" w:sz="0" w:space="0" w:color="auto"/>
                                                <w:left w:val="none" w:sz="0" w:space="0" w:color="auto"/>
                                                <w:bottom w:val="none" w:sz="0" w:space="0" w:color="auto"/>
                                                <w:right w:val="none" w:sz="0" w:space="0" w:color="auto"/>
                                              </w:divBdr>
                                              <w:divsChild>
                                                <w:div w:id="1501309449">
                                                  <w:marLeft w:val="0"/>
                                                  <w:marRight w:val="259"/>
                                                  <w:marTop w:val="0"/>
                                                  <w:marBottom w:val="0"/>
                                                  <w:divBdr>
                                                    <w:top w:val="none" w:sz="0" w:space="0" w:color="auto"/>
                                                    <w:left w:val="none" w:sz="0" w:space="0" w:color="auto"/>
                                                    <w:bottom w:val="none" w:sz="0" w:space="0" w:color="auto"/>
                                                    <w:right w:val="none" w:sz="0" w:space="0" w:color="auto"/>
                                                  </w:divBdr>
                                                  <w:divsChild>
                                                    <w:div w:id="1805929045">
                                                      <w:marLeft w:val="0"/>
                                                      <w:marRight w:val="0"/>
                                                      <w:marTop w:val="0"/>
                                                      <w:marBottom w:val="0"/>
                                                      <w:divBdr>
                                                        <w:top w:val="none" w:sz="0" w:space="0" w:color="auto"/>
                                                        <w:left w:val="none" w:sz="0" w:space="0" w:color="auto"/>
                                                        <w:bottom w:val="none" w:sz="0" w:space="0" w:color="auto"/>
                                                        <w:right w:val="none" w:sz="0" w:space="0" w:color="auto"/>
                                                      </w:divBdr>
                                                      <w:divsChild>
                                                        <w:div w:id="38209593">
                                                          <w:marLeft w:val="0"/>
                                                          <w:marRight w:val="0"/>
                                                          <w:marTop w:val="0"/>
                                                          <w:marBottom w:val="259"/>
                                                          <w:divBdr>
                                                            <w:top w:val="single" w:sz="4" w:space="0" w:color="CCCCCC"/>
                                                            <w:left w:val="none" w:sz="0" w:space="0" w:color="auto"/>
                                                            <w:bottom w:val="none" w:sz="0" w:space="0" w:color="auto"/>
                                                            <w:right w:val="none" w:sz="0" w:space="0" w:color="auto"/>
                                                          </w:divBdr>
                                                          <w:divsChild>
                                                            <w:div w:id="1263730705">
                                                              <w:marLeft w:val="0"/>
                                                              <w:marRight w:val="0"/>
                                                              <w:marTop w:val="0"/>
                                                              <w:marBottom w:val="0"/>
                                                              <w:divBdr>
                                                                <w:top w:val="none" w:sz="0" w:space="0" w:color="auto"/>
                                                                <w:left w:val="none" w:sz="0" w:space="0" w:color="auto"/>
                                                                <w:bottom w:val="none" w:sz="0" w:space="0" w:color="auto"/>
                                                                <w:right w:val="none" w:sz="0" w:space="0" w:color="auto"/>
                                                              </w:divBdr>
                                                              <w:divsChild>
                                                                <w:div w:id="537279330">
                                                                  <w:marLeft w:val="0"/>
                                                                  <w:marRight w:val="0"/>
                                                                  <w:marTop w:val="0"/>
                                                                  <w:marBottom w:val="0"/>
                                                                  <w:divBdr>
                                                                    <w:top w:val="none" w:sz="0" w:space="0" w:color="auto"/>
                                                                    <w:left w:val="none" w:sz="0" w:space="0" w:color="auto"/>
                                                                    <w:bottom w:val="none" w:sz="0" w:space="0" w:color="auto"/>
                                                                    <w:right w:val="none" w:sz="0" w:space="0" w:color="auto"/>
                                                                  </w:divBdr>
                                                                  <w:divsChild>
                                                                    <w:div w:id="183529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593947">
                                          <w:marLeft w:val="0"/>
                                          <w:marRight w:val="0"/>
                                          <w:marTop w:val="0"/>
                                          <w:marBottom w:val="0"/>
                                          <w:divBdr>
                                            <w:top w:val="none" w:sz="0" w:space="0" w:color="auto"/>
                                            <w:left w:val="none" w:sz="0" w:space="0" w:color="auto"/>
                                            <w:bottom w:val="none" w:sz="0" w:space="0" w:color="auto"/>
                                            <w:right w:val="none" w:sz="0" w:space="0" w:color="auto"/>
                                          </w:divBdr>
                                          <w:divsChild>
                                            <w:div w:id="138518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1643</Words>
  <Characters>9368</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Vma</Company>
  <LinksUpToDate>false</LinksUpToDate>
  <CharactersWithSpaces>10990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c:creator>
  <cp:lastModifiedBy>Cip</cp:lastModifiedBy>
  <cp:revision>4</cp:revision>
  <dcterms:created xsi:type="dcterms:W3CDTF">2014-10-21T15:12:00Z</dcterms:created>
  <dcterms:modified xsi:type="dcterms:W3CDTF">2014-10-22T10:37:00Z</dcterms:modified>
</cp:coreProperties>
</file>