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ED2" w:rsidRDefault="00BB0956">
      <w:pPr>
        <w:rPr>
          <w:sz w:val="28"/>
          <w:szCs w:val="28"/>
        </w:rPr>
      </w:pPr>
      <w:r w:rsidRPr="00BB0956">
        <w:rPr>
          <w:sz w:val="28"/>
          <w:szCs w:val="28"/>
        </w:rPr>
        <w:t>Od</w:t>
      </w:r>
      <w:r w:rsidR="00E52ED2" w:rsidRPr="00BB0956">
        <w:rPr>
          <w:sz w:val="28"/>
          <w:szCs w:val="28"/>
        </w:rPr>
        <w:t>govor recenzentima i uređivačkom odboru časopisa Vojnosanitetski pregled</w:t>
      </w:r>
    </w:p>
    <w:p w:rsidR="00BB0956" w:rsidRPr="00BB0956" w:rsidRDefault="00BB0956">
      <w:pPr>
        <w:rPr>
          <w:sz w:val="28"/>
          <w:szCs w:val="28"/>
        </w:rPr>
      </w:pPr>
    </w:p>
    <w:p w:rsidR="00E52ED2" w:rsidRDefault="00E52ED2">
      <w:pPr>
        <w:rPr>
          <w:sz w:val="28"/>
          <w:szCs w:val="28"/>
        </w:rPr>
      </w:pPr>
    </w:p>
    <w:p w:rsidR="00D04379" w:rsidRPr="00D04379" w:rsidRDefault="00D04379" w:rsidP="00D04379">
      <w:pPr>
        <w:tabs>
          <w:tab w:val="left" w:pos="3381"/>
        </w:tabs>
        <w:rPr>
          <w:rFonts w:eastAsia="Calibri"/>
        </w:rPr>
      </w:pPr>
      <w:r w:rsidRPr="00D04379">
        <w:t>Rad</w:t>
      </w:r>
      <w:r w:rsidRPr="00D04379">
        <w:rPr>
          <w:rFonts w:eastAsia="Calibri"/>
        </w:rPr>
        <w:t xml:space="preserve"> ID: </w:t>
      </w:r>
      <w:r>
        <w:t>5564</w:t>
      </w:r>
    </w:p>
    <w:p w:rsidR="00D04379" w:rsidRPr="00E52ED2" w:rsidRDefault="00D04379">
      <w:pPr>
        <w:rPr>
          <w:sz w:val="28"/>
          <w:szCs w:val="28"/>
        </w:rPr>
      </w:pPr>
    </w:p>
    <w:p w:rsidR="00EA20E8" w:rsidRDefault="00F32534" w:rsidP="008F14AC">
      <w:pPr>
        <w:rPr>
          <w:b/>
        </w:rPr>
      </w:pPr>
      <w:r>
        <w:t xml:space="preserve">Zahvaljujemo se </w:t>
      </w:r>
      <w:r w:rsidR="00E52ED2">
        <w:t>recenzentima i uređivačkom odboru na njihovim koris</w:t>
      </w:r>
      <w:r w:rsidR="002B0608">
        <w:t>nim  i sveobuhvatnim primedbama i savetima</w:t>
      </w:r>
      <w:r w:rsidR="008F14AC">
        <w:t xml:space="preserve"> za korekciju rada </w:t>
      </w:r>
      <w:r w:rsidR="008F14AC" w:rsidRPr="008F14AC">
        <w:rPr>
          <w:b/>
        </w:rPr>
        <w:t>„Incidence, predictors and prognostic implications of bleeding complicating  primary percutaneous coronary intervention“</w:t>
      </w:r>
    </w:p>
    <w:p w:rsidR="00A40282" w:rsidRDefault="00A40282" w:rsidP="008F14AC">
      <w:pPr>
        <w:rPr>
          <w:b/>
        </w:rPr>
      </w:pPr>
    </w:p>
    <w:p w:rsidR="00A40282" w:rsidRPr="00A40282" w:rsidRDefault="00A40282" w:rsidP="008F14AC">
      <w:r w:rsidRPr="00A40282">
        <w:t xml:space="preserve">Na zahtev </w:t>
      </w:r>
      <w:r>
        <w:t>uređivačkog odbora na prvoj strani u fusnoti je navedeno je da su rezultati rada delom prikazani na Evropskom kongresu kardiologa u Stokholmu</w:t>
      </w:r>
      <w:r w:rsidR="005F6DDE">
        <w:t xml:space="preserve"> </w:t>
      </w:r>
      <w:r w:rsidR="00700BDE">
        <w:t xml:space="preserve"> </w:t>
      </w:r>
      <w:r w:rsidR="005F6DDE">
        <w:t>201</w:t>
      </w:r>
      <w:r w:rsidR="00700BDE">
        <w:t>0 godine i štampani kao rezime u</w:t>
      </w:r>
      <w:r w:rsidR="005F6DDE">
        <w:t xml:space="preserve"> Euro</w:t>
      </w:r>
      <w:r w:rsidR="00700BDE">
        <w:t xml:space="preserve">pean Heart Journal.  Takođe je </w:t>
      </w:r>
      <w:r w:rsidR="0001137E">
        <w:t>u literaturi citiran rad Steven V. Manoulian. „Bleeding Complications in Acute Coronary Sindromes and Percutaneous Coronary Intervention: Predictors, Prognostic Significance, and paradigms for reducing Risk“, Clinical Cardiology, 10/2007</w:t>
      </w:r>
      <w:r w:rsidR="00E23487">
        <w:t xml:space="preserve"> pod rednom brojem 19</w:t>
      </w:r>
      <w:r w:rsidR="0001137E">
        <w:t>.</w:t>
      </w:r>
      <w:r>
        <w:t xml:space="preserve"> </w:t>
      </w:r>
    </w:p>
    <w:p w:rsidR="00E52ED2" w:rsidRDefault="00E52ED2"/>
    <w:p w:rsidR="00E52ED2" w:rsidRDefault="00E52ED2">
      <w:r>
        <w:t>Odgovori recenzentu</w:t>
      </w:r>
      <w:r w:rsidR="00C41A0C">
        <w:t xml:space="preserve"> A</w:t>
      </w:r>
      <w:r>
        <w:t>:</w:t>
      </w:r>
    </w:p>
    <w:p w:rsidR="00C37BB2" w:rsidRDefault="00C37BB2"/>
    <w:p w:rsidR="00E52ED2" w:rsidRDefault="00C37BB2">
      <w:r>
        <w:t xml:space="preserve">Poštovani, </w:t>
      </w:r>
    </w:p>
    <w:p w:rsidR="00E52ED2" w:rsidRDefault="00E52ED2">
      <w:r>
        <w:t>Rad smo korigovali prema zadatim uputstvima</w:t>
      </w:r>
      <w:r w:rsidR="00D04379">
        <w:t xml:space="preserve">. Primedba recenzenta napisana je </w:t>
      </w:r>
      <w:r w:rsidR="008A4133">
        <w:t xml:space="preserve">bold slovima, naš odgovor normalnim slovima, a ispravke i dopune teksta </w:t>
      </w:r>
      <w:r>
        <w:t>obeležene žutom bojom</w:t>
      </w:r>
      <w:r w:rsidR="008A4133">
        <w:t>.</w:t>
      </w:r>
      <w:r w:rsidR="00A823EA">
        <w:t xml:space="preserve"> </w:t>
      </w:r>
      <w:r w:rsidR="008A4133">
        <w:t>Ispravke i dopune obležene žutom bojom se nalaze i u korigovanom radu</w:t>
      </w:r>
      <w:r>
        <w:t>.</w:t>
      </w:r>
      <w:r w:rsidR="00D04379">
        <w:t xml:space="preserve"> </w:t>
      </w:r>
    </w:p>
    <w:p w:rsidR="00A823EA" w:rsidRDefault="00A823EA"/>
    <w:p w:rsidR="00E52ED2" w:rsidRDefault="00E52ED2"/>
    <w:p w:rsidR="00D04379" w:rsidRPr="008A4133" w:rsidRDefault="00D04379" w:rsidP="00D04379">
      <w:pPr>
        <w:rPr>
          <w:b/>
        </w:rPr>
      </w:pPr>
      <w:r w:rsidRPr="008A4133">
        <w:rPr>
          <w:b/>
        </w:rPr>
        <w:t xml:space="preserve">1. </w:t>
      </w:r>
      <w:r w:rsidRPr="008A4133">
        <w:rPr>
          <w:b/>
        </w:rPr>
        <w:t>Abstrakt je nejasan.</w:t>
      </w:r>
      <w:r w:rsidRPr="008A4133">
        <w:rPr>
          <w:b/>
        </w:rPr>
        <w:t xml:space="preserve"> </w:t>
      </w:r>
      <w:r w:rsidRPr="008A4133">
        <w:rPr>
          <w:b/>
        </w:rPr>
        <w:t>Iz Backgrounda treba da se nasluti neka nedoumica,</w:t>
      </w:r>
      <w:r w:rsidRPr="008A4133">
        <w:rPr>
          <w:b/>
        </w:rPr>
        <w:t xml:space="preserve"> </w:t>
      </w:r>
      <w:r w:rsidRPr="008A4133">
        <w:rPr>
          <w:b/>
        </w:rPr>
        <w:t>naučni problem, pitanje. Recimo, incidenca i prediktori značajnog</w:t>
      </w:r>
      <w:r w:rsidRPr="008A4133">
        <w:rPr>
          <w:b/>
        </w:rPr>
        <w:t xml:space="preserve"> </w:t>
      </w:r>
      <w:r w:rsidRPr="008A4133">
        <w:rPr>
          <w:b/>
        </w:rPr>
        <w:t>krvarenja u PCI nisu istraženi u našim uslovima ili u kohorti</w:t>
      </w:r>
      <w:r w:rsidRPr="008A4133">
        <w:rPr>
          <w:b/>
        </w:rPr>
        <w:t xml:space="preserve"> </w:t>
      </w:r>
      <w:r w:rsidRPr="008A4133">
        <w:rPr>
          <w:b/>
        </w:rPr>
        <w:t>konsekutivnih bolesnika koji su lečeni pPKI u STEMI ili nešto sl. U</w:t>
      </w:r>
      <w:r w:rsidRPr="008A4133">
        <w:rPr>
          <w:b/>
        </w:rPr>
        <w:t xml:space="preserve"> </w:t>
      </w:r>
      <w:r w:rsidRPr="008A4133">
        <w:rPr>
          <w:b/>
        </w:rPr>
        <w:t>metodama se pominje ko čini grupu bolesnika, zatim se definiše značajno</w:t>
      </w:r>
      <w:r w:rsidRPr="008A4133">
        <w:rPr>
          <w:b/>
        </w:rPr>
        <w:t xml:space="preserve"> </w:t>
      </w:r>
      <w:r w:rsidRPr="008A4133">
        <w:rPr>
          <w:b/>
        </w:rPr>
        <w:t>krvarenje a onda se pominje primarni end point 6-mesečna smrt i MACE. Treba</w:t>
      </w:r>
      <w:r w:rsidRPr="008A4133">
        <w:rPr>
          <w:b/>
        </w:rPr>
        <w:t xml:space="preserve"> </w:t>
      </w:r>
      <w:r w:rsidRPr="008A4133">
        <w:rPr>
          <w:b/>
        </w:rPr>
        <w:t>reći da se ispituje uticaj značajnog krvarenja na smrtni ishod i MACE. Jer</w:t>
      </w:r>
      <w:r w:rsidRPr="008A4133">
        <w:rPr>
          <w:b/>
        </w:rPr>
        <w:t xml:space="preserve"> </w:t>
      </w:r>
      <w:r w:rsidRPr="008A4133">
        <w:rPr>
          <w:b/>
        </w:rPr>
        <w:t>to je nepovezano u metodologiji i nejasno.</w:t>
      </w:r>
    </w:p>
    <w:p w:rsidR="00D04379" w:rsidRDefault="00D04379"/>
    <w:p w:rsidR="008A4133" w:rsidRDefault="008A4133"/>
    <w:p w:rsidR="00E52ED2" w:rsidRPr="008F14AC" w:rsidRDefault="00E52ED2">
      <w:r w:rsidRPr="008F14AC">
        <w:t>Hvala na primedbi u vezi sa uvodom i metodama u sažetku rada.</w:t>
      </w:r>
    </w:p>
    <w:p w:rsidR="00E52ED2" w:rsidRDefault="00E52ED2"/>
    <w:p w:rsidR="0013296D" w:rsidRDefault="00E52ED2">
      <w:r>
        <w:t>Sažetak smo korigovali tako što je istaknuto da podaci iz literature većinom potiču iz randomizovanih kliničkih studija bolesnika sa akutnim koronarnim sindromima, a znatno ređe iz popisa i registara. Naše istraživanje bazira na podacima dobijenim u kohorti konsekutiv</w:t>
      </w:r>
      <w:r w:rsidR="00A823EA">
        <w:t>nih bolesnika sa STEMI lečenih p</w:t>
      </w:r>
      <w:r>
        <w:t xml:space="preserve">rimarnom PCI.  U metodama smo istakli </w:t>
      </w:r>
      <w:r w:rsidR="0013296D">
        <w:t xml:space="preserve">da smo ispitivali povezanost između intrahospitalnog krvarenja i smrtnog ishoda/MACE-a kod bolesnika lečenih metodom primarne PCI. </w:t>
      </w:r>
    </w:p>
    <w:p w:rsidR="0013296D" w:rsidRDefault="0013296D"/>
    <w:p w:rsidR="0013296D" w:rsidRDefault="00E23487" w:rsidP="00661980">
      <w:pPr>
        <w:spacing w:line="276" w:lineRule="auto"/>
        <w:rPr>
          <w:lang w:val="en-US"/>
        </w:rPr>
      </w:pPr>
      <w:r w:rsidRPr="00EE6550">
        <w:rPr>
          <w:highlight w:val="yellow"/>
          <w:lang w:val="en-US"/>
        </w:rPr>
        <w:t xml:space="preserve">Data about bleeding complicating primary percutaneous coronary interventions (PCI) </w:t>
      </w:r>
      <w:r>
        <w:rPr>
          <w:highlight w:val="yellow"/>
          <w:lang w:val="en-US"/>
        </w:rPr>
        <w:t>are more frequently obtained from randomized clinical trials of patients with acute coronary syndromes (ACS) but less frequently from surveys or registries of patients with ST-elevation myocardial infarction (STEMI)…</w:t>
      </w:r>
      <w:r w:rsidRPr="00B93D28">
        <w:rPr>
          <w:highlight w:val="yellow"/>
          <w:lang w:val="en-US"/>
        </w:rPr>
        <w:t>…</w:t>
      </w:r>
    </w:p>
    <w:p w:rsidR="00B93D28" w:rsidRDefault="00B93D28" w:rsidP="00661980">
      <w:pPr>
        <w:spacing w:line="276" w:lineRule="auto"/>
        <w:rPr>
          <w:lang w:val="en-US"/>
        </w:rPr>
      </w:pPr>
    </w:p>
    <w:p w:rsidR="00E23487" w:rsidRDefault="00E23487" w:rsidP="00661980">
      <w:pPr>
        <w:spacing w:line="276" w:lineRule="auto"/>
      </w:pPr>
      <w:r w:rsidRPr="000E2B95">
        <w:rPr>
          <w:highlight w:val="yellow"/>
          <w:lang w:val="en-US"/>
        </w:rPr>
        <w:t>We examined the association between in-hospital major bleeding and death or major adverse cardiac events (MACE) in patients treated with PCI.</w:t>
      </w:r>
    </w:p>
    <w:p w:rsidR="00E23487" w:rsidRDefault="00E23487" w:rsidP="00661980">
      <w:pPr>
        <w:spacing w:line="276" w:lineRule="auto"/>
      </w:pPr>
    </w:p>
    <w:p w:rsidR="00B93D28" w:rsidRDefault="00B93D28"/>
    <w:p w:rsidR="00B93D28" w:rsidRDefault="00B93D28"/>
    <w:p w:rsidR="00B93D28" w:rsidRDefault="00B93D28"/>
    <w:p w:rsidR="00B93D28" w:rsidRDefault="00B93D28"/>
    <w:p w:rsidR="00B93D28" w:rsidRPr="00B93D28" w:rsidRDefault="0013296D" w:rsidP="00B93D28">
      <w:pPr>
        <w:rPr>
          <w:b/>
        </w:rPr>
      </w:pPr>
      <w:r w:rsidRPr="00B93D28">
        <w:rPr>
          <w:b/>
        </w:rPr>
        <w:t xml:space="preserve">2. </w:t>
      </w:r>
      <w:r w:rsidR="00B93D28" w:rsidRPr="00B93D28">
        <w:rPr>
          <w:b/>
        </w:rPr>
        <w:t>Nije sasvim jasno za koji period se uopšte odnosi kad je bilo značajno</w:t>
      </w:r>
      <w:r w:rsidR="00B93D28" w:rsidRPr="00B93D28">
        <w:rPr>
          <w:b/>
        </w:rPr>
        <w:t xml:space="preserve"> </w:t>
      </w:r>
      <w:r w:rsidR="00B93D28" w:rsidRPr="00B93D28">
        <w:rPr>
          <w:b/>
        </w:rPr>
        <w:t>krvarenje, samo periproceduralno, u toku hospitalizacije kada je rađena</w:t>
      </w:r>
      <w:r w:rsidR="00B93D28" w:rsidRPr="00B93D28">
        <w:rPr>
          <w:b/>
        </w:rPr>
        <w:t xml:space="preserve"> </w:t>
      </w:r>
      <w:r w:rsidR="00B93D28" w:rsidRPr="00B93D28">
        <w:rPr>
          <w:b/>
        </w:rPr>
        <w:t>pPKI ili za sve vreme od 6 meseci.</w:t>
      </w:r>
    </w:p>
    <w:p w:rsidR="00B93D28" w:rsidRDefault="00B93D28"/>
    <w:p w:rsidR="0013296D" w:rsidRPr="008F14AC" w:rsidRDefault="0013296D">
      <w:pPr>
        <w:rPr>
          <w:i/>
        </w:rPr>
      </w:pPr>
      <w:r w:rsidRPr="008F14AC">
        <w:t>Hvala na datoj primedbi u vezi nejasnog perioda u kome se desilo značajno krvarenje</w:t>
      </w:r>
      <w:r w:rsidRPr="008F14AC">
        <w:rPr>
          <w:i/>
        </w:rPr>
        <w:t xml:space="preserve">. </w:t>
      </w:r>
    </w:p>
    <w:p w:rsidR="0013296D" w:rsidRDefault="0013296D"/>
    <w:p w:rsidR="0013296D" w:rsidRDefault="008F14AC">
      <w:r>
        <w:t>Uneli smo ispravku „in-hospital bleeding“ na potrebnim mestima iz čega se</w:t>
      </w:r>
      <w:r w:rsidR="0013296D">
        <w:t xml:space="preserve"> </w:t>
      </w:r>
      <w:r>
        <w:t xml:space="preserve">vidi </w:t>
      </w:r>
      <w:r w:rsidR="0013296D">
        <w:t xml:space="preserve">da se studija odnosi na intrahospitalno krvarenje posle primarne PCI. </w:t>
      </w:r>
    </w:p>
    <w:p w:rsidR="00B93D28" w:rsidRDefault="00B93D28"/>
    <w:p w:rsidR="0013296D" w:rsidRDefault="0013296D"/>
    <w:p w:rsidR="00B93D28" w:rsidRPr="00B93D28" w:rsidRDefault="0013296D" w:rsidP="00B93D28">
      <w:pPr>
        <w:rPr>
          <w:b/>
        </w:rPr>
      </w:pPr>
      <w:r w:rsidRPr="00B93D28">
        <w:rPr>
          <w:b/>
        </w:rPr>
        <w:t>3.</w:t>
      </w:r>
      <w:r w:rsidR="00B93D28" w:rsidRPr="00B93D28">
        <w:rPr>
          <w:b/>
        </w:rPr>
        <w:t xml:space="preserve"> </w:t>
      </w:r>
      <w:r w:rsidR="00B93D28" w:rsidRPr="00B93D28">
        <w:rPr>
          <w:b/>
        </w:rPr>
        <w:t>Incidenca je jasna, jasni su i nezavisni prediktori ali.... 15.000</w:t>
      </w:r>
      <w:r w:rsidR="00B93D28" w:rsidRPr="00B93D28">
        <w:rPr>
          <w:b/>
        </w:rPr>
        <w:t xml:space="preserve"> </w:t>
      </w:r>
      <w:r w:rsidR="00B93D28" w:rsidRPr="00B93D28">
        <w:rPr>
          <w:b/>
        </w:rPr>
        <w:t>leukocita. Zašto su uopšte uzeti leukociti u predikciju. Je su li oni</w:t>
      </w:r>
      <w:r w:rsidR="00B93D28" w:rsidRPr="00B93D28">
        <w:rPr>
          <w:b/>
        </w:rPr>
        <w:t xml:space="preserve"> </w:t>
      </w:r>
      <w:r w:rsidR="00B93D28" w:rsidRPr="00B93D28">
        <w:rPr>
          <w:b/>
        </w:rPr>
        <w:t>odraz Killip klase na prijemu, veličine infarkta. Kako je moguće da nema</w:t>
      </w:r>
      <w:r w:rsidR="00B93D28" w:rsidRPr="00B93D28">
        <w:rPr>
          <w:b/>
        </w:rPr>
        <w:t xml:space="preserve"> </w:t>
      </w:r>
      <w:r w:rsidR="00B93D28" w:rsidRPr="00B93D28">
        <w:rPr>
          <w:b/>
        </w:rPr>
        <w:t>bubrežne slabosti, niske ili velike telesne težine i lekova – GP</w:t>
      </w:r>
      <w:r w:rsidR="00B93D28" w:rsidRPr="00B93D28">
        <w:rPr>
          <w:b/>
        </w:rPr>
        <w:t xml:space="preserve"> </w:t>
      </w:r>
      <w:r w:rsidR="00B93D28" w:rsidRPr="00B93D28">
        <w:rPr>
          <w:b/>
        </w:rPr>
        <w:t>inhibitori, doze klopidogrela, heparina, itd. Radijalni vs femoralni</w:t>
      </w:r>
      <w:r w:rsidR="00B93D28" w:rsidRPr="00B93D28">
        <w:rPr>
          <w:b/>
        </w:rPr>
        <w:t xml:space="preserve"> </w:t>
      </w:r>
      <w:r w:rsidR="00B93D28" w:rsidRPr="00B93D28">
        <w:rPr>
          <w:b/>
        </w:rPr>
        <w:t>pristup... itd. Dalje je rečeno da je major bleeding indipendent pa onda da</w:t>
      </w:r>
      <w:r w:rsidR="00B93D28" w:rsidRPr="00B93D28">
        <w:rPr>
          <w:b/>
        </w:rPr>
        <w:t xml:space="preserve"> </w:t>
      </w:r>
      <w:r w:rsidR="00B93D28" w:rsidRPr="00B93D28">
        <w:rPr>
          <w:b/>
        </w:rPr>
        <w:t>nije true independent faktor, to se ne može tako reći. On dakle nije</w:t>
      </w:r>
      <w:r w:rsidR="00B93D28" w:rsidRPr="00B93D28">
        <w:rPr>
          <w:b/>
        </w:rPr>
        <w:t xml:space="preserve"> </w:t>
      </w:r>
      <w:r w:rsidR="00B93D28" w:rsidRPr="00B93D28">
        <w:rPr>
          <w:b/>
        </w:rPr>
        <w:t>indipendent prediktor jer je samo posledica nekih drugih faktora.</w:t>
      </w:r>
    </w:p>
    <w:p w:rsidR="00B93D28" w:rsidRDefault="00B93D28"/>
    <w:p w:rsidR="00293E9A" w:rsidRDefault="0013296D">
      <w:r w:rsidRPr="008F14AC">
        <w:t>Hvala na primedbi u vezi sa povećanjem broja leukocita preko 15.000/mm</w:t>
      </w:r>
      <w:r w:rsidRPr="008F14AC">
        <w:rPr>
          <w:vertAlign w:val="superscript"/>
        </w:rPr>
        <w:t>3</w:t>
      </w:r>
      <w:r w:rsidRPr="008F14AC">
        <w:t xml:space="preserve"> kao prediktorom velikog krvarenja.</w:t>
      </w:r>
      <w:r w:rsidR="00510D06">
        <w:t xml:space="preserve"> </w:t>
      </w:r>
      <w:r>
        <w:t>U naš rad smo uneli izmene i umesto  &gt;15 000 leukocita/1mm3 testirali smo uticaj povećanja leukocita na prijemu za 1 000/mm</w:t>
      </w:r>
      <w:r w:rsidRPr="00180602">
        <w:rPr>
          <w:vertAlign w:val="superscript"/>
        </w:rPr>
        <w:t>3</w:t>
      </w:r>
      <w:r>
        <w:t xml:space="preserve"> na nastanak velikog krvarenja. Rukovodili smo se podacima </w:t>
      </w:r>
      <w:r w:rsidR="00180602">
        <w:t xml:space="preserve">velike randomizovane </w:t>
      </w:r>
      <w:r w:rsidR="00BB34BB">
        <w:t>studije HORIZONS-AMI</w:t>
      </w:r>
      <w:r>
        <w:t xml:space="preserve"> </w:t>
      </w:r>
      <w:r w:rsidR="00BB34BB">
        <w:t>koja je utvrdila da je povećanje broja leukocita na prijemu nezavisan prediktor velikog krvarenja kod bolesnika sa STEMI lečenih metodom primarne PCI</w:t>
      </w:r>
      <w:r w:rsidR="00293E9A">
        <w:t xml:space="preserve"> (literat. Palmerini T et al.</w:t>
      </w:r>
      <w:r w:rsidR="00BB34BB">
        <w:t xml:space="preserve"> Impact of Leukocite Count on Mortality and Bleeding in Patients With Myocardial Infarction Undergoing Primary Percutaneous Coronary Interventi</w:t>
      </w:r>
      <w:r w:rsidR="002A2D02">
        <w:t>ons. Circulation 2011; 123:2829-</w:t>
      </w:r>
      <w:r w:rsidR="00BB34BB">
        <w:t xml:space="preserve">2837). Mehran i sar. su </w:t>
      </w:r>
      <w:r w:rsidR="00970A5D">
        <w:t>povećanje broja leukocita na prijemu uvrstili u poznati „integer risk scor“ za predikciju velikog krvarenja kod bolesnika sa akutnim koronarnim sindromom (liter</w:t>
      </w:r>
      <w:r w:rsidR="00293E9A">
        <w:t>at.</w:t>
      </w:r>
      <w:r w:rsidR="00970A5D">
        <w:t xml:space="preserve"> </w:t>
      </w:r>
      <w:r w:rsidR="00293E9A">
        <w:t>Mehran R et al.</w:t>
      </w:r>
      <w:r w:rsidR="00970A5D">
        <w:t xml:space="preserve"> </w:t>
      </w:r>
      <w:r w:rsidR="00293E9A">
        <w:t xml:space="preserve">A Risk Score to Predict Bleeding in Patients With Acute Coronary Syndromes. J Am Coll Cardiol 2010; 55:2556-66). </w:t>
      </w:r>
    </w:p>
    <w:p w:rsidR="00834D65" w:rsidRDefault="007A6AEB">
      <w:r>
        <w:tab/>
        <w:t>Što se tiče pristupa, u odeljku o PCI proceduri u Metodologiji istaknuto je da je korišćen isključivo femoralni pristup. Major bleeding je independent factor rizika za 6-mesečni MACE u odnosu na sledeće faktore rizika: prethodni MI, prethodna PCI, dijabetes melitus i hipertenzija, ali nije nezavisni faktor rizika za 6-mesečni MACE kada se uključe svi fakori rizika u model: prethodni MI, prethodna PCI, dijabetes melitus, hipertenzija, životno doba  ≥65 godina i ženski pol.</w:t>
      </w:r>
    </w:p>
    <w:p w:rsidR="00834D65" w:rsidRDefault="00834D65" w:rsidP="00834D65">
      <w:pPr>
        <w:spacing w:line="480" w:lineRule="auto"/>
        <w:rPr>
          <w:b/>
          <w:lang w:val="en-US"/>
        </w:rPr>
      </w:pPr>
      <w:r>
        <w:rPr>
          <w:b/>
          <w:lang w:val="en-US"/>
        </w:rPr>
        <w:t xml:space="preserve">Table </w:t>
      </w:r>
      <w:r w:rsidRPr="00A9520A">
        <w:rPr>
          <w:b/>
          <w:lang w:val="en-US"/>
        </w:rPr>
        <w:t>3. Predictors of major bleeding</w:t>
      </w:r>
    </w:p>
    <w:tbl>
      <w:tblPr>
        <w:tblW w:w="11241" w:type="dxa"/>
        <w:jc w:val="center"/>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84"/>
        <w:gridCol w:w="2185"/>
        <w:gridCol w:w="1926"/>
        <w:gridCol w:w="2268"/>
        <w:gridCol w:w="2078"/>
      </w:tblGrid>
      <w:tr w:rsidR="00834D65" w:rsidRPr="00A9520A" w:rsidTr="00901898">
        <w:trPr>
          <w:trHeight w:val="170"/>
          <w:jc w:val="center"/>
        </w:trPr>
        <w:tc>
          <w:tcPr>
            <w:tcW w:w="2784" w:type="dxa"/>
            <w:vMerge w:val="restart"/>
            <w:shd w:val="clear" w:color="auto" w:fill="auto"/>
            <w:tcMar>
              <w:top w:w="72" w:type="dxa"/>
              <w:left w:w="144" w:type="dxa"/>
              <w:bottom w:w="72" w:type="dxa"/>
              <w:right w:w="144" w:type="dxa"/>
            </w:tcMar>
            <w:vAlign w:val="center"/>
            <w:hideMark/>
          </w:tcPr>
          <w:p w:rsidR="00834D65" w:rsidRPr="00A9520A" w:rsidRDefault="00834D65" w:rsidP="00901898">
            <w:pPr>
              <w:spacing w:line="480" w:lineRule="auto"/>
              <w:rPr>
                <w:lang w:val="en-US"/>
              </w:rPr>
            </w:pPr>
            <w:r w:rsidRPr="00A9520A">
              <w:rPr>
                <w:bCs/>
                <w:lang w:val="en-US"/>
              </w:rPr>
              <w:t>Variable</w:t>
            </w:r>
          </w:p>
          <w:p w:rsidR="00834D65" w:rsidRPr="00A9520A" w:rsidRDefault="00834D65" w:rsidP="00901898">
            <w:pPr>
              <w:spacing w:line="480" w:lineRule="auto"/>
              <w:rPr>
                <w:lang w:val="en-US"/>
              </w:rPr>
            </w:pPr>
            <w:r w:rsidRPr="00A9520A">
              <w:rPr>
                <w:bCs/>
                <w:lang w:val="en-US"/>
              </w:rPr>
              <w:t xml:space="preserve">(Major bleeding) </w:t>
            </w:r>
          </w:p>
        </w:tc>
        <w:tc>
          <w:tcPr>
            <w:tcW w:w="4111" w:type="dxa"/>
            <w:gridSpan w:val="2"/>
            <w:shd w:val="clear" w:color="auto" w:fill="auto"/>
            <w:tcMar>
              <w:top w:w="72" w:type="dxa"/>
              <w:left w:w="144" w:type="dxa"/>
              <w:bottom w:w="72" w:type="dxa"/>
              <w:right w:w="144" w:type="dxa"/>
            </w:tcMar>
            <w:vAlign w:val="center"/>
            <w:hideMark/>
          </w:tcPr>
          <w:p w:rsidR="00834D65" w:rsidRPr="00A9520A" w:rsidRDefault="00834D65" w:rsidP="00901898">
            <w:pPr>
              <w:spacing w:line="480" w:lineRule="auto"/>
              <w:jc w:val="center"/>
              <w:rPr>
                <w:lang w:val="en-US"/>
              </w:rPr>
            </w:pPr>
            <w:r w:rsidRPr="00A9520A">
              <w:rPr>
                <w:bCs/>
                <w:lang w:val="en-US"/>
              </w:rPr>
              <w:t>Univariate logistic regression analysis</w:t>
            </w:r>
          </w:p>
        </w:tc>
        <w:tc>
          <w:tcPr>
            <w:tcW w:w="4346" w:type="dxa"/>
            <w:gridSpan w:val="2"/>
            <w:shd w:val="clear" w:color="auto" w:fill="auto"/>
            <w:tcMar>
              <w:top w:w="72" w:type="dxa"/>
              <w:left w:w="144" w:type="dxa"/>
              <w:bottom w:w="72" w:type="dxa"/>
              <w:right w:w="144" w:type="dxa"/>
            </w:tcMar>
            <w:vAlign w:val="center"/>
            <w:hideMark/>
          </w:tcPr>
          <w:p w:rsidR="00834D65" w:rsidRPr="00A9520A" w:rsidRDefault="00834D65" w:rsidP="00901898">
            <w:pPr>
              <w:spacing w:line="480" w:lineRule="auto"/>
              <w:jc w:val="center"/>
              <w:rPr>
                <w:lang w:val="en-US"/>
              </w:rPr>
            </w:pPr>
            <w:r w:rsidRPr="00A9520A">
              <w:rPr>
                <w:bCs/>
                <w:lang w:val="en-US"/>
              </w:rPr>
              <w:t>Multivariate logistic regression analysis</w:t>
            </w:r>
          </w:p>
        </w:tc>
      </w:tr>
      <w:tr w:rsidR="00834D65" w:rsidRPr="00A9520A" w:rsidTr="00901898">
        <w:trPr>
          <w:trHeight w:val="170"/>
          <w:jc w:val="center"/>
        </w:trPr>
        <w:tc>
          <w:tcPr>
            <w:tcW w:w="2784" w:type="dxa"/>
            <w:vMerge/>
            <w:shd w:val="clear" w:color="auto" w:fill="auto"/>
            <w:vAlign w:val="center"/>
            <w:hideMark/>
          </w:tcPr>
          <w:p w:rsidR="00834D65" w:rsidRPr="00A9520A" w:rsidRDefault="00834D65" w:rsidP="00901898">
            <w:pPr>
              <w:spacing w:line="480" w:lineRule="auto"/>
              <w:rPr>
                <w:lang w:val="en-US"/>
              </w:rPr>
            </w:pPr>
          </w:p>
        </w:tc>
        <w:tc>
          <w:tcPr>
            <w:tcW w:w="2185" w:type="dxa"/>
            <w:shd w:val="clear" w:color="auto" w:fill="auto"/>
            <w:tcMar>
              <w:top w:w="72" w:type="dxa"/>
              <w:left w:w="144" w:type="dxa"/>
              <w:bottom w:w="72" w:type="dxa"/>
              <w:right w:w="144" w:type="dxa"/>
            </w:tcMar>
            <w:vAlign w:val="center"/>
            <w:hideMark/>
          </w:tcPr>
          <w:p w:rsidR="00834D65" w:rsidRPr="00A9520A" w:rsidRDefault="00834D65" w:rsidP="00901898">
            <w:pPr>
              <w:spacing w:line="480" w:lineRule="auto"/>
              <w:jc w:val="center"/>
              <w:rPr>
                <w:lang w:val="en-US"/>
              </w:rPr>
            </w:pPr>
            <w:r w:rsidRPr="00A9520A">
              <w:rPr>
                <w:bCs/>
                <w:lang w:val="en-US"/>
              </w:rPr>
              <w:t>OR (95%CI)</w:t>
            </w:r>
          </w:p>
        </w:tc>
        <w:tc>
          <w:tcPr>
            <w:tcW w:w="1926" w:type="dxa"/>
            <w:shd w:val="clear" w:color="auto" w:fill="auto"/>
            <w:tcMar>
              <w:top w:w="72" w:type="dxa"/>
              <w:left w:w="144" w:type="dxa"/>
              <w:bottom w:w="72" w:type="dxa"/>
              <w:right w:w="144" w:type="dxa"/>
            </w:tcMar>
            <w:vAlign w:val="center"/>
            <w:hideMark/>
          </w:tcPr>
          <w:p w:rsidR="00834D65" w:rsidRPr="00A9520A" w:rsidRDefault="00834D65" w:rsidP="00901898">
            <w:pPr>
              <w:spacing w:line="480" w:lineRule="auto"/>
              <w:jc w:val="center"/>
              <w:rPr>
                <w:lang w:val="en-US"/>
              </w:rPr>
            </w:pPr>
            <w:r w:rsidRPr="00A9520A">
              <w:rPr>
                <w:bCs/>
                <w:lang w:val="en-US"/>
              </w:rPr>
              <w:t>p value</w:t>
            </w:r>
          </w:p>
        </w:tc>
        <w:tc>
          <w:tcPr>
            <w:tcW w:w="2268" w:type="dxa"/>
            <w:shd w:val="clear" w:color="auto" w:fill="auto"/>
            <w:tcMar>
              <w:top w:w="72" w:type="dxa"/>
              <w:left w:w="144" w:type="dxa"/>
              <w:bottom w:w="72" w:type="dxa"/>
              <w:right w:w="144" w:type="dxa"/>
            </w:tcMar>
            <w:vAlign w:val="center"/>
            <w:hideMark/>
          </w:tcPr>
          <w:p w:rsidR="00834D65" w:rsidRPr="00A9520A" w:rsidRDefault="00834D65" w:rsidP="00901898">
            <w:pPr>
              <w:spacing w:line="480" w:lineRule="auto"/>
              <w:jc w:val="center"/>
              <w:rPr>
                <w:lang w:val="en-US"/>
              </w:rPr>
            </w:pPr>
            <w:r w:rsidRPr="00A9520A">
              <w:rPr>
                <w:bCs/>
                <w:lang w:val="en-US"/>
              </w:rPr>
              <w:t>OR (95%CI)</w:t>
            </w:r>
          </w:p>
        </w:tc>
        <w:tc>
          <w:tcPr>
            <w:tcW w:w="2078" w:type="dxa"/>
            <w:shd w:val="clear" w:color="auto" w:fill="auto"/>
            <w:tcMar>
              <w:top w:w="72" w:type="dxa"/>
              <w:left w:w="144" w:type="dxa"/>
              <w:bottom w:w="72" w:type="dxa"/>
              <w:right w:w="144" w:type="dxa"/>
            </w:tcMar>
            <w:vAlign w:val="center"/>
            <w:hideMark/>
          </w:tcPr>
          <w:p w:rsidR="00834D65" w:rsidRPr="00A9520A" w:rsidRDefault="00834D65" w:rsidP="00901898">
            <w:pPr>
              <w:spacing w:line="480" w:lineRule="auto"/>
              <w:jc w:val="center"/>
              <w:rPr>
                <w:lang w:val="en-US"/>
              </w:rPr>
            </w:pPr>
            <w:r w:rsidRPr="00A9520A">
              <w:rPr>
                <w:bCs/>
                <w:lang w:val="en-US"/>
              </w:rPr>
              <w:t>p value</w:t>
            </w:r>
          </w:p>
        </w:tc>
      </w:tr>
      <w:tr w:rsidR="00834D65" w:rsidRPr="00A9520A" w:rsidTr="00901898">
        <w:trPr>
          <w:trHeight w:val="170"/>
          <w:jc w:val="center"/>
        </w:trPr>
        <w:tc>
          <w:tcPr>
            <w:tcW w:w="2784" w:type="dxa"/>
            <w:tcBorders>
              <w:top w:val="nil"/>
              <w:bottom w:val="nil"/>
              <w:right w:val="nil"/>
            </w:tcBorders>
            <w:shd w:val="clear" w:color="auto" w:fill="auto"/>
            <w:tcMar>
              <w:top w:w="72" w:type="dxa"/>
              <w:left w:w="144" w:type="dxa"/>
              <w:bottom w:w="72" w:type="dxa"/>
              <w:right w:w="144" w:type="dxa"/>
            </w:tcMar>
            <w:vAlign w:val="center"/>
            <w:hideMark/>
          </w:tcPr>
          <w:p w:rsidR="00834D65" w:rsidRPr="00A9520A" w:rsidRDefault="00834D65" w:rsidP="00901898">
            <w:pPr>
              <w:spacing w:line="480" w:lineRule="auto"/>
              <w:rPr>
                <w:lang w:val="en-US"/>
              </w:rPr>
            </w:pPr>
            <w:r>
              <w:rPr>
                <w:bCs/>
                <w:lang w:val="en-US"/>
              </w:rPr>
              <w:t>WBC, per 1000/mm</w:t>
            </w:r>
            <w:r w:rsidRPr="00A419AC">
              <w:rPr>
                <w:bCs/>
                <w:vertAlign w:val="superscript"/>
                <w:lang w:val="en-US"/>
              </w:rPr>
              <w:t>3</w:t>
            </w:r>
            <w:r>
              <w:rPr>
                <w:bCs/>
                <w:vertAlign w:val="superscript"/>
                <w:lang w:val="en-US"/>
              </w:rPr>
              <w:t xml:space="preserve"> </w:t>
            </w:r>
            <w:r>
              <w:rPr>
                <w:bCs/>
                <w:lang w:val="en-US"/>
              </w:rPr>
              <w:t>increase</w:t>
            </w:r>
            <w:r w:rsidRPr="00A9520A">
              <w:rPr>
                <w:bCs/>
                <w:lang w:val="en-US"/>
              </w:rPr>
              <w:t xml:space="preserve"> </w:t>
            </w:r>
          </w:p>
        </w:tc>
        <w:tc>
          <w:tcPr>
            <w:tcW w:w="2185" w:type="dxa"/>
            <w:tcBorders>
              <w:top w:val="nil"/>
              <w:left w:val="nil"/>
              <w:bottom w:val="nil"/>
              <w:right w:val="nil"/>
            </w:tcBorders>
            <w:shd w:val="clear" w:color="auto" w:fill="auto"/>
            <w:tcMar>
              <w:top w:w="72" w:type="dxa"/>
              <w:left w:w="144" w:type="dxa"/>
              <w:bottom w:w="72" w:type="dxa"/>
              <w:right w:w="144" w:type="dxa"/>
            </w:tcMar>
            <w:vAlign w:val="center"/>
            <w:hideMark/>
          </w:tcPr>
          <w:p w:rsidR="00834D65" w:rsidRPr="004A641D" w:rsidRDefault="00834D65" w:rsidP="00901898">
            <w:pPr>
              <w:spacing w:line="480" w:lineRule="auto"/>
              <w:jc w:val="center"/>
              <w:rPr>
                <w:highlight w:val="yellow"/>
                <w:lang w:val="en-US"/>
              </w:rPr>
            </w:pPr>
            <w:r w:rsidRPr="004A641D">
              <w:rPr>
                <w:highlight w:val="yellow"/>
                <w:lang w:val="en-US"/>
              </w:rPr>
              <w:t>1.06 (1.02-1.11)</w:t>
            </w:r>
          </w:p>
        </w:tc>
        <w:tc>
          <w:tcPr>
            <w:tcW w:w="1926" w:type="dxa"/>
            <w:tcBorders>
              <w:top w:val="nil"/>
              <w:left w:val="nil"/>
              <w:bottom w:val="nil"/>
              <w:right w:val="nil"/>
            </w:tcBorders>
            <w:shd w:val="clear" w:color="auto" w:fill="auto"/>
            <w:tcMar>
              <w:top w:w="72" w:type="dxa"/>
              <w:left w:w="144" w:type="dxa"/>
              <w:bottom w:w="72" w:type="dxa"/>
              <w:right w:w="144" w:type="dxa"/>
            </w:tcMar>
            <w:vAlign w:val="center"/>
            <w:hideMark/>
          </w:tcPr>
          <w:p w:rsidR="00834D65" w:rsidRPr="004A641D" w:rsidRDefault="00834D65" w:rsidP="00901898">
            <w:pPr>
              <w:spacing w:line="480" w:lineRule="auto"/>
              <w:jc w:val="center"/>
              <w:rPr>
                <w:highlight w:val="yellow"/>
                <w:lang w:val="en-US"/>
              </w:rPr>
            </w:pPr>
            <w:r w:rsidRPr="004A641D">
              <w:rPr>
                <w:highlight w:val="yellow"/>
                <w:lang w:val="en-US"/>
              </w:rPr>
              <w:t>0.008</w:t>
            </w:r>
          </w:p>
        </w:tc>
        <w:tc>
          <w:tcPr>
            <w:tcW w:w="2268" w:type="dxa"/>
            <w:tcBorders>
              <w:top w:val="nil"/>
              <w:left w:val="nil"/>
              <w:bottom w:val="nil"/>
              <w:right w:val="nil"/>
            </w:tcBorders>
            <w:shd w:val="clear" w:color="auto" w:fill="auto"/>
            <w:tcMar>
              <w:top w:w="72" w:type="dxa"/>
              <w:left w:w="144" w:type="dxa"/>
              <w:bottom w:w="72" w:type="dxa"/>
              <w:right w:w="144" w:type="dxa"/>
            </w:tcMar>
            <w:vAlign w:val="center"/>
            <w:hideMark/>
          </w:tcPr>
          <w:p w:rsidR="00834D65" w:rsidRPr="004A641D" w:rsidRDefault="00834D65" w:rsidP="00901898">
            <w:pPr>
              <w:spacing w:line="480" w:lineRule="auto"/>
              <w:jc w:val="center"/>
              <w:rPr>
                <w:rFonts w:eastAsia="Times New Roman"/>
                <w:color w:val="000000"/>
                <w:highlight w:val="yellow"/>
                <w:lang w:val="en-US"/>
              </w:rPr>
            </w:pPr>
            <w:r w:rsidRPr="004A641D">
              <w:rPr>
                <w:rFonts w:eastAsia="Times New Roman"/>
                <w:color w:val="000000"/>
                <w:highlight w:val="yellow"/>
                <w:lang w:val="en-US"/>
              </w:rPr>
              <w:t>1.10 (1.03-1.18)</w:t>
            </w:r>
          </w:p>
        </w:tc>
        <w:tc>
          <w:tcPr>
            <w:tcW w:w="2078" w:type="dxa"/>
            <w:tcBorders>
              <w:top w:val="nil"/>
              <w:left w:val="nil"/>
              <w:bottom w:val="nil"/>
            </w:tcBorders>
            <w:shd w:val="clear" w:color="auto" w:fill="auto"/>
            <w:tcMar>
              <w:top w:w="72" w:type="dxa"/>
              <w:left w:w="144" w:type="dxa"/>
              <w:bottom w:w="72" w:type="dxa"/>
              <w:right w:w="144" w:type="dxa"/>
            </w:tcMar>
            <w:vAlign w:val="center"/>
            <w:hideMark/>
          </w:tcPr>
          <w:p w:rsidR="00834D65" w:rsidRPr="004A641D" w:rsidRDefault="00834D65" w:rsidP="00901898">
            <w:pPr>
              <w:spacing w:line="480" w:lineRule="auto"/>
              <w:jc w:val="center"/>
              <w:rPr>
                <w:highlight w:val="yellow"/>
                <w:lang w:val="en-US"/>
              </w:rPr>
            </w:pPr>
            <w:r w:rsidRPr="004A641D">
              <w:rPr>
                <w:highlight w:val="yellow"/>
                <w:lang w:val="en-US"/>
              </w:rPr>
              <w:t>0.003</w:t>
            </w:r>
          </w:p>
        </w:tc>
      </w:tr>
    </w:tbl>
    <w:p w:rsidR="00834D65" w:rsidRDefault="00834D65"/>
    <w:p w:rsidR="00834D65" w:rsidRDefault="00834D65"/>
    <w:p w:rsidR="00834D65" w:rsidRDefault="00834D65" w:rsidP="00661980">
      <w:pPr>
        <w:spacing w:line="276" w:lineRule="auto"/>
        <w:rPr>
          <w:lang w:val="en-US"/>
        </w:rPr>
      </w:pPr>
      <w:r w:rsidRPr="00C75CFB">
        <w:rPr>
          <w:highlight w:val="yellow"/>
          <w:lang w:val="en-US"/>
        </w:rPr>
        <w:t>Our results have shown that elevated white blood cell count was strongly associated with in-hospital bleeding, independent of other risk factors. With such increase in white blood cell count per 1000 cells/mm</w:t>
      </w:r>
      <w:r w:rsidRPr="00C75CFB">
        <w:rPr>
          <w:highlight w:val="yellow"/>
          <w:vertAlign w:val="superscript"/>
          <w:lang w:val="en-US"/>
        </w:rPr>
        <w:t>3</w:t>
      </w:r>
      <w:r w:rsidRPr="00C75CFB">
        <w:rPr>
          <w:highlight w:val="yellow"/>
          <w:lang w:val="en-US"/>
        </w:rPr>
        <w:t xml:space="preserve"> patients were in 1.1 higher risk of major bleeding. In both ACUITY and HORIZONS-AMI trials, Mehran and colleagues presented that higher white blood cell count in patients with STEMI and high-risk ACS treated with PCI predicts in-hospital major bleeding</w:t>
      </w:r>
      <w:r w:rsidRPr="00C75CFB">
        <w:rPr>
          <w:highlight w:val="yellow"/>
          <w:vertAlign w:val="superscript"/>
          <w:lang w:val="en-US"/>
        </w:rPr>
        <w:t>17</w:t>
      </w:r>
      <w:r w:rsidRPr="00C75CFB">
        <w:rPr>
          <w:highlight w:val="yellow"/>
          <w:lang w:val="en-US"/>
        </w:rPr>
        <w:t>.</w:t>
      </w:r>
      <w:r>
        <w:rPr>
          <w:lang w:val="en-US"/>
        </w:rPr>
        <w:t xml:space="preserve"> </w:t>
      </w:r>
      <w:r w:rsidRPr="003C0D9E">
        <w:rPr>
          <w:highlight w:val="yellow"/>
          <w:lang w:val="en-US"/>
        </w:rPr>
        <w:t xml:space="preserve">The recent analysis of the HORIZONS-AMI patient population </w:t>
      </w:r>
      <w:r w:rsidRPr="00040247">
        <w:rPr>
          <w:highlight w:val="yellow"/>
          <w:lang w:val="en-US"/>
        </w:rPr>
        <w:t>confirmed that elevated baseline white blood cell count (&gt;11 000 per 1 mm</w:t>
      </w:r>
      <w:r w:rsidRPr="00040247">
        <w:rPr>
          <w:highlight w:val="yellow"/>
          <w:vertAlign w:val="superscript"/>
          <w:lang w:val="en-US"/>
        </w:rPr>
        <w:t>3</w:t>
      </w:r>
      <w:r w:rsidRPr="00040247">
        <w:rPr>
          <w:highlight w:val="yellow"/>
          <w:lang w:val="en-US"/>
        </w:rPr>
        <w:t>) drawn at the time of presentation with STEMI was an independent predictor of infarct size as assessed by peak creatinine phosphokinase level, and of 1-year cardiac mortality, noncardiac mortality, and major bleeding</w:t>
      </w:r>
      <w:r w:rsidRPr="00040247">
        <w:rPr>
          <w:highlight w:val="yellow"/>
          <w:vertAlign w:val="superscript"/>
          <w:lang w:val="en-US"/>
        </w:rPr>
        <w:t>18</w:t>
      </w:r>
      <w:r w:rsidRPr="00950D60">
        <w:rPr>
          <w:highlight w:val="yellow"/>
          <w:lang w:val="en-US"/>
        </w:rPr>
        <w:t>. Palmerini and al. discussed that these data suggest that a high level of systemic inflammation in the early phase of STEMI (as reflected by the white blood cell count) is strongly associated with 1-year mortality</w:t>
      </w:r>
      <w:r w:rsidRPr="00950D60">
        <w:rPr>
          <w:highlight w:val="yellow"/>
          <w:vertAlign w:val="superscript"/>
          <w:lang w:val="en-US"/>
        </w:rPr>
        <w:t>18</w:t>
      </w:r>
      <w:r w:rsidRPr="00F2093D">
        <w:rPr>
          <w:highlight w:val="yellow"/>
          <w:lang w:val="en-US"/>
        </w:rPr>
        <w:t xml:space="preserve">.  </w:t>
      </w:r>
    </w:p>
    <w:p w:rsidR="00834D65" w:rsidRDefault="00834D65"/>
    <w:p w:rsidR="00293E9A" w:rsidRDefault="00293E9A"/>
    <w:p w:rsidR="00834D65" w:rsidRPr="00834D65" w:rsidRDefault="00E83627" w:rsidP="00834D65">
      <w:pPr>
        <w:rPr>
          <w:b/>
        </w:rPr>
      </w:pPr>
      <w:r w:rsidRPr="00834D65">
        <w:rPr>
          <w:b/>
        </w:rPr>
        <w:t xml:space="preserve">4. </w:t>
      </w:r>
      <w:r w:rsidR="00834D65" w:rsidRPr="00834D65">
        <w:rPr>
          <w:b/>
        </w:rPr>
        <w:t>Anemiju definisti nivoom Hb na prijemu koji ste koristili kao cut-off.</w:t>
      </w:r>
    </w:p>
    <w:p w:rsidR="00834D65" w:rsidRDefault="00834D65"/>
    <w:p w:rsidR="00834D65" w:rsidRDefault="00834D65"/>
    <w:p w:rsidR="00293E9A" w:rsidRDefault="00E83627">
      <w:r>
        <w:t>Ispod Tabele 1 data je</w:t>
      </w:r>
      <w:r w:rsidR="001A0ED7" w:rsidRPr="008F14AC">
        <w:t xml:space="preserve"> </w:t>
      </w:r>
      <w:r>
        <w:t>definicija</w:t>
      </w:r>
      <w:r w:rsidR="00293E9A" w:rsidRPr="008F14AC">
        <w:t xml:space="preserve"> anemije.</w:t>
      </w:r>
    </w:p>
    <w:p w:rsidR="00834D65" w:rsidRDefault="00834D65"/>
    <w:p w:rsidR="00834D65" w:rsidRDefault="00834D65" w:rsidP="00834D65">
      <w:pPr>
        <w:spacing w:line="480" w:lineRule="auto"/>
        <w:rPr>
          <w:lang w:val="en-US"/>
        </w:rPr>
      </w:pPr>
      <w:r w:rsidRPr="00834D65">
        <w:rPr>
          <w:bCs/>
          <w:highlight w:val="yellow"/>
          <w:lang w:val="en-US"/>
        </w:rPr>
        <w:t>†</w:t>
      </w:r>
      <w:r w:rsidRPr="00834D65">
        <w:rPr>
          <w:highlight w:val="yellow"/>
          <w:lang w:val="en-US"/>
        </w:rPr>
        <w:t>Anemia was defined as the hemoglobin levels of &lt; 120g/l for women and &lt; 130 g/l for men.</w:t>
      </w:r>
    </w:p>
    <w:p w:rsidR="00293E9A" w:rsidRDefault="00293E9A"/>
    <w:p w:rsidR="00834D65" w:rsidRPr="00834D65" w:rsidRDefault="00834D65" w:rsidP="00834D65">
      <w:pPr>
        <w:rPr>
          <w:b/>
        </w:rPr>
      </w:pPr>
      <w:r w:rsidRPr="00834D65">
        <w:rPr>
          <w:b/>
        </w:rPr>
        <w:t xml:space="preserve">5. </w:t>
      </w:r>
      <w:r w:rsidRPr="00834D65">
        <w:rPr>
          <w:b/>
        </w:rPr>
        <w:t>Definicije su date, ali na žalost GUSTO def značajnog krvarenja je</w:t>
      </w:r>
      <w:r w:rsidRPr="00834D65">
        <w:rPr>
          <w:b/>
        </w:rPr>
        <w:t xml:space="preserve"> </w:t>
      </w:r>
      <w:r w:rsidRPr="00834D65">
        <w:rPr>
          <w:b/>
        </w:rPr>
        <w:t>dosta subjektivna, naime mnogi lekari bi drugačije protumačili šta je</w:t>
      </w:r>
      <w:r w:rsidRPr="00834D65">
        <w:rPr>
          <w:b/>
        </w:rPr>
        <w:t xml:space="preserve"> </w:t>
      </w:r>
      <w:r w:rsidRPr="00834D65">
        <w:rPr>
          <w:b/>
        </w:rPr>
        <w:t>značajno a šta ne.</w:t>
      </w:r>
    </w:p>
    <w:p w:rsidR="00834D65" w:rsidRDefault="00834D65"/>
    <w:p w:rsidR="00834D65" w:rsidRDefault="00834D65"/>
    <w:p w:rsidR="001A0ED7" w:rsidRDefault="00293E9A">
      <w:r>
        <w:t xml:space="preserve">Definicija GUSTO krvarenja je opisna </w:t>
      </w:r>
      <w:r w:rsidR="001A0ED7">
        <w:t xml:space="preserve">i mi smo </w:t>
      </w:r>
      <w:r w:rsidR="00A823EA">
        <w:t xml:space="preserve">pri proceni krvarenja </w:t>
      </w:r>
      <w:r w:rsidR="001A0ED7">
        <w:t>pažljivo sledili kriterijume za procenu stepena krvarenja prema ovoj definiciji kako je izneto u metodologiji.</w:t>
      </w:r>
    </w:p>
    <w:p w:rsidR="001A0ED7" w:rsidRDefault="001A0ED7"/>
    <w:p w:rsidR="001A0ED7" w:rsidRDefault="001A0ED7"/>
    <w:p w:rsidR="00834D65" w:rsidRPr="00834D65" w:rsidRDefault="00834D65" w:rsidP="00834D65">
      <w:pPr>
        <w:rPr>
          <w:b/>
        </w:rPr>
      </w:pPr>
      <w:r w:rsidRPr="00834D65">
        <w:rPr>
          <w:b/>
        </w:rPr>
        <w:t xml:space="preserve">6. </w:t>
      </w:r>
      <w:r w:rsidRPr="00834D65">
        <w:rPr>
          <w:b/>
        </w:rPr>
        <w:t>Ne znam za šta je bio potreban ovde informisani pristanak. Mislim da u</w:t>
      </w:r>
      <w:r w:rsidRPr="00834D65">
        <w:rPr>
          <w:b/>
        </w:rPr>
        <w:t xml:space="preserve"> </w:t>
      </w:r>
      <w:r w:rsidRPr="00834D65">
        <w:rPr>
          <w:b/>
        </w:rPr>
        <w:t>tom smislu ne treba preterivati. Ovo je registar. Nije postojala nikakva</w:t>
      </w:r>
      <w:r w:rsidRPr="00834D65">
        <w:rPr>
          <w:b/>
        </w:rPr>
        <w:t xml:space="preserve"> </w:t>
      </w:r>
      <w:r w:rsidRPr="00834D65">
        <w:rPr>
          <w:b/>
        </w:rPr>
        <w:t>posebna intervencija nad pacijentima vezano za ovaj rad. Korištena je baza</w:t>
      </w:r>
      <w:r w:rsidRPr="00834D65">
        <w:rPr>
          <w:b/>
        </w:rPr>
        <w:t xml:space="preserve"> </w:t>
      </w:r>
      <w:r w:rsidRPr="00834D65">
        <w:rPr>
          <w:b/>
        </w:rPr>
        <w:t>podataka. Pacijenti su potpisivali pristanak na intervenciju i to je u redu.</w:t>
      </w:r>
    </w:p>
    <w:p w:rsidR="00834D65" w:rsidRDefault="00834D65"/>
    <w:p w:rsidR="001A0ED7" w:rsidRDefault="009116DD">
      <w:r>
        <w:t>Prema V</w:t>
      </w:r>
      <w:r w:rsidR="001A0ED7">
        <w:t xml:space="preserve">ašem uputstvu brisali smo informativni </w:t>
      </w:r>
      <w:r w:rsidR="001B1B68">
        <w:t>pristaka pacijenata da učestvuju</w:t>
      </w:r>
      <w:r w:rsidR="001A0ED7">
        <w:t xml:space="preserve"> u studiji pošto je ovo registarska studija i nije postojala nikakva posebna intervencija nad pacijentima vezana za ovaj rad.</w:t>
      </w:r>
    </w:p>
    <w:p w:rsidR="008F14AC" w:rsidRDefault="008F14AC"/>
    <w:p w:rsidR="001A0ED7" w:rsidRDefault="001A0ED7"/>
    <w:p w:rsidR="00834D65" w:rsidRPr="00834D65" w:rsidRDefault="00834D65" w:rsidP="00834D65">
      <w:pPr>
        <w:rPr>
          <w:b/>
        </w:rPr>
      </w:pPr>
      <w:r w:rsidRPr="00834D65">
        <w:rPr>
          <w:b/>
        </w:rPr>
        <w:t xml:space="preserve">7. </w:t>
      </w:r>
      <w:r w:rsidRPr="00834D65">
        <w:rPr>
          <w:b/>
        </w:rPr>
        <w:t>U delu gde je napisana statistika se vidi šta je sve ušlo u regresione</w:t>
      </w:r>
      <w:r w:rsidRPr="00834D65">
        <w:rPr>
          <w:b/>
        </w:rPr>
        <w:t xml:space="preserve"> </w:t>
      </w:r>
      <w:r w:rsidRPr="00834D65">
        <w:rPr>
          <w:b/>
        </w:rPr>
        <w:t>analize. Međutim, vrlo je važno definisati neke stvari. Šta je smatrano</w:t>
      </w:r>
      <w:r w:rsidRPr="00834D65">
        <w:rPr>
          <w:b/>
        </w:rPr>
        <w:t xml:space="preserve"> </w:t>
      </w:r>
      <w:r w:rsidRPr="00834D65">
        <w:rPr>
          <w:b/>
        </w:rPr>
        <w:t>za HBI, da li su pacijenti koji su u IV i V stadijumu posebno razmatrani,</w:t>
      </w:r>
      <w:r w:rsidRPr="00834D65">
        <w:rPr>
          <w:b/>
        </w:rPr>
        <w:t xml:space="preserve"> </w:t>
      </w:r>
      <w:r w:rsidRPr="00834D65">
        <w:rPr>
          <w:b/>
        </w:rPr>
        <w:t>Koji su cut-off-ovi za anemiju, telesnu težinu....</w:t>
      </w:r>
    </w:p>
    <w:p w:rsidR="00834D65" w:rsidRDefault="00834D65"/>
    <w:p w:rsidR="00834D65" w:rsidRDefault="00834D65"/>
    <w:p w:rsidR="008F14AC" w:rsidRDefault="00E83627">
      <w:r>
        <w:lastRenderedPageBreak/>
        <w:t>Ispod Tabele 1 data je definicija</w:t>
      </w:r>
      <w:r w:rsidR="001A0ED7">
        <w:t xml:space="preserve"> hronične bubrežne insuficijencije. </w:t>
      </w:r>
      <w:r w:rsidR="00DB71E1">
        <w:t xml:space="preserve">Pacijenti u IV i V stadijumu nisu posebno razmatrani. Što se tiče niže telesne težine kao prediktora krvarenja, u više radova u literaturi je izneto da su bolesnici ispod 75 kg </w:t>
      </w:r>
      <w:r w:rsidR="001B1B68">
        <w:t xml:space="preserve">telesne </w:t>
      </w:r>
      <w:r w:rsidR="00DB71E1">
        <w:t xml:space="preserve">težine </w:t>
      </w:r>
      <w:r w:rsidR="00160F71">
        <w:t xml:space="preserve">češće ispoljili krvarenje. </w:t>
      </w:r>
      <w:r w:rsidR="00DB71E1">
        <w:t xml:space="preserve"> </w:t>
      </w:r>
    </w:p>
    <w:p w:rsidR="008F14AC" w:rsidRDefault="008F14AC"/>
    <w:p w:rsidR="008F14AC" w:rsidRDefault="00834D65">
      <w:pPr>
        <w:rPr>
          <w:lang w:val="en-US"/>
        </w:rPr>
      </w:pPr>
      <w:r w:rsidRPr="00834D65">
        <w:rPr>
          <w:highlight w:val="yellow"/>
          <w:lang w:val="en-US"/>
        </w:rPr>
        <w:t>*Chronic renal failure defined as creatinine clearance of &lt; 60 ml/min estimated by the Cockcroft-Gault formula.</w:t>
      </w:r>
    </w:p>
    <w:p w:rsidR="00661980" w:rsidRDefault="00661980">
      <w:pPr>
        <w:rPr>
          <w:lang w:val="en-US"/>
        </w:rPr>
      </w:pPr>
    </w:p>
    <w:p w:rsidR="00661980" w:rsidRDefault="00661980"/>
    <w:p w:rsidR="002156BB" w:rsidRPr="002156BB" w:rsidRDefault="002156BB" w:rsidP="002156BB">
      <w:pPr>
        <w:rPr>
          <w:b/>
        </w:rPr>
      </w:pPr>
      <w:r w:rsidRPr="002156BB">
        <w:rPr>
          <w:b/>
        </w:rPr>
        <w:t xml:space="preserve">8. </w:t>
      </w:r>
      <w:r w:rsidRPr="002156BB">
        <w:rPr>
          <w:b/>
        </w:rPr>
        <w:t>Čini mi se da nedostaje jedan veoma važan prediktivni faktor na</w:t>
      </w:r>
      <w:r w:rsidRPr="002156BB">
        <w:rPr>
          <w:b/>
        </w:rPr>
        <w:t xml:space="preserve"> </w:t>
      </w:r>
      <w:r w:rsidRPr="002156BB">
        <w:rPr>
          <w:b/>
        </w:rPr>
        <w:t>prijemu, a to je Killip klasa, tj. Da li su bolesnici pri prijemu ili tokom</w:t>
      </w:r>
      <w:r w:rsidRPr="002156BB">
        <w:rPr>
          <w:b/>
        </w:rPr>
        <w:t xml:space="preserve"> </w:t>
      </w:r>
      <w:r w:rsidRPr="002156BB">
        <w:rPr>
          <w:b/>
        </w:rPr>
        <w:t>inicijalne hospitalizacije bili dekompenzovani.</w:t>
      </w:r>
    </w:p>
    <w:p w:rsidR="002156BB" w:rsidRDefault="002156BB"/>
    <w:p w:rsidR="00505172" w:rsidRDefault="008F14AC">
      <w:r>
        <w:t xml:space="preserve">Prema </w:t>
      </w:r>
      <w:r w:rsidR="00970A5D">
        <w:t xml:space="preserve"> </w:t>
      </w:r>
      <w:r w:rsidR="00505172">
        <w:t>V</w:t>
      </w:r>
      <w:r>
        <w:t xml:space="preserve">ašem uputstvu </w:t>
      </w:r>
      <w:r w:rsidR="00A83463">
        <w:t xml:space="preserve">uz ostala obeležja </w:t>
      </w:r>
      <w:r>
        <w:t xml:space="preserve">testirana je </w:t>
      </w:r>
      <w:r w:rsidR="00A83463">
        <w:t>i srč</w:t>
      </w:r>
      <w:r>
        <w:t>ana insuficijencija (Killip klasa II-IV na prijemu)</w:t>
      </w:r>
      <w:r w:rsidR="00A83463">
        <w:t xml:space="preserve"> uni i multivarijantnom analizom u cilju dobijanja prediktora krvarenja. Posle ovoga dobijena su 2 nova prediktora krvarenja a to su Killip klasa II-IV i žen</w:t>
      </w:r>
      <w:r w:rsidR="004222D0">
        <w:t>ski pol. Ove izmene unete su u T</w:t>
      </w:r>
      <w:r w:rsidR="00A83463">
        <w:t xml:space="preserve">abelu </w:t>
      </w:r>
      <w:r w:rsidR="004222D0">
        <w:t xml:space="preserve">3 </w:t>
      </w:r>
      <w:r w:rsidR="00A83463">
        <w:t xml:space="preserve">o prediktorima krvarenja i </w:t>
      </w:r>
      <w:r w:rsidR="00A823EA">
        <w:t xml:space="preserve">u </w:t>
      </w:r>
      <w:r w:rsidR="00A83463">
        <w:t>p</w:t>
      </w:r>
      <w:r w:rsidR="006F259E">
        <w:t>ropratni komentar, kao i u disk</w:t>
      </w:r>
      <w:r w:rsidR="00A83463">
        <w:t xml:space="preserve">usiju koja je proširena za srčanu insuficijenciju i ženski pol kao prediktore krvarenja. </w:t>
      </w:r>
    </w:p>
    <w:p w:rsidR="00505172" w:rsidRDefault="00505172"/>
    <w:p w:rsidR="002156BB" w:rsidRPr="00A9520A" w:rsidRDefault="002156BB" w:rsidP="002156BB">
      <w:pPr>
        <w:spacing w:line="480" w:lineRule="auto"/>
        <w:rPr>
          <w:b/>
          <w:lang w:val="en-US"/>
        </w:rPr>
      </w:pPr>
      <w:r>
        <w:rPr>
          <w:b/>
          <w:lang w:val="en-US"/>
        </w:rPr>
        <w:t xml:space="preserve">Table </w:t>
      </w:r>
      <w:r w:rsidRPr="00A9520A">
        <w:rPr>
          <w:b/>
          <w:lang w:val="en-US"/>
        </w:rPr>
        <w:t>3. Predictors of major bleeding</w:t>
      </w:r>
    </w:p>
    <w:tbl>
      <w:tblPr>
        <w:tblW w:w="11241" w:type="dxa"/>
        <w:jc w:val="center"/>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84"/>
        <w:gridCol w:w="2185"/>
        <w:gridCol w:w="1926"/>
        <w:gridCol w:w="2268"/>
        <w:gridCol w:w="2078"/>
      </w:tblGrid>
      <w:tr w:rsidR="002156BB" w:rsidRPr="00A9520A" w:rsidTr="00901898">
        <w:trPr>
          <w:trHeight w:val="170"/>
          <w:jc w:val="center"/>
        </w:trPr>
        <w:tc>
          <w:tcPr>
            <w:tcW w:w="2784" w:type="dxa"/>
            <w:vMerge w:val="restart"/>
            <w:shd w:val="clear" w:color="auto" w:fill="auto"/>
            <w:tcMar>
              <w:top w:w="72" w:type="dxa"/>
              <w:left w:w="144" w:type="dxa"/>
              <w:bottom w:w="72" w:type="dxa"/>
              <w:right w:w="144" w:type="dxa"/>
            </w:tcMar>
            <w:vAlign w:val="center"/>
            <w:hideMark/>
          </w:tcPr>
          <w:p w:rsidR="002156BB" w:rsidRPr="00A9520A" w:rsidRDefault="002156BB" w:rsidP="00901898">
            <w:pPr>
              <w:spacing w:line="480" w:lineRule="auto"/>
              <w:rPr>
                <w:lang w:val="en-US"/>
              </w:rPr>
            </w:pPr>
            <w:r w:rsidRPr="00A9520A">
              <w:rPr>
                <w:bCs/>
                <w:lang w:val="en-US"/>
              </w:rPr>
              <w:t>Variable</w:t>
            </w:r>
          </w:p>
          <w:p w:rsidR="002156BB" w:rsidRPr="00A9520A" w:rsidRDefault="002156BB" w:rsidP="00901898">
            <w:pPr>
              <w:spacing w:line="480" w:lineRule="auto"/>
              <w:rPr>
                <w:lang w:val="en-US"/>
              </w:rPr>
            </w:pPr>
            <w:r w:rsidRPr="00A9520A">
              <w:rPr>
                <w:bCs/>
                <w:lang w:val="en-US"/>
              </w:rPr>
              <w:t xml:space="preserve">(Major bleeding) </w:t>
            </w:r>
          </w:p>
        </w:tc>
        <w:tc>
          <w:tcPr>
            <w:tcW w:w="4111" w:type="dxa"/>
            <w:gridSpan w:val="2"/>
            <w:shd w:val="clear" w:color="auto" w:fill="auto"/>
            <w:tcMar>
              <w:top w:w="72" w:type="dxa"/>
              <w:left w:w="144" w:type="dxa"/>
              <w:bottom w:w="72" w:type="dxa"/>
              <w:right w:w="144" w:type="dxa"/>
            </w:tcMar>
            <w:vAlign w:val="center"/>
            <w:hideMark/>
          </w:tcPr>
          <w:p w:rsidR="002156BB" w:rsidRPr="00A9520A" w:rsidRDefault="002156BB" w:rsidP="00901898">
            <w:pPr>
              <w:spacing w:line="480" w:lineRule="auto"/>
              <w:jc w:val="center"/>
              <w:rPr>
                <w:lang w:val="en-US"/>
              </w:rPr>
            </w:pPr>
            <w:r w:rsidRPr="00A9520A">
              <w:rPr>
                <w:bCs/>
                <w:lang w:val="en-US"/>
              </w:rPr>
              <w:t>Univariate logistic regression analysis</w:t>
            </w:r>
          </w:p>
        </w:tc>
        <w:tc>
          <w:tcPr>
            <w:tcW w:w="4346" w:type="dxa"/>
            <w:gridSpan w:val="2"/>
            <w:shd w:val="clear" w:color="auto" w:fill="auto"/>
            <w:tcMar>
              <w:top w:w="72" w:type="dxa"/>
              <w:left w:w="144" w:type="dxa"/>
              <w:bottom w:w="72" w:type="dxa"/>
              <w:right w:w="144" w:type="dxa"/>
            </w:tcMar>
            <w:vAlign w:val="center"/>
            <w:hideMark/>
          </w:tcPr>
          <w:p w:rsidR="002156BB" w:rsidRPr="00A9520A" w:rsidRDefault="002156BB" w:rsidP="00901898">
            <w:pPr>
              <w:spacing w:line="480" w:lineRule="auto"/>
              <w:jc w:val="center"/>
              <w:rPr>
                <w:lang w:val="en-US"/>
              </w:rPr>
            </w:pPr>
            <w:r w:rsidRPr="00A9520A">
              <w:rPr>
                <w:bCs/>
                <w:lang w:val="en-US"/>
              </w:rPr>
              <w:t>Multivariate logistic regression analysis</w:t>
            </w:r>
          </w:p>
        </w:tc>
      </w:tr>
      <w:tr w:rsidR="002156BB" w:rsidRPr="00A9520A" w:rsidTr="00901898">
        <w:trPr>
          <w:trHeight w:val="170"/>
          <w:jc w:val="center"/>
        </w:trPr>
        <w:tc>
          <w:tcPr>
            <w:tcW w:w="2784" w:type="dxa"/>
            <w:vMerge/>
            <w:shd w:val="clear" w:color="auto" w:fill="auto"/>
            <w:vAlign w:val="center"/>
            <w:hideMark/>
          </w:tcPr>
          <w:p w:rsidR="002156BB" w:rsidRPr="00A9520A" w:rsidRDefault="002156BB" w:rsidP="00901898">
            <w:pPr>
              <w:spacing w:line="480" w:lineRule="auto"/>
              <w:rPr>
                <w:lang w:val="en-US"/>
              </w:rPr>
            </w:pPr>
          </w:p>
        </w:tc>
        <w:tc>
          <w:tcPr>
            <w:tcW w:w="2185" w:type="dxa"/>
            <w:shd w:val="clear" w:color="auto" w:fill="auto"/>
            <w:tcMar>
              <w:top w:w="72" w:type="dxa"/>
              <w:left w:w="144" w:type="dxa"/>
              <w:bottom w:w="72" w:type="dxa"/>
              <w:right w:w="144" w:type="dxa"/>
            </w:tcMar>
            <w:vAlign w:val="center"/>
            <w:hideMark/>
          </w:tcPr>
          <w:p w:rsidR="002156BB" w:rsidRPr="00A9520A" w:rsidRDefault="002156BB" w:rsidP="00901898">
            <w:pPr>
              <w:spacing w:line="480" w:lineRule="auto"/>
              <w:jc w:val="center"/>
              <w:rPr>
                <w:lang w:val="en-US"/>
              </w:rPr>
            </w:pPr>
            <w:r w:rsidRPr="00A9520A">
              <w:rPr>
                <w:bCs/>
                <w:lang w:val="en-US"/>
              </w:rPr>
              <w:t>OR (95%CI)</w:t>
            </w:r>
          </w:p>
        </w:tc>
        <w:tc>
          <w:tcPr>
            <w:tcW w:w="1926" w:type="dxa"/>
            <w:shd w:val="clear" w:color="auto" w:fill="auto"/>
            <w:tcMar>
              <w:top w:w="72" w:type="dxa"/>
              <w:left w:w="144" w:type="dxa"/>
              <w:bottom w:w="72" w:type="dxa"/>
              <w:right w:w="144" w:type="dxa"/>
            </w:tcMar>
            <w:vAlign w:val="center"/>
            <w:hideMark/>
          </w:tcPr>
          <w:p w:rsidR="002156BB" w:rsidRPr="00A9520A" w:rsidRDefault="002156BB" w:rsidP="00901898">
            <w:pPr>
              <w:spacing w:line="480" w:lineRule="auto"/>
              <w:jc w:val="center"/>
              <w:rPr>
                <w:lang w:val="en-US"/>
              </w:rPr>
            </w:pPr>
            <w:r w:rsidRPr="00A9520A">
              <w:rPr>
                <w:bCs/>
                <w:lang w:val="en-US"/>
              </w:rPr>
              <w:t>p value</w:t>
            </w:r>
          </w:p>
        </w:tc>
        <w:tc>
          <w:tcPr>
            <w:tcW w:w="2268" w:type="dxa"/>
            <w:shd w:val="clear" w:color="auto" w:fill="auto"/>
            <w:tcMar>
              <w:top w:w="72" w:type="dxa"/>
              <w:left w:w="144" w:type="dxa"/>
              <w:bottom w:w="72" w:type="dxa"/>
              <w:right w:w="144" w:type="dxa"/>
            </w:tcMar>
            <w:vAlign w:val="center"/>
            <w:hideMark/>
          </w:tcPr>
          <w:p w:rsidR="002156BB" w:rsidRPr="00A9520A" w:rsidRDefault="002156BB" w:rsidP="00901898">
            <w:pPr>
              <w:spacing w:line="480" w:lineRule="auto"/>
              <w:jc w:val="center"/>
              <w:rPr>
                <w:lang w:val="en-US"/>
              </w:rPr>
            </w:pPr>
            <w:r w:rsidRPr="00A9520A">
              <w:rPr>
                <w:bCs/>
                <w:lang w:val="en-US"/>
              </w:rPr>
              <w:t>OR (95%CI)</w:t>
            </w:r>
          </w:p>
        </w:tc>
        <w:tc>
          <w:tcPr>
            <w:tcW w:w="2078" w:type="dxa"/>
            <w:shd w:val="clear" w:color="auto" w:fill="auto"/>
            <w:tcMar>
              <w:top w:w="72" w:type="dxa"/>
              <w:left w:w="144" w:type="dxa"/>
              <w:bottom w:w="72" w:type="dxa"/>
              <w:right w:w="144" w:type="dxa"/>
            </w:tcMar>
            <w:vAlign w:val="center"/>
            <w:hideMark/>
          </w:tcPr>
          <w:p w:rsidR="002156BB" w:rsidRPr="00A9520A" w:rsidRDefault="002156BB" w:rsidP="00901898">
            <w:pPr>
              <w:spacing w:line="480" w:lineRule="auto"/>
              <w:jc w:val="center"/>
              <w:rPr>
                <w:lang w:val="en-US"/>
              </w:rPr>
            </w:pPr>
            <w:r w:rsidRPr="00A9520A">
              <w:rPr>
                <w:bCs/>
                <w:lang w:val="en-US"/>
              </w:rPr>
              <w:t>p value</w:t>
            </w:r>
          </w:p>
        </w:tc>
      </w:tr>
      <w:tr w:rsidR="002156BB" w:rsidRPr="00A9520A" w:rsidTr="00901898">
        <w:trPr>
          <w:trHeight w:val="170"/>
          <w:jc w:val="center"/>
        </w:trPr>
        <w:tc>
          <w:tcPr>
            <w:tcW w:w="2784" w:type="dxa"/>
            <w:tcBorders>
              <w:top w:val="nil"/>
              <w:bottom w:val="nil"/>
              <w:right w:val="nil"/>
            </w:tcBorders>
            <w:shd w:val="clear" w:color="auto" w:fill="auto"/>
            <w:tcMar>
              <w:top w:w="72" w:type="dxa"/>
              <w:left w:w="144" w:type="dxa"/>
              <w:bottom w:w="72" w:type="dxa"/>
              <w:right w:w="144" w:type="dxa"/>
            </w:tcMar>
            <w:vAlign w:val="center"/>
            <w:hideMark/>
          </w:tcPr>
          <w:p w:rsidR="002156BB" w:rsidRPr="00A9520A" w:rsidRDefault="002156BB" w:rsidP="00901898">
            <w:pPr>
              <w:spacing w:line="480" w:lineRule="auto"/>
              <w:rPr>
                <w:lang w:val="en-US"/>
              </w:rPr>
            </w:pPr>
            <w:r w:rsidRPr="00A9520A">
              <w:rPr>
                <w:bCs/>
                <w:lang w:val="en-US"/>
              </w:rPr>
              <w:t xml:space="preserve">Female gender </w:t>
            </w:r>
          </w:p>
        </w:tc>
        <w:tc>
          <w:tcPr>
            <w:tcW w:w="2185" w:type="dxa"/>
            <w:tcBorders>
              <w:top w:val="nil"/>
              <w:left w:val="nil"/>
              <w:bottom w:val="nil"/>
              <w:right w:val="nil"/>
            </w:tcBorders>
            <w:shd w:val="clear" w:color="auto" w:fill="auto"/>
            <w:tcMar>
              <w:top w:w="72" w:type="dxa"/>
              <w:left w:w="144" w:type="dxa"/>
              <w:bottom w:w="72" w:type="dxa"/>
              <w:right w:w="144" w:type="dxa"/>
            </w:tcMar>
            <w:vAlign w:val="center"/>
            <w:hideMark/>
          </w:tcPr>
          <w:p w:rsidR="002156BB" w:rsidRPr="00A9520A" w:rsidRDefault="002156BB" w:rsidP="00901898">
            <w:pPr>
              <w:spacing w:line="480" w:lineRule="auto"/>
              <w:jc w:val="center"/>
              <w:rPr>
                <w:lang w:val="en-US"/>
              </w:rPr>
            </w:pPr>
            <w:r w:rsidRPr="00A9520A">
              <w:rPr>
                <w:bCs/>
                <w:lang w:val="en-US"/>
              </w:rPr>
              <w:t>3.99 (</w:t>
            </w:r>
            <w:r>
              <w:rPr>
                <w:bCs/>
                <w:lang w:val="en-US"/>
              </w:rPr>
              <w:t>1</w:t>
            </w:r>
            <w:r w:rsidRPr="00A9520A">
              <w:rPr>
                <w:bCs/>
                <w:lang w:val="en-US"/>
              </w:rPr>
              <w:t>.</w:t>
            </w:r>
            <w:r>
              <w:rPr>
                <w:bCs/>
                <w:lang w:val="en-US"/>
              </w:rPr>
              <w:t>86</w:t>
            </w:r>
            <w:r w:rsidRPr="00A9520A">
              <w:rPr>
                <w:bCs/>
                <w:lang w:val="en-US"/>
              </w:rPr>
              <w:t>-</w:t>
            </w:r>
            <w:r>
              <w:rPr>
                <w:bCs/>
                <w:lang w:val="en-US"/>
              </w:rPr>
              <w:t>8</w:t>
            </w:r>
            <w:r w:rsidRPr="00A9520A">
              <w:rPr>
                <w:bCs/>
                <w:lang w:val="en-US"/>
              </w:rPr>
              <w:t>.</w:t>
            </w:r>
            <w:r>
              <w:rPr>
                <w:bCs/>
                <w:lang w:val="en-US"/>
              </w:rPr>
              <w:t>54</w:t>
            </w:r>
            <w:r w:rsidRPr="00A9520A">
              <w:rPr>
                <w:bCs/>
                <w:lang w:val="en-US"/>
              </w:rPr>
              <w:t>)</w:t>
            </w:r>
          </w:p>
        </w:tc>
        <w:tc>
          <w:tcPr>
            <w:tcW w:w="1926" w:type="dxa"/>
            <w:tcBorders>
              <w:top w:val="nil"/>
              <w:left w:val="nil"/>
              <w:bottom w:val="nil"/>
              <w:right w:val="nil"/>
            </w:tcBorders>
            <w:shd w:val="clear" w:color="auto" w:fill="auto"/>
            <w:tcMar>
              <w:top w:w="72" w:type="dxa"/>
              <w:left w:w="144" w:type="dxa"/>
              <w:bottom w:w="72" w:type="dxa"/>
              <w:right w:w="144" w:type="dxa"/>
            </w:tcMar>
            <w:vAlign w:val="center"/>
            <w:hideMark/>
          </w:tcPr>
          <w:p w:rsidR="002156BB" w:rsidRPr="00A9520A" w:rsidRDefault="002156BB" w:rsidP="00901898">
            <w:pPr>
              <w:spacing w:line="480" w:lineRule="auto"/>
              <w:jc w:val="center"/>
              <w:rPr>
                <w:lang w:val="en-US"/>
              </w:rPr>
            </w:pPr>
            <w:r w:rsidRPr="00A9520A">
              <w:rPr>
                <w:bCs/>
                <w:lang w:val="en-US"/>
              </w:rPr>
              <w:t>0.00</w:t>
            </w:r>
            <w:r>
              <w:rPr>
                <w:bCs/>
                <w:lang w:val="en-US"/>
              </w:rPr>
              <w:t>0</w:t>
            </w:r>
          </w:p>
        </w:tc>
        <w:tc>
          <w:tcPr>
            <w:tcW w:w="2268" w:type="dxa"/>
            <w:tcBorders>
              <w:top w:val="nil"/>
              <w:left w:val="nil"/>
              <w:bottom w:val="nil"/>
              <w:right w:val="nil"/>
            </w:tcBorders>
            <w:shd w:val="clear" w:color="auto" w:fill="auto"/>
            <w:tcMar>
              <w:top w:w="72" w:type="dxa"/>
              <w:left w:w="144" w:type="dxa"/>
              <w:bottom w:w="72" w:type="dxa"/>
              <w:right w:w="144" w:type="dxa"/>
            </w:tcMar>
            <w:vAlign w:val="bottom"/>
            <w:hideMark/>
          </w:tcPr>
          <w:p w:rsidR="002156BB" w:rsidRPr="004A641D" w:rsidRDefault="002156BB" w:rsidP="00901898">
            <w:pPr>
              <w:spacing w:line="480" w:lineRule="auto"/>
              <w:jc w:val="center"/>
              <w:rPr>
                <w:rFonts w:eastAsia="Times New Roman"/>
                <w:color w:val="000000"/>
                <w:highlight w:val="yellow"/>
                <w:lang w:val="en-US"/>
              </w:rPr>
            </w:pPr>
            <w:r w:rsidRPr="004A641D">
              <w:rPr>
                <w:rFonts w:eastAsia="Times New Roman"/>
                <w:color w:val="000000"/>
                <w:highlight w:val="yellow"/>
                <w:lang w:val="en-US"/>
              </w:rPr>
              <w:t>3.08 (1.20-7.94)</w:t>
            </w:r>
          </w:p>
        </w:tc>
        <w:tc>
          <w:tcPr>
            <w:tcW w:w="2078" w:type="dxa"/>
            <w:tcBorders>
              <w:top w:val="nil"/>
              <w:left w:val="nil"/>
              <w:bottom w:val="nil"/>
            </w:tcBorders>
            <w:shd w:val="clear" w:color="auto" w:fill="auto"/>
            <w:tcMar>
              <w:top w:w="72" w:type="dxa"/>
              <w:left w:w="144" w:type="dxa"/>
              <w:bottom w:w="72" w:type="dxa"/>
              <w:right w:w="144" w:type="dxa"/>
            </w:tcMar>
            <w:vAlign w:val="center"/>
            <w:hideMark/>
          </w:tcPr>
          <w:p w:rsidR="002156BB" w:rsidRPr="004A641D" w:rsidRDefault="002156BB" w:rsidP="00901898">
            <w:pPr>
              <w:spacing w:line="480" w:lineRule="auto"/>
              <w:jc w:val="center"/>
              <w:rPr>
                <w:highlight w:val="yellow"/>
                <w:lang w:val="en-US"/>
              </w:rPr>
            </w:pPr>
            <w:r w:rsidRPr="004A641D">
              <w:rPr>
                <w:highlight w:val="yellow"/>
                <w:lang w:val="en-US"/>
              </w:rPr>
              <w:t>0.020</w:t>
            </w:r>
          </w:p>
        </w:tc>
      </w:tr>
      <w:tr w:rsidR="002156BB" w:rsidRPr="00A9520A" w:rsidTr="00901898">
        <w:trPr>
          <w:trHeight w:val="170"/>
          <w:jc w:val="center"/>
        </w:trPr>
        <w:tc>
          <w:tcPr>
            <w:tcW w:w="2784" w:type="dxa"/>
            <w:tcBorders>
              <w:top w:val="nil"/>
              <w:right w:val="nil"/>
            </w:tcBorders>
            <w:shd w:val="clear" w:color="auto" w:fill="auto"/>
            <w:tcMar>
              <w:top w:w="72" w:type="dxa"/>
              <w:left w:w="144" w:type="dxa"/>
              <w:bottom w:w="72" w:type="dxa"/>
              <w:right w:w="144" w:type="dxa"/>
            </w:tcMar>
            <w:vAlign w:val="center"/>
            <w:hideMark/>
          </w:tcPr>
          <w:p w:rsidR="002156BB" w:rsidRPr="004A641D" w:rsidRDefault="002156BB" w:rsidP="00901898">
            <w:pPr>
              <w:spacing w:line="480" w:lineRule="auto"/>
              <w:rPr>
                <w:highlight w:val="yellow"/>
                <w:lang w:val="en-US"/>
              </w:rPr>
            </w:pPr>
            <w:r w:rsidRPr="004A641D">
              <w:rPr>
                <w:bCs/>
                <w:highlight w:val="yellow"/>
                <w:lang w:val="en-US"/>
              </w:rPr>
              <w:t>Killip class II-IV, %</w:t>
            </w:r>
          </w:p>
        </w:tc>
        <w:tc>
          <w:tcPr>
            <w:tcW w:w="2185" w:type="dxa"/>
            <w:tcBorders>
              <w:top w:val="nil"/>
              <w:left w:val="nil"/>
              <w:right w:val="nil"/>
            </w:tcBorders>
            <w:shd w:val="clear" w:color="auto" w:fill="auto"/>
            <w:tcMar>
              <w:top w:w="72" w:type="dxa"/>
              <w:left w:w="144" w:type="dxa"/>
              <w:bottom w:w="72" w:type="dxa"/>
              <w:right w:w="144" w:type="dxa"/>
            </w:tcMar>
            <w:vAlign w:val="center"/>
            <w:hideMark/>
          </w:tcPr>
          <w:p w:rsidR="002156BB" w:rsidRPr="004A641D" w:rsidRDefault="002156BB" w:rsidP="00901898">
            <w:pPr>
              <w:spacing w:line="480" w:lineRule="auto"/>
              <w:jc w:val="center"/>
              <w:rPr>
                <w:highlight w:val="yellow"/>
                <w:lang w:val="en-US"/>
              </w:rPr>
            </w:pPr>
            <w:r w:rsidRPr="004A641D">
              <w:rPr>
                <w:highlight w:val="yellow"/>
                <w:lang w:val="en-US"/>
              </w:rPr>
              <w:t>5.82 (2.46-13.76)</w:t>
            </w:r>
          </w:p>
        </w:tc>
        <w:tc>
          <w:tcPr>
            <w:tcW w:w="1926" w:type="dxa"/>
            <w:tcBorders>
              <w:top w:val="nil"/>
              <w:left w:val="nil"/>
              <w:right w:val="nil"/>
            </w:tcBorders>
            <w:shd w:val="clear" w:color="auto" w:fill="auto"/>
            <w:tcMar>
              <w:top w:w="72" w:type="dxa"/>
              <w:left w:w="144" w:type="dxa"/>
              <w:bottom w:w="72" w:type="dxa"/>
              <w:right w:w="144" w:type="dxa"/>
            </w:tcMar>
            <w:vAlign w:val="center"/>
            <w:hideMark/>
          </w:tcPr>
          <w:p w:rsidR="002156BB" w:rsidRPr="004A641D" w:rsidRDefault="002156BB" w:rsidP="00901898">
            <w:pPr>
              <w:spacing w:line="480" w:lineRule="auto"/>
              <w:jc w:val="center"/>
              <w:rPr>
                <w:highlight w:val="yellow"/>
                <w:lang w:val="en-US"/>
              </w:rPr>
            </w:pPr>
            <w:r w:rsidRPr="004A641D">
              <w:rPr>
                <w:highlight w:val="yellow"/>
                <w:lang w:val="en-US"/>
              </w:rPr>
              <w:t>0.000</w:t>
            </w:r>
          </w:p>
        </w:tc>
        <w:tc>
          <w:tcPr>
            <w:tcW w:w="2268" w:type="dxa"/>
            <w:tcBorders>
              <w:top w:val="nil"/>
              <w:left w:val="nil"/>
              <w:right w:val="nil"/>
            </w:tcBorders>
            <w:shd w:val="clear" w:color="auto" w:fill="auto"/>
            <w:tcMar>
              <w:top w:w="72" w:type="dxa"/>
              <w:left w:w="144" w:type="dxa"/>
              <w:bottom w:w="72" w:type="dxa"/>
              <w:right w:w="144" w:type="dxa"/>
            </w:tcMar>
            <w:vAlign w:val="bottom"/>
            <w:hideMark/>
          </w:tcPr>
          <w:p w:rsidR="002156BB" w:rsidRPr="004A641D" w:rsidRDefault="002156BB" w:rsidP="00901898">
            <w:pPr>
              <w:spacing w:line="480" w:lineRule="auto"/>
              <w:jc w:val="center"/>
              <w:rPr>
                <w:rFonts w:eastAsia="Times New Roman"/>
                <w:color w:val="000000"/>
                <w:highlight w:val="yellow"/>
                <w:lang w:val="en-US"/>
              </w:rPr>
            </w:pPr>
            <w:r w:rsidRPr="004A641D">
              <w:rPr>
                <w:rFonts w:eastAsia="Times New Roman"/>
                <w:color w:val="000000"/>
                <w:highlight w:val="yellow"/>
                <w:lang w:val="en-US"/>
              </w:rPr>
              <w:t>5.11 (1.74-15.03)</w:t>
            </w:r>
          </w:p>
        </w:tc>
        <w:tc>
          <w:tcPr>
            <w:tcW w:w="2078" w:type="dxa"/>
            <w:tcBorders>
              <w:top w:val="nil"/>
              <w:left w:val="nil"/>
            </w:tcBorders>
            <w:shd w:val="clear" w:color="auto" w:fill="auto"/>
            <w:tcMar>
              <w:top w:w="72" w:type="dxa"/>
              <w:left w:w="144" w:type="dxa"/>
              <w:bottom w:w="72" w:type="dxa"/>
              <w:right w:w="144" w:type="dxa"/>
            </w:tcMar>
            <w:vAlign w:val="center"/>
            <w:hideMark/>
          </w:tcPr>
          <w:p w:rsidR="002156BB" w:rsidRPr="004A641D" w:rsidRDefault="002156BB" w:rsidP="00901898">
            <w:pPr>
              <w:spacing w:line="480" w:lineRule="auto"/>
              <w:jc w:val="center"/>
              <w:rPr>
                <w:highlight w:val="yellow"/>
                <w:lang w:val="en-US"/>
              </w:rPr>
            </w:pPr>
            <w:r w:rsidRPr="004A641D">
              <w:rPr>
                <w:highlight w:val="yellow"/>
                <w:lang w:val="en-US"/>
              </w:rPr>
              <w:t>0.003</w:t>
            </w:r>
          </w:p>
        </w:tc>
      </w:tr>
    </w:tbl>
    <w:p w:rsidR="002156BB" w:rsidRDefault="002156BB"/>
    <w:p w:rsidR="00A101B7" w:rsidRDefault="00A101B7"/>
    <w:p w:rsidR="00A101B7" w:rsidRPr="00991F95" w:rsidRDefault="00A101B7" w:rsidP="00A101B7">
      <w:pPr>
        <w:spacing w:line="360" w:lineRule="auto"/>
        <w:rPr>
          <w:lang w:val="en-US"/>
        </w:rPr>
      </w:pPr>
      <w:r w:rsidRPr="004F7F28">
        <w:rPr>
          <w:highlight w:val="yellow"/>
          <w:lang w:val="en-US"/>
        </w:rPr>
        <w:t xml:space="preserve">Female gender maybe associated with an increased risk for mayor bleeding compared with male gender, bud data are inconsistent </w:t>
      </w:r>
      <w:r w:rsidRPr="004F7F28">
        <w:rPr>
          <w:highlight w:val="yellow"/>
          <w:vertAlign w:val="superscript"/>
          <w:lang w:val="en-US"/>
        </w:rPr>
        <w:t>6,7,1</w:t>
      </w:r>
      <w:r>
        <w:rPr>
          <w:highlight w:val="yellow"/>
          <w:vertAlign w:val="superscript"/>
          <w:lang w:val="en-US"/>
        </w:rPr>
        <w:t>9</w:t>
      </w:r>
      <w:r w:rsidRPr="004F7F28">
        <w:rPr>
          <w:highlight w:val="yellow"/>
          <w:lang w:val="en-US"/>
        </w:rPr>
        <w:t>.</w:t>
      </w:r>
      <w:r>
        <w:rPr>
          <w:lang w:val="en-US"/>
        </w:rPr>
        <w:t xml:space="preserve"> </w:t>
      </w:r>
      <w:r w:rsidRPr="002D5390">
        <w:rPr>
          <w:highlight w:val="yellow"/>
          <w:lang w:val="en-US"/>
        </w:rPr>
        <w:t xml:space="preserve">The present study provides evidence that women are </w:t>
      </w:r>
      <w:r>
        <w:rPr>
          <w:highlight w:val="yellow"/>
          <w:lang w:val="en-US"/>
        </w:rPr>
        <w:t>at 3-fold higher</w:t>
      </w:r>
      <w:r w:rsidRPr="002D5390">
        <w:rPr>
          <w:highlight w:val="yellow"/>
          <w:lang w:val="en-US"/>
        </w:rPr>
        <w:t xml:space="preserve"> risk of major bleeding after primary PCI by multivariate analysis. Mehran and colleges combined databases of the ACUITY (patients with unstable angina or NSTEMI) and HORIZONS-AMI (Harmonizing Outcomes with Revascularization and Stents in Acute Myocardial Infarction) trials and found that female gender was an independent predictor of 2.32-fold increase in ma</w:t>
      </w:r>
      <w:r>
        <w:rPr>
          <w:highlight w:val="yellow"/>
          <w:lang w:val="en-US"/>
        </w:rPr>
        <w:t>j</w:t>
      </w:r>
      <w:r w:rsidRPr="002D5390">
        <w:rPr>
          <w:highlight w:val="yellow"/>
          <w:lang w:val="en-US"/>
        </w:rPr>
        <w:t>or bleeding</w:t>
      </w:r>
      <w:r>
        <w:rPr>
          <w:highlight w:val="yellow"/>
          <w:vertAlign w:val="superscript"/>
          <w:lang w:val="en-US"/>
        </w:rPr>
        <w:t>17</w:t>
      </w:r>
      <w:r w:rsidRPr="002D5390">
        <w:rPr>
          <w:highlight w:val="yellow"/>
          <w:lang w:val="en-US"/>
        </w:rPr>
        <w:t>. The exact mechanisms for the hemorrhagic risk in women are unknown. These findings may be related to smaller vessels size and therefore higher incidence of vascular access-site-related complications. In addition, because of smaller body mass,</w:t>
      </w:r>
      <w:r>
        <w:rPr>
          <w:highlight w:val="yellow"/>
          <w:lang w:val="en-US"/>
        </w:rPr>
        <w:t xml:space="preserve"> </w:t>
      </w:r>
      <w:r w:rsidRPr="002D5390">
        <w:rPr>
          <w:highlight w:val="yellow"/>
          <w:lang w:val="en-US"/>
        </w:rPr>
        <w:t xml:space="preserve">there is tendency to over-anticoagulation in women </w:t>
      </w:r>
      <w:r w:rsidRPr="002D5390">
        <w:rPr>
          <w:highlight w:val="yellow"/>
          <w:vertAlign w:val="superscript"/>
          <w:lang w:val="en-US"/>
        </w:rPr>
        <w:t>1</w:t>
      </w:r>
      <w:r>
        <w:rPr>
          <w:highlight w:val="yellow"/>
          <w:vertAlign w:val="superscript"/>
          <w:lang w:val="en-US"/>
        </w:rPr>
        <w:t>6</w:t>
      </w:r>
      <w:r w:rsidRPr="002D5390">
        <w:rPr>
          <w:highlight w:val="yellow"/>
          <w:lang w:val="en-US"/>
        </w:rPr>
        <w:t>.</w:t>
      </w:r>
      <w:r w:rsidRPr="002D5390">
        <w:rPr>
          <w:lang w:val="en-US"/>
        </w:rPr>
        <w:t xml:space="preserve"> </w:t>
      </w:r>
      <w:r>
        <w:rPr>
          <w:lang w:val="en-US"/>
        </w:rPr>
        <w:t xml:space="preserve"> </w:t>
      </w:r>
    </w:p>
    <w:p w:rsidR="00A101B7" w:rsidRDefault="00A101B7"/>
    <w:p w:rsidR="00A101B7" w:rsidRDefault="00A101B7" w:rsidP="00A101B7">
      <w:pPr>
        <w:spacing w:line="360" w:lineRule="auto"/>
        <w:rPr>
          <w:lang w:val="en-US"/>
        </w:rPr>
      </w:pPr>
      <w:r w:rsidRPr="00FE6AB7">
        <w:rPr>
          <w:highlight w:val="yellow"/>
          <w:lang w:val="en-US"/>
        </w:rPr>
        <w:lastRenderedPageBreak/>
        <w:t>In this study congestive heart failure at admission estimated as Killip class II-IV was strongly associated with major bleeding. In randomized clinical study HORIZONS-AMI patients with Killip class II-IV were at 1.78 higher risk of in-hospital major bleeding than patients without major bleeding</w:t>
      </w:r>
      <w:r>
        <w:rPr>
          <w:highlight w:val="yellow"/>
          <w:lang w:val="en-US"/>
        </w:rPr>
        <w:t xml:space="preserve"> </w:t>
      </w:r>
      <w:r w:rsidRPr="00ED3A58">
        <w:rPr>
          <w:highlight w:val="yellow"/>
          <w:vertAlign w:val="superscript"/>
          <w:lang w:val="en-US"/>
        </w:rPr>
        <w:t>21</w:t>
      </w:r>
      <w:r w:rsidRPr="00FE6AB7">
        <w:rPr>
          <w:highlight w:val="yellow"/>
          <w:lang w:val="en-US"/>
        </w:rPr>
        <w:t>. In the Global Registry of Acute Coronary Events (GRACE) the risk of bleeding in patients with STEMI and Killip class IV was 1.73-fold higher than in patients without bleeding</w:t>
      </w:r>
      <w:r w:rsidRPr="004C7CD6">
        <w:rPr>
          <w:highlight w:val="yellow"/>
          <w:lang w:val="en-US"/>
        </w:rPr>
        <w:t>. Hypotension with subsequent tissue hypoperfusion may cause gastritis or ulceration and increase the likelihood of gastrointestinal bleeding. Affecting renal and liver function, hypoperfusion adversely affects the coagulation system and platelet function</w:t>
      </w:r>
      <w:r w:rsidRPr="004C7CD6">
        <w:rPr>
          <w:highlight w:val="yellow"/>
          <w:vertAlign w:val="superscript"/>
          <w:lang w:val="en-US"/>
        </w:rPr>
        <w:t>15</w:t>
      </w:r>
      <w:r w:rsidRPr="004C7CD6">
        <w:rPr>
          <w:highlight w:val="yellow"/>
          <w:lang w:val="en-US"/>
        </w:rPr>
        <w:t>. In our study cardiogenic shock was significantly associated with major bleeding, but was not the independent predictor of major bleeding.</w:t>
      </w:r>
      <w:r>
        <w:rPr>
          <w:lang w:val="en-US"/>
        </w:rPr>
        <w:t xml:space="preserve">  </w:t>
      </w:r>
    </w:p>
    <w:p w:rsidR="00A101B7" w:rsidRDefault="00A101B7"/>
    <w:p w:rsidR="00505172" w:rsidRDefault="00505172"/>
    <w:p w:rsidR="00406892" w:rsidRPr="00406892" w:rsidRDefault="00505172" w:rsidP="00406892">
      <w:pPr>
        <w:rPr>
          <w:b/>
        </w:rPr>
      </w:pPr>
      <w:r w:rsidRPr="00406892">
        <w:rPr>
          <w:b/>
        </w:rPr>
        <w:t xml:space="preserve">9. </w:t>
      </w:r>
      <w:r w:rsidR="00406892" w:rsidRPr="00406892">
        <w:rPr>
          <w:b/>
        </w:rPr>
        <w:t>U rezultatima se vidi o koji tačno krvarenjima se govori. Većina su</w:t>
      </w:r>
      <w:r w:rsidR="00406892" w:rsidRPr="00406892">
        <w:rPr>
          <w:b/>
        </w:rPr>
        <w:t xml:space="preserve"> </w:t>
      </w:r>
      <w:r w:rsidR="00406892" w:rsidRPr="00406892">
        <w:rPr>
          <w:b/>
        </w:rPr>
        <w:t>gastrointestinalna. Da li su i kojiko su korišteni inhibitori protonske</w:t>
      </w:r>
      <w:r w:rsidR="00406892" w:rsidRPr="00406892">
        <w:rPr>
          <w:b/>
        </w:rPr>
        <w:t xml:space="preserve"> </w:t>
      </w:r>
      <w:r w:rsidR="00406892" w:rsidRPr="00406892">
        <w:rPr>
          <w:b/>
        </w:rPr>
        <w:t>pumpe, da li su bolesnici sa gastrointestinalnim krvarenjem imali ranije</w:t>
      </w:r>
      <w:r w:rsidR="00406892" w:rsidRPr="00406892">
        <w:rPr>
          <w:b/>
        </w:rPr>
        <w:t xml:space="preserve"> </w:t>
      </w:r>
      <w:r w:rsidR="00406892" w:rsidRPr="00406892">
        <w:rPr>
          <w:b/>
        </w:rPr>
        <w:t>ulkusnu bolest ili gastritis... Da li se moglo prevenirati krvarenje.</w:t>
      </w:r>
    </w:p>
    <w:p w:rsidR="00406892" w:rsidRDefault="00406892"/>
    <w:p w:rsidR="00406892" w:rsidRDefault="00406892"/>
    <w:p w:rsidR="0013296D" w:rsidRDefault="00505172">
      <w:r>
        <w:t xml:space="preserve">Prema </w:t>
      </w:r>
      <w:r w:rsidR="009116DD">
        <w:t xml:space="preserve">Vašem uputstvu </w:t>
      </w:r>
      <w:r w:rsidR="0013296D">
        <w:t xml:space="preserve"> </w:t>
      </w:r>
      <w:r w:rsidR="009116DD">
        <w:t>dodati su podaci o bolesnicima sa gastrointestinalnim krvarenjem (ranija ulkusna bolest ili gastritis</w:t>
      </w:r>
      <w:r w:rsidR="00D80AD7">
        <w:t>, gastroskopija</w:t>
      </w:r>
      <w:r w:rsidR="001C419E">
        <w:t xml:space="preserve"> i</w:t>
      </w:r>
      <w:r w:rsidR="009116DD">
        <w:t xml:space="preserve"> korišćenje inhibitora protonske pumpe).</w:t>
      </w:r>
    </w:p>
    <w:p w:rsidR="00FE4F86" w:rsidRDefault="00FE4F86"/>
    <w:p w:rsidR="00CF5A00" w:rsidRDefault="00837131" w:rsidP="00CF5A00">
      <w:pPr>
        <w:spacing w:line="360" w:lineRule="auto"/>
        <w:rPr>
          <w:lang w:val="en-US"/>
        </w:rPr>
      </w:pPr>
      <w:r w:rsidRPr="00837131">
        <w:rPr>
          <w:lang w:val="en-US"/>
        </w:rPr>
        <w:t>Two patients who experienced gastrointestinal bleeding had prior gastritis, but none of them had prior gastric ulcer.</w:t>
      </w:r>
      <w:r>
        <w:rPr>
          <w:lang w:val="en-US"/>
        </w:rPr>
        <w:t xml:space="preserve"> </w:t>
      </w:r>
      <w:r w:rsidR="00CF5A00" w:rsidRPr="00F21ECB">
        <w:rPr>
          <w:highlight w:val="yellow"/>
          <w:lang w:val="en-US"/>
        </w:rPr>
        <w:t xml:space="preserve">Immediately gastroscopy was performed in only </w:t>
      </w:r>
      <w:r w:rsidR="00CF5A00">
        <w:rPr>
          <w:highlight w:val="yellow"/>
          <w:lang w:val="en-US"/>
        </w:rPr>
        <w:t>one</w:t>
      </w:r>
      <w:r w:rsidR="00CF5A00" w:rsidRPr="00917618">
        <w:rPr>
          <w:highlight w:val="yellow"/>
          <w:lang w:val="en-US"/>
        </w:rPr>
        <w:t xml:space="preserve"> </w:t>
      </w:r>
      <w:r w:rsidR="00CF5A00">
        <w:rPr>
          <w:highlight w:val="yellow"/>
          <w:lang w:val="en-US"/>
        </w:rPr>
        <w:t>patient showing multiple gastric erosions. Patients with gastrointestinal bleeding</w:t>
      </w:r>
      <w:r w:rsidR="00CF5A00" w:rsidRPr="00917618">
        <w:rPr>
          <w:highlight w:val="yellow"/>
          <w:lang w:val="en-US"/>
        </w:rPr>
        <w:t xml:space="preserve"> had discontinuation of dual antiplatelet therapy and </w:t>
      </w:r>
      <w:r w:rsidR="00CF5A00">
        <w:rPr>
          <w:highlight w:val="yellow"/>
          <w:lang w:val="en-US"/>
        </w:rPr>
        <w:t xml:space="preserve">were </w:t>
      </w:r>
      <w:r w:rsidR="00CF5A00" w:rsidRPr="00917618">
        <w:rPr>
          <w:highlight w:val="yellow"/>
          <w:lang w:val="en-US"/>
        </w:rPr>
        <w:t xml:space="preserve">treated with proton pump </w:t>
      </w:r>
      <w:r w:rsidR="00CF5A00" w:rsidRPr="00F21ECB">
        <w:rPr>
          <w:highlight w:val="yellow"/>
          <w:lang w:val="en-US"/>
        </w:rPr>
        <w:t xml:space="preserve">inhibitors. Three </w:t>
      </w:r>
      <w:r w:rsidR="00CF5A00" w:rsidRPr="00AA0C7C">
        <w:rPr>
          <w:highlight w:val="yellow"/>
          <w:lang w:val="en-US"/>
        </w:rPr>
        <w:t xml:space="preserve">patients with </w:t>
      </w:r>
      <w:r w:rsidR="00CF5A00">
        <w:rPr>
          <w:highlight w:val="yellow"/>
          <w:lang w:val="en-US"/>
        </w:rPr>
        <w:t xml:space="preserve">gastrointestinal </w:t>
      </w:r>
      <w:r w:rsidR="00CF5A00" w:rsidRPr="00AA0C7C">
        <w:rPr>
          <w:highlight w:val="yellow"/>
          <w:lang w:val="en-US"/>
        </w:rPr>
        <w:t>bleeding experienced subacute stent thrombosis that occurred after discontinuation of dual antiplatelet therapy</w:t>
      </w:r>
      <w:r w:rsidR="00CF5A00">
        <w:rPr>
          <w:highlight w:val="yellow"/>
          <w:lang w:val="en-US"/>
        </w:rPr>
        <w:t xml:space="preserve">. </w:t>
      </w:r>
      <w:r w:rsidR="00CF5A00" w:rsidRPr="00AA0C7C">
        <w:rPr>
          <w:highlight w:val="yellow"/>
          <w:lang w:val="en-US"/>
        </w:rPr>
        <w:t>Re</w:t>
      </w:r>
      <w:r w:rsidR="00CF5A00">
        <w:rPr>
          <w:highlight w:val="yellow"/>
          <w:lang w:val="en-US"/>
        </w:rPr>
        <w:t>-</w:t>
      </w:r>
      <w:r w:rsidR="00CF5A00" w:rsidRPr="00AA0C7C">
        <w:rPr>
          <w:highlight w:val="yellow"/>
          <w:lang w:val="en-US"/>
        </w:rPr>
        <w:t>intervention was done succes</w:t>
      </w:r>
      <w:r w:rsidR="00CF5A00">
        <w:rPr>
          <w:highlight w:val="yellow"/>
          <w:lang w:val="en-US"/>
        </w:rPr>
        <w:t>s</w:t>
      </w:r>
      <w:r w:rsidR="00CF5A00" w:rsidRPr="00AA0C7C">
        <w:rPr>
          <w:highlight w:val="yellow"/>
          <w:lang w:val="en-US"/>
        </w:rPr>
        <w:t>ful</w:t>
      </w:r>
      <w:r w:rsidR="00CF5A00">
        <w:rPr>
          <w:highlight w:val="yellow"/>
          <w:lang w:val="en-US"/>
        </w:rPr>
        <w:t>l</w:t>
      </w:r>
      <w:r w:rsidR="00CF5A00" w:rsidRPr="00AA0C7C">
        <w:rPr>
          <w:highlight w:val="yellow"/>
          <w:lang w:val="en-US"/>
        </w:rPr>
        <w:t>y and all three patients survived next 6 months</w:t>
      </w:r>
      <w:r w:rsidR="00CF5A00" w:rsidRPr="000F0578">
        <w:rPr>
          <w:highlight w:val="yellow"/>
          <w:lang w:val="en-US"/>
        </w:rPr>
        <w:t>. Patients with retroperitoneal hematomas had temporary discontinuation of duel antiplatelet therapy. Among patients with hematuria, d</w:t>
      </w:r>
      <w:r w:rsidR="00CF5A00">
        <w:rPr>
          <w:highlight w:val="yellow"/>
          <w:lang w:val="en-US"/>
        </w:rPr>
        <w:t>iscontinuation of dual antiplatelet therapy</w:t>
      </w:r>
      <w:r w:rsidR="00CF5A00" w:rsidRPr="000F0578">
        <w:rPr>
          <w:highlight w:val="yellow"/>
          <w:lang w:val="en-US"/>
        </w:rPr>
        <w:t xml:space="preserve"> was evidenced in 1 patient and of clopidogrel in </w:t>
      </w:r>
      <w:r w:rsidR="00CF5A00">
        <w:rPr>
          <w:highlight w:val="yellow"/>
          <w:lang w:val="en-US"/>
        </w:rPr>
        <w:t xml:space="preserve">1 patient too </w:t>
      </w:r>
      <w:r w:rsidR="00CF5A00" w:rsidRPr="000F0578">
        <w:rPr>
          <w:highlight w:val="yellow"/>
          <w:lang w:val="en-US"/>
        </w:rPr>
        <w:t>. Two patients with site hematomas had discontinuation o</w:t>
      </w:r>
      <w:r w:rsidR="00CF5A00">
        <w:rPr>
          <w:highlight w:val="yellow"/>
          <w:lang w:val="en-US"/>
        </w:rPr>
        <w:t>f dual antiplatelet therapy</w:t>
      </w:r>
      <w:r w:rsidR="00CF5A00" w:rsidRPr="000F0578">
        <w:rPr>
          <w:highlight w:val="yellow"/>
          <w:lang w:val="en-US"/>
        </w:rPr>
        <w:t xml:space="preserve"> and </w:t>
      </w:r>
      <w:r w:rsidR="00CF5A00">
        <w:rPr>
          <w:highlight w:val="yellow"/>
          <w:lang w:val="en-US"/>
        </w:rPr>
        <w:t>one patient</w:t>
      </w:r>
      <w:r w:rsidR="00CF5A00" w:rsidRPr="000F0578">
        <w:rPr>
          <w:highlight w:val="yellow"/>
          <w:lang w:val="en-US"/>
        </w:rPr>
        <w:t xml:space="preserve"> had discontinuation of clopidogrel</w:t>
      </w:r>
      <w:r w:rsidR="00CF5A00">
        <w:rPr>
          <w:highlight w:val="yellow"/>
          <w:lang w:val="en-US"/>
        </w:rPr>
        <w:t xml:space="preserve"> only</w:t>
      </w:r>
      <w:r w:rsidR="00CF5A00" w:rsidRPr="000F0578">
        <w:rPr>
          <w:highlight w:val="yellow"/>
          <w:lang w:val="en-US"/>
        </w:rPr>
        <w:t>.</w:t>
      </w:r>
      <w:r w:rsidR="00CF5A00">
        <w:rPr>
          <w:lang w:val="en-US"/>
        </w:rPr>
        <w:t xml:space="preserve">  </w:t>
      </w:r>
    </w:p>
    <w:p w:rsidR="009116DD" w:rsidRDefault="009116DD"/>
    <w:p w:rsidR="00406892" w:rsidRPr="00406892" w:rsidRDefault="009116DD" w:rsidP="00406892">
      <w:pPr>
        <w:rPr>
          <w:b/>
        </w:rPr>
      </w:pPr>
      <w:r w:rsidRPr="00406892">
        <w:rPr>
          <w:b/>
        </w:rPr>
        <w:t xml:space="preserve">10. </w:t>
      </w:r>
      <w:r w:rsidR="00406892" w:rsidRPr="00406892">
        <w:rPr>
          <w:b/>
        </w:rPr>
        <w:t>Od čega su u stvari umrli bolesnici sa značajnim krvarenjem? Da li od</w:t>
      </w:r>
      <w:r w:rsidR="00406892" w:rsidRPr="00406892">
        <w:rPr>
          <w:b/>
        </w:rPr>
        <w:t xml:space="preserve"> </w:t>
      </w:r>
      <w:r w:rsidR="00406892" w:rsidRPr="00406892">
        <w:rPr>
          <w:b/>
        </w:rPr>
        <w:t>krvarenja, od srčane slabosti ili im je prekinuta terapija pa im je</w:t>
      </w:r>
      <w:r w:rsidR="00406892" w:rsidRPr="00406892">
        <w:rPr>
          <w:b/>
        </w:rPr>
        <w:t xml:space="preserve"> </w:t>
      </w:r>
      <w:r w:rsidR="00406892" w:rsidRPr="00406892">
        <w:rPr>
          <w:b/>
        </w:rPr>
        <w:t>trombozirao stent.</w:t>
      </w:r>
    </w:p>
    <w:p w:rsidR="00406892" w:rsidRDefault="00406892"/>
    <w:p w:rsidR="00406892" w:rsidRDefault="00406892"/>
    <w:p w:rsidR="009116DD" w:rsidRDefault="009116DD">
      <w:r>
        <w:lastRenderedPageBreak/>
        <w:t>Prem</w:t>
      </w:r>
      <w:r w:rsidR="00E14058">
        <w:t>a Vašem uputstvu uneli smo podatke o srčanoj i nesrčanoj smrtnosti.</w:t>
      </w:r>
      <w:r w:rsidR="00CF5A00">
        <w:t xml:space="preserve"> U prethodonom pasusus dodali smo podatke o trombozi stenta.</w:t>
      </w:r>
      <w:r w:rsidR="003D18C8">
        <w:t xml:space="preserve"> </w:t>
      </w:r>
    </w:p>
    <w:p w:rsidR="0028169E" w:rsidRDefault="0028169E"/>
    <w:p w:rsidR="00CF5A00" w:rsidRDefault="00CF5A00" w:rsidP="00CF5A00">
      <w:pPr>
        <w:spacing w:line="276" w:lineRule="auto"/>
        <w:rPr>
          <w:lang w:val="en-US"/>
        </w:rPr>
      </w:pPr>
      <w:r w:rsidRPr="00A9520A">
        <w:rPr>
          <w:lang w:val="en-US"/>
        </w:rPr>
        <w:t>Patients with versus without major bleeding had 3-fold higher rates of in-hospital mortality (9.4 %</w:t>
      </w:r>
      <w:r>
        <w:rPr>
          <w:lang w:val="en-US"/>
        </w:rPr>
        <w:t xml:space="preserve"> </w:t>
      </w:r>
      <w:r w:rsidRPr="00AA0C7C">
        <w:rPr>
          <w:highlight w:val="yellow"/>
          <w:lang w:val="en-US"/>
        </w:rPr>
        <w:t>[cardiac 6.3%, non-cardiac 3.1%]</w:t>
      </w:r>
      <w:r w:rsidRPr="00A9520A">
        <w:rPr>
          <w:lang w:val="en-US"/>
        </w:rPr>
        <w:t xml:space="preserve"> vs. 2.8%; p=0.03) and 2.5-fold higher rates of 6-month mortality (15.6% </w:t>
      </w:r>
      <w:r w:rsidRPr="00AA0C7C">
        <w:rPr>
          <w:highlight w:val="yellow"/>
          <w:lang w:val="en-US"/>
        </w:rPr>
        <w:t>[cardiac 9.4%, non-cardiac 6.2%]</w:t>
      </w:r>
      <w:r>
        <w:rPr>
          <w:lang w:val="en-US"/>
        </w:rPr>
        <w:t xml:space="preserve"> </w:t>
      </w:r>
      <w:r w:rsidRPr="00A9520A">
        <w:rPr>
          <w:lang w:val="en-US"/>
        </w:rPr>
        <w:t>vs. 5.8%, p=0.03)</w:t>
      </w:r>
      <w:r>
        <w:rPr>
          <w:lang w:val="en-US"/>
        </w:rPr>
        <w:t>…</w:t>
      </w:r>
    </w:p>
    <w:p w:rsidR="00CF5A00" w:rsidRPr="00CF5A00" w:rsidRDefault="00CF5A00" w:rsidP="00CF5A00">
      <w:pPr>
        <w:spacing w:line="276" w:lineRule="auto"/>
        <w:ind w:left="0" w:right="0"/>
        <w:rPr>
          <w:rFonts w:eastAsia="Calibri"/>
          <w:lang w:val="en-US"/>
        </w:rPr>
      </w:pPr>
      <w:r w:rsidRPr="00CF5A00">
        <w:rPr>
          <w:rFonts w:eastAsia="Calibri"/>
          <w:highlight w:val="yellow"/>
          <w:lang w:val="en-US"/>
        </w:rPr>
        <w:t xml:space="preserve">All bleeding patients died during first 6 months had gastrointestinal bleeding. </w:t>
      </w:r>
    </w:p>
    <w:p w:rsidR="00CF5A00" w:rsidRDefault="00CF5A00"/>
    <w:p w:rsidR="00FE4F86" w:rsidRDefault="00FE4F86"/>
    <w:p w:rsidR="00FE4F86" w:rsidRDefault="00FE4F86"/>
    <w:p w:rsidR="00406892" w:rsidRPr="00406892" w:rsidRDefault="00406892" w:rsidP="00406892">
      <w:pPr>
        <w:rPr>
          <w:b/>
        </w:rPr>
      </w:pPr>
      <w:r w:rsidRPr="00406892">
        <w:rPr>
          <w:b/>
        </w:rPr>
        <w:t xml:space="preserve">11. </w:t>
      </w:r>
      <w:r w:rsidRPr="00406892">
        <w:rPr>
          <w:b/>
        </w:rPr>
        <w:t>Kako su tretirani bolesnici sa major krvarenjem? Prekinuta dvojna</w:t>
      </w:r>
      <w:r w:rsidRPr="00406892">
        <w:rPr>
          <w:b/>
        </w:rPr>
        <w:t xml:space="preserve"> </w:t>
      </w:r>
      <w:r w:rsidRPr="00406892">
        <w:rPr>
          <w:b/>
        </w:rPr>
        <w:t>antiagregaciona terapija? Koliko prekinuta? SZP, Trombociti, gastroskopija,</w:t>
      </w:r>
      <w:r w:rsidRPr="00406892">
        <w:rPr>
          <w:b/>
        </w:rPr>
        <w:t xml:space="preserve"> </w:t>
      </w:r>
      <w:r w:rsidRPr="00406892">
        <w:rPr>
          <w:b/>
        </w:rPr>
        <w:t>inhibitori protonske pumpe iv.???</w:t>
      </w:r>
    </w:p>
    <w:p w:rsidR="00406892" w:rsidRDefault="00406892"/>
    <w:p w:rsidR="00406892" w:rsidRDefault="00406892"/>
    <w:p w:rsidR="0028169E" w:rsidRDefault="00A50477">
      <w:r>
        <w:t xml:space="preserve">Odgvor </w:t>
      </w:r>
      <w:r w:rsidR="003D18C8">
        <w:t xml:space="preserve">na ova pitanja </w:t>
      </w:r>
      <w:r>
        <w:t xml:space="preserve">je dat u </w:t>
      </w:r>
      <w:r w:rsidR="003D18C8">
        <w:t xml:space="preserve">dopunskom </w:t>
      </w:r>
      <w:r>
        <w:t>pasusu posle Vašeg pitanja broj 9.</w:t>
      </w:r>
    </w:p>
    <w:p w:rsidR="003D18C8" w:rsidRDefault="003D18C8"/>
    <w:p w:rsidR="0028169E" w:rsidRDefault="0028169E"/>
    <w:p w:rsidR="006A78FE" w:rsidRPr="006A78FE" w:rsidRDefault="006A78FE" w:rsidP="006A78FE">
      <w:pPr>
        <w:rPr>
          <w:b/>
        </w:rPr>
      </w:pPr>
      <w:r w:rsidRPr="006A78FE">
        <w:rPr>
          <w:b/>
        </w:rPr>
        <w:t xml:space="preserve">12. </w:t>
      </w:r>
      <w:r w:rsidRPr="006A78FE">
        <w:rPr>
          <w:b/>
        </w:rPr>
        <w:t>U diskusiji se ne navodi nijedna studija u kojoj je korišten isti skor</w:t>
      </w:r>
      <w:r w:rsidRPr="006A78FE">
        <w:rPr>
          <w:b/>
        </w:rPr>
        <w:t xml:space="preserve"> </w:t>
      </w:r>
      <w:r w:rsidRPr="006A78FE">
        <w:rPr>
          <w:b/>
        </w:rPr>
        <w:t>za detekciju značajnog krvarenja?</w:t>
      </w:r>
    </w:p>
    <w:p w:rsidR="006A78FE" w:rsidRDefault="006A78FE"/>
    <w:p w:rsidR="002A2D02" w:rsidRDefault="0028169E">
      <w:r>
        <w:t xml:space="preserve">Dodali smo </w:t>
      </w:r>
      <w:r w:rsidR="003D18C8">
        <w:t xml:space="preserve">opis tzv. „Integer risk scora“ </w:t>
      </w:r>
      <w:r>
        <w:t xml:space="preserve">autora R. Mehran za predikciju krvarenja kod bolesnika sa akutnim </w:t>
      </w:r>
      <w:r w:rsidR="002A2D02">
        <w:t>koronarnim sindromom (literat. Mehran R et al. A Risk Score to Predict Bleeding in Patients With Acute Coronary Syndromes. J Am Coll Cardiol 2010; 55:2556-66).</w:t>
      </w:r>
      <w:r w:rsidR="00A50477">
        <w:t xml:space="preserve"> Takođe smo dodali i opis skora za predikciju krvarenja autora Mrdovića i saradnika (literat. </w:t>
      </w:r>
      <w:r w:rsidR="00A50477" w:rsidRPr="00A50477">
        <w:t>Mrdovic I</w:t>
      </w:r>
      <w:r w:rsidR="00A50477">
        <w:t xml:space="preserve"> et al</w:t>
      </w:r>
      <w:r w:rsidR="00A50477" w:rsidRPr="00A50477">
        <w:t>. Simple risk algorithm to predict serious bleeding in patients with ST-segment elevation myocardial infarction undergoing primary percutaneous coronary intervention: RISK-PCI bleeding score. Circ J 2013; 77:1719-27</w:t>
      </w:r>
      <w:r w:rsidR="00A50477">
        <w:t>)</w:t>
      </w:r>
      <w:r w:rsidR="00A50477" w:rsidRPr="00A50477">
        <w:t>.</w:t>
      </w:r>
    </w:p>
    <w:p w:rsidR="002A2D02" w:rsidRDefault="002A2D02"/>
    <w:p w:rsidR="00A50477" w:rsidRDefault="00A50477" w:rsidP="00A50477">
      <w:pPr>
        <w:spacing w:line="276" w:lineRule="auto"/>
      </w:pPr>
      <w:r>
        <w:rPr>
          <w:lang w:val="en-US"/>
        </w:rPr>
        <w:t xml:space="preserve">Several scoring systems have developed to predict major bleeding in patients treated with PCI. </w:t>
      </w:r>
      <w:r w:rsidRPr="00A9520A">
        <w:rPr>
          <w:lang w:val="en-US"/>
        </w:rPr>
        <w:t>Mehran and colleagues developed a practical Integer risk score for NSTEMI and STEMI patients undergoing PCI to predict the risk and implications of major bleeding in ACS</w:t>
      </w:r>
      <w:r w:rsidRPr="00995C98">
        <w:rPr>
          <w:vertAlign w:val="superscript"/>
          <w:lang w:val="en-US"/>
        </w:rPr>
        <w:t>17</w:t>
      </w:r>
      <w:r w:rsidRPr="00A9520A">
        <w:rPr>
          <w:lang w:val="en-US"/>
        </w:rPr>
        <w:t>.</w:t>
      </w:r>
      <w:r>
        <w:rPr>
          <w:lang w:val="en-US"/>
        </w:rPr>
        <w:t xml:space="preserve"> </w:t>
      </w:r>
      <w:r w:rsidRPr="00D21FEE">
        <w:rPr>
          <w:highlight w:val="yellow"/>
          <w:lang w:val="en-US"/>
        </w:rPr>
        <w:t>This risk score consists of 7 variables estimated as the independent predictors of major bleeding within 30 days: female sex, advanced age, elevated serum creatinine and white blood cell count, anemia, presentation (STEMI or NSEMI) and treatment with GPI</w:t>
      </w:r>
      <w:r w:rsidRPr="008E5151">
        <w:rPr>
          <w:highlight w:val="yellow"/>
          <w:lang w:val="en-US"/>
        </w:rPr>
        <w:t>. Mrdovi</w:t>
      </w:r>
      <w:r>
        <w:rPr>
          <w:highlight w:val="yellow"/>
          <w:lang w:val="en-US"/>
        </w:rPr>
        <w:t>c</w:t>
      </w:r>
      <w:r w:rsidRPr="008E5151">
        <w:rPr>
          <w:highlight w:val="yellow"/>
          <w:lang w:val="en-US"/>
        </w:rPr>
        <w:t xml:space="preserve"> and colleagues developed a simple and accurate risk model for predicting a risk of 30-day bleeding after primary PCI. The model included 5 independent predictors of bleeding: female gender, history of </w:t>
      </w:r>
      <w:r w:rsidR="003D18C8">
        <w:rPr>
          <w:highlight w:val="yellow"/>
          <w:lang w:val="en-US"/>
        </w:rPr>
        <w:t>peptic ulcer, creatinine clearance</w:t>
      </w:r>
      <w:r w:rsidRPr="008E5151">
        <w:rPr>
          <w:highlight w:val="yellow"/>
          <w:lang w:val="en-US"/>
        </w:rPr>
        <w:t xml:space="preserve"> at admission (&lt;60 ml/min), hemoglobin at presentation (&lt;125g/dl), and Killip class II-IV at admission</w:t>
      </w:r>
      <w:r>
        <w:rPr>
          <w:highlight w:val="yellow"/>
          <w:lang w:val="en-US"/>
        </w:rPr>
        <w:t xml:space="preserve"> </w:t>
      </w:r>
      <w:r w:rsidRPr="005C4D91">
        <w:rPr>
          <w:highlight w:val="yellow"/>
          <w:vertAlign w:val="superscript"/>
          <w:lang w:val="en-US"/>
        </w:rPr>
        <w:t>2</w:t>
      </w:r>
      <w:r>
        <w:rPr>
          <w:highlight w:val="yellow"/>
          <w:vertAlign w:val="superscript"/>
          <w:lang w:val="en-US"/>
        </w:rPr>
        <w:t>2</w:t>
      </w:r>
      <w:r w:rsidRPr="008E5151">
        <w:rPr>
          <w:highlight w:val="yellow"/>
          <w:lang w:val="en-US"/>
        </w:rPr>
        <w:t>.</w:t>
      </w:r>
      <w:r>
        <w:rPr>
          <w:lang w:val="en-US"/>
        </w:rPr>
        <w:t xml:space="preserve">   </w:t>
      </w:r>
    </w:p>
    <w:p w:rsidR="00A50477" w:rsidRDefault="00A50477"/>
    <w:p w:rsidR="006A78FE" w:rsidRPr="006A78FE" w:rsidRDefault="006A78FE" w:rsidP="006A78FE">
      <w:pPr>
        <w:rPr>
          <w:b/>
        </w:rPr>
      </w:pPr>
      <w:r w:rsidRPr="006A78FE">
        <w:rPr>
          <w:b/>
        </w:rPr>
        <w:t xml:space="preserve">13. </w:t>
      </w:r>
      <w:r w:rsidRPr="006A78FE">
        <w:rPr>
          <w:b/>
        </w:rPr>
        <w:t>Kada se pominje broj leukocita preko 15.000 kao prediktivni faktor u</w:t>
      </w:r>
      <w:r w:rsidRPr="006A78FE">
        <w:rPr>
          <w:b/>
        </w:rPr>
        <w:t xml:space="preserve"> </w:t>
      </w:r>
      <w:r w:rsidRPr="006A78FE">
        <w:rPr>
          <w:b/>
        </w:rPr>
        <w:t>diskusiji pominje se moguća uloga inflamacije. Meni se čini da nije tako.</w:t>
      </w:r>
      <w:r w:rsidRPr="006A78FE">
        <w:rPr>
          <w:b/>
        </w:rPr>
        <w:t xml:space="preserve"> </w:t>
      </w:r>
      <w:r w:rsidRPr="006A78FE">
        <w:rPr>
          <w:b/>
        </w:rPr>
        <w:t>Ako su to leukociti na prijemu, onda je to pre stres, kao što je i stres</w:t>
      </w:r>
      <w:r w:rsidRPr="006A78FE">
        <w:rPr>
          <w:b/>
        </w:rPr>
        <w:t xml:space="preserve"> </w:t>
      </w:r>
      <w:r w:rsidRPr="006A78FE">
        <w:rPr>
          <w:b/>
        </w:rPr>
        <w:t>hiperglikemija a ne još uvek sistemski inflamatorni odgovor, bar u većini</w:t>
      </w:r>
      <w:r w:rsidRPr="006A78FE">
        <w:rPr>
          <w:b/>
        </w:rPr>
        <w:t xml:space="preserve"> </w:t>
      </w:r>
      <w:r w:rsidRPr="006A78FE">
        <w:rPr>
          <w:b/>
        </w:rPr>
        <w:t>bolesnika.</w:t>
      </w:r>
    </w:p>
    <w:p w:rsidR="006A78FE" w:rsidRDefault="006A78FE"/>
    <w:p w:rsidR="006A78FE" w:rsidRDefault="006A78FE"/>
    <w:p w:rsidR="002A2D02" w:rsidRDefault="002A2D02">
      <w:r>
        <w:t xml:space="preserve">Na Vaš zahtev proširili smo diskusiju u vezi sa povećanjem broja leukocita na prijemu i izneli podatke i konstatacije iz </w:t>
      </w:r>
      <w:r w:rsidR="00E746F5">
        <w:t xml:space="preserve">literature (nedavna </w:t>
      </w:r>
      <w:r>
        <w:t>s</w:t>
      </w:r>
      <w:r w:rsidR="00E746F5">
        <w:t xml:space="preserve">tudija HORIZONS-AMI, </w:t>
      </w:r>
      <w:r>
        <w:t xml:space="preserve">literat. Palmerini T et al. </w:t>
      </w:r>
      <w:r>
        <w:lastRenderedPageBreak/>
        <w:t>Impact of Leukocite Count on Mortality and Bleeding in Patients With Myocardial Infarction Undergoing Primary Percutaneous Coronary Interventions. Circulation 2011; 123:2829-2837).</w:t>
      </w:r>
    </w:p>
    <w:p w:rsidR="0013296D" w:rsidRDefault="0013296D"/>
    <w:p w:rsidR="00E52ED2" w:rsidRDefault="0013296D">
      <w:r>
        <w:t xml:space="preserve">   </w:t>
      </w:r>
      <w:r w:rsidR="00E52ED2">
        <w:t xml:space="preserve"> </w:t>
      </w:r>
    </w:p>
    <w:p w:rsidR="00E52ED2" w:rsidRPr="00BC200D" w:rsidRDefault="00661980" w:rsidP="00BC200D">
      <w:pPr>
        <w:spacing w:line="276" w:lineRule="auto"/>
        <w:rPr>
          <w:lang w:val="en-US"/>
        </w:rPr>
      </w:pPr>
      <w:r w:rsidRPr="00F2093D">
        <w:rPr>
          <w:highlight w:val="yellow"/>
          <w:lang w:val="en-US"/>
        </w:rPr>
        <w:t>Leukocytes may have a prothrombotic effects and may also result in release of proinflamatory and vasculotoxic factors which effects may contribute to reperfusion injury and subsequent extension of myocardial necrosis. However, the mechanisms linking high white blood cell co</w:t>
      </w:r>
      <w:r w:rsidR="003D18C8">
        <w:rPr>
          <w:highlight w:val="yellow"/>
          <w:lang w:val="en-US"/>
        </w:rPr>
        <w:t>unt with major bleeding are unkn</w:t>
      </w:r>
      <w:r w:rsidRPr="00F2093D">
        <w:rPr>
          <w:highlight w:val="yellow"/>
          <w:lang w:val="en-US"/>
        </w:rPr>
        <w:t>own and warrant further study</w:t>
      </w:r>
      <w:r w:rsidRPr="00F2093D">
        <w:rPr>
          <w:highlight w:val="yellow"/>
          <w:vertAlign w:val="superscript"/>
          <w:lang w:val="en-US"/>
        </w:rPr>
        <w:t>18</w:t>
      </w:r>
      <w:r w:rsidRPr="00F2093D">
        <w:rPr>
          <w:highlight w:val="yellow"/>
          <w:lang w:val="en-US"/>
        </w:rPr>
        <w:t>.</w:t>
      </w:r>
    </w:p>
    <w:sectPr w:rsidR="00E52ED2" w:rsidRPr="00BC200D" w:rsidSect="00BB0956">
      <w:headerReference w:type="default" r:id="rId6"/>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6D5" w:rsidRDefault="00C506D5" w:rsidP="00BB0956">
      <w:pPr>
        <w:spacing w:line="240" w:lineRule="auto"/>
      </w:pPr>
      <w:r>
        <w:separator/>
      </w:r>
    </w:p>
  </w:endnote>
  <w:endnote w:type="continuationSeparator" w:id="1">
    <w:p w:rsidR="00C506D5" w:rsidRDefault="00C506D5" w:rsidP="00BB09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6D5" w:rsidRDefault="00C506D5" w:rsidP="00BB0956">
      <w:pPr>
        <w:spacing w:line="240" w:lineRule="auto"/>
      </w:pPr>
      <w:r>
        <w:separator/>
      </w:r>
    </w:p>
  </w:footnote>
  <w:footnote w:type="continuationSeparator" w:id="1">
    <w:p w:rsidR="00C506D5" w:rsidRDefault="00C506D5" w:rsidP="00BB095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43266"/>
      <w:docPartObj>
        <w:docPartGallery w:val="Page Numbers (Top of Page)"/>
        <w:docPartUnique/>
      </w:docPartObj>
    </w:sdtPr>
    <w:sdtContent>
      <w:p w:rsidR="00BB0956" w:rsidRDefault="008925B4">
        <w:pPr>
          <w:pStyle w:val="Header"/>
          <w:jc w:val="center"/>
        </w:pPr>
        <w:fldSimple w:instr=" PAGE   \* MERGEFORMAT ">
          <w:r w:rsidR="002E0B60">
            <w:rPr>
              <w:noProof/>
            </w:rPr>
            <w:t>2</w:t>
          </w:r>
        </w:fldSimple>
      </w:p>
    </w:sdtContent>
  </w:sdt>
  <w:p w:rsidR="00BB0956" w:rsidRDefault="00BB09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32534"/>
    <w:rsid w:val="0001137E"/>
    <w:rsid w:val="000136D3"/>
    <w:rsid w:val="00044D94"/>
    <w:rsid w:val="000768DB"/>
    <w:rsid w:val="00081970"/>
    <w:rsid w:val="00095313"/>
    <w:rsid w:val="00097EEB"/>
    <w:rsid w:val="000A42CB"/>
    <w:rsid w:val="00122D27"/>
    <w:rsid w:val="0013296D"/>
    <w:rsid w:val="001443C1"/>
    <w:rsid w:val="00160F71"/>
    <w:rsid w:val="00161E27"/>
    <w:rsid w:val="00180602"/>
    <w:rsid w:val="001A0ED7"/>
    <w:rsid w:val="001B1B68"/>
    <w:rsid w:val="001C419E"/>
    <w:rsid w:val="002156BB"/>
    <w:rsid w:val="00217BB2"/>
    <w:rsid w:val="0028169E"/>
    <w:rsid w:val="00286814"/>
    <w:rsid w:val="00286CC5"/>
    <w:rsid w:val="00293E9A"/>
    <w:rsid w:val="002A2D02"/>
    <w:rsid w:val="002B0608"/>
    <w:rsid w:val="002E0B60"/>
    <w:rsid w:val="00327F82"/>
    <w:rsid w:val="0033777D"/>
    <w:rsid w:val="0034188A"/>
    <w:rsid w:val="003D18C8"/>
    <w:rsid w:val="00406892"/>
    <w:rsid w:val="004222D0"/>
    <w:rsid w:val="00473464"/>
    <w:rsid w:val="00505172"/>
    <w:rsid w:val="00510D06"/>
    <w:rsid w:val="0052273C"/>
    <w:rsid w:val="0057754E"/>
    <w:rsid w:val="005D2CB8"/>
    <w:rsid w:val="005F5B44"/>
    <w:rsid w:val="005F6DDE"/>
    <w:rsid w:val="00625B02"/>
    <w:rsid w:val="00661980"/>
    <w:rsid w:val="006A78FE"/>
    <w:rsid w:val="006F259E"/>
    <w:rsid w:val="00700BDE"/>
    <w:rsid w:val="00725BB6"/>
    <w:rsid w:val="007369AF"/>
    <w:rsid w:val="007806F9"/>
    <w:rsid w:val="00786290"/>
    <w:rsid w:val="007A6AEB"/>
    <w:rsid w:val="007F5E8A"/>
    <w:rsid w:val="00807206"/>
    <w:rsid w:val="00834D65"/>
    <w:rsid w:val="00837131"/>
    <w:rsid w:val="008925B4"/>
    <w:rsid w:val="008A4133"/>
    <w:rsid w:val="008F14AC"/>
    <w:rsid w:val="009116DD"/>
    <w:rsid w:val="0093787D"/>
    <w:rsid w:val="00954BE6"/>
    <w:rsid w:val="00954F57"/>
    <w:rsid w:val="00955FB8"/>
    <w:rsid w:val="00963045"/>
    <w:rsid w:val="00970A5D"/>
    <w:rsid w:val="009874F2"/>
    <w:rsid w:val="009A2E46"/>
    <w:rsid w:val="009C6080"/>
    <w:rsid w:val="00A101B7"/>
    <w:rsid w:val="00A40282"/>
    <w:rsid w:val="00A50477"/>
    <w:rsid w:val="00A5619A"/>
    <w:rsid w:val="00A823EA"/>
    <w:rsid w:val="00A83463"/>
    <w:rsid w:val="00AC291A"/>
    <w:rsid w:val="00AD55EA"/>
    <w:rsid w:val="00B200C9"/>
    <w:rsid w:val="00B31201"/>
    <w:rsid w:val="00B35616"/>
    <w:rsid w:val="00B93D28"/>
    <w:rsid w:val="00BB0956"/>
    <w:rsid w:val="00BB34BB"/>
    <w:rsid w:val="00BB5E1F"/>
    <w:rsid w:val="00BC200D"/>
    <w:rsid w:val="00BD2E69"/>
    <w:rsid w:val="00BE246F"/>
    <w:rsid w:val="00C37BB2"/>
    <w:rsid w:val="00C41A0C"/>
    <w:rsid w:val="00C506D5"/>
    <w:rsid w:val="00C73EB4"/>
    <w:rsid w:val="00C80836"/>
    <w:rsid w:val="00CB77D5"/>
    <w:rsid w:val="00CF5A00"/>
    <w:rsid w:val="00D04379"/>
    <w:rsid w:val="00D33FC2"/>
    <w:rsid w:val="00D80AD7"/>
    <w:rsid w:val="00DB71E1"/>
    <w:rsid w:val="00DE6E79"/>
    <w:rsid w:val="00DF1F98"/>
    <w:rsid w:val="00E14058"/>
    <w:rsid w:val="00E23487"/>
    <w:rsid w:val="00E52ED2"/>
    <w:rsid w:val="00E746F5"/>
    <w:rsid w:val="00E83627"/>
    <w:rsid w:val="00EB1737"/>
    <w:rsid w:val="00F15AD9"/>
    <w:rsid w:val="00F32534"/>
    <w:rsid w:val="00F7584E"/>
    <w:rsid w:val="00F94357"/>
    <w:rsid w:val="00FA27F3"/>
    <w:rsid w:val="00FA42A9"/>
    <w:rsid w:val="00FB733E"/>
    <w:rsid w:val="00FE4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44" w:lineRule="exact"/>
        <w:ind w:left="6" w:right="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02"/>
    <w:rPr>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956"/>
    <w:pPr>
      <w:tabs>
        <w:tab w:val="center" w:pos="4680"/>
        <w:tab w:val="right" w:pos="9360"/>
      </w:tabs>
      <w:spacing w:line="240" w:lineRule="auto"/>
    </w:pPr>
  </w:style>
  <w:style w:type="character" w:customStyle="1" w:styleId="HeaderChar">
    <w:name w:val="Header Char"/>
    <w:basedOn w:val="DefaultParagraphFont"/>
    <w:link w:val="Header"/>
    <w:uiPriority w:val="99"/>
    <w:rsid w:val="00BB0956"/>
    <w:rPr>
      <w:lang w:val="sr-Latn-CS"/>
    </w:rPr>
  </w:style>
  <w:style w:type="paragraph" w:styleId="Footer">
    <w:name w:val="footer"/>
    <w:basedOn w:val="Normal"/>
    <w:link w:val="FooterChar"/>
    <w:uiPriority w:val="99"/>
    <w:semiHidden/>
    <w:unhideWhenUsed/>
    <w:rsid w:val="00BB095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B0956"/>
    <w:rPr>
      <w:lang w:val="sr-Latn-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7</Pages>
  <Words>2358</Words>
  <Characters>13442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Matic</dc:creator>
  <cp:keywords/>
  <dc:description/>
  <cp:lastModifiedBy>Dragan Matic</cp:lastModifiedBy>
  <cp:revision>45</cp:revision>
  <dcterms:created xsi:type="dcterms:W3CDTF">2014-06-03T21:51:00Z</dcterms:created>
  <dcterms:modified xsi:type="dcterms:W3CDTF">2014-06-08T16:07:00Z</dcterms:modified>
</cp:coreProperties>
</file>