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063" w:rsidRDefault="002F5725">
      <w:pPr>
        <w:rPr>
          <w:rFonts w:ascii="Times New Roman" w:hAnsi="Times New Roman" w:cs="Times New Roman"/>
          <w:lang w:val="sr-Latn-RS"/>
        </w:rPr>
      </w:pPr>
      <w:bookmarkStart w:id="0" w:name="_GoBack"/>
      <w:bookmarkEnd w:id="0"/>
      <w:r>
        <w:rPr>
          <w:rFonts w:ascii="Times New Roman" w:hAnsi="Times New Roman" w:cs="Times New Roman"/>
          <w:lang w:val="sr-Latn-RS"/>
        </w:rPr>
        <w:t xml:space="preserve">Fig. 1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3F54CC" wp14:editId="7AA4FFD4">
            <wp:extent cx="3028950" cy="3647986"/>
            <wp:effectExtent l="0" t="0" r="0" b="0"/>
            <wp:docPr id="12" name="Picture 12" descr="C:\Users\User\Pictures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Untitled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897" cy="36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725" w:rsidRDefault="002F5725">
      <w:pPr>
        <w:rPr>
          <w:rFonts w:ascii="Times New Roman" w:hAnsi="Times New Roman" w:cs="Times New Roman"/>
          <w:lang w:val="sr-Latn-RS"/>
        </w:rPr>
      </w:pPr>
    </w:p>
    <w:p w:rsidR="002F5725" w:rsidRDefault="002F5725">
      <w:pPr>
        <w:rPr>
          <w:rFonts w:ascii="Times New Roman" w:hAnsi="Times New Roman" w:cs="Times New Roman"/>
          <w:lang w:val="sr-Latn-RS"/>
        </w:rPr>
      </w:pPr>
    </w:p>
    <w:p w:rsidR="002F5725" w:rsidRDefault="002F5725">
      <w:pPr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lang w:val="sr-Latn-RS"/>
        </w:rPr>
        <w:t xml:space="preserve">Fig. 2        </w:t>
      </w:r>
      <w:r w:rsidRPr="00F510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D2D571" wp14:editId="73531595">
            <wp:extent cx="1038225" cy="1889229"/>
            <wp:effectExtent l="0" t="0" r="0" b="0"/>
            <wp:docPr id="14" name="Picture 14" descr="D:\11062012 acer ferrari\Users\Zlata\Desktop\http---www.citagenix.com-pdf-Osstell_ISQ_Whitebook_1.pdf - Adobe Reade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1062012 acer ferrari\Users\Zlata\Desktop\http---www.citagenix.com-pdf-Osstell_ISQ_Whitebook_1.pdf - Adobe Reader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446" cy="189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725" w:rsidRDefault="002F5725">
      <w:pPr>
        <w:rPr>
          <w:rFonts w:ascii="Times New Roman" w:hAnsi="Times New Roman" w:cs="Times New Roman"/>
          <w:lang w:val="sr-Latn-RS"/>
        </w:rPr>
      </w:pPr>
    </w:p>
    <w:p w:rsidR="002F5725" w:rsidRDefault="002F5725">
      <w:pPr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lang w:val="sr-Latn-RS"/>
        </w:rPr>
        <w:lastRenderedPageBreak/>
        <w:t xml:space="preserve">Fig. 3  </w:t>
      </w:r>
      <w:r w:rsidRPr="00F510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472649" wp14:editId="5194A445">
            <wp:extent cx="2647950" cy="1984898"/>
            <wp:effectExtent l="0" t="0" r="0" b="0"/>
            <wp:docPr id="15" name="Picture 15" descr="C:\Users\User\Pictures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Untitle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913" cy="200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725" w:rsidRDefault="002F5725">
      <w:pPr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lang w:val="sr-Latn-RS"/>
        </w:rPr>
        <w:t xml:space="preserve">Fig. 4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E7936F1" wp14:editId="3B3DA906">
            <wp:extent cx="5943600" cy="3711305"/>
            <wp:effectExtent l="0" t="0" r="19050" b="2286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F5725" w:rsidRDefault="002F5725">
      <w:pPr>
        <w:rPr>
          <w:rFonts w:ascii="Times New Roman" w:hAnsi="Times New Roman" w:cs="Times New Roman"/>
          <w:lang w:val="sr-Latn-RS"/>
        </w:rPr>
      </w:pPr>
    </w:p>
    <w:p w:rsidR="002F5725" w:rsidRDefault="002F5725">
      <w:pPr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lang w:val="sr-Latn-RS"/>
        </w:rPr>
        <w:lastRenderedPageBreak/>
        <w:t xml:space="preserve">Fig. 5 </w:t>
      </w:r>
      <w:r w:rsidRPr="00F510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6C27FE" wp14:editId="45472748">
            <wp:extent cx="5867400" cy="4398196"/>
            <wp:effectExtent l="0" t="0" r="0" b="2540"/>
            <wp:docPr id="2" name="Picture 2" descr="C:\Users\User\Downloads\grafi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grafik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39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725" w:rsidRDefault="002F5725">
      <w:pPr>
        <w:rPr>
          <w:rFonts w:ascii="Times New Roman" w:hAnsi="Times New Roman" w:cs="Times New Roman"/>
          <w:lang w:val="sr-Latn-RS"/>
        </w:rPr>
      </w:pPr>
    </w:p>
    <w:p w:rsidR="002F5725" w:rsidRDefault="002F5725">
      <w:pPr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lang w:val="sr-Latn-RS"/>
        </w:rPr>
        <w:lastRenderedPageBreak/>
        <w:t>Fig.6</w:t>
      </w:r>
      <w:r w:rsidRPr="00F510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3613E4" wp14:editId="62A5BF4F">
            <wp:extent cx="5943600" cy="3412892"/>
            <wp:effectExtent l="0" t="0" r="19050" b="1651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F5725" w:rsidRPr="002F5725" w:rsidRDefault="002F5725">
      <w:pPr>
        <w:rPr>
          <w:rFonts w:ascii="Times New Roman" w:hAnsi="Times New Roman" w:cs="Times New Roman"/>
          <w:lang w:val="sr-Latn-RS"/>
        </w:rPr>
      </w:pPr>
    </w:p>
    <w:sectPr w:rsidR="002F5725" w:rsidRPr="002F57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725"/>
    <w:rsid w:val="00293CE7"/>
    <w:rsid w:val="002F5725"/>
    <w:rsid w:val="00354A45"/>
    <w:rsid w:val="00C229F6"/>
    <w:rsid w:val="00D53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7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7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9362839797309607E-2"/>
          <c:y val="5.2290699843424097E-2"/>
          <c:w val="0.73957119595551435"/>
          <c:h val="0.865996392778552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BONE QUALITY 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 w="0" h="0"/>
            </a:sp3d>
          </c:spPr>
          <c:invertIfNegative val="0"/>
          <c:cat>
            <c:strRef>
              <c:f>Sheet1!$A$2:$A$4</c:f>
              <c:strCache>
                <c:ptCount val="3"/>
                <c:pt idx="0">
                  <c:v>PLACEMENT</c:v>
                </c:pt>
                <c:pt idx="1">
                  <c:v>ABUTMENT</c:v>
                </c:pt>
                <c:pt idx="2">
                  <c:v>ONE YEAR 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90</c:v>
                </c:pt>
                <c:pt idx="1">
                  <c:v>88</c:v>
                </c:pt>
                <c:pt idx="2">
                  <c:v>85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BONE QUALITY 2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Sheet1!$A$2:$A$4</c:f>
              <c:strCache>
                <c:ptCount val="3"/>
                <c:pt idx="0">
                  <c:v>PLACEMENT</c:v>
                </c:pt>
                <c:pt idx="1">
                  <c:v>ABUTMENT</c:v>
                </c:pt>
                <c:pt idx="2">
                  <c:v>ONE YEAR 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85</c:v>
                </c:pt>
                <c:pt idx="1">
                  <c:v>85</c:v>
                </c:pt>
                <c:pt idx="2">
                  <c:v>90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BONE QUALITY 3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Sheet1!$A$2:$A$4</c:f>
              <c:strCache>
                <c:ptCount val="3"/>
                <c:pt idx="0">
                  <c:v>PLACEMENT</c:v>
                </c:pt>
                <c:pt idx="1">
                  <c:v>ABUTMENT</c:v>
                </c:pt>
                <c:pt idx="2">
                  <c:v>ONE YEAR 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80</c:v>
                </c:pt>
                <c:pt idx="1">
                  <c:v>80</c:v>
                </c:pt>
                <c:pt idx="2">
                  <c:v>78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BONE QUALITY 4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Sheet1!$A$2:$A$4</c:f>
              <c:strCache>
                <c:ptCount val="3"/>
                <c:pt idx="0">
                  <c:v>PLACEMENT</c:v>
                </c:pt>
                <c:pt idx="1">
                  <c:v>ABUTMENT</c:v>
                </c:pt>
                <c:pt idx="2">
                  <c:v>ONE YEAR 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58</c:v>
                </c:pt>
                <c:pt idx="1">
                  <c:v>78</c:v>
                </c:pt>
                <c:pt idx="2">
                  <c:v>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5438976"/>
        <c:axId val="125457152"/>
      </c:barChart>
      <c:catAx>
        <c:axId val="125438976"/>
        <c:scaling>
          <c:orientation val="minMax"/>
        </c:scaling>
        <c:delete val="0"/>
        <c:axPos val="b"/>
        <c:majorTickMark val="out"/>
        <c:minorTickMark val="none"/>
        <c:tickLblPos val="nextTo"/>
        <c:crossAx val="125457152"/>
        <c:crosses val="autoZero"/>
        <c:auto val="1"/>
        <c:lblAlgn val="ctr"/>
        <c:lblOffset val="100"/>
        <c:noMultiLvlLbl val="0"/>
      </c:catAx>
      <c:valAx>
        <c:axId val="125457152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5438976"/>
        <c:crosses val="autoZero"/>
        <c:crossBetween val="between"/>
        <c:majorUnit val="10"/>
        <c:minorUnit val="1"/>
      </c:valAx>
    </c:plotArea>
    <c:legend>
      <c:legendPos val="r"/>
      <c:layout>
        <c:manualLayout>
          <c:xMode val="edge"/>
          <c:yMode val="edge"/>
          <c:x val="0.83145091501995905"/>
          <c:y val="1.0762419523356466E-2"/>
          <c:w val="0.16854904980181457"/>
          <c:h val="0.24439796847897977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835338291046958E-2"/>
          <c:y val="0.14316491688538932"/>
          <c:w val="0.76184948235637218"/>
          <c:h val="0.7574237595300586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primary stability old bone</c:v>
                </c:pt>
              </c:strCache>
            </c:strRef>
          </c:tx>
          <c:marker>
            <c:symbol val="none"/>
          </c:marker>
          <c:xVal>
            <c:numRef>
              <c:f>Sheet1!$A$2:$A$26</c:f>
              <c:numCache>
                <c:formatCode>General</c:formatCode>
                <c:ptCount val="25"/>
                <c:pt idx="2">
                  <c:v>0</c:v>
                </c:pt>
                <c:pt idx="3">
                  <c:v>0.5</c:v>
                </c:pt>
                <c:pt idx="4">
                  <c:v>1</c:v>
                </c:pt>
                <c:pt idx="5">
                  <c:v>1.5</c:v>
                </c:pt>
                <c:pt idx="6">
                  <c:v>2</c:v>
                </c:pt>
                <c:pt idx="7">
                  <c:v>2.5</c:v>
                </c:pt>
                <c:pt idx="8">
                  <c:v>3</c:v>
                </c:pt>
                <c:pt idx="9">
                  <c:v>3.5</c:v>
                </c:pt>
                <c:pt idx="10">
                  <c:v>4</c:v>
                </c:pt>
                <c:pt idx="11">
                  <c:v>4.5</c:v>
                </c:pt>
                <c:pt idx="12">
                  <c:v>5</c:v>
                </c:pt>
                <c:pt idx="13">
                  <c:v>5.5</c:v>
                </c:pt>
                <c:pt idx="14">
                  <c:v>6</c:v>
                </c:pt>
                <c:pt idx="15">
                  <c:v>6.5</c:v>
                </c:pt>
                <c:pt idx="16">
                  <c:v>7</c:v>
                </c:pt>
                <c:pt idx="17">
                  <c:v>7.5</c:v>
                </c:pt>
                <c:pt idx="18">
                  <c:v>8</c:v>
                </c:pt>
                <c:pt idx="19">
                  <c:v>8.5</c:v>
                </c:pt>
                <c:pt idx="20">
                  <c:v>9</c:v>
                </c:pt>
                <c:pt idx="21">
                  <c:v>9.5</c:v>
                </c:pt>
                <c:pt idx="22">
                  <c:v>10</c:v>
                </c:pt>
              </c:numCache>
            </c:numRef>
          </c:xVal>
          <c:yVal>
            <c:numRef>
              <c:f>Sheet1!$B$2:$B$26</c:f>
              <c:numCache>
                <c:formatCode>General</c:formatCode>
                <c:ptCount val="25"/>
                <c:pt idx="2">
                  <c:v>90</c:v>
                </c:pt>
                <c:pt idx="3">
                  <c:v>90</c:v>
                </c:pt>
                <c:pt idx="4">
                  <c:v>90</c:v>
                </c:pt>
                <c:pt idx="5">
                  <c:v>88</c:v>
                </c:pt>
                <c:pt idx="6">
                  <c:v>80</c:v>
                </c:pt>
                <c:pt idx="7">
                  <c:v>45</c:v>
                </c:pt>
                <c:pt idx="8">
                  <c:v>25</c:v>
                </c:pt>
                <c:pt idx="9">
                  <c:v>15</c:v>
                </c:pt>
                <c:pt idx="10">
                  <c:v>8</c:v>
                </c:pt>
                <c:pt idx="11">
                  <c:v>6</c:v>
                </c:pt>
                <c:pt idx="12">
                  <c:v>5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  <c:pt idx="16">
                  <c:v>5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>
                  <c:v>5</c:v>
                </c:pt>
                <c:pt idx="24">
                  <c:v>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secondary stability new bone </c:v>
                </c:pt>
              </c:strCache>
            </c:strRef>
          </c:tx>
          <c:spPr>
            <a:ln>
              <a:prstDash val="lgDash"/>
            </a:ln>
          </c:spPr>
          <c:marker>
            <c:symbol val="none"/>
          </c:marker>
          <c:xVal>
            <c:numRef>
              <c:f>Sheet1!$A$2:$A$26</c:f>
              <c:numCache>
                <c:formatCode>General</c:formatCode>
                <c:ptCount val="25"/>
                <c:pt idx="2">
                  <c:v>0</c:v>
                </c:pt>
                <c:pt idx="3">
                  <c:v>0.5</c:v>
                </c:pt>
                <c:pt idx="4">
                  <c:v>1</c:v>
                </c:pt>
                <c:pt idx="5">
                  <c:v>1.5</c:v>
                </c:pt>
                <c:pt idx="6">
                  <c:v>2</c:v>
                </c:pt>
                <c:pt idx="7">
                  <c:v>2.5</c:v>
                </c:pt>
                <c:pt idx="8">
                  <c:v>3</c:v>
                </c:pt>
                <c:pt idx="9">
                  <c:v>3.5</c:v>
                </c:pt>
                <c:pt idx="10">
                  <c:v>4</c:v>
                </c:pt>
                <c:pt idx="11">
                  <c:v>4.5</c:v>
                </c:pt>
                <c:pt idx="12">
                  <c:v>5</c:v>
                </c:pt>
                <c:pt idx="13">
                  <c:v>5.5</c:v>
                </c:pt>
                <c:pt idx="14">
                  <c:v>6</c:v>
                </c:pt>
                <c:pt idx="15">
                  <c:v>6.5</c:v>
                </c:pt>
                <c:pt idx="16">
                  <c:v>7</c:v>
                </c:pt>
                <c:pt idx="17">
                  <c:v>7.5</c:v>
                </c:pt>
                <c:pt idx="18">
                  <c:v>8</c:v>
                </c:pt>
                <c:pt idx="19">
                  <c:v>8.5</c:v>
                </c:pt>
                <c:pt idx="20">
                  <c:v>9</c:v>
                </c:pt>
                <c:pt idx="21">
                  <c:v>9.5</c:v>
                </c:pt>
                <c:pt idx="22">
                  <c:v>10</c:v>
                </c:pt>
              </c:numCache>
            </c:numRef>
          </c:xVal>
          <c:yVal>
            <c:numRef>
              <c:f>Sheet1!$C$2:$C$26</c:f>
              <c:numCache>
                <c:formatCode>General</c:formatCode>
                <c:ptCount val="2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6</c:v>
                </c:pt>
                <c:pt idx="4">
                  <c:v>8</c:v>
                </c:pt>
                <c:pt idx="5">
                  <c:v>15</c:v>
                </c:pt>
                <c:pt idx="6">
                  <c:v>25</c:v>
                </c:pt>
                <c:pt idx="7">
                  <c:v>45</c:v>
                </c:pt>
                <c:pt idx="8">
                  <c:v>70</c:v>
                </c:pt>
                <c:pt idx="9">
                  <c:v>86</c:v>
                </c:pt>
                <c:pt idx="10">
                  <c:v>90</c:v>
                </c:pt>
                <c:pt idx="11">
                  <c:v>90</c:v>
                </c:pt>
                <c:pt idx="12">
                  <c:v>90</c:v>
                </c:pt>
                <c:pt idx="13">
                  <c:v>90</c:v>
                </c:pt>
                <c:pt idx="14">
                  <c:v>90</c:v>
                </c:pt>
                <c:pt idx="15">
                  <c:v>90</c:v>
                </c:pt>
                <c:pt idx="16">
                  <c:v>90</c:v>
                </c:pt>
                <c:pt idx="17">
                  <c:v>90</c:v>
                </c:pt>
                <c:pt idx="18">
                  <c:v>90</c:v>
                </c:pt>
                <c:pt idx="19">
                  <c:v>90</c:v>
                </c:pt>
                <c:pt idx="20">
                  <c:v>90</c:v>
                </c:pt>
                <c:pt idx="21">
                  <c:v>90</c:v>
                </c:pt>
                <c:pt idx="22">
                  <c:v>90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DIP period total stability </c:v>
                </c:pt>
              </c:strCache>
            </c:strRef>
          </c:tx>
          <c:spPr>
            <a:ln cap="sq">
              <a:prstDash val="solid"/>
              <a:bevel/>
            </a:ln>
            <a:effectLst>
              <a:glow>
                <a:schemeClr val="accent3">
                  <a:lumMod val="60000"/>
                  <a:lumOff val="40000"/>
                  <a:alpha val="0"/>
                </a:schemeClr>
              </a:glow>
            </a:effectLst>
          </c:spPr>
          <c:marker>
            <c:symbol val="none"/>
          </c:marker>
          <c:xVal>
            <c:numRef>
              <c:f>Sheet1!$A$2:$A$26</c:f>
              <c:numCache>
                <c:formatCode>General</c:formatCode>
                <c:ptCount val="25"/>
                <c:pt idx="2">
                  <c:v>0</c:v>
                </c:pt>
                <c:pt idx="3">
                  <c:v>0.5</c:v>
                </c:pt>
                <c:pt idx="4">
                  <c:v>1</c:v>
                </c:pt>
                <c:pt idx="5">
                  <c:v>1.5</c:v>
                </c:pt>
                <c:pt idx="6">
                  <c:v>2</c:v>
                </c:pt>
                <c:pt idx="7">
                  <c:v>2.5</c:v>
                </c:pt>
                <c:pt idx="8">
                  <c:v>3</c:v>
                </c:pt>
                <c:pt idx="9">
                  <c:v>3.5</c:v>
                </c:pt>
                <c:pt idx="10">
                  <c:v>4</c:v>
                </c:pt>
                <c:pt idx="11">
                  <c:v>4.5</c:v>
                </c:pt>
                <c:pt idx="12">
                  <c:v>5</c:v>
                </c:pt>
                <c:pt idx="13">
                  <c:v>5.5</c:v>
                </c:pt>
                <c:pt idx="14">
                  <c:v>6</c:v>
                </c:pt>
                <c:pt idx="15">
                  <c:v>6.5</c:v>
                </c:pt>
                <c:pt idx="16">
                  <c:v>7</c:v>
                </c:pt>
                <c:pt idx="17">
                  <c:v>7.5</c:v>
                </c:pt>
                <c:pt idx="18">
                  <c:v>8</c:v>
                </c:pt>
                <c:pt idx="19">
                  <c:v>8.5</c:v>
                </c:pt>
                <c:pt idx="20">
                  <c:v>9</c:v>
                </c:pt>
                <c:pt idx="21">
                  <c:v>9.5</c:v>
                </c:pt>
                <c:pt idx="22">
                  <c:v>10</c:v>
                </c:pt>
              </c:numCache>
            </c:numRef>
          </c:xVal>
          <c:yVal>
            <c:numRef>
              <c:f>Sheet1!$D$2:$D$26</c:f>
              <c:numCache>
                <c:formatCode>General</c:formatCode>
                <c:ptCount val="25"/>
                <c:pt idx="2">
                  <c:v>95</c:v>
                </c:pt>
                <c:pt idx="3">
                  <c:v>95</c:v>
                </c:pt>
                <c:pt idx="4">
                  <c:v>95</c:v>
                </c:pt>
                <c:pt idx="5">
                  <c:v>93</c:v>
                </c:pt>
                <c:pt idx="6">
                  <c:v>85</c:v>
                </c:pt>
                <c:pt idx="7">
                  <c:v>70</c:v>
                </c:pt>
                <c:pt idx="8">
                  <c:v>85</c:v>
                </c:pt>
                <c:pt idx="9">
                  <c:v>93</c:v>
                </c:pt>
                <c:pt idx="10">
                  <c:v>95</c:v>
                </c:pt>
                <c:pt idx="11">
                  <c:v>95</c:v>
                </c:pt>
                <c:pt idx="12">
                  <c:v>95</c:v>
                </c:pt>
                <c:pt idx="13">
                  <c:v>95</c:v>
                </c:pt>
                <c:pt idx="14">
                  <c:v>95</c:v>
                </c:pt>
                <c:pt idx="15">
                  <c:v>95</c:v>
                </c:pt>
                <c:pt idx="16">
                  <c:v>95</c:v>
                </c:pt>
                <c:pt idx="17">
                  <c:v>95</c:v>
                </c:pt>
                <c:pt idx="18">
                  <c:v>95</c:v>
                </c:pt>
                <c:pt idx="19">
                  <c:v>95</c:v>
                </c:pt>
                <c:pt idx="20">
                  <c:v>95</c:v>
                </c:pt>
                <c:pt idx="21">
                  <c:v>95</c:v>
                </c:pt>
                <c:pt idx="22">
                  <c:v>95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5096192"/>
        <c:axId val="175097728"/>
      </c:scatterChart>
      <c:valAx>
        <c:axId val="175096192"/>
        <c:scaling>
          <c:orientation val="minMax"/>
          <c:max val="10"/>
          <c:min val="0"/>
        </c:scaling>
        <c:delete val="0"/>
        <c:axPos val="b"/>
        <c:numFmt formatCode="General" sourceLinked="1"/>
        <c:majorTickMark val="out"/>
        <c:minorTickMark val="none"/>
        <c:tickLblPos val="nextTo"/>
        <c:crossAx val="175097728"/>
        <c:crosses val="autoZero"/>
        <c:crossBetween val="midCat"/>
        <c:majorUnit val="1"/>
        <c:minorUnit val="1"/>
      </c:valAx>
      <c:valAx>
        <c:axId val="175097728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5096192"/>
        <c:crosses val="autoZero"/>
        <c:crossBetween val="midCat"/>
        <c:majorUnit val="10"/>
      </c:valAx>
    </c:plotArea>
    <c:legend>
      <c:legendPos val="r"/>
      <c:layout>
        <c:manualLayout>
          <c:xMode val="edge"/>
          <c:yMode val="edge"/>
          <c:x val="0.52178941354728137"/>
          <c:y val="0.3927862350539516"/>
          <c:w val="0.34059685199900469"/>
          <c:h val="0.20092125984251968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0.13168</cdr:y>
    </cdr:from>
    <cdr:to>
      <cdr:x>0.02609</cdr:x>
      <cdr:y>0.86211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0" y="421419"/>
          <a:ext cx="143124" cy="23376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</cdr:x>
      <cdr:y>0.02785</cdr:y>
    </cdr:from>
    <cdr:to>
      <cdr:x>0.03668</cdr:x>
      <cdr:y>0.86325</cdr:y>
    </cdr:to>
    <cdr:sp macro="" textlink="">
      <cdr:nvSpPr>
        <cdr:cNvPr id="3" name="Text Box 2"/>
        <cdr:cNvSpPr txBox="1"/>
      </cdr:nvSpPr>
      <cdr:spPr>
        <a:xfrm xmlns:a="http://schemas.openxmlformats.org/drawingml/2006/main" rot="16200000">
          <a:off x="-1995777" y="1407384"/>
          <a:ext cx="2862470" cy="2385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sr-Latn-RS" sz="1100"/>
            <a:t>                            IMPLANT STABILITY ISQ</a:t>
          </a:r>
          <a:endParaRPr lang="en-US" sz="1100"/>
        </a:p>
      </cdr:txBody>
    </cdr:sp>
  </cdr:relSizeAnchor>
  <cdr:relSizeAnchor xmlns:cdr="http://schemas.openxmlformats.org/drawingml/2006/chartDrawing">
    <cdr:from>
      <cdr:x>0.83869</cdr:x>
      <cdr:y>0.25368</cdr:y>
    </cdr:from>
    <cdr:to>
      <cdr:x>0.98907</cdr:x>
      <cdr:y>0.74796</cdr:y>
    </cdr:to>
    <cdr:sp macro="" textlink="">
      <cdr:nvSpPr>
        <cdr:cNvPr id="4" name="Text Box 3"/>
        <cdr:cNvSpPr txBox="1"/>
      </cdr:nvSpPr>
      <cdr:spPr>
        <a:xfrm xmlns:a="http://schemas.openxmlformats.org/drawingml/2006/main">
          <a:off x="5448204" y="1018561"/>
          <a:ext cx="976864" cy="198458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sr-Latn-RS" sz="1100"/>
            <a:t>immediate</a:t>
          </a:r>
          <a:r>
            <a:rPr lang="sr-Latn-RS" sz="1100" baseline="0"/>
            <a:t> loading</a:t>
          </a:r>
        </a:p>
        <a:p xmlns:a="http://schemas.openxmlformats.org/drawingml/2006/main">
          <a:endParaRPr lang="sr-Latn-RS" sz="1100"/>
        </a:p>
        <a:p xmlns:a="http://schemas.openxmlformats.org/drawingml/2006/main">
          <a:endParaRPr lang="sr-Latn-RS" sz="1100"/>
        </a:p>
        <a:p xmlns:a="http://schemas.openxmlformats.org/drawingml/2006/main">
          <a:r>
            <a:rPr lang="sr-Latn-RS" sz="1100"/>
            <a:t>healing time</a:t>
          </a:r>
        </a:p>
        <a:p xmlns:a="http://schemas.openxmlformats.org/drawingml/2006/main">
          <a:endParaRPr lang="sr-Latn-RS" sz="1100"/>
        </a:p>
        <a:p xmlns:a="http://schemas.openxmlformats.org/drawingml/2006/main">
          <a:endParaRPr lang="sr-Latn-RS" sz="1100"/>
        </a:p>
        <a:p xmlns:a="http://schemas.openxmlformats.org/drawingml/2006/main">
          <a:r>
            <a:rPr lang="sr-Latn-RS" sz="1100"/>
            <a:t>consider actions</a:t>
          </a:r>
          <a:endParaRPr lang="en-US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0.13783</cdr:x>
      <cdr:y>0.93889</cdr:y>
    </cdr:from>
    <cdr:to>
      <cdr:x>0.51914</cdr:x>
      <cdr:y>1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857250" y="3362325"/>
          <a:ext cx="237172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0.34709</cdr:x>
      <cdr:y>0.94517</cdr:y>
    </cdr:from>
    <cdr:to>
      <cdr:x>0.72018</cdr:x>
      <cdr:y>1</cdr:y>
    </cdr:to>
    <cdr:sp macro="" textlink="">
      <cdr:nvSpPr>
        <cdr:cNvPr id="3" name="Text Box 2"/>
        <cdr:cNvSpPr txBox="1"/>
      </cdr:nvSpPr>
      <cdr:spPr>
        <a:xfrm xmlns:a="http://schemas.openxmlformats.org/drawingml/2006/main">
          <a:off x="2162175" y="3448050"/>
          <a:ext cx="2324100" cy="200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sr-Latn-RS" sz="1100"/>
            <a:t>time</a:t>
          </a:r>
          <a:r>
            <a:rPr lang="sr-Latn-RS" sz="1100" baseline="0"/>
            <a:t> in weeks</a:t>
          </a:r>
          <a:endParaRPr lang="en-US" sz="1100"/>
        </a:p>
      </cdr:txBody>
    </cdr:sp>
  </cdr:relSizeAnchor>
  <cdr:relSizeAnchor xmlns:cdr="http://schemas.openxmlformats.org/drawingml/2006/chartDrawing">
    <cdr:from>
      <cdr:x>0</cdr:x>
      <cdr:y>0.22454</cdr:y>
    </cdr:from>
    <cdr:to>
      <cdr:x>0.0072</cdr:x>
      <cdr:y>1</cdr:y>
    </cdr:to>
    <cdr:sp macro="" textlink="">
      <cdr:nvSpPr>
        <cdr:cNvPr id="4" name="Text Box 3"/>
        <cdr:cNvSpPr txBox="1"/>
      </cdr:nvSpPr>
      <cdr:spPr>
        <a:xfrm xmlns:a="http://schemas.openxmlformats.org/drawingml/2006/main">
          <a:off x="0" y="819150"/>
          <a:ext cx="45719" cy="28289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sr-Latn-RS" sz="1100"/>
            <a:t>ISQ</a:t>
          </a:r>
        </a:p>
        <a:p xmlns:a="http://schemas.openxmlformats.org/drawingml/2006/main">
          <a:r>
            <a:rPr lang="sr-Latn-RS" sz="1100"/>
            <a:t>values</a:t>
          </a:r>
          <a:endParaRPr lang="en-US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2013-08-01T15:36:00Z</dcterms:created>
  <dcterms:modified xsi:type="dcterms:W3CDTF">2013-08-01T15:36:00Z</dcterms:modified>
</cp:coreProperties>
</file>