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53" w:rsidRPr="006D2477" w:rsidRDefault="003E1A53" w:rsidP="003E1A53">
      <w:pPr>
        <w:spacing w:line="480" w:lineRule="auto"/>
        <w:jc w:val="right"/>
      </w:pPr>
      <w:r w:rsidRPr="006D2477">
        <w:t>Table 2</w:t>
      </w:r>
      <w:r>
        <w:t>.</w:t>
      </w:r>
    </w:p>
    <w:p w:rsidR="003E1A53" w:rsidRDefault="003E1A53" w:rsidP="003E1A53">
      <w:pPr>
        <w:spacing w:line="480" w:lineRule="auto"/>
        <w:jc w:val="right"/>
      </w:pPr>
      <w:r w:rsidRPr="006D2477">
        <w:t>Leiomyoma subclassification system</w:t>
      </w:r>
    </w:p>
    <w:p w:rsidR="003E1A53" w:rsidRDefault="003E1A53" w:rsidP="003E1A53">
      <w:pPr>
        <w:spacing w:line="480" w:lineRule="auto"/>
      </w:pPr>
    </w:p>
    <w:p w:rsidR="003E1A53" w:rsidRDefault="003E1A53" w:rsidP="003E1A53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944"/>
        <w:gridCol w:w="4530"/>
      </w:tblGrid>
      <w:tr w:rsidR="003E1A53" w:rsidTr="004A0D74">
        <w:tc>
          <w:tcPr>
            <w:tcW w:w="2737" w:type="dxa"/>
            <w:vMerge w:val="restart"/>
          </w:tcPr>
          <w:p w:rsidR="003E1A53" w:rsidRPr="00A85083" w:rsidRDefault="003E1A53" w:rsidP="003E1A53">
            <w:pPr>
              <w:spacing w:line="480" w:lineRule="auto"/>
              <w:rPr>
                <w:b/>
              </w:rPr>
            </w:pPr>
            <w:bookmarkStart w:id="0" w:name="_GoBack"/>
            <w:bookmarkEnd w:id="0"/>
            <w:r w:rsidRPr="00A85083">
              <w:rPr>
                <w:b/>
              </w:rPr>
              <w:t>SM-Submucosal</w:t>
            </w: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0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Pedunculated intracavitary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˂50% intramural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≥50% intramural</w:t>
            </w:r>
          </w:p>
        </w:tc>
      </w:tr>
      <w:tr w:rsidR="003E1A53" w:rsidTr="004A0D74">
        <w:tc>
          <w:tcPr>
            <w:tcW w:w="2737" w:type="dxa"/>
            <w:vMerge w:val="restart"/>
          </w:tcPr>
          <w:p w:rsidR="003E1A53" w:rsidRPr="00A85083" w:rsidRDefault="003E1A53" w:rsidP="003E1A53">
            <w:pPr>
              <w:spacing w:line="480" w:lineRule="auto"/>
              <w:rPr>
                <w:b/>
              </w:rPr>
            </w:pPr>
            <w:r w:rsidRPr="00A85083">
              <w:rPr>
                <w:b/>
              </w:rPr>
              <w:t>O-Other</w:t>
            </w: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Contacts endometrium, 100% intramural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Intramural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Subserosal ≥50% intramural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Subserosal ˂50% intramural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Subserosal pedunculated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Other (specify e.g. cervical, parasitic)</w:t>
            </w:r>
          </w:p>
        </w:tc>
      </w:tr>
      <w:tr w:rsidR="003E1A53" w:rsidTr="004A0D74">
        <w:tc>
          <w:tcPr>
            <w:tcW w:w="2737" w:type="dxa"/>
            <w:vMerge w:val="restart"/>
          </w:tcPr>
          <w:p w:rsidR="003E1A53" w:rsidRDefault="003E1A53" w:rsidP="003E1A53">
            <w:pPr>
              <w:spacing w:line="480" w:lineRule="auto"/>
              <w:rPr>
                <w:b/>
              </w:rPr>
            </w:pPr>
          </w:p>
          <w:p w:rsidR="003E1A53" w:rsidRDefault="003E1A53" w:rsidP="003E1A53">
            <w:pPr>
              <w:spacing w:line="480" w:lineRule="auto"/>
              <w:rPr>
                <w:b/>
              </w:rPr>
            </w:pPr>
          </w:p>
          <w:p w:rsidR="003E1A53" w:rsidRPr="00A85083" w:rsidRDefault="003E1A53" w:rsidP="003E1A53">
            <w:pPr>
              <w:spacing w:line="480" w:lineRule="auto"/>
              <w:rPr>
                <w:b/>
              </w:rPr>
            </w:pPr>
            <w:r w:rsidRPr="00A85083">
              <w:rPr>
                <w:b/>
              </w:rPr>
              <w:t>Hybrid leiomyomas</w:t>
            </w:r>
          </w:p>
          <w:p w:rsidR="003E1A53" w:rsidRDefault="003E1A53" w:rsidP="003E1A53">
            <w:pPr>
              <w:spacing w:line="480" w:lineRule="auto"/>
            </w:pPr>
            <w:r>
              <w:t>(impact both endometrium and serosa)</w:t>
            </w:r>
          </w:p>
        </w:tc>
        <w:tc>
          <w:tcPr>
            <w:tcW w:w="5474" w:type="dxa"/>
            <w:gridSpan w:val="2"/>
          </w:tcPr>
          <w:p w:rsidR="003E1A53" w:rsidRDefault="003E1A53" w:rsidP="003E1A53">
            <w:pPr>
              <w:spacing w:line="480" w:lineRule="auto"/>
            </w:pPr>
            <w:r>
              <w:t>Two numbers are listed separated by a hyphen. By convention, the first refers to the relationship with the endometrium while the second refers to the relationship to the serosa. One example is below</w:t>
            </w:r>
          </w:p>
        </w:tc>
      </w:tr>
      <w:tr w:rsidR="003E1A53" w:rsidTr="004A0D74">
        <w:tc>
          <w:tcPr>
            <w:tcW w:w="2737" w:type="dxa"/>
            <w:vMerge/>
          </w:tcPr>
          <w:p w:rsidR="003E1A53" w:rsidRDefault="003E1A53" w:rsidP="003E1A53">
            <w:pPr>
              <w:spacing w:line="480" w:lineRule="auto"/>
            </w:pPr>
          </w:p>
        </w:tc>
        <w:tc>
          <w:tcPr>
            <w:tcW w:w="944" w:type="dxa"/>
          </w:tcPr>
          <w:p w:rsidR="003E1A53" w:rsidRDefault="003E1A53" w:rsidP="003E1A53">
            <w:pPr>
              <w:spacing w:line="480" w:lineRule="auto"/>
              <w:jc w:val="center"/>
            </w:pPr>
            <w:r>
              <w:t>2-5</w:t>
            </w:r>
          </w:p>
        </w:tc>
        <w:tc>
          <w:tcPr>
            <w:tcW w:w="4530" w:type="dxa"/>
          </w:tcPr>
          <w:p w:rsidR="003E1A53" w:rsidRDefault="003E1A53" w:rsidP="003E1A53">
            <w:pPr>
              <w:spacing w:line="480" w:lineRule="auto"/>
            </w:pPr>
            <w:r>
              <w:t>Submucosal and subserosal, each with less than half the diameter in the endometrial and peritoneal cavities, respectively.</w:t>
            </w:r>
          </w:p>
        </w:tc>
      </w:tr>
    </w:tbl>
    <w:p w:rsidR="003E1A53" w:rsidRPr="006D2477" w:rsidRDefault="003E1A53" w:rsidP="003E1A53">
      <w:pPr>
        <w:spacing w:line="480" w:lineRule="auto"/>
      </w:pPr>
    </w:p>
    <w:p w:rsidR="003E1A53" w:rsidRPr="006D2477" w:rsidRDefault="003E1A53" w:rsidP="003E1A53">
      <w:pPr>
        <w:spacing w:line="480" w:lineRule="auto"/>
      </w:pPr>
    </w:p>
    <w:p w:rsidR="00C32FB6" w:rsidRDefault="00C32FB6" w:rsidP="003E1A53">
      <w:pPr>
        <w:spacing w:line="480" w:lineRule="auto"/>
      </w:pPr>
    </w:p>
    <w:sectPr w:rsidR="00C3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53"/>
    <w:rsid w:val="003E1A53"/>
    <w:rsid w:val="00C3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870DE-0514-4810-919E-D5270FAC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A5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cp:keywords/>
  <dc:description/>
  <cp:lastModifiedBy>Radmila</cp:lastModifiedBy>
  <cp:revision>1</cp:revision>
  <dcterms:created xsi:type="dcterms:W3CDTF">2016-07-08T10:56:00Z</dcterms:created>
  <dcterms:modified xsi:type="dcterms:W3CDTF">2016-07-08T10:56:00Z</dcterms:modified>
</cp:coreProperties>
</file>