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4DF" w:rsidRPr="005B5BA0" w:rsidRDefault="005B5BA0" w:rsidP="005B5BA0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5B5BA0">
        <w:rPr>
          <w:rFonts w:ascii="Times New Roman" w:hAnsi="Times New Roman" w:cs="Times New Roman"/>
          <w:sz w:val="24"/>
          <w:szCs w:val="24"/>
          <w:lang w:val="sr-Latn-RS"/>
        </w:rPr>
        <w:t>Zahvaljujemo Vam se na vremenu i trudu koje ste uložili na čitanje i analizu našeg rukopisa.</w:t>
      </w:r>
    </w:p>
    <w:p w:rsidR="005B5BA0" w:rsidRPr="005B5BA0" w:rsidRDefault="005B5BA0" w:rsidP="005B5BA0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5B5BA0">
        <w:rPr>
          <w:rFonts w:ascii="Times New Roman" w:hAnsi="Times New Roman" w:cs="Times New Roman"/>
          <w:sz w:val="24"/>
          <w:szCs w:val="24"/>
          <w:lang w:val="sr-Latn-RS"/>
        </w:rPr>
        <w:t>Ne slažemo se da ovaj rad ne zaslužuje da bude objavljen. U nama dostupnoj literaturi nismo naišli ni na jedan članak u kome je analizirana sanacija koštanog defekta korišćenjem različitih regenerativnih materijala, jednovremeno, istom hiruškom tehnikom na kontralateralnim zubima iste osobe. Zbog toga smatramo da ovaj rad pruža dobar uvid u prednosti korišćenja ovih regenerativnih materijala, ali se slažemo da je potrebno istu studiju uraditi na većem broju pacijenata kako bi rezultati bili validniji.</w:t>
      </w:r>
      <w:bookmarkStart w:id="0" w:name="_GoBack"/>
      <w:bookmarkEnd w:id="0"/>
    </w:p>
    <w:sectPr w:rsidR="005B5BA0" w:rsidRPr="005B5B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52D"/>
    <w:rsid w:val="00304160"/>
    <w:rsid w:val="00304F3E"/>
    <w:rsid w:val="003204DF"/>
    <w:rsid w:val="00496A90"/>
    <w:rsid w:val="005B5BA0"/>
    <w:rsid w:val="00A70485"/>
    <w:rsid w:val="00F7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Nemanja</dc:creator>
  <cp:keywords/>
  <dc:description/>
  <cp:lastModifiedBy>Nemanja</cp:lastModifiedBy>
  <cp:revision>2</cp:revision>
  <dcterms:created xsi:type="dcterms:W3CDTF">2016-03-21T13:42:00Z</dcterms:created>
  <dcterms:modified xsi:type="dcterms:W3CDTF">2016-03-21T13:51:00Z</dcterms:modified>
</cp:coreProperties>
</file>