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9C0" w:rsidRPr="000C3A24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C3A24">
        <w:rPr>
          <w:rFonts w:ascii="Times New Roman" w:eastAsia="Times New Roman" w:hAnsi="Times New Roman"/>
          <w:b/>
          <w:color w:val="000000"/>
          <w:sz w:val="24"/>
          <w:szCs w:val="24"/>
        </w:rPr>
        <w:t>Table 1. Characteristics of VAP patients at ICU admission</w:t>
      </w:r>
    </w:p>
    <w:tbl>
      <w:tblPr>
        <w:tblW w:w="6629" w:type="dxa"/>
        <w:tblLook w:val="04A0" w:firstRow="1" w:lastRow="0" w:firstColumn="1" w:lastColumn="0" w:noHBand="0" w:noVBand="1"/>
      </w:tblPr>
      <w:tblGrid>
        <w:gridCol w:w="5070"/>
        <w:gridCol w:w="1559"/>
      </w:tblGrid>
      <w:tr w:rsidR="003479C0" w:rsidRPr="003C74B2" w:rsidTr="00E921E0">
        <w:tc>
          <w:tcPr>
            <w:tcW w:w="5070" w:type="dxa"/>
            <w:shd w:val="clear" w:color="auto" w:fill="auto"/>
          </w:tcPr>
          <w:p w:rsidR="003479C0" w:rsidRPr="003C74B2" w:rsidRDefault="003479C0" w:rsidP="00E921E0">
            <w:pPr>
              <w:pStyle w:val="Pa15"/>
              <w:spacing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Style w:val="A6"/>
                <w:rFonts w:ascii="Times New Roman" w:eastAsia="Times New Roman" w:hAnsi="Times New Roman"/>
                <w:b/>
              </w:rPr>
              <w:t>Number of patients, n</w:t>
            </w:r>
          </w:p>
        </w:tc>
        <w:tc>
          <w:tcPr>
            <w:tcW w:w="155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122 </w:t>
            </w:r>
          </w:p>
        </w:tc>
      </w:tr>
      <w:tr w:rsidR="003479C0" w:rsidRPr="003C74B2" w:rsidTr="00E921E0">
        <w:tc>
          <w:tcPr>
            <w:tcW w:w="507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Age, mean ± SD</w:t>
            </w:r>
          </w:p>
        </w:tc>
        <w:tc>
          <w:tcPr>
            <w:tcW w:w="1559" w:type="dxa"/>
            <w:shd w:val="clear" w:color="auto" w:fill="auto"/>
          </w:tcPr>
          <w:p w:rsidR="003479C0" w:rsidRPr="003C74B2" w:rsidRDefault="003479C0" w:rsidP="00E921E0">
            <w:pPr>
              <w:tabs>
                <w:tab w:val="left" w:pos="735"/>
              </w:tabs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hAnsi="Times New Roman"/>
                <w:color w:val="000000"/>
                <w:sz w:val="20"/>
                <w:szCs w:val="20"/>
              </w:rPr>
              <w:t>56.8</w:t>
            </w: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±</w:t>
            </w:r>
            <w:r w:rsidRPr="003C74B2">
              <w:rPr>
                <w:rFonts w:ascii="Times New Roman" w:hAnsi="Times New Roman"/>
                <w:color w:val="000000"/>
                <w:sz w:val="20"/>
                <w:szCs w:val="20"/>
              </w:rPr>
              <w:t>14.6</w:t>
            </w:r>
          </w:p>
        </w:tc>
      </w:tr>
      <w:tr w:rsidR="003479C0" w:rsidRPr="003C74B2" w:rsidTr="00E921E0">
        <w:tc>
          <w:tcPr>
            <w:tcW w:w="507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Gender, n (%)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155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 (63.9)</w:t>
            </w:r>
          </w:p>
        </w:tc>
      </w:tr>
      <w:tr w:rsidR="003479C0" w:rsidRPr="003C74B2" w:rsidTr="00E921E0">
        <w:tc>
          <w:tcPr>
            <w:tcW w:w="507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Body Mass Index, n (%)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Underweight (˂18,5)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Normal weight (18,5-24,9)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Overweight (25-29.9)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Obese (&gt;30)</w:t>
            </w:r>
          </w:p>
        </w:tc>
        <w:tc>
          <w:tcPr>
            <w:tcW w:w="155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 (4,5)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 (39,3)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 (31,3)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 (25)</w:t>
            </w:r>
          </w:p>
        </w:tc>
      </w:tr>
      <w:tr w:rsidR="003479C0" w:rsidRPr="003C74B2" w:rsidTr="00E921E0">
        <w:tc>
          <w:tcPr>
            <w:tcW w:w="507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Smoking habit, n (%)</w:t>
            </w:r>
          </w:p>
        </w:tc>
        <w:tc>
          <w:tcPr>
            <w:tcW w:w="155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 (63,5)</w:t>
            </w:r>
          </w:p>
        </w:tc>
      </w:tr>
      <w:tr w:rsidR="003479C0" w:rsidRPr="003C74B2" w:rsidTr="00E921E0">
        <w:tc>
          <w:tcPr>
            <w:tcW w:w="507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APACHE II score, mean ± SD</w:t>
            </w:r>
          </w:p>
        </w:tc>
        <w:tc>
          <w:tcPr>
            <w:tcW w:w="155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23.34 ± 7.03</w:t>
            </w:r>
          </w:p>
        </w:tc>
      </w:tr>
      <w:tr w:rsidR="003479C0" w:rsidRPr="003C74B2" w:rsidTr="00E921E0">
        <w:tc>
          <w:tcPr>
            <w:tcW w:w="507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SAPS II score, mean ± SD</w:t>
            </w:r>
          </w:p>
        </w:tc>
        <w:tc>
          <w:tcPr>
            <w:tcW w:w="155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47.92 ± 13.87</w:t>
            </w:r>
          </w:p>
        </w:tc>
      </w:tr>
      <w:tr w:rsidR="003479C0" w:rsidRPr="003C74B2" w:rsidTr="00E921E0">
        <w:tc>
          <w:tcPr>
            <w:tcW w:w="507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SOFA score, mean ± SD</w:t>
            </w:r>
          </w:p>
        </w:tc>
        <w:tc>
          <w:tcPr>
            <w:tcW w:w="155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8.39 ± 3.03</w:t>
            </w:r>
          </w:p>
        </w:tc>
      </w:tr>
      <w:tr w:rsidR="003479C0" w:rsidRPr="003C74B2" w:rsidTr="00E921E0">
        <w:tc>
          <w:tcPr>
            <w:tcW w:w="507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Patient's location before ICU, n (%)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-emergency room 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>-ward in same hospital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>-other hospital</w:t>
            </w:r>
          </w:p>
        </w:tc>
        <w:tc>
          <w:tcPr>
            <w:tcW w:w="155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 (18.0)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 (45.1)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 (36.9)</w:t>
            </w:r>
          </w:p>
        </w:tc>
      </w:tr>
      <w:tr w:rsidR="003479C0" w:rsidRPr="003C74B2" w:rsidTr="00E921E0">
        <w:tc>
          <w:tcPr>
            <w:tcW w:w="507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</w:rPr>
              <w:t>Duration of previous hospital stay if no direct ICU admission, days, median (range)</w:t>
            </w:r>
          </w:p>
        </w:tc>
        <w:tc>
          <w:tcPr>
            <w:tcW w:w="155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(0-65)</w:t>
            </w:r>
          </w:p>
        </w:tc>
      </w:tr>
      <w:tr w:rsidR="003479C0" w:rsidRPr="003C74B2" w:rsidTr="00E921E0">
        <w:tc>
          <w:tcPr>
            <w:tcW w:w="507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Co-morbidities, n (%)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Hypertension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Ischemic heart disease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 xml:space="preserve"> Other cardiac diseases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- Cerebrovascular diseases 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COPD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 xml:space="preserve"> Other </w:t>
            </w: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chronic respiratory disease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-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Diabetes mellitus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Chronic renal disease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Chronic liver disease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Immunodeficiency</w:t>
            </w: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a</w:t>
            </w: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and cancer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Gastrointestinal diseases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- Neurologic diseases 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Psychiatric diseases and addiction disorders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Other</w:t>
            </w: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155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 (50.8)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 (13.1)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 (41.8)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 (3.3)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 (28.7)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 (18)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30 (24.6)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 (10.7)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 (6.6)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 (13.9)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 (20.5)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 (8.2)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 (21.3)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 (27.9)</w:t>
            </w:r>
          </w:p>
        </w:tc>
      </w:tr>
      <w:tr w:rsidR="003479C0" w:rsidRPr="003C74B2" w:rsidTr="00E921E0">
        <w:tc>
          <w:tcPr>
            <w:tcW w:w="507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lastRenderedPageBreak/>
              <w:t>Diagnosis at ICU admission, n (%)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CAP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HAP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HCAP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Viral pneumonia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Exacerbation of COPD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ARDS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Pulmonary thromboembolism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Severe sepsis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>- MODS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Septic shock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Acute intoxication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- Cardiorespiratory arrest 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H1N1 infection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- Acute renal failure </w:t>
            </w:r>
          </w:p>
        </w:tc>
        <w:tc>
          <w:tcPr>
            <w:tcW w:w="155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 (55.7)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 (12.3)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 (7.4)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 (13.9)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 (10.7)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 (43.7)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 (3.3)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118 (96.7)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>60 (49.2)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 (36.1)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 (3.3)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 (8.2)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 (15.6)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 (13.1)</w:t>
            </w:r>
          </w:p>
        </w:tc>
      </w:tr>
      <w:tr w:rsidR="003479C0" w:rsidRPr="003C74B2" w:rsidTr="00E921E0">
        <w:tc>
          <w:tcPr>
            <w:tcW w:w="507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Charlson comorbidity index, median (</w:t>
            </w: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sr-Latn-RS"/>
              </w:rPr>
              <w:t>range</w:t>
            </w: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 (0-11)</w:t>
            </w:r>
          </w:p>
        </w:tc>
      </w:tr>
      <w:tr w:rsidR="003479C0" w:rsidRPr="003C74B2" w:rsidTr="00E921E0">
        <w:tc>
          <w:tcPr>
            <w:tcW w:w="507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Reason for MV, n (%)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Pneumonia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ARDS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COPD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-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Cardiorespiratory arrest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Pulmonary edema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Thromboembolism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Intoxication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Septic shock </w:t>
            </w:r>
          </w:p>
        </w:tc>
        <w:tc>
          <w:tcPr>
            <w:tcW w:w="155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 (34.4)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 (39.3)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 (6.6)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10 (8.2)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 (2.5)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 (2.5)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 (3.3)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 (4.1)</w:t>
            </w:r>
          </w:p>
        </w:tc>
      </w:tr>
      <w:tr w:rsidR="003479C0" w:rsidRPr="003C74B2" w:rsidTr="00E921E0">
        <w:tc>
          <w:tcPr>
            <w:tcW w:w="507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lastRenderedPageBreak/>
              <w:t>Prior antibiotic use</w:t>
            </w: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vertAlign w:val="superscript"/>
              </w:rPr>
              <w:t>c</w:t>
            </w:r>
            <w:r w:rsidRPr="003C74B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, n (%)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-Cephalosporins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-Fluoroquinolones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-Macrolides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-Carbapenem (imipenem or meropenem)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-Aminoglycosides</w:t>
            </w:r>
          </w:p>
        </w:tc>
        <w:tc>
          <w:tcPr>
            <w:tcW w:w="155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79 (69.3)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 (45.6)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 (21.1)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 (24.6)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 (8.8)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 (12.3)</w:t>
            </w:r>
          </w:p>
        </w:tc>
      </w:tr>
    </w:tbl>
    <w:p w:rsidR="003479C0" w:rsidRPr="00BC525D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0"/>
          <w:szCs w:val="20"/>
        </w:rPr>
      </w:pPr>
      <w:r w:rsidRPr="00BC525D">
        <w:rPr>
          <w:rFonts w:ascii="Times New Roman" w:hAnsi="Times New Roman"/>
          <w:sz w:val="20"/>
          <w:szCs w:val="20"/>
        </w:rPr>
        <w:t>APACHE II - Acute Physiology and Chronic Health Evaluation II, SAPS II - Simplified Acute Physiology Score II, SOFA - Sequential Organ Failure Assessment, COPD - chronic obstructive pulmonary disease, CAP –community acquired pneumonia, HAP – hospital acquired pneumonia, HCAP – health care associated pneumonia, ARDS - Acute respiratory distress syndrome, MV - mechanical ventilaton, MODS - multiple organ dysfunction syndrome, VAP - ventilator-associated pneumonia, ICU – intensive care unite</w:t>
      </w:r>
    </w:p>
    <w:p w:rsidR="003479C0" w:rsidRPr="00BC525D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0"/>
          <w:szCs w:val="20"/>
        </w:rPr>
      </w:pPr>
      <w:r w:rsidRPr="00BC525D">
        <w:rPr>
          <w:rFonts w:ascii="Times New Roman" w:hAnsi="Times New Roman"/>
          <w:sz w:val="20"/>
          <w:szCs w:val="20"/>
          <w:vertAlign w:val="superscript"/>
        </w:rPr>
        <w:t>a</w:t>
      </w:r>
      <w:r w:rsidRPr="00BC525D">
        <w:rPr>
          <w:rFonts w:ascii="Times New Roman" w:hAnsi="Times New Roman"/>
          <w:sz w:val="20"/>
          <w:szCs w:val="20"/>
        </w:rPr>
        <w:t>Immunodeficiency including acute rheumatoid arthritis, HIV+, Sjogren's syndrome and immunosuppressant.</w:t>
      </w:r>
    </w:p>
    <w:p w:rsidR="003479C0" w:rsidRPr="00BC525D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0"/>
          <w:szCs w:val="20"/>
        </w:rPr>
      </w:pPr>
      <w:r w:rsidRPr="00BC525D">
        <w:rPr>
          <w:rFonts w:ascii="Times New Roman" w:hAnsi="Times New Roman"/>
          <w:sz w:val="20"/>
          <w:szCs w:val="20"/>
          <w:vertAlign w:val="superscript"/>
        </w:rPr>
        <w:t xml:space="preserve">b </w:t>
      </w:r>
      <w:r w:rsidRPr="00BC525D">
        <w:rPr>
          <w:rFonts w:ascii="Times New Roman" w:hAnsi="Times New Roman"/>
          <w:sz w:val="20"/>
          <w:szCs w:val="20"/>
        </w:rPr>
        <w:t>Other commorbidities – fractures, thyroid gland diseases, osteoporosis and anemia</w:t>
      </w:r>
    </w:p>
    <w:p w:rsidR="003479C0" w:rsidRPr="00BC525D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0"/>
          <w:szCs w:val="20"/>
          <w:lang w:val="sr-Latn-RS"/>
        </w:rPr>
      </w:pPr>
      <w:r w:rsidRPr="00BC525D">
        <w:rPr>
          <w:rFonts w:ascii="Times New Roman" w:hAnsi="Times New Roman"/>
          <w:sz w:val="20"/>
          <w:szCs w:val="20"/>
          <w:vertAlign w:val="superscript"/>
          <w:lang w:val="sr-Latn-RS"/>
        </w:rPr>
        <w:t>c</w:t>
      </w:r>
      <w:r w:rsidRPr="00BC525D">
        <w:rPr>
          <w:rFonts w:ascii="Times New Roman" w:hAnsi="Times New Roman"/>
          <w:sz w:val="20"/>
          <w:szCs w:val="20"/>
          <w:lang w:val="sr-Latn-RS"/>
        </w:rPr>
        <w:t xml:space="preserve"> Antibiotic treatment during the two weeks preceding ICU admission.</w:t>
      </w:r>
    </w:p>
    <w:p w:rsidR="003479C0" w:rsidRDefault="003479C0" w:rsidP="003479C0">
      <w:pPr>
        <w:spacing w:before="100" w:beforeAutospacing="1" w:after="100" w:afterAutospacing="1" w:line="480" w:lineRule="auto"/>
        <w:rPr>
          <w:rFonts w:ascii="Times New Roman" w:hAnsi="Times New Roman"/>
          <w:color w:val="538135"/>
          <w:sz w:val="20"/>
          <w:szCs w:val="20"/>
          <w:lang w:val="sr-Latn-RS"/>
        </w:rPr>
      </w:pPr>
    </w:p>
    <w:p w:rsidR="003479C0" w:rsidRDefault="003479C0" w:rsidP="003479C0">
      <w:pPr>
        <w:spacing w:before="100" w:beforeAutospacing="1" w:after="100" w:afterAutospacing="1" w:line="480" w:lineRule="auto"/>
        <w:rPr>
          <w:rFonts w:ascii="Times New Roman" w:hAnsi="Times New Roman"/>
          <w:color w:val="538135"/>
          <w:sz w:val="20"/>
          <w:szCs w:val="20"/>
          <w:lang w:val="sr-Latn-RS"/>
        </w:rPr>
      </w:pPr>
    </w:p>
    <w:p w:rsidR="003479C0" w:rsidRDefault="003479C0" w:rsidP="003479C0">
      <w:pPr>
        <w:spacing w:before="100" w:beforeAutospacing="1" w:after="100" w:afterAutospacing="1" w:line="480" w:lineRule="auto"/>
        <w:rPr>
          <w:rFonts w:ascii="Times New Roman" w:hAnsi="Times New Roman"/>
          <w:color w:val="538135"/>
          <w:sz w:val="20"/>
          <w:szCs w:val="20"/>
          <w:lang w:val="sr-Latn-RS"/>
        </w:rPr>
      </w:pPr>
    </w:p>
    <w:p w:rsidR="003479C0" w:rsidRDefault="003479C0" w:rsidP="003479C0">
      <w:pPr>
        <w:spacing w:before="100" w:beforeAutospacing="1" w:after="100" w:afterAutospacing="1" w:line="480" w:lineRule="auto"/>
        <w:rPr>
          <w:rFonts w:ascii="Times New Roman" w:hAnsi="Times New Roman"/>
          <w:color w:val="538135"/>
          <w:sz w:val="20"/>
          <w:szCs w:val="20"/>
          <w:lang w:val="sr-Latn-RS"/>
        </w:rPr>
      </w:pPr>
    </w:p>
    <w:p w:rsidR="003479C0" w:rsidRDefault="003479C0" w:rsidP="003479C0">
      <w:pPr>
        <w:spacing w:before="100" w:beforeAutospacing="1" w:after="100" w:afterAutospacing="1" w:line="480" w:lineRule="auto"/>
        <w:rPr>
          <w:rFonts w:ascii="Times New Roman" w:hAnsi="Times New Roman"/>
          <w:color w:val="538135"/>
          <w:sz w:val="20"/>
          <w:szCs w:val="20"/>
          <w:lang w:val="sr-Latn-RS"/>
        </w:rPr>
      </w:pPr>
    </w:p>
    <w:p w:rsidR="003479C0" w:rsidRPr="008E2509" w:rsidRDefault="003479C0" w:rsidP="003479C0">
      <w:pPr>
        <w:spacing w:before="100" w:beforeAutospacing="1" w:after="100" w:afterAutospacing="1" w:line="480" w:lineRule="auto"/>
        <w:rPr>
          <w:rFonts w:ascii="Times New Roman" w:hAnsi="Times New Roman"/>
          <w:color w:val="538135"/>
          <w:sz w:val="20"/>
          <w:szCs w:val="20"/>
          <w:lang w:val="sr-Latn-RS"/>
        </w:rPr>
      </w:pPr>
    </w:p>
    <w:p w:rsidR="003479C0" w:rsidRPr="000C3A24" w:rsidRDefault="003479C0" w:rsidP="003479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3A24">
        <w:rPr>
          <w:rFonts w:ascii="Times New Roman" w:hAnsi="Times New Roman"/>
          <w:b/>
          <w:sz w:val="24"/>
          <w:szCs w:val="24"/>
          <w:lang w:val="sr-Latn-RS"/>
        </w:rPr>
        <w:lastRenderedPageBreak/>
        <w:t>Table 2. Pathogens of VAP patients and their susceptibility pattern compared between survivor and non-survivor group after 30 and 60 days.</w:t>
      </w:r>
    </w:p>
    <w:tbl>
      <w:tblPr>
        <w:tblW w:w="9578" w:type="dxa"/>
        <w:tblLook w:val="04A0" w:firstRow="1" w:lastRow="0" w:firstColumn="1" w:lastColumn="0" w:noHBand="0" w:noVBand="1"/>
      </w:tblPr>
      <w:tblGrid>
        <w:gridCol w:w="2034"/>
        <w:gridCol w:w="1018"/>
        <w:gridCol w:w="1262"/>
        <w:gridCol w:w="1129"/>
        <w:gridCol w:w="969"/>
        <w:gridCol w:w="1194"/>
        <w:gridCol w:w="1050"/>
        <w:gridCol w:w="922"/>
      </w:tblGrid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 xml:space="preserve">Organism types, 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n (%)</w:t>
            </w: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All case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(n=122)</w:t>
            </w:r>
          </w:p>
        </w:tc>
        <w:tc>
          <w:tcPr>
            <w:tcW w:w="3360" w:type="dxa"/>
            <w:gridSpan w:val="3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Mortality after 30 days</w:t>
            </w:r>
          </w:p>
        </w:tc>
        <w:tc>
          <w:tcPr>
            <w:tcW w:w="3166" w:type="dxa"/>
            <w:gridSpan w:val="3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Mortality after 60 days</w:t>
            </w:r>
          </w:p>
        </w:tc>
      </w:tr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</w:p>
        </w:tc>
        <w:tc>
          <w:tcPr>
            <w:tcW w:w="126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Non-survivor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(n=50)</w:t>
            </w:r>
          </w:p>
        </w:tc>
        <w:tc>
          <w:tcPr>
            <w:tcW w:w="112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Survivor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(n=72)</w:t>
            </w:r>
          </w:p>
        </w:tc>
        <w:tc>
          <w:tcPr>
            <w:tcW w:w="96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p-value</w:t>
            </w:r>
          </w:p>
        </w:tc>
        <w:tc>
          <w:tcPr>
            <w:tcW w:w="119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Non-survivor (n=60)</w:t>
            </w:r>
          </w:p>
        </w:tc>
        <w:tc>
          <w:tcPr>
            <w:tcW w:w="105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Survivor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 xml:space="preserve"> (n=62)</w:t>
            </w:r>
          </w:p>
        </w:tc>
        <w:tc>
          <w:tcPr>
            <w:tcW w:w="92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p-value</w:t>
            </w:r>
          </w:p>
        </w:tc>
      </w:tr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Monomicrobial VAP</w:t>
            </w: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103 (84.4)</w:t>
            </w:r>
          </w:p>
        </w:tc>
        <w:tc>
          <w:tcPr>
            <w:tcW w:w="126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42 (40.8)</w:t>
            </w:r>
          </w:p>
        </w:tc>
        <w:tc>
          <w:tcPr>
            <w:tcW w:w="112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61 (59.2)</w:t>
            </w:r>
          </w:p>
        </w:tc>
        <w:tc>
          <w:tcPr>
            <w:tcW w:w="96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0.91</w:t>
            </w:r>
          </w:p>
        </w:tc>
        <w:tc>
          <w:tcPr>
            <w:tcW w:w="119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52 (50.5)</w:t>
            </w:r>
          </w:p>
        </w:tc>
        <w:tc>
          <w:tcPr>
            <w:tcW w:w="105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51 (49.5)</w:t>
            </w:r>
          </w:p>
        </w:tc>
        <w:tc>
          <w:tcPr>
            <w:tcW w:w="92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0.50</w:t>
            </w:r>
          </w:p>
        </w:tc>
      </w:tr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Gram-positive (MRSA)</w:t>
            </w: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5 (4.1)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ab/>
            </w:r>
          </w:p>
        </w:tc>
        <w:tc>
          <w:tcPr>
            <w:tcW w:w="126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3 (60.0)</w:t>
            </w:r>
          </w:p>
        </w:tc>
        <w:tc>
          <w:tcPr>
            <w:tcW w:w="112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2 (40.0)</w:t>
            </w:r>
          </w:p>
        </w:tc>
        <w:tc>
          <w:tcPr>
            <w:tcW w:w="96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0.40</w:t>
            </w:r>
          </w:p>
        </w:tc>
        <w:tc>
          <w:tcPr>
            <w:tcW w:w="119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4 (80.0)</w:t>
            </w:r>
          </w:p>
        </w:tc>
        <w:tc>
          <w:tcPr>
            <w:tcW w:w="105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 (20.0)</w:t>
            </w:r>
          </w:p>
        </w:tc>
        <w:tc>
          <w:tcPr>
            <w:tcW w:w="92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0.20</w:t>
            </w:r>
          </w:p>
        </w:tc>
      </w:tr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Gram-negative</w:t>
            </w: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98 (80.3)</w:t>
            </w:r>
          </w:p>
        </w:tc>
        <w:tc>
          <w:tcPr>
            <w:tcW w:w="126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39 (39.8)</w:t>
            </w:r>
          </w:p>
        </w:tc>
        <w:tc>
          <w:tcPr>
            <w:tcW w:w="112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59 (60.2)</w:t>
            </w:r>
          </w:p>
        </w:tc>
        <w:tc>
          <w:tcPr>
            <w:tcW w:w="96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0.59</w:t>
            </w:r>
          </w:p>
        </w:tc>
        <w:tc>
          <w:tcPr>
            <w:tcW w:w="119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48  (49.0)</w:t>
            </w:r>
          </w:p>
        </w:tc>
        <w:tc>
          <w:tcPr>
            <w:tcW w:w="105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50 (51.0)</w:t>
            </w:r>
          </w:p>
        </w:tc>
        <w:tc>
          <w:tcPr>
            <w:tcW w:w="92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0.93</w:t>
            </w:r>
          </w:p>
        </w:tc>
      </w:tr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Acinetobacter spp</w:t>
            </w: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73 (59.8)</w:t>
            </w:r>
          </w:p>
        </w:tc>
        <w:tc>
          <w:tcPr>
            <w:tcW w:w="126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31 (42.5)</w:t>
            </w:r>
          </w:p>
        </w:tc>
        <w:tc>
          <w:tcPr>
            <w:tcW w:w="112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42 (57.5)</w:t>
            </w:r>
          </w:p>
        </w:tc>
        <w:tc>
          <w:tcPr>
            <w:tcW w:w="96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0.69</w:t>
            </w:r>
          </w:p>
        </w:tc>
        <w:tc>
          <w:tcPr>
            <w:tcW w:w="119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38 (52.1)</w:t>
            </w:r>
          </w:p>
        </w:tc>
        <w:tc>
          <w:tcPr>
            <w:tcW w:w="105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35 (47.9)</w:t>
            </w:r>
          </w:p>
        </w:tc>
        <w:tc>
          <w:tcPr>
            <w:tcW w:w="92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0.44</w:t>
            </w:r>
          </w:p>
        </w:tc>
      </w:tr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Pseudomonas aeruginosa</w:t>
            </w: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14 (11.5)</w:t>
            </w:r>
          </w:p>
        </w:tc>
        <w:tc>
          <w:tcPr>
            <w:tcW w:w="126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4 (28.6)</w:t>
            </w:r>
          </w:p>
        </w:tc>
        <w:tc>
          <w:tcPr>
            <w:tcW w:w="112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10 (71.4)</w:t>
            </w:r>
          </w:p>
        </w:tc>
        <w:tc>
          <w:tcPr>
            <w:tcW w:w="96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0.32</w:t>
            </w:r>
          </w:p>
        </w:tc>
        <w:tc>
          <w:tcPr>
            <w:tcW w:w="119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5 (35.7)</w:t>
            </w:r>
          </w:p>
        </w:tc>
        <w:tc>
          <w:tcPr>
            <w:tcW w:w="105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9 (64.3)</w:t>
            </w:r>
          </w:p>
        </w:tc>
        <w:tc>
          <w:tcPr>
            <w:tcW w:w="92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0.28</w:t>
            </w:r>
          </w:p>
        </w:tc>
      </w:tr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Klebsiella pneumoniae</w:t>
            </w: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10 (8.2)</w:t>
            </w:r>
          </w:p>
        </w:tc>
        <w:tc>
          <w:tcPr>
            <w:tcW w:w="126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3 (30)</w:t>
            </w:r>
          </w:p>
        </w:tc>
        <w:tc>
          <w:tcPr>
            <w:tcW w:w="112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7 (70)</w:t>
            </w:r>
          </w:p>
        </w:tc>
        <w:tc>
          <w:tcPr>
            <w:tcW w:w="96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0.46</w:t>
            </w:r>
          </w:p>
        </w:tc>
        <w:tc>
          <w:tcPr>
            <w:tcW w:w="119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4 (40)</w:t>
            </w:r>
          </w:p>
        </w:tc>
        <w:tc>
          <w:tcPr>
            <w:tcW w:w="105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6 (60)</w:t>
            </w:r>
          </w:p>
        </w:tc>
        <w:tc>
          <w:tcPr>
            <w:tcW w:w="92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0.54</w:t>
            </w:r>
          </w:p>
        </w:tc>
      </w:tr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Polymicrobial VAP</w:t>
            </w: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19 (15.6)</w:t>
            </w:r>
          </w:p>
        </w:tc>
        <w:tc>
          <w:tcPr>
            <w:tcW w:w="126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8 (42.1)</w:t>
            </w:r>
          </w:p>
        </w:tc>
        <w:tc>
          <w:tcPr>
            <w:tcW w:w="112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11 (57.9)</w:t>
            </w:r>
          </w:p>
        </w:tc>
        <w:tc>
          <w:tcPr>
            <w:tcW w:w="96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0.91</w:t>
            </w:r>
          </w:p>
        </w:tc>
        <w:tc>
          <w:tcPr>
            <w:tcW w:w="119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8 (42.1)</w:t>
            </w:r>
          </w:p>
        </w:tc>
        <w:tc>
          <w:tcPr>
            <w:tcW w:w="105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11 (57.9)</w:t>
            </w:r>
          </w:p>
        </w:tc>
        <w:tc>
          <w:tcPr>
            <w:tcW w:w="92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0.50</w:t>
            </w:r>
          </w:p>
        </w:tc>
      </w:tr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Acinetobacter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 spp plus  </w:t>
            </w: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Pseudomonas aeruginosa</w:t>
            </w: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8 (6.6)</w:t>
            </w:r>
          </w:p>
        </w:tc>
        <w:tc>
          <w:tcPr>
            <w:tcW w:w="126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3 (37.5)</w:t>
            </w:r>
          </w:p>
        </w:tc>
        <w:tc>
          <w:tcPr>
            <w:tcW w:w="112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5 (62.5)</w:t>
            </w:r>
          </w:p>
        </w:tc>
        <w:tc>
          <w:tcPr>
            <w:tcW w:w="96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1.00</w:t>
            </w:r>
          </w:p>
        </w:tc>
        <w:tc>
          <w:tcPr>
            <w:tcW w:w="119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>3 (37.5)</w:t>
            </w:r>
          </w:p>
        </w:tc>
        <w:tc>
          <w:tcPr>
            <w:tcW w:w="105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>5 (62.5)</w:t>
            </w:r>
          </w:p>
        </w:tc>
        <w:tc>
          <w:tcPr>
            <w:tcW w:w="92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0.72</w:t>
            </w:r>
          </w:p>
        </w:tc>
      </w:tr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Acinetobacter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 spp plus  </w:t>
            </w: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Klebsiella pneumoniae</w:t>
            </w: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6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 (4.</w:t>
            </w: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9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)</w:t>
            </w:r>
          </w:p>
        </w:tc>
        <w:tc>
          <w:tcPr>
            <w:tcW w:w="126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4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 (</w:t>
            </w: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66.7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)</w:t>
            </w:r>
          </w:p>
        </w:tc>
        <w:tc>
          <w:tcPr>
            <w:tcW w:w="112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2 (</w:t>
            </w: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33.3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)</w:t>
            </w:r>
          </w:p>
        </w:tc>
        <w:tc>
          <w:tcPr>
            <w:tcW w:w="96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</w:t>
            </w: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23</w:t>
            </w:r>
          </w:p>
        </w:tc>
        <w:tc>
          <w:tcPr>
            <w:tcW w:w="119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4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 (</w:t>
            </w: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66.7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)</w:t>
            </w:r>
          </w:p>
        </w:tc>
        <w:tc>
          <w:tcPr>
            <w:tcW w:w="105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2 (</w:t>
            </w: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33.3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)</w:t>
            </w:r>
          </w:p>
        </w:tc>
        <w:tc>
          <w:tcPr>
            <w:tcW w:w="92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</w:t>
            </w: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44</w:t>
            </w:r>
          </w:p>
        </w:tc>
      </w:tr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Acinetobacter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 spp plus  MRSA</w:t>
            </w: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3 (2.5)</w:t>
            </w:r>
          </w:p>
        </w:tc>
        <w:tc>
          <w:tcPr>
            <w:tcW w:w="126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 (33.1)</w:t>
            </w:r>
          </w:p>
        </w:tc>
        <w:tc>
          <w:tcPr>
            <w:tcW w:w="112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2 (66.7)</w:t>
            </w:r>
          </w:p>
        </w:tc>
        <w:tc>
          <w:tcPr>
            <w:tcW w:w="96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1.00</w:t>
            </w:r>
          </w:p>
        </w:tc>
        <w:tc>
          <w:tcPr>
            <w:tcW w:w="119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 (33.1)</w:t>
            </w:r>
          </w:p>
        </w:tc>
        <w:tc>
          <w:tcPr>
            <w:tcW w:w="105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2 (66.7)</w:t>
            </w:r>
          </w:p>
        </w:tc>
        <w:tc>
          <w:tcPr>
            <w:tcW w:w="92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1.00</w:t>
            </w:r>
          </w:p>
        </w:tc>
      </w:tr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Klebsiella pneumoniae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 plus  </w:t>
            </w: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lastRenderedPageBreak/>
              <w:t>Pseudomonas aeruginosa</w:t>
            </w: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lastRenderedPageBreak/>
              <w:t>2 (1.6)</w:t>
            </w:r>
          </w:p>
        </w:tc>
        <w:tc>
          <w:tcPr>
            <w:tcW w:w="126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 (0)</w:t>
            </w:r>
          </w:p>
        </w:tc>
        <w:tc>
          <w:tcPr>
            <w:tcW w:w="112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2 (100)</w:t>
            </w:r>
          </w:p>
        </w:tc>
        <w:tc>
          <w:tcPr>
            <w:tcW w:w="96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0.51</w:t>
            </w:r>
          </w:p>
        </w:tc>
        <w:tc>
          <w:tcPr>
            <w:tcW w:w="119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 (0)</w:t>
            </w:r>
          </w:p>
        </w:tc>
        <w:tc>
          <w:tcPr>
            <w:tcW w:w="105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2 (100)</w:t>
            </w:r>
          </w:p>
        </w:tc>
        <w:tc>
          <w:tcPr>
            <w:tcW w:w="92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0.50</w:t>
            </w:r>
          </w:p>
        </w:tc>
      </w:tr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lastRenderedPageBreak/>
              <w:t>Susceptibility pattern</w:t>
            </w: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</w:p>
        </w:tc>
        <w:tc>
          <w:tcPr>
            <w:tcW w:w="126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</w:p>
        </w:tc>
        <w:tc>
          <w:tcPr>
            <w:tcW w:w="112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</w:p>
        </w:tc>
        <w:tc>
          <w:tcPr>
            <w:tcW w:w="96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</w:p>
        </w:tc>
        <w:tc>
          <w:tcPr>
            <w:tcW w:w="119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</w:p>
        </w:tc>
        <w:tc>
          <w:tcPr>
            <w:tcW w:w="105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</w:p>
        </w:tc>
        <w:tc>
          <w:tcPr>
            <w:tcW w:w="92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</w:p>
        </w:tc>
      </w:tr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Susceptible</w:t>
            </w: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5 (4.1)</w:t>
            </w:r>
          </w:p>
        </w:tc>
        <w:tc>
          <w:tcPr>
            <w:tcW w:w="126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2 (40.0)</w:t>
            </w:r>
          </w:p>
        </w:tc>
        <w:tc>
          <w:tcPr>
            <w:tcW w:w="112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3 (60.0)</w:t>
            </w:r>
          </w:p>
        </w:tc>
        <w:tc>
          <w:tcPr>
            <w:tcW w:w="96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1.00</w:t>
            </w:r>
          </w:p>
        </w:tc>
        <w:tc>
          <w:tcPr>
            <w:tcW w:w="119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2 (40.0)</w:t>
            </w:r>
          </w:p>
        </w:tc>
        <w:tc>
          <w:tcPr>
            <w:tcW w:w="105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3 (60.0)</w:t>
            </w:r>
          </w:p>
        </w:tc>
        <w:tc>
          <w:tcPr>
            <w:tcW w:w="92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1.00</w:t>
            </w:r>
          </w:p>
        </w:tc>
      </w:tr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>MDR organisms</w:t>
            </w: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21 (17.2)</w:t>
            </w:r>
          </w:p>
        </w:tc>
        <w:tc>
          <w:tcPr>
            <w:tcW w:w="126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>6 (28.6)</w:t>
            </w:r>
          </w:p>
        </w:tc>
        <w:tc>
          <w:tcPr>
            <w:tcW w:w="112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>15 (71.4)</w:t>
            </w:r>
          </w:p>
        </w:tc>
        <w:tc>
          <w:tcPr>
            <w:tcW w:w="96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0.20</w:t>
            </w:r>
          </w:p>
        </w:tc>
        <w:tc>
          <w:tcPr>
            <w:tcW w:w="119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>9 (42.9)</w:t>
            </w:r>
          </w:p>
        </w:tc>
        <w:tc>
          <w:tcPr>
            <w:tcW w:w="105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>12 (57.1)</w:t>
            </w:r>
          </w:p>
        </w:tc>
        <w:tc>
          <w:tcPr>
            <w:tcW w:w="92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0.52</w:t>
            </w:r>
          </w:p>
        </w:tc>
      </w:tr>
      <w:tr w:rsidR="003479C0" w:rsidRPr="003C74B2" w:rsidTr="00E921E0">
        <w:tc>
          <w:tcPr>
            <w:tcW w:w="203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>XDR organisms</w:t>
            </w:r>
          </w:p>
        </w:tc>
        <w:tc>
          <w:tcPr>
            <w:tcW w:w="10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96 (78.7)</w:t>
            </w:r>
          </w:p>
        </w:tc>
        <w:tc>
          <w:tcPr>
            <w:tcW w:w="126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>42 (43.8)</w:t>
            </w:r>
          </w:p>
        </w:tc>
        <w:tc>
          <w:tcPr>
            <w:tcW w:w="112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>54 (56.2)</w:t>
            </w:r>
          </w:p>
        </w:tc>
        <w:tc>
          <w:tcPr>
            <w:tcW w:w="96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0.23</w:t>
            </w:r>
          </w:p>
        </w:tc>
        <w:tc>
          <w:tcPr>
            <w:tcW w:w="1194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>49 (51.0)</w:t>
            </w:r>
          </w:p>
        </w:tc>
        <w:tc>
          <w:tcPr>
            <w:tcW w:w="1050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</w:rPr>
              <w:t>47 (49.0)</w:t>
            </w:r>
          </w:p>
        </w:tc>
        <w:tc>
          <w:tcPr>
            <w:tcW w:w="922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0.43</w:t>
            </w:r>
          </w:p>
        </w:tc>
      </w:tr>
    </w:tbl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  <w:bookmarkStart w:id="0" w:name="_GoBack"/>
      <w:bookmarkEnd w:id="0"/>
    </w:p>
    <w:p w:rsidR="003479C0" w:rsidRPr="000C3A24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sr-Latn-RS"/>
        </w:rPr>
      </w:pPr>
      <w:r w:rsidRPr="000C3A24">
        <w:rPr>
          <w:rFonts w:ascii="Times New Roman" w:hAnsi="Times New Roman"/>
          <w:b/>
          <w:sz w:val="24"/>
          <w:szCs w:val="24"/>
          <w:lang w:val="sr-Latn-RS"/>
        </w:rPr>
        <w:lastRenderedPageBreak/>
        <w:t>Table 3. Bacterial species isolated from ETA samples in VAP patients</w:t>
      </w:r>
    </w:p>
    <w:tbl>
      <w:tblPr>
        <w:tblW w:w="9578" w:type="dxa"/>
        <w:tblLook w:val="04A0" w:firstRow="1" w:lastRow="0" w:firstColumn="1" w:lastColumn="0" w:noHBand="0" w:noVBand="1"/>
      </w:tblPr>
      <w:tblGrid>
        <w:gridCol w:w="2518"/>
        <w:gridCol w:w="1437"/>
        <w:gridCol w:w="2249"/>
        <w:gridCol w:w="2126"/>
        <w:gridCol w:w="1248"/>
      </w:tblGrid>
      <w:tr w:rsidR="003479C0" w:rsidRPr="003C74B2" w:rsidTr="00E921E0">
        <w:tc>
          <w:tcPr>
            <w:tcW w:w="25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n (%)</w:t>
            </w:r>
          </w:p>
        </w:tc>
        <w:tc>
          <w:tcPr>
            <w:tcW w:w="1437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 xml:space="preserve">Total </w:t>
            </w:r>
          </w:p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(n=122)</w:t>
            </w:r>
          </w:p>
        </w:tc>
        <w:tc>
          <w:tcPr>
            <w:tcW w:w="224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Early-onset VAP (n=23)</w:t>
            </w:r>
          </w:p>
        </w:tc>
        <w:tc>
          <w:tcPr>
            <w:tcW w:w="2126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Late-onset VAP (n=99)</w:t>
            </w:r>
          </w:p>
        </w:tc>
        <w:tc>
          <w:tcPr>
            <w:tcW w:w="124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p-value</w:t>
            </w:r>
          </w:p>
        </w:tc>
      </w:tr>
      <w:tr w:rsidR="003479C0" w:rsidRPr="003C74B2" w:rsidTr="00E921E0">
        <w:tc>
          <w:tcPr>
            <w:tcW w:w="25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Monomicrobial VAP</w:t>
            </w:r>
          </w:p>
        </w:tc>
        <w:tc>
          <w:tcPr>
            <w:tcW w:w="1437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103 (84.4)</w:t>
            </w:r>
          </w:p>
        </w:tc>
        <w:tc>
          <w:tcPr>
            <w:tcW w:w="224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18 (78.3)</w:t>
            </w:r>
          </w:p>
        </w:tc>
        <w:tc>
          <w:tcPr>
            <w:tcW w:w="2126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85 (85.9)</w:t>
            </w:r>
          </w:p>
        </w:tc>
        <w:tc>
          <w:tcPr>
            <w:tcW w:w="124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0.37</w:t>
            </w:r>
          </w:p>
        </w:tc>
      </w:tr>
      <w:tr w:rsidR="003479C0" w:rsidRPr="003C74B2" w:rsidTr="00E921E0">
        <w:tc>
          <w:tcPr>
            <w:tcW w:w="25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Gram-positive (MRSA)</w:t>
            </w:r>
          </w:p>
        </w:tc>
        <w:tc>
          <w:tcPr>
            <w:tcW w:w="1437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5 (4.1)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ab/>
            </w:r>
          </w:p>
        </w:tc>
        <w:tc>
          <w:tcPr>
            <w:tcW w:w="224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 (4.3)</w:t>
            </w:r>
          </w:p>
        </w:tc>
        <w:tc>
          <w:tcPr>
            <w:tcW w:w="2126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4 (4.0)</w:t>
            </w:r>
          </w:p>
        </w:tc>
        <w:tc>
          <w:tcPr>
            <w:tcW w:w="124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0.95</w:t>
            </w:r>
          </w:p>
        </w:tc>
      </w:tr>
      <w:tr w:rsidR="003479C0" w:rsidRPr="003C74B2" w:rsidTr="00E921E0">
        <w:tc>
          <w:tcPr>
            <w:tcW w:w="25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Gram-negative</w:t>
            </w:r>
          </w:p>
        </w:tc>
        <w:tc>
          <w:tcPr>
            <w:tcW w:w="1437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98 (80.3)</w:t>
            </w:r>
          </w:p>
        </w:tc>
        <w:tc>
          <w:tcPr>
            <w:tcW w:w="224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17 (73.9)</w:t>
            </w:r>
          </w:p>
        </w:tc>
        <w:tc>
          <w:tcPr>
            <w:tcW w:w="2126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81 (81.8)</w:t>
            </w:r>
          </w:p>
        </w:tc>
        <w:tc>
          <w:tcPr>
            <w:tcW w:w="124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0.39</w:t>
            </w:r>
          </w:p>
        </w:tc>
      </w:tr>
      <w:tr w:rsidR="003479C0" w:rsidRPr="003C74B2" w:rsidTr="00E921E0">
        <w:tc>
          <w:tcPr>
            <w:tcW w:w="25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Acinetobacter spp</w:t>
            </w:r>
          </w:p>
        </w:tc>
        <w:tc>
          <w:tcPr>
            <w:tcW w:w="1437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73 (59.8)</w:t>
            </w:r>
          </w:p>
        </w:tc>
        <w:tc>
          <w:tcPr>
            <w:tcW w:w="224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13 (56.5)</w:t>
            </w:r>
          </w:p>
        </w:tc>
        <w:tc>
          <w:tcPr>
            <w:tcW w:w="2126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60 (60.6)</w:t>
            </w:r>
          </w:p>
        </w:tc>
        <w:tc>
          <w:tcPr>
            <w:tcW w:w="124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0.72</w:t>
            </w:r>
          </w:p>
        </w:tc>
      </w:tr>
      <w:tr w:rsidR="003479C0" w:rsidRPr="003C74B2" w:rsidTr="00E921E0">
        <w:tc>
          <w:tcPr>
            <w:tcW w:w="25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Pseudomonas aeruginosa</w:t>
            </w:r>
          </w:p>
        </w:tc>
        <w:tc>
          <w:tcPr>
            <w:tcW w:w="1437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14 (11.5)</w:t>
            </w:r>
          </w:p>
        </w:tc>
        <w:tc>
          <w:tcPr>
            <w:tcW w:w="224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 (4.3)</w:t>
            </w:r>
          </w:p>
        </w:tc>
        <w:tc>
          <w:tcPr>
            <w:tcW w:w="2126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13 (13.1)</w:t>
            </w:r>
          </w:p>
        </w:tc>
        <w:tc>
          <w:tcPr>
            <w:tcW w:w="124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0.23</w:t>
            </w:r>
          </w:p>
        </w:tc>
      </w:tr>
      <w:tr w:rsidR="003479C0" w:rsidRPr="003C74B2" w:rsidTr="00E921E0">
        <w:tc>
          <w:tcPr>
            <w:tcW w:w="25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Klebsiella pneumoniae</w:t>
            </w:r>
          </w:p>
        </w:tc>
        <w:tc>
          <w:tcPr>
            <w:tcW w:w="1437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10 (8.2)</w:t>
            </w:r>
          </w:p>
        </w:tc>
        <w:tc>
          <w:tcPr>
            <w:tcW w:w="224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3 (13.0)</w:t>
            </w:r>
          </w:p>
        </w:tc>
        <w:tc>
          <w:tcPr>
            <w:tcW w:w="2126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7 (7.1)</w:t>
            </w:r>
          </w:p>
        </w:tc>
        <w:tc>
          <w:tcPr>
            <w:tcW w:w="124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0.35</w:t>
            </w:r>
          </w:p>
        </w:tc>
      </w:tr>
      <w:tr w:rsidR="003479C0" w:rsidRPr="003C74B2" w:rsidTr="00E921E0">
        <w:tc>
          <w:tcPr>
            <w:tcW w:w="25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Polymicrobial VAP</w:t>
            </w:r>
          </w:p>
        </w:tc>
        <w:tc>
          <w:tcPr>
            <w:tcW w:w="1437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19 (15.6)</w:t>
            </w:r>
          </w:p>
        </w:tc>
        <w:tc>
          <w:tcPr>
            <w:tcW w:w="224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5 (21.7)</w:t>
            </w:r>
          </w:p>
        </w:tc>
        <w:tc>
          <w:tcPr>
            <w:tcW w:w="2126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14 (14.1)</w:t>
            </w:r>
          </w:p>
        </w:tc>
        <w:tc>
          <w:tcPr>
            <w:tcW w:w="124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0.37</w:t>
            </w:r>
          </w:p>
        </w:tc>
      </w:tr>
      <w:tr w:rsidR="003479C0" w:rsidRPr="003C74B2" w:rsidTr="00E921E0">
        <w:tc>
          <w:tcPr>
            <w:tcW w:w="25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Acinetobacter spp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 plus  </w:t>
            </w: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Pseudomonas aeruginosa</w:t>
            </w:r>
          </w:p>
        </w:tc>
        <w:tc>
          <w:tcPr>
            <w:tcW w:w="1437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8 (6.6)</w:t>
            </w:r>
          </w:p>
        </w:tc>
        <w:tc>
          <w:tcPr>
            <w:tcW w:w="224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 (0</w:t>
            </w: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.0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8 (8.1)</w:t>
            </w:r>
          </w:p>
        </w:tc>
        <w:tc>
          <w:tcPr>
            <w:tcW w:w="124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0.16</w:t>
            </w:r>
          </w:p>
        </w:tc>
      </w:tr>
      <w:tr w:rsidR="003479C0" w:rsidRPr="003C74B2" w:rsidTr="00E921E0">
        <w:tc>
          <w:tcPr>
            <w:tcW w:w="25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Acinetobacter spp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 plus  </w:t>
            </w: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Klebsiella pneumoniae</w:t>
            </w:r>
          </w:p>
        </w:tc>
        <w:tc>
          <w:tcPr>
            <w:tcW w:w="1437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6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 (4.</w:t>
            </w: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9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)</w:t>
            </w:r>
          </w:p>
        </w:tc>
        <w:tc>
          <w:tcPr>
            <w:tcW w:w="224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4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 (1</w:t>
            </w: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7.4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2 (2</w:t>
            </w: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.0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)</w:t>
            </w:r>
          </w:p>
        </w:tc>
        <w:tc>
          <w:tcPr>
            <w:tcW w:w="124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0.0</w:t>
            </w: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</w:t>
            </w:r>
          </w:p>
        </w:tc>
      </w:tr>
      <w:tr w:rsidR="003479C0" w:rsidRPr="003C74B2" w:rsidTr="00E921E0">
        <w:tc>
          <w:tcPr>
            <w:tcW w:w="25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Acinetobacter spp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 plus  MRSA</w:t>
            </w:r>
          </w:p>
        </w:tc>
        <w:tc>
          <w:tcPr>
            <w:tcW w:w="1437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3 (2.5)</w:t>
            </w:r>
          </w:p>
        </w:tc>
        <w:tc>
          <w:tcPr>
            <w:tcW w:w="224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 (4.3)</w:t>
            </w:r>
          </w:p>
        </w:tc>
        <w:tc>
          <w:tcPr>
            <w:tcW w:w="2126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2 (2</w:t>
            </w:r>
            <w:r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.0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)</w:t>
            </w:r>
          </w:p>
        </w:tc>
        <w:tc>
          <w:tcPr>
            <w:tcW w:w="124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0.47</w:t>
            </w:r>
          </w:p>
        </w:tc>
      </w:tr>
      <w:tr w:rsidR="003479C0" w:rsidRPr="003C74B2" w:rsidTr="00E921E0">
        <w:tc>
          <w:tcPr>
            <w:tcW w:w="251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Klebsiella pneumoniae</w:t>
            </w: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 plus  </w:t>
            </w:r>
            <w:r w:rsidRPr="003C74B2">
              <w:rPr>
                <w:rFonts w:ascii="Times New Roman" w:eastAsia="Times New Roman" w:hAnsi="Times New Roman"/>
                <w:i/>
                <w:sz w:val="20"/>
                <w:szCs w:val="20"/>
                <w:lang w:val="sr-Latn-RS"/>
              </w:rPr>
              <w:t>Pseudomonas aeruginosa</w:t>
            </w:r>
          </w:p>
        </w:tc>
        <w:tc>
          <w:tcPr>
            <w:tcW w:w="1437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2 (1.6)</w:t>
            </w:r>
          </w:p>
        </w:tc>
        <w:tc>
          <w:tcPr>
            <w:tcW w:w="2249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0 (0)</w:t>
            </w:r>
          </w:p>
        </w:tc>
        <w:tc>
          <w:tcPr>
            <w:tcW w:w="2126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2 (2.0)</w:t>
            </w:r>
          </w:p>
        </w:tc>
        <w:tc>
          <w:tcPr>
            <w:tcW w:w="1248" w:type="dxa"/>
            <w:shd w:val="clear" w:color="auto" w:fill="auto"/>
          </w:tcPr>
          <w:p w:rsidR="003479C0" w:rsidRPr="003C74B2" w:rsidRDefault="003479C0" w:rsidP="00E921E0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C74B2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1.00</w:t>
            </w:r>
          </w:p>
        </w:tc>
      </w:tr>
    </w:tbl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0"/>
          <w:szCs w:val="20"/>
          <w:lang w:val="sr-Latn-RS"/>
        </w:rPr>
      </w:pPr>
      <w:r w:rsidRPr="00BC525D">
        <w:rPr>
          <w:rFonts w:ascii="Times New Roman" w:hAnsi="Times New Roman"/>
          <w:sz w:val="20"/>
          <w:szCs w:val="20"/>
          <w:lang w:val="sr-Latn-RS"/>
        </w:rPr>
        <w:t>VAP -ventilator-associated pneumonia; MV - mechanical ventilation; ETA - endotracheal aspirate.</w:t>
      </w:r>
    </w:p>
    <w:p w:rsidR="003479C0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0"/>
          <w:szCs w:val="20"/>
          <w:lang w:val="sr-Latn-RS"/>
        </w:rPr>
      </w:pPr>
    </w:p>
    <w:p w:rsidR="003479C0" w:rsidRPr="00BC525D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0"/>
          <w:szCs w:val="20"/>
          <w:lang w:val="sr-Latn-RS"/>
        </w:rPr>
      </w:pPr>
    </w:p>
    <w:p w:rsidR="003479C0" w:rsidRPr="00BC525D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0"/>
          <w:szCs w:val="20"/>
          <w:lang w:val="sr-Latn-RS"/>
        </w:rPr>
      </w:pPr>
    </w:p>
    <w:p w:rsidR="003479C0" w:rsidRPr="00BC525D" w:rsidRDefault="003479C0" w:rsidP="003479C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0"/>
          <w:szCs w:val="20"/>
          <w:lang w:val="sr-Latn-RS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5295900" cy="2743200"/>
            <wp:effectExtent l="0" t="0" r="0" b="0"/>
            <wp:docPr id="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3479C0" w:rsidRPr="000C3A24" w:rsidRDefault="003479C0" w:rsidP="003479C0">
      <w:pPr>
        <w:pStyle w:val="Pa21"/>
        <w:spacing w:line="480" w:lineRule="auto"/>
        <w:rPr>
          <w:rFonts w:ascii="Times New Roman" w:hAnsi="Times New Roman"/>
          <w:lang w:val="sr-Latn-RS"/>
        </w:rPr>
      </w:pPr>
      <w:r w:rsidRPr="000C3A24">
        <w:rPr>
          <w:rFonts w:ascii="Times New Roman" w:hAnsi="Times New Roman"/>
          <w:b/>
          <w:lang w:val="sr-Latn-RS"/>
        </w:rPr>
        <w:t xml:space="preserve">Figure 1 Percentage of drug susceptibility patterns for each organism. </w:t>
      </w:r>
      <w:r w:rsidRPr="000C3A24">
        <w:rPr>
          <w:rFonts w:ascii="Times New Roman" w:hAnsi="Times New Roman"/>
          <w:lang w:val="sr-Latn-RS"/>
        </w:rPr>
        <w:t>Abbreviations: MDR - multidrug resistant; XDR - extensively drug resistant.</w:t>
      </w:r>
    </w:p>
    <w:p w:rsidR="00111A9A" w:rsidRDefault="00111A9A"/>
    <w:sectPr w:rsidR="00111A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9C0"/>
    <w:rsid w:val="00111A9A"/>
    <w:rsid w:val="0034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9C0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15">
    <w:name w:val="Pa15"/>
    <w:basedOn w:val="Normal"/>
    <w:next w:val="Normal"/>
    <w:uiPriority w:val="99"/>
    <w:rsid w:val="003479C0"/>
    <w:pPr>
      <w:autoSpaceDE w:val="0"/>
      <w:autoSpaceDN w:val="0"/>
      <w:adjustRightInd w:val="0"/>
      <w:spacing w:after="0" w:line="241" w:lineRule="atLeast"/>
    </w:pPr>
    <w:rPr>
      <w:rFonts w:ascii="Adobe Caslon Pro" w:hAnsi="Adobe Caslon Pro"/>
      <w:sz w:val="24"/>
      <w:szCs w:val="24"/>
    </w:rPr>
  </w:style>
  <w:style w:type="character" w:customStyle="1" w:styleId="A6">
    <w:name w:val="A6"/>
    <w:uiPriority w:val="99"/>
    <w:rsid w:val="003479C0"/>
    <w:rPr>
      <w:rFonts w:cs="Adobe Caslon Pro"/>
      <w:color w:val="000000"/>
      <w:sz w:val="20"/>
      <w:szCs w:val="20"/>
    </w:rPr>
  </w:style>
  <w:style w:type="paragraph" w:customStyle="1" w:styleId="Pa21">
    <w:name w:val="Pa21"/>
    <w:basedOn w:val="Normal"/>
    <w:next w:val="Normal"/>
    <w:uiPriority w:val="99"/>
    <w:rsid w:val="003479C0"/>
    <w:pPr>
      <w:autoSpaceDE w:val="0"/>
      <w:autoSpaceDN w:val="0"/>
      <w:adjustRightInd w:val="0"/>
      <w:spacing w:after="0" w:line="141" w:lineRule="atLeast"/>
    </w:pPr>
    <w:rPr>
      <w:rFonts w:ascii="Gill Sans MT" w:hAnsi="Gill Sans M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9C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9C0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15">
    <w:name w:val="Pa15"/>
    <w:basedOn w:val="Normal"/>
    <w:next w:val="Normal"/>
    <w:uiPriority w:val="99"/>
    <w:rsid w:val="003479C0"/>
    <w:pPr>
      <w:autoSpaceDE w:val="0"/>
      <w:autoSpaceDN w:val="0"/>
      <w:adjustRightInd w:val="0"/>
      <w:spacing w:after="0" w:line="241" w:lineRule="atLeast"/>
    </w:pPr>
    <w:rPr>
      <w:rFonts w:ascii="Adobe Caslon Pro" w:hAnsi="Adobe Caslon Pro"/>
      <w:sz w:val="24"/>
      <w:szCs w:val="24"/>
    </w:rPr>
  </w:style>
  <w:style w:type="character" w:customStyle="1" w:styleId="A6">
    <w:name w:val="A6"/>
    <w:uiPriority w:val="99"/>
    <w:rsid w:val="003479C0"/>
    <w:rPr>
      <w:rFonts w:cs="Adobe Caslon Pro"/>
      <w:color w:val="000000"/>
      <w:sz w:val="20"/>
      <w:szCs w:val="20"/>
    </w:rPr>
  </w:style>
  <w:style w:type="paragraph" w:customStyle="1" w:styleId="Pa21">
    <w:name w:val="Pa21"/>
    <w:basedOn w:val="Normal"/>
    <w:next w:val="Normal"/>
    <w:uiPriority w:val="99"/>
    <w:rsid w:val="003479C0"/>
    <w:pPr>
      <w:autoSpaceDE w:val="0"/>
      <w:autoSpaceDN w:val="0"/>
      <w:adjustRightInd w:val="0"/>
      <w:spacing w:after="0" w:line="141" w:lineRule="atLeast"/>
    </w:pPr>
    <w:rPr>
      <w:rFonts w:ascii="Gill Sans MT" w:hAnsi="Gill Sans M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9C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Sheet3!$B$27</c:f>
              <c:strCache>
                <c:ptCount val="1"/>
                <c:pt idx="0">
                  <c:v>Susceptible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7 29%)</a:t>
                    </a:r>
                  </a:p>
                </c:rich>
              </c:tx>
              <c:spPr>
                <a:noFill/>
                <a:ln w="25390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582733812949641E-2"/>
                  <c:y val="4.2437781360066642E-1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 (6%)</a:t>
                    </a:r>
                  </a:p>
                </c:rich>
              </c:tx>
              <c:spPr>
                <a:noFill/>
                <a:ln w="25390">
                  <a:noFill/>
                </a:ln>
              </c:spPr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39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Sheet3!$A$28:$A$31</c:f>
              <c:strCache>
                <c:ptCount val="4"/>
                <c:pt idx="0">
                  <c:v>MRSA</c:v>
                </c:pt>
                <c:pt idx="1">
                  <c:v>Pseudomonas aeruginosa</c:v>
                </c:pt>
                <c:pt idx="2">
                  <c:v>Klebsiella pneumoniae</c:v>
                </c:pt>
                <c:pt idx="3">
                  <c:v>Acinetobacter spp</c:v>
                </c:pt>
              </c:strCache>
            </c:strRef>
          </c:cat>
          <c:val>
            <c:numRef>
              <c:f>Sheet3!$B$28:$B$31</c:f>
              <c:numCache>
                <c:formatCode>General</c:formatCode>
                <c:ptCount val="4"/>
                <c:pt idx="1">
                  <c:v>7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Sheet3!$C$27</c:f>
              <c:strCache>
                <c:ptCount val="1"/>
                <c:pt idx="0">
                  <c:v>MDR</c:v>
                </c:pt>
              </c:strCache>
            </c:strRef>
          </c:tx>
          <c:spPr>
            <a:solidFill>
              <a:srgbClr val="FF9933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 (25%)</a:t>
                    </a:r>
                  </a:p>
                </c:rich>
              </c:tx>
              <c:spPr>
                <a:noFill/>
                <a:ln w="25390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5 (21%)</a:t>
                    </a:r>
                  </a:p>
                </c:rich>
              </c:tx>
              <c:spPr>
                <a:noFill/>
                <a:ln w="25390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8</a:t>
                    </a:r>
                    <a:r>
                      <a:rPr lang="en-US" baseline="0"/>
                      <a:t> (44%)</a:t>
                    </a:r>
                    <a:endParaRPr lang="en-US"/>
                  </a:p>
                </c:rich>
              </c:tx>
              <c:spPr>
                <a:noFill/>
                <a:ln w="25390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980815347721823E-2"/>
                  <c:y val="4.6296296296296294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10 (11%)</a:t>
                    </a:r>
                  </a:p>
                </c:rich>
              </c:tx>
              <c:spPr>
                <a:noFill/>
                <a:ln w="25390">
                  <a:noFill/>
                </a:ln>
              </c:spPr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39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Sheet3!$A$28:$A$31</c:f>
              <c:strCache>
                <c:ptCount val="4"/>
                <c:pt idx="0">
                  <c:v>MRSA</c:v>
                </c:pt>
                <c:pt idx="1">
                  <c:v>Pseudomonas aeruginosa</c:v>
                </c:pt>
                <c:pt idx="2">
                  <c:v>Klebsiella pneumoniae</c:v>
                </c:pt>
                <c:pt idx="3">
                  <c:v>Acinetobacter spp</c:v>
                </c:pt>
              </c:strCache>
            </c:strRef>
          </c:cat>
          <c:val>
            <c:numRef>
              <c:f>Sheet3!$C$28:$C$31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Sheet3!$D$27</c:f>
              <c:strCache>
                <c:ptCount val="1"/>
                <c:pt idx="0">
                  <c:v>XDR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6 (75%)</a:t>
                    </a:r>
                  </a:p>
                </c:rich>
              </c:tx>
              <c:spPr>
                <a:noFill/>
                <a:ln w="25390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12 (50%)</a:t>
                    </a:r>
                  </a:p>
                </c:rich>
              </c:tx>
              <c:spPr>
                <a:noFill/>
                <a:ln w="25390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9 (50%)</a:t>
                    </a:r>
                  </a:p>
                </c:rich>
              </c:tx>
              <c:spPr>
                <a:noFill/>
                <a:ln w="25390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80 (89%)</a:t>
                    </a:r>
                  </a:p>
                </c:rich>
              </c:tx>
              <c:spPr>
                <a:noFill/>
                <a:ln w="25390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39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Sheet3!$A$28:$A$31</c:f>
              <c:strCache>
                <c:ptCount val="4"/>
                <c:pt idx="0">
                  <c:v>MRSA</c:v>
                </c:pt>
                <c:pt idx="1">
                  <c:v>Pseudomonas aeruginosa</c:v>
                </c:pt>
                <c:pt idx="2">
                  <c:v>Klebsiella pneumoniae</c:v>
                </c:pt>
                <c:pt idx="3">
                  <c:v>Acinetobacter spp</c:v>
                </c:pt>
              </c:strCache>
            </c:strRef>
          </c:cat>
          <c:val>
            <c:numRef>
              <c:f>Sheet3!$D$28:$D$31</c:f>
              <c:numCache>
                <c:formatCode>General</c:formatCode>
                <c:ptCount val="4"/>
                <c:pt idx="0">
                  <c:v>6</c:v>
                </c:pt>
                <c:pt idx="1">
                  <c:v>12</c:v>
                </c:pt>
                <c:pt idx="2">
                  <c:v>9</c:v>
                </c:pt>
                <c:pt idx="3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2296960"/>
        <c:axId val="142298496"/>
      </c:barChart>
      <c:catAx>
        <c:axId val="142296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2298496"/>
        <c:crosses val="autoZero"/>
        <c:auto val="1"/>
        <c:lblAlgn val="ctr"/>
        <c:lblOffset val="100"/>
        <c:noMultiLvlLbl val="0"/>
      </c:catAx>
      <c:valAx>
        <c:axId val="142298496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142296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794</Words>
  <Characters>4528</Characters>
  <Application>Microsoft Office Word</Application>
  <DocSecurity>0</DocSecurity>
  <Lines>37</Lines>
  <Paragraphs>10</Paragraphs>
  <ScaleCrop>false</ScaleCrop>
  <Company/>
  <LinksUpToDate>false</LinksUpToDate>
  <CharactersWithSpaces>5312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2016-01-28T22:21:00Z</dcterms:created>
  <dcterms:modified xsi:type="dcterms:W3CDTF">2016-01-28T22:23:00Z</dcterms:modified>
</cp:coreProperties>
</file>