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23" w:rsidRDefault="002A75D3" w:rsidP="002A75D3">
      <w:pPr>
        <w:spacing w:line="480" w:lineRule="auto"/>
        <w:jc w:val="both"/>
        <w:rPr>
          <w:rFonts w:ascii="Times New Roman" w:hAnsi="Times New Roman"/>
          <w:b/>
          <w:color w:val="000000" w:themeColor="text1"/>
        </w:rPr>
      </w:pPr>
      <w:r w:rsidRPr="00545F75">
        <w:rPr>
          <w:rFonts w:ascii="Times New Roman" w:hAnsi="Times New Roman"/>
          <w:b/>
          <w:color w:val="000000" w:themeColor="text1"/>
        </w:rPr>
        <w:t>Literature:</w:t>
      </w:r>
    </w:p>
    <w:p w:rsidR="002A75D3" w:rsidRPr="00545F75" w:rsidRDefault="002A75D3" w:rsidP="002A75D3">
      <w:pPr>
        <w:spacing w:line="480" w:lineRule="auto"/>
        <w:jc w:val="both"/>
        <w:rPr>
          <w:rFonts w:ascii="Times New Roman" w:hAnsi="Times New Roman"/>
          <w:b/>
          <w:color w:val="000000" w:themeColor="text1"/>
        </w:rPr>
      </w:pPr>
    </w:p>
    <w:p w:rsidR="002A75D3" w:rsidRPr="00545F75" w:rsidRDefault="002A75D3" w:rsidP="002A75D3">
      <w:pPr>
        <w:pStyle w:val="ListParagraph"/>
        <w:numPr>
          <w:ilvl w:val="0"/>
          <w:numId w:val="1"/>
        </w:numPr>
        <w:spacing w:line="480" w:lineRule="auto"/>
        <w:ind w:left="360" w:right="0"/>
        <w:jc w:val="left"/>
        <w:rPr>
          <w:color w:val="000000" w:themeColor="text1"/>
        </w:rPr>
      </w:pPr>
      <w:r>
        <w:rPr>
          <w:i/>
          <w:color w:val="000000" w:themeColor="text1"/>
          <w:lang w:val="sr-Cyrl-CS"/>
        </w:rPr>
        <w:t>Author,</w:t>
      </w:r>
      <w:r w:rsidRPr="00545F75">
        <w:rPr>
          <w:color w:val="000000" w:themeColor="text1"/>
          <w:lang w:val="sr-Cyrl-CS"/>
        </w:rPr>
        <w:t xml:space="preserve"> Corporative responsibility and improvement of heath in Serbia (Корпоративна одговорност и унапређење здравља у Србији). Geografic Institute of Serbian Academy of science and Arts, Belgrade</w:t>
      </w:r>
      <w:r w:rsidRPr="00545F75">
        <w:rPr>
          <w:rFonts w:cs="Arial"/>
          <w:color w:val="000000" w:themeColor="text1"/>
          <w:szCs w:val="26"/>
        </w:rPr>
        <w:t>, 2012, с. 91</w:t>
      </w:r>
    </w:p>
    <w:p w:rsidR="002A75D3" w:rsidRPr="00545F75" w:rsidRDefault="002A75D3" w:rsidP="002A75D3">
      <w:pPr>
        <w:pStyle w:val="ListParagraph"/>
        <w:numPr>
          <w:ilvl w:val="0"/>
          <w:numId w:val="1"/>
        </w:numPr>
        <w:spacing w:line="480" w:lineRule="auto"/>
        <w:ind w:left="360" w:right="0"/>
        <w:jc w:val="left"/>
        <w:rPr>
          <w:color w:val="000000" w:themeColor="text1"/>
        </w:rPr>
      </w:pPr>
      <w:r w:rsidRPr="00545F75">
        <w:rPr>
          <w:i/>
          <w:color w:val="000000" w:themeColor="text1"/>
          <w:szCs w:val="14"/>
        </w:rPr>
        <w:t>Witman, Y., Smid, G.A.C., Meurs, P.L. &amp; Willems, D.L.</w:t>
      </w:r>
      <w:r w:rsidRPr="00545F75">
        <w:rPr>
          <w:color w:val="000000" w:themeColor="text1"/>
          <w:szCs w:val="14"/>
        </w:rPr>
        <w:t xml:space="preserve"> Doctor in the lead: balancing between two worlds.  Organization 2011, 18(4):477–495. </w:t>
      </w:r>
    </w:p>
    <w:p w:rsidR="002A75D3" w:rsidRPr="00545F75" w:rsidRDefault="002A75D3" w:rsidP="002A75D3">
      <w:pPr>
        <w:pStyle w:val="ListParagraph"/>
        <w:numPr>
          <w:ilvl w:val="0"/>
          <w:numId w:val="1"/>
        </w:numPr>
        <w:spacing w:line="480" w:lineRule="auto"/>
        <w:ind w:left="360" w:right="0"/>
        <w:jc w:val="left"/>
        <w:rPr>
          <w:color w:val="000000" w:themeColor="text1"/>
        </w:rPr>
      </w:pPr>
      <w:r w:rsidRPr="00545F75">
        <w:rPr>
          <w:i/>
          <w:color w:val="000000" w:themeColor="text1"/>
          <w:szCs w:val="14"/>
        </w:rPr>
        <w:t>Erlandson, D..A, Harris, E.L., Skipper, B.L. &amp; Allen, S.D.</w:t>
      </w:r>
      <w:r w:rsidRPr="00545F75">
        <w:rPr>
          <w:color w:val="000000" w:themeColor="text1"/>
          <w:szCs w:val="14"/>
        </w:rPr>
        <w:t xml:space="preserve"> Doing naturalistic inquiry: a guide to methods. Newbury Park, CA: Sage; 1993. </w:t>
      </w:r>
    </w:p>
    <w:p w:rsidR="002A75D3" w:rsidRPr="00545F75" w:rsidRDefault="002A75D3" w:rsidP="002A75D3">
      <w:pPr>
        <w:pStyle w:val="FootnoteText"/>
        <w:numPr>
          <w:ilvl w:val="0"/>
          <w:numId w:val="1"/>
        </w:numPr>
        <w:spacing w:line="480" w:lineRule="auto"/>
        <w:ind w:left="360" w:right="0"/>
        <w:jc w:val="left"/>
        <w:rPr>
          <w:color w:val="000000" w:themeColor="text1"/>
        </w:rPr>
      </w:pPr>
      <w:r w:rsidRPr="00545F75">
        <w:rPr>
          <w:i/>
          <w:color w:val="000000" w:themeColor="text1"/>
        </w:rPr>
        <w:t>Fulop, L</w:t>
      </w:r>
      <w:r w:rsidRPr="00545F75">
        <w:rPr>
          <w:color w:val="000000" w:themeColor="text1"/>
        </w:rPr>
        <w:t xml:space="preserve">. Leadership, clinician managers and a thing called “hybridity”. </w:t>
      </w:r>
      <w:r w:rsidRPr="00545F75">
        <w:rPr>
          <w:iCs/>
          <w:color w:val="000000" w:themeColor="text1"/>
        </w:rPr>
        <w:t xml:space="preserve">J Health Organ Manag </w:t>
      </w:r>
      <w:r w:rsidRPr="00545F75">
        <w:rPr>
          <w:rFonts w:cs="Verdana"/>
          <w:color w:val="000000" w:themeColor="text1"/>
          <w:szCs w:val="22"/>
        </w:rPr>
        <w:t xml:space="preserve">2012, </w:t>
      </w:r>
      <w:r w:rsidRPr="00545F75">
        <w:rPr>
          <w:rFonts w:cs="Verdana"/>
          <w:b/>
          <w:bCs/>
          <w:color w:val="000000" w:themeColor="text1"/>
          <w:szCs w:val="22"/>
        </w:rPr>
        <w:t>26</w:t>
      </w:r>
      <w:r w:rsidRPr="00545F75">
        <w:rPr>
          <w:rFonts w:cs="Verdana"/>
          <w:color w:val="000000" w:themeColor="text1"/>
          <w:szCs w:val="22"/>
        </w:rPr>
        <w:t>(5)</w:t>
      </w:r>
      <w:r w:rsidRPr="00545F75">
        <w:rPr>
          <w:rFonts w:cs="Verdana"/>
          <w:b/>
          <w:bCs/>
          <w:color w:val="000000" w:themeColor="text1"/>
          <w:szCs w:val="22"/>
        </w:rPr>
        <w:t>:</w:t>
      </w:r>
      <w:r w:rsidRPr="00545F75">
        <w:rPr>
          <w:rFonts w:cs="Verdana"/>
          <w:color w:val="000000" w:themeColor="text1"/>
          <w:szCs w:val="22"/>
        </w:rPr>
        <w:t>578-604.</w:t>
      </w:r>
    </w:p>
    <w:p w:rsidR="002A75D3" w:rsidRPr="00545F75" w:rsidRDefault="002A75D3" w:rsidP="002A75D3">
      <w:pPr>
        <w:pStyle w:val="NormalWeb"/>
        <w:numPr>
          <w:ilvl w:val="0"/>
          <w:numId w:val="1"/>
        </w:numPr>
        <w:spacing w:beforeLines="0" w:afterLines="0" w:line="480" w:lineRule="auto"/>
        <w:ind w:left="360"/>
        <w:rPr>
          <w:rFonts w:ascii="Times New Roman" w:hAnsi="Times New Roman"/>
          <w:color w:val="000000" w:themeColor="text1"/>
          <w:sz w:val="24"/>
          <w:szCs w:val="14"/>
        </w:rPr>
      </w:pPr>
      <w:r w:rsidRPr="00545F75">
        <w:rPr>
          <w:rFonts w:ascii="Times New Roman" w:hAnsi="Times New Roman"/>
          <w:i/>
          <w:color w:val="000000" w:themeColor="text1"/>
          <w:sz w:val="24"/>
          <w:szCs w:val="14"/>
        </w:rPr>
        <w:t>Llewellyn, S.</w:t>
      </w:r>
      <w:r w:rsidRPr="00545F75">
        <w:rPr>
          <w:rFonts w:ascii="Times New Roman" w:hAnsi="Times New Roman"/>
          <w:color w:val="000000" w:themeColor="text1"/>
          <w:sz w:val="24"/>
          <w:szCs w:val="14"/>
        </w:rPr>
        <w:t xml:space="preserve"> ‘Two-way windows’: clinicians as medical managers. Organ Stud 2001, </w:t>
      </w:r>
      <w:r w:rsidRPr="00545F75">
        <w:rPr>
          <w:rFonts w:ascii="Times New Roman" w:hAnsi="Times New Roman"/>
          <w:b/>
          <w:color w:val="000000" w:themeColor="text1"/>
          <w:sz w:val="24"/>
          <w:szCs w:val="14"/>
        </w:rPr>
        <w:t>22</w:t>
      </w:r>
      <w:r w:rsidRPr="00545F75">
        <w:rPr>
          <w:rFonts w:ascii="Times New Roman" w:hAnsi="Times New Roman"/>
          <w:color w:val="000000" w:themeColor="text1"/>
          <w:sz w:val="24"/>
          <w:szCs w:val="14"/>
        </w:rPr>
        <w:t xml:space="preserve">(4):593–623. </w:t>
      </w:r>
    </w:p>
    <w:p w:rsidR="002A75D3" w:rsidRPr="00545F75" w:rsidRDefault="002A75D3" w:rsidP="002A75D3">
      <w:pPr>
        <w:pStyle w:val="FootnoteText"/>
        <w:numPr>
          <w:ilvl w:val="0"/>
          <w:numId w:val="1"/>
        </w:numPr>
        <w:spacing w:line="480" w:lineRule="auto"/>
        <w:ind w:left="360" w:right="0"/>
        <w:jc w:val="left"/>
        <w:rPr>
          <w:color w:val="000000" w:themeColor="text1"/>
        </w:rPr>
      </w:pPr>
      <w:r w:rsidRPr="00545F75">
        <w:rPr>
          <w:bCs/>
          <w:i/>
          <w:color w:val="000000" w:themeColor="text1"/>
        </w:rPr>
        <w:t>Hunter,</w:t>
      </w:r>
      <w:r w:rsidRPr="00545F75">
        <w:rPr>
          <w:i/>
          <w:color w:val="000000" w:themeColor="text1"/>
        </w:rPr>
        <w:t> </w:t>
      </w:r>
      <w:r w:rsidRPr="00545F75">
        <w:rPr>
          <w:bCs/>
          <w:i/>
          <w:color w:val="000000" w:themeColor="text1"/>
        </w:rPr>
        <w:t>D.J</w:t>
      </w:r>
      <w:r w:rsidRPr="00545F75">
        <w:rPr>
          <w:bCs/>
          <w:color w:val="000000" w:themeColor="text1"/>
        </w:rPr>
        <w:t>. The Changing Roles of Health Care Personnel in Health and Health Care Management</w:t>
      </w:r>
      <w:r w:rsidRPr="00545F75">
        <w:rPr>
          <w:color w:val="000000" w:themeColor="text1"/>
          <w:shd w:val="clear" w:color="auto" w:fill="FFFFFF"/>
        </w:rPr>
        <w:t xml:space="preserve">. </w:t>
      </w:r>
      <w:r w:rsidRPr="00545F75">
        <w:rPr>
          <w:color w:val="000000" w:themeColor="text1"/>
          <w:szCs w:val="14"/>
        </w:rPr>
        <w:t>Soc Sci Med 1991; 43: 799–808</w:t>
      </w:r>
    </w:p>
    <w:p w:rsidR="002A75D3" w:rsidRPr="00545F75" w:rsidRDefault="002A75D3" w:rsidP="002A75D3">
      <w:pPr>
        <w:pStyle w:val="FootnoteText"/>
        <w:numPr>
          <w:ilvl w:val="0"/>
          <w:numId w:val="1"/>
        </w:numPr>
        <w:tabs>
          <w:tab w:val="left" w:pos="270"/>
          <w:tab w:val="left" w:pos="540"/>
          <w:tab w:val="left" w:pos="8640"/>
        </w:tabs>
        <w:spacing w:before="2" w:line="480" w:lineRule="auto"/>
        <w:ind w:left="360" w:right="0"/>
        <w:jc w:val="left"/>
        <w:rPr>
          <w:color w:val="000000" w:themeColor="text1"/>
        </w:rPr>
      </w:pPr>
      <w:r w:rsidRPr="00545F75">
        <w:rPr>
          <w:color w:val="000000" w:themeColor="text1"/>
        </w:rPr>
        <w:t xml:space="preserve"> </w:t>
      </w:r>
      <w:r w:rsidRPr="00545F75">
        <w:rPr>
          <w:i/>
          <w:color w:val="000000" w:themeColor="text1"/>
        </w:rPr>
        <w:t>Vlahovic, Z.</w:t>
      </w:r>
      <w:r w:rsidRPr="00545F75">
        <w:rPr>
          <w:color w:val="000000" w:themeColor="text1"/>
        </w:rPr>
        <w:t xml:space="preserve"> </w:t>
      </w:r>
      <w:r w:rsidRPr="00545F75">
        <w:rPr>
          <w:i/>
          <w:color w:val="000000" w:themeColor="text1"/>
        </w:rPr>
        <w:t>&amp; Radojkovic, D.</w:t>
      </w:r>
      <w:r w:rsidRPr="00545F75">
        <w:rPr>
          <w:color w:val="000000" w:themeColor="text1"/>
        </w:rPr>
        <w:t xml:space="preserve"> Healthcare in Serbia in transition period, EPMA J</w:t>
      </w:r>
      <w:r w:rsidRPr="00545F75">
        <w:rPr>
          <w:color w:val="000000" w:themeColor="text1"/>
          <w:lang w:val="sr-Cyrl-CS"/>
        </w:rPr>
        <w:t>;</w:t>
      </w:r>
      <w:r w:rsidRPr="00545F75">
        <w:rPr>
          <w:color w:val="000000" w:themeColor="text1"/>
        </w:rPr>
        <w:t xml:space="preserve"> 2010</w:t>
      </w:r>
      <w:r w:rsidRPr="00545F75">
        <w:rPr>
          <w:color w:val="000000" w:themeColor="text1"/>
          <w:lang w:val="sr-Cyrl-CS"/>
        </w:rPr>
        <w:t>,</w:t>
      </w:r>
      <w:r w:rsidRPr="00545F75">
        <w:rPr>
          <w:color w:val="000000" w:themeColor="text1"/>
        </w:rPr>
        <w:t xml:space="preserve"> </w:t>
      </w:r>
      <w:r w:rsidRPr="00545F75">
        <w:rPr>
          <w:b/>
          <w:color w:val="000000" w:themeColor="text1"/>
        </w:rPr>
        <w:t>1</w:t>
      </w:r>
      <w:r w:rsidRPr="00545F75">
        <w:rPr>
          <w:color w:val="000000" w:themeColor="text1"/>
        </w:rPr>
        <w:t xml:space="preserve">(4). p. 606 </w:t>
      </w:r>
    </w:p>
    <w:p w:rsidR="002A75D3" w:rsidRPr="00545F75" w:rsidRDefault="002A75D3" w:rsidP="002A75D3">
      <w:pPr>
        <w:pStyle w:val="FootnoteText"/>
        <w:numPr>
          <w:ilvl w:val="0"/>
          <w:numId w:val="1"/>
        </w:numPr>
        <w:tabs>
          <w:tab w:val="left" w:pos="180"/>
        </w:tabs>
        <w:spacing w:line="480" w:lineRule="auto"/>
        <w:ind w:left="360" w:right="0"/>
        <w:rPr>
          <w:color w:val="000000" w:themeColor="text1"/>
        </w:rPr>
      </w:pPr>
      <w:r w:rsidRPr="00545F75">
        <w:rPr>
          <w:i/>
          <w:color w:val="000000" w:themeColor="text1"/>
        </w:rPr>
        <w:t xml:space="preserve">   Figueras, J., McKee, M., Mossialos, E. &amp; Saltman, R. B. </w:t>
      </w:r>
      <w:r w:rsidRPr="00545F75">
        <w:rPr>
          <w:color w:val="000000" w:themeColor="text1"/>
        </w:rPr>
        <w:t xml:space="preserve">(eds.). </w:t>
      </w:r>
      <w:r w:rsidRPr="00545F75">
        <w:rPr>
          <w:iCs/>
          <w:color w:val="000000" w:themeColor="text1"/>
        </w:rPr>
        <w:t>Human resources for health in Europe</w:t>
      </w:r>
      <w:r w:rsidRPr="00545F75">
        <w:rPr>
          <w:color w:val="000000" w:themeColor="text1"/>
        </w:rPr>
        <w:t>. Open University Press, Maidenhead, Berkshire, UK; 2006, p. 125.</w:t>
      </w:r>
    </w:p>
    <w:p w:rsidR="002A75D3" w:rsidRPr="00545F75" w:rsidRDefault="002A75D3" w:rsidP="002A75D3">
      <w:pPr>
        <w:pStyle w:val="FootnoteText"/>
        <w:numPr>
          <w:ilvl w:val="0"/>
          <w:numId w:val="1"/>
        </w:numPr>
        <w:spacing w:line="480" w:lineRule="auto"/>
        <w:ind w:left="360" w:right="0"/>
        <w:jc w:val="left"/>
        <w:rPr>
          <w:color w:val="000000" w:themeColor="text1"/>
        </w:rPr>
      </w:pPr>
      <w:r w:rsidRPr="00545F75">
        <w:rPr>
          <w:i/>
          <w:color w:val="000000" w:themeColor="text1"/>
        </w:rPr>
        <w:t>Institut za javno zdravlje Republike Srbije.</w:t>
      </w:r>
      <w:r w:rsidRPr="00545F75">
        <w:rPr>
          <w:color w:val="000000" w:themeColor="text1"/>
        </w:rPr>
        <w:t xml:space="preserve"> Izveštаj o unаpređenju kvаlitetа rаdа u zdrаvstvenim ustаnovаmа Republike Srbije u 2008. godini. Beogrаd, 2009.</w:t>
      </w:r>
    </w:p>
    <w:p w:rsidR="002A75D3" w:rsidRPr="00545F75" w:rsidRDefault="002A75D3" w:rsidP="002A75D3">
      <w:pPr>
        <w:pStyle w:val="FootnoteText"/>
        <w:numPr>
          <w:ilvl w:val="0"/>
          <w:numId w:val="1"/>
        </w:numPr>
        <w:spacing w:line="480" w:lineRule="auto"/>
        <w:ind w:left="360" w:right="0"/>
        <w:jc w:val="left"/>
        <w:rPr>
          <w:color w:val="000000" w:themeColor="text1"/>
        </w:rPr>
      </w:pPr>
      <w:r w:rsidRPr="00545F75">
        <w:rPr>
          <w:i/>
          <w:color w:val="000000" w:themeColor="text1"/>
        </w:rPr>
        <w:t>Institut za javno zdravlje Republike Srbije.</w:t>
      </w:r>
      <w:r>
        <w:rPr>
          <w:i/>
          <w:color w:val="000000" w:themeColor="text1"/>
        </w:rPr>
        <w:t xml:space="preserve"> </w:t>
      </w:r>
      <w:r w:rsidRPr="00545F75">
        <w:rPr>
          <w:color w:val="000000" w:themeColor="text1"/>
        </w:rPr>
        <w:t>Izveštаj o unаpređenju kvаlitetа rаdа u zdrаvstvenim ustаnovаmа Republike Srbije u 2009. godini. Beograd, 2010.</w:t>
      </w:r>
    </w:p>
    <w:p w:rsidR="002A75D3" w:rsidRPr="00545F75" w:rsidRDefault="002A75D3" w:rsidP="002A75D3">
      <w:pPr>
        <w:pStyle w:val="FootnoteText"/>
        <w:numPr>
          <w:ilvl w:val="0"/>
          <w:numId w:val="1"/>
        </w:numPr>
        <w:spacing w:line="480" w:lineRule="auto"/>
        <w:ind w:left="360" w:right="0"/>
        <w:jc w:val="left"/>
        <w:rPr>
          <w:color w:val="000000" w:themeColor="text1"/>
        </w:rPr>
      </w:pPr>
      <w:r w:rsidRPr="00545F75">
        <w:rPr>
          <w:i/>
          <w:color w:val="000000" w:themeColor="text1"/>
        </w:rPr>
        <w:t>Institut za javno zdravlje Republike Srbije</w:t>
      </w:r>
      <w:r>
        <w:rPr>
          <w:i/>
          <w:color w:val="000000" w:themeColor="text1"/>
        </w:rPr>
        <w:t xml:space="preserve"> </w:t>
      </w:r>
      <w:r w:rsidRPr="00545F75">
        <w:rPr>
          <w:i/>
          <w:color w:val="000000" w:themeColor="text1"/>
        </w:rPr>
        <w:t>.</w:t>
      </w:r>
      <w:r w:rsidRPr="00545F75">
        <w:rPr>
          <w:color w:val="000000" w:themeColor="text1"/>
        </w:rPr>
        <w:t xml:space="preserve">Izveštаj o unаpređenju kvаlitetа rаdа u zdrаvstvenim ustаnovаmа Republike Srbije u 2010. godini. Beogrаd, 2011. </w:t>
      </w:r>
    </w:p>
    <w:p w:rsidR="002A75D3" w:rsidRPr="00545F75" w:rsidRDefault="002A75D3" w:rsidP="002A75D3">
      <w:pPr>
        <w:pStyle w:val="ListParagraph"/>
        <w:numPr>
          <w:ilvl w:val="0"/>
          <w:numId w:val="1"/>
        </w:numPr>
        <w:spacing w:line="480" w:lineRule="auto"/>
        <w:ind w:left="360" w:right="0"/>
        <w:jc w:val="left"/>
        <w:rPr>
          <w:color w:val="000000" w:themeColor="text1"/>
        </w:rPr>
      </w:pPr>
      <w:r w:rsidRPr="00545F75">
        <w:rPr>
          <w:i/>
          <w:color w:val="000000" w:themeColor="text1"/>
        </w:rPr>
        <w:t>Gould-Williams, J.</w:t>
      </w:r>
      <w:r w:rsidRPr="00545F75">
        <w:rPr>
          <w:color w:val="000000" w:themeColor="text1"/>
        </w:rPr>
        <w:t xml:space="preserve"> The importance of HR practices and workforce trust in achieving superior performance: a study of public-sector organizations. International Journal of Human Resources Management 2003, </w:t>
      </w:r>
      <w:r w:rsidRPr="00545F75">
        <w:rPr>
          <w:b/>
          <w:color w:val="000000" w:themeColor="text1"/>
        </w:rPr>
        <w:t>14</w:t>
      </w:r>
      <w:r w:rsidRPr="00545F75">
        <w:rPr>
          <w:color w:val="000000" w:themeColor="text1"/>
        </w:rPr>
        <w:t>(1), p.28–54</w:t>
      </w:r>
    </w:p>
    <w:p w:rsidR="002A75D3" w:rsidRPr="00545F75" w:rsidRDefault="002A75D3" w:rsidP="002A75D3">
      <w:pPr>
        <w:pStyle w:val="ListParagraph"/>
        <w:numPr>
          <w:ilvl w:val="0"/>
          <w:numId w:val="1"/>
        </w:numPr>
        <w:spacing w:line="480" w:lineRule="auto"/>
        <w:ind w:left="360" w:right="0"/>
        <w:jc w:val="left"/>
        <w:rPr>
          <w:color w:val="000000" w:themeColor="text1"/>
        </w:rPr>
      </w:pPr>
      <w:r w:rsidRPr="00545F75">
        <w:rPr>
          <w:i/>
          <w:color w:val="000000" w:themeColor="text1"/>
          <w:kern w:val="1"/>
          <w:szCs w:val="26"/>
        </w:rPr>
        <w:t>The World Bank, IBDR-IDA.</w:t>
      </w:r>
      <w:r w:rsidRPr="00545F75">
        <w:rPr>
          <w:color w:val="000000" w:themeColor="text1"/>
          <w:kern w:val="1"/>
          <w:szCs w:val="26"/>
        </w:rPr>
        <w:t xml:space="preserve"> Projects &amp; Operations. Доступно на: http://www.worldbank.org/projects/P077675/health-project-serbia?lang=en (2015/11/1)</w:t>
      </w:r>
    </w:p>
    <w:p w:rsidR="002A75D3" w:rsidRPr="00545F75" w:rsidRDefault="002A75D3" w:rsidP="002A75D3">
      <w:pPr>
        <w:pStyle w:val="ListParagraph"/>
        <w:numPr>
          <w:ilvl w:val="0"/>
          <w:numId w:val="1"/>
        </w:numPr>
        <w:spacing w:line="480" w:lineRule="auto"/>
        <w:ind w:left="360" w:right="0"/>
        <w:jc w:val="left"/>
        <w:rPr>
          <w:rFonts w:cstheme="minorBidi"/>
          <w:color w:val="000000" w:themeColor="text1"/>
        </w:rPr>
      </w:pPr>
      <w:r w:rsidRPr="00545F75">
        <w:rPr>
          <w:rFonts w:cs="Arial"/>
          <w:i/>
          <w:color w:val="000000" w:themeColor="text1"/>
          <w:szCs w:val="32"/>
        </w:rPr>
        <w:t xml:space="preserve">The Delegation of the European Union to the Republic of Serbia. </w:t>
      </w:r>
      <w:r w:rsidRPr="00545F75">
        <w:rPr>
          <w:rFonts w:cs="Arial"/>
          <w:color w:val="000000" w:themeColor="text1"/>
          <w:szCs w:val="32"/>
        </w:rPr>
        <w:t>Projects Activities. Avaiable from: http://www.europa.rs/en/projects/projektne_aktivnosti/1089 (2014/11/9)</w:t>
      </w:r>
    </w:p>
    <w:p w:rsidR="002A75D3" w:rsidRPr="00545F75" w:rsidRDefault="002A75D3" w:rsidP="002A75D3">
      <w:pPr>
        <w:pStyle w:val="ListParagraph"/>
        <w:numPr>
          <w:ilvl w:val="0"/>
          <w:numId w:val="1"/>
        </w:numPr>
        <w:spacing w:line="480" w:lineRule="auto"/>
        <w:ind w:left="360" w:right="0"/>
        <w:jc w:val="left"/>
        <w:rPr>
          <w:color w:val="000000" w:themeColor="text1"/>
          <w:lang w:val="en-US"/>
        </w:rPr>
      </w:pPr>
      <w:r w:rsidRPr="00545F75">
        <w:rPr>
          <w:i/>
          <w:color w:val="000000" w:themeColor="text1"/>
        </w:rPr>
        <w:t>Serbia Health Project.</w:t>
      </w:r>
      <w:r w:rsidRPr="00545F75">
        <w:rPr>
          <w:color w:val="000000" w:themeColor="text1"/>
        </w:rPr>
        <w:t xml:space="preserve"> </w:t>
      </w:r>
      <w:r w:rsidRPr="00545F75">
        <w:rPr>
          <w:bCs/>
          <w:color w:val="000000" w:themeColor="text1"/>
          <w:szCs w:val="36"/>
        </w:rPr>
        <w:t>Support to the Improvement of Management. Avaiable from:</w:t>
      </w:r>
      <w:r w:rsidRPr="00545F75">
        <w:rPr>
          <w:color w:val="000000" w:themeColor="text1"/>
        </w:rPr>
        <w:t xml:space="preserve"> http://www.shp.gov.rs/index.php?menu=293&amp;lang=2 (2015/11/1)</w:t>
      </w:r>
    </w:p>
    <w:p w:rsidR="002A75D3" w:rsidRPr="00545F75" w:rsidRDefault="002A75D3" w:rsidP="002A75D3">
      <w:pPr>
        <w:pStyle w:val="ListParagraph"/>
        <w:numPr>
          <w:ilvl w:val="0"/>
          <w:numId w:val="1"/>
        </w:numPr>
        <w:spacing w:line="480" w:lineRule="auto"/>
        <w:ind w:left="360" w:right="0"/>
        <w:jc w:val="left"/>
        <w:rPr>
          <w:color w:val="000000" w:themeColor="text1"/>
          <w:lang w:val="en-US"/>
        </w:rPr>
      </w:pPr>
      <w:r w:rsidRPr="00545F75">
        <w:rPr>
          <w:i/>
          <w:color w:val="000000" w:themeColor="text1"/>
        </w:rPr>
        <w:t>White, B.</w:t>
      </w:r>
      <w:r w:rsidRPr="00545F75">
        <w:rPr>
          <w:color w:val="000000" w:themeColor="text1"/>
        </w:rPr>
        <w:t xml:space="preserve"> </w:t>
      </w:r>
      <w:r w:rsidRPr="00545F75">
        <w:rPr>
          <w:rFonts w:eastAsia="TimesNewRoman"/>
          <w:color w:val="000000" w:themeColor="text1"/>
          <w:szCs w:val="72"/>
        </w:rPr>
        <w:t xml:space="preserve">Seven Qualities of a Good Leader. </w:t>
      </w:r>
      <w:r w:rsidRPr="00545F75">
        <w:rPr>
          <w:color w:val="000000" w:themeColor="text1"/>
        </w:rPr>
        <w:t>Avaiable</w:t>
      </w:r>
      <w:r w:rsidRPr="00545F75">
        <w:rPr>
          <w:bCs/>
          <w:color w:val="000000" w:themeColor="text1"/>
        </w:rPr>
        <w:t xml:space="preserve"> from: http://</w:t>
      </w:r>
      <w:r w:rsidRPr="00545F75">
        <w:rPr>
          <w:color w:val="000000" w:themeColor="text1"/>
        </w:rPr>
        <w:t>www.groco.com/readingroom/bus_goodleader.aspx  (2014/12/15)</w:t>
      </w:r>
    </w:p>
    <w:p w:rsidR="002A75D3" w:rsidRPr="00545F75" w:rsidRDefault="002A75D3" w:rsidP="002A75D3">
      <w:pPr>
        <w:pStyle w:val="FootnoteText"/>
        <w:numPr>
          <w:ilvl w:val="0"/>
          <w:numId w:val="1"/>
        </w:numPr>
        <w:spacing w:line="480" w:lineRule="auto"/>
        <w:ind w:left="360" w:right="0"/>
        <w:rPr>
          <w:color w:val="000000" w:themeColor="text1"/>
        </w:rPr>
      </w:pPr>
      <w:r w:rsidRPr="00545F75">
        <w:rPr>
          <w:i/>
          <w:color w:val="000000" w:themeColor="text1"/>
          <w:szCs w:val="26"/>
        </w:rPr>
        <w:t>Spehar, I., Frich, J.C. &amp; Kjekshus, L.E.</w:t>
      </w:r>
      <w:r w:rsidRPr="00545F75">
        <w:rPr>
          <w:color w:val="000000" w:themeColor="text1"/>
          <w:szCs w:val="26"/>
        </w:rPr>
        <w:t xml:space="preserve"> Clinicians in management: a qualitative study of managers’ use of influence strategies in hospitals. BMC Health Services Research 2014; </w:t>
      </w:r>
      <w:r w:rsidRPr="00545F75">
        <w:rPr>
          <w:b/>
          <w:color w:val="000000" w:themeColor="text1"/>
          <w:szCs w:val="26"/>
        </w:rPr>
        <w:t>14</w:t>
      </w:r>
      <w:r w:rsidRPr="00545F75">
        <w:rPr>
          <w:color w:val="000000" w:themeColor="text1"/>
          <w:szCs w:val="26"/>
        </w:rPr>
        <w:t>:251.</w:t>
      </w:r>
    </w:p>
    <w:p w:rsidR="002A75D3" w:rsidRPr="00545F75" w:rsidRDefault="002A75D3" w:rsidP="002A75D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360"/>
        <w:rPr>
          <w:rFonts w:cs="Times"/>
          <w:color w:val="000000" w:themeColor="text1"/>
          <w:szCs w:val="60"/>
        </w:rPr>
      </w:pPr>
      <w:r w:rsidRPr="00545F75">
        <w:rPr>
          <w:rFonts w:cs="Times"/>
          <w:color w:val="000000" w:themeColor="text1"/>
          <w:szCs w:val="28"/>
        </w:rPr>
        <w:t xml:space="preserve">Jones, J.L. </w:t>
      </w:r>
      <w:r w:rsidRPr="00545F75">
        <w:rPr>
          <w:rFonts w:cs="Times"/>
          <w:color w:val="000000" w:themeColor="text1"/>
          <w:szCs w:val="32"/>
        </w:rPr>
        <w:t xml:space="preserve">Read more: </w:t>
      </w:r>
      <w:r w:rsidRPr="00545F75">
        <w:rPr>
          <w:rFonts w:cs="Times"/>
          <w:color w:val="000000" w:themeColor="text1"/>
          <w:szCs w:val="60"/>
        </w:rPr>
        <w:t>What Is Health Care Management?</w:t>
      </w:r>
    </w:p>
    <w:p w:rsidR="002A75D3" w:rsidRPr="00545F75" w:rsidRDefault="002A75D3" w:rsidP="002A75D3">
      <w:pPr>
        <w:pStyle w:val="ListParagraph"/>
        <w:spacing w:line="480" w:lineRule="auto"/>
        <w:ind w:left="360" w:firstLine="0"/>
        <w:rPr>
          <w:color w:val="000000" w:themeColor="text1"/>
        </w:rPr>
      </w:pPr>
      <w:r w:rsidRPr="00545F75">
        <w:rPr>
          <w:rFonts w:cs="Times"/>
          <w:color w:val="000000" w:themeColor="text1"/>
          <w:szCs w:val="32"/>
        </w:rPr>
        <w:t>http://www.ehow.com/about_5538861_health-care-management.html  (Available 2015/11/1)</w:t>
      </w:r>
    </w:p>
    <w:p w:rsidR="002A75D3" w:rsidRPr="00545F75" w:rsidRDefault="002A75D3" w:rsidP="002A75D3">
      <w:pPr>
        <w:pStyle w:val="FootnoteText"/>
        <w:numPr>
          <w:ilvl w:val="0"/>
          <w:numId w:val="1"/>
        </w:numPr>
        <w:tabs>
          <w:tab w:val="left" w:pos="180"/>
        </w:tabs>
        <w:spacing w:line="480" w:lineRule="auto"/>
        <w:ind w:left="360" w:right="0"/>
        <w:rPr>
          <w:color w:val="000000" w:themeColor="text1"/>
        </w:rPr>
      </w:pPr>
      <w:r w:rsidRPr="008B2123">
        <w:rPr>
          <w:rFonts w:cs="Arial"/>
          <w:i/>
          <w:color w:val="000000" w:themeColor="text1"/>
          <w:u w:color="262626"/>
        </w:rPr>
        <w:t>McKee, M. &amp; Dubois, C.A.</w:t>
      </w:r>
      <w:r w:rsidRPr="008B2123">
        <w:rPr>
          <w:rFonts w:cs="Arial"/>
          <w:color w:val="000000" w:themeColor="text1"/>
          <w:u w:color="262626"/>
        </w:rPr>
        <w:t xml:space="preserve"> </w:t>
      </w:r>
      <w:r w:rsidRPr="008B2123">
        <w:rPr>
          <w:rFonts w:cs="Arial"/>
          <w:bCs/>
          <w:color w:val="000000" w:themeColor="text1"/>
          <w:szCs w:val="32"/>
          <w:u w:color="262626"/>
        </w:rPr>
        <w:t>Health systems in transition in Central and Eastern Europe.</w:t>
      </w:r>
      <w:r w:rsidRPr="008B2123">
        <w:rPr>
          <w:rFonts w:cs="Arial"/>
          <w:color w:val="000000" w:themeColor="text1"/>
          <w:szCs w:val="22"/>
          <w:u w:color="262626"/>
        </w:rPr>
        <w:t xml:space="preserve"> J R Coll Physicians Edinb. 2004;</w:t>
      </w:r>
      <w:r w:rsidRPr="008B2123">
        <w:rPr>
          <w:rFonts w:cs="Arial"/>
          <w:b/>
          <w:color w:val="000000" w:themeColor="text1"/>
          <w:szCs w:val="22"/>
          <w:u w:color="262626"/>
        </w:rPr>
        <w:t>34</w:t>
      </w:r>
      <w:r w:rsidRPr="008B2123">
        <w:rPr>
          <w:rFonts w:cs="Arial"/>
          <w:color w:val="000000" w:themeColor="text1"/>
          <w:szCs w:val="22"/>
          <w:u w:color="262626"/>
        </w:rPr>
        <w:t>(4):305-12.</w:t>
      </w:r>
    </w:p>
    <w:sectPr w:rsidR="002A75D3" w:rsidRPr="00545F75" w:rsidSect="0058266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45DBA"/>
    <w:multiLevelType w:val="hybridMultilevel"/>
    <w:tmpl w:val="E9A60DBE"/>
    <w:lvl w:ilvl="0" w:tplc="3558C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A75D3"/>
    <w:rsid w:val="002A75D3"/>
    <w:rsid w:val="008B2123"/>
  </w:rsids>
  <m:mathPr>
    <m:mathFont m:val="font58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D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A75D3"/>
    <w:pPr>
      <w:ind w:left="720" w:right="284" w:firstLine="567"/>
      <w:contextualSpacing/>
      <w:jc w:val="both"/>
    </w:pPr>
    <w:rPr>
      <w:rFonts w:ascii="Times New Roman" w:eastAsia="Times New Roman" w:hAnsi="Times New Roman" w:cs="Times New Roman"/>
      <w:lang w:val="hr-HR"/>
    </w:rPr>
  </w:style>
  <w:style w:type="paragraph" w:styleId="FootnoteText">
    <w:name w:val="footnote text"/>
    <w:basedOn w:val="Normal"/>
    <w:link w:val="FootnoteTextChar"/>
    <w:unhideWhenUsed/>
    <w:rsid w:val="002A75D3"/>
    <w:pPr>
      <w:ind w:left="284" w:right="284" w:firstLine="567"/>
      <w:jc w:val="both"/>
    </w:pPr>
    <w:rPr>
      <w:rFonts w:ascii="Times New Roman" w:eastAsia="Times New Roman" w:hAnsi="Times New Roman" w:cs="Times New Roman"/>
      <w:lang w:val="hr-HR"/>
    </w:rPr>
  </w:style>
  <w:style w:type="character" w:customStyle="1" w:styleId="FootnoteTextChar">
    <w:name w:val="Footnote Text Char"/>
    <w:basedOn w:val="DefaultParagraphFont"/>
    <w:link w:val="FootnoteText"/>
    <w:rsid w:val="002A75D3"/>
    <w:rPr>
      <w:rFonts w:ascii="Times New Roman" w:eastAsia="Times New Roman" w:hAnsi="Times New Roman" w:cs="Times New Roman"/>
      <w:lang w:val="hr-HR"/>
    </w:rPr>
  </w:style>
  <w:style w:type="paragraph" w:styleId="NormalWeb">
    <w:name w:val="Normal (Web)"/>
    <w:basedOn w:val="Normal"/>
    <w:uiPriority w:val="99"/>
    <w:rsid w:val="002A75D3"/>
    <w:pPr>
      <w:spacing w:beforeLines="1" w:afterLines="1"/>
    </w:pPr>
    <w:rPr>
      <w:rFonts w:ascii="Times" w:hAnsi="Times" w:cs="Times New Roman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Macintosh Word</Application>
  <DocSecurity>0</DocSecurity>
  <Lines>19</Lines>
  <Paragraphs>4</Paragraphs>
  <ScaleCrop>false</ScaleCrop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2015-01-30T10:33:00Z</dcterms:created>
  <dcterms:modified xsi:type="dcterms:W3CDTF">2015-01-30T10:34:00Z</dcterms:modified>
</cp:coreProperties>
</file>