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23" w:rsidRDefault="00F82623"/>
    <w:p w:rsidR="008A27E5" w:rsidRDefault="008A27E5"/>
    <w:p w:rsidR="008A27E5" w:rsidRPr="001C3D1B" w:rsidRDefault="008A27E5" w:rsidP="008A27E5">
      <w:pPr>
        <w:spacing w:after="0" w:line="360" w:lineRule="auto"/>
        <w:jc w:val="both"/>
        <w:rPr>
          <w:rFonts w:cs="Times New Roman"/>
          <w:szCs w:val="24"/>
        </w:rPr>
      </w:pPr>
    </w:p>
    <w:p w:rsidR="008A27E5" w:rsidRPr="001C3D1B" w:rsidRDefault="008A27E5" w:rsidP="008A27E5">
      <w:pPr>
        <w:spacing w:after="0" w:line="360" w:lineRule="auto"/>
        <w:jc w:val="right"/>
        <w:rPr>
          <w:rFonts w:cs="Times New Roman"/>
          <w:szCs w:val="24"/>
        </w:rPr>
      </w:pPr>
      <w:proofErr w:type="gramStart"/>
      <w:r w:rsidRPr="001C3D1B">
        <w:rPr>
          <w:rFonts w:cs="Times New Roman"/>
          <w:szCs w:val="24"/>
        </w:rPr>
        <w:t>Table 1.</w:t>
      </w:r>
      <w:proofErr w:type="gramEnd"/>
    </w:p>
    <w:p w:rsidR="008A27E5" w:rsidRPr="001C3D1B" w:rsidRDefault="008A27E5" w:rsidP="008A27E5">
      <w:pPr>
        <w:spacing w:after="0" w:line="360" w:lineRule="auto"/>
        <w:jc w:val="both"/>
        <w:rPr>
          <w:rFonts w:cs="Times New Roman"/>
          <w:szCs w:val="24"/>
        </w:rPr>
      </w:pPr>
      <w:r w:rsidRPr="001C3D1B">
        <w:rPr>
          <w:rFonts w:cs="Times New Roman"/>
          <w:szCs w:val="24"/>
        </w:rPr>
        <w:t>Characteristics of patients and general interpretation of changes in salivary glands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075"/>
        <w:gridCol w:w="2083"/>
        <w:gridCol w:w="131"/>
        <w:gridCol w:w="1768"/>
        <w:gridCol w:w="1821"/>
        <w:gridCol w:w="1698"/>
      </w:tblGrid>
      <w:tr w:rsidR="008A27E5" w:rsidRPr="001C3D1B" w:rsidTr="00CC422B">
        <w:tc>
          <w:tcPr>
            <w:tcW w:w="6057" w:type="dxa"/>
            <w:gridSpan w:val="4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Characteristic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Number of patients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Sex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Male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20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56%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Female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16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46%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Localization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Parotid gland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33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91,7%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proofErr w:type="spellStart"/>
            <w:r w:rsidRPr="001C3D1B">
              <w:rPr>
                <w:szCs w:val="24"/>
              </w:rPr>
              <w:t>Submandibular</w:t>
            </w:r>
            <w:proofErr w:type="spellEnd"/>
            <w:r w:rsidRPr="001C3D1B">
              <w:rPr>
                <w:szCs w:val="24"/>
              </w:rPr>
              <w:t xml:space="preserve"> gland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2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5,5%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Minor salivary glands in oral cavity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1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2,8%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 xml:space="preserve">Adequacy of FNA sample </w:t>
            </w:r>
          </w:p>
        </w:tc>
        <w:tc>
          <w:tcPr>
            <w:tcW w:w="2083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 xml:space="preserve">Satisfactory </w:t>
            </w:r>
          </w:p>
        </w:tc>
        <w:tc>
          <w:tcPr>
            <w:tcW w:w="1899" w:type="dxa"/>
            <w:gridSpan w:val="2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No limitations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33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91,7%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2083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Satisfactory</w:t>
            </w:r>
          </w:p>
        </w:tc>
        <w:tc>
          <w:tcPr>
            <w:tcW w:w="1899" w:type="dxa"/>
            <w:gridSpan w:val="2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With limitations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3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8,3%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Unsatisfactory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0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0%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General FNA interpretation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Unsatisfactory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/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/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proofErr w:type="spellStart"/>
            <w:r w:rsidRPr="001C3D1B">
              <w:rPr>
                <w:szCs w:val="24"/>
              </w:rPr>
              <w:t>Nondiagnostic</w:t>
            </w:r>
            <w:proofErr w:type="spellEnd"/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3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8,3%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Negative for malignant cells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28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77,8%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Positive for malignant cells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5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13,9%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Specific diagnose in FNA samples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 xml:space="preserve">Confirmed 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26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72%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Not confirmed (descriptive report)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10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28%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Interpretation in FS samples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Benign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21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91,3%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Malignant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2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8,7%</w:t>
            </w:r>
          </w:p>
        </w:tc>
      </w:tr>
      <w:tr w:rsidR="008A27E5" w:rsidRPr="001C3D1B" w:rsidTr="00CC422B">
        <w:tc>
          <w:tcPr>
            <w:tcW w:w="2075" w:type="dxa"/>
            <w:vMerge w:val="restart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Definitive HP diagnosis</w:t>
            </w:r>
          </w:p>
        </w:tc>
        <w:tc>
          <w:tcPr>
            <w:tcW w:w="3982" w:type="dxa"/>
            <w:gridSpan w:val="3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Non tumor lesion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7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19,4%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2214" w:type="dxa"/>
            <w:gridSpan w:val="2"/>
            <w:vMerge w:val="restart"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  <w:r w:rsidRPr="001C3D1B">
              <w:rPr>
                <w:szCs w:val="24"/>
              </w:rPr>
              <w:t>Tumor lesion</w:t>
            </w:r>
          </w:p>
        </w:tc>
        <w:tc>
          <w:tcPr>
            <w:tcW w:w="176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Benign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23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64%</w:t>
            </w:r>
          </w:p>
        </w:tc>
      </w:tr>
      <w:tr w:rsidR="008A27E5" w:rsidRPr="001C3D1B" w:rsidTr="00CC422B">
        <w:tc>
          <w:tcPr>
            <w:tcW w:w="2075" w:type="dxa"/>
            <w:vMerge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</w:p>
        </w:tc>
        <w:tc>
          <w:tcPr>
            <w:tcW w:w="2214" w:type="dxa"/>
            <w:gridSpan w:val="2"/>
            <w:vMerge/>
          </w:tcPr>
          <w:p w:rsidR="008A27E5" w:rsidRPr="001C3D1B" w:rsidRDefault="008A27E5" w:rsidP="00CC422B">
            <w:pPr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76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Malignant</w:t>
            </w:r>
          </w:p>
        </w:tc>
        <w:tc>
          <w:tcPr>
            <w:tcW w:w="1821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6</w:t>
            </w:r>
          </w:p>
        </w:tc>
        <w:tc>
          <w:tcPr>
            <w:tcW w:w="1698" w:type="dxa"/>
          </w:tcPr>
          <w:p w:rsidR="008A27E5" w:rsidRPr="001C3D1B" w:rsidRDefault="008A27E5" w:rsidP="00CC422B">
            <w:pPr>
              <w:spacing w:line="360" w:lineRule="auto"/>
              <w:rPr>
                <w:szCs w:val="24"/>
              </w:rPr>
            </w:pPr>
            <w:r w:rsidRPr="001C3D1B">
              <w:rPr>
                <w:szCs w:val="24"/>
              </w:rPr>
              <w:t>16,6%</w:t>
            </w:r>
          </w:p>
        </w:tc>
      </w:tr>
    </w:tbl>
    <w:p w:rsidR="008A27E5" w:rsidRPr="001C3D1B" w:rsidRDefault="008A27E5" w:rsidP="008A27E5">
      <w:pPr>
        <w:spacing w:after="0" w:line="360" w:lineRule="auto"/>
        <w:jc w:val="both"/>
        <w:rPr>
          <w:rFonts w:cs="Times New Roman"/>
          <w:szCs w:val="24"/>
        </w:rPr>
      </w:pPr>
      <w:r w:rsidRPr="001C3D1B">
        <w:rPr>
          <w:rFonts w:cs="Times New Roman"/>
          <w:szCs w:val="24"/>
        </w:rPr>
        <w:t xml:space="preserve">Legend: FNA- fine- needle aspiration; </w:t>
      </w:r>
      <w:r w:rsidRPr="001C3D1B">
        <w:rPr>
          <w:rFonts w:cs="Times New Roman"/>
          <w:szCs w:val="24"/>
          <w:lang w:val="sr-Latn-CS"/>
        </w:rPr>
        <w:t xml:space="preserve">FS - </w:t>
      </w:r>
      <w:r w:rsidRPr="001C3D1B">
        <w:rPr>
          <w:rStyle w:val="hps"/>
          <w:rFonts w:cs="Times New Roman"/>
          <w:szCs w:val="24"/>
          <w:lang w:val="hr-HR"/>
        </w:rPr>
        <w:t>frozen section; HP – histopathological.</w:t>
      </w:r>
    </w:p>
    <w:p w:rsidR="008A27E5" w:rsidRDefault="008A27E5"/>
    <w:p w:rsidR="008A27E5" w:rsidRDefault="008A27E5"/>
    <w:p w:rsidR="008A27E5" w:rsidRDefault="008A27E5" w:rsidP="008A27E5">
      <w:pPr>
        <w:spacing w:after="0" w:line="360" w:lineRule="auto"/>
        <w:jc w:val="right"/>
        <w:rPr>
          <w:rFonts w:cs="Times New Roman"/>
          <w:szCs w:val="24"/>
        </w:rPr>
      </w:pPr>
      <w:proofErr w:type="gramStart"/>
      <w:r w:rsidRPr="001C3D1B">
        <w:rPr>
          <w:rFonts w:cs="Times New Roman"/>
          <w:szCs w:val="24"/>
        </w:rPr>
        <w:lastRenderedPageBreak/>
        <w:t>Table 2.</w:t>
      </w:r>
      <w:proofErr w:type="gramEnd"/>
    </w:p>
    <w:p w:rsidR="008A27E5" w:rsidRPr="001C3D1B" w:rsidRDefault="008A27E5" w:rsidP="008A27E5">
      <w:pPr>
        <w:spacing w:after="0" w:line="360" w:lineRule="auto"/>
        <w:jc w:val="both"/>
        <w:rPr>
          <w:rFonts w:cs="Times New Roman"/>
          <w:color w:val="FF0000"/>
          <w:szCs w:val="24"/>
        </w:rPr>
      </w:pPr>
      <w:r w:rsidRPr="001C3D1B">
        <w:rPr>
          <w:rFonts w:cs="Times New Roman"/>
          <w:szCs w:val="24"/>
        </w:rPr>
        <w:t xml:space="preserve">Representation of matching of specific diagnoses in cytological and </w:t>
      </w:r>
      <w:proofErr w:type="spellStart"/>
      <w:r w:rsidRPr="001C3D1B">
        <w:rPr>
          <w:rFonts w:cs="Times New Roman"/>
          <w:szCs w:val="24"/>
        </w:rPr>
        <w:t>hystological</w:t>
      </w:r>
      <w:proofErr w:type="spellEnd"/>
      <w:r w:rsidRPr="001C3D1B">
        <w:rPr>
          <w:rFonts w:cs="Times New Roman"/>
          <w:szCs w:val="24"/>
        </w:rPr>
        <w:t xml:space="preserve"> material</w:t>
      </w:r>
    </w:p>
    <w:tbl>
      <w:tblPr>
        <w:tblW w:w="0" w:type="auto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1890"/>
        <w:gridCol w:w="1710"/>
        <w:gridCol w:w="1260"/>
        <w:gridCol w:w="3240"/>
      </w:tblGrid>
      <w:tr w:rsidR="008A27E5" w:rsidRPr="001C3D1B" w:rsidTr="00CC422B">
        <w:tc>
          <w:tcPr>
            <w:tcW w:w="720" w:type="dxa"/>
            <w:tcBorders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FNA diagnosis</w:t>
            </w: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Number of patients</w:t>
            </w:r>
          </w:p>
        </w:tc>
        <w:tc>
          <w:tcPr>
            <w:tcW w:w="45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1C3D1B">
              <w:rPr>
                <w:rFonts w:cs="Times New Roman"/>
                <w:szCs w:val="24"/>
              </w:rPr>
              <w:t>Histopathological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diagnosis</w:t>
            </w:r>
          </w:p>
        </w:tc>
      </w:tr>
      <w:tr w:rsidR="008A27E5" w:rsidRPr="001C3D1B" w:rsidTr="00CC422B">
        <w:tc>
          <w:tcPr>
            <w:tcW w:w="720" w:type="dxa"/>
            <w:tcBorders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Congruous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Incongruous</w:t>
            </w: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1.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 xml:space="preserve">Tumor </w:t>
            </w:r>
            <w:proofErr w:type="spellStart"/>
            <w:r w:rsidRPr="001C3D1B">
              <w:rPr>
                <w:rFonts w:cs="Times New Roman"/>
                <w:szCs w:val="24"/>
              </w:rPr>
              <w:t>mixtus</w:t>
            </w:r>
            <w:proofErr w:type="spellEnd"/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16</w:t>
            </w: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 xml:space="preserve">4 (1 </w:t>
            </w:r>
            <w:proofErr w:type="spellStart"/>
            <w:r w:rsidRPr="001C3D1B">
              <w:rPr>
                <w:rFonts w:cs="Times New Roman"/>
                <w:szCs w:val="24"/>
              </w:rPr>
              <w:t>lymphoepithelial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cysts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,1 Schwannoma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, 1 abscess</w:t>
            </w:r>
            <w:r w:rsidRPr="001C3D1B">
              <w:rPr>
                <w:rFonts w:cs="Times New Roman"/>
                <w:szCs w:val="24"/>
                <w:vertAlign w:val="superscript"/>
              </w:rPr>
              <w:t>2</w:t>
            </w:r>
            <w:r w:rsidRPr="001C3D1B">
              <w:rPr>
                <w:rFonts w:cs="Times New Roman"/>
                <w:szCs w:val="24"/>
              </w:rPr>
              <w:t xml:space="preserve">, 1 </w:t>
            </w:r>
            <w:proofErr w:type="spellStart"/>
            <w:r w:rsidRPr="001C3D1B">
              <w:rPr>
                <w:rFonts w:cs="Times New Roman"/>
                <w:szCs w:val="24"/>
              </w:rPr>
              <w:t>Warthin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tumor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)</w:t>
            </w: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2.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1C3D1B">
              <w:rPr>
                <w:rFonts w:cs="Times New Roman"/>
                <w:szCs w:val="24"/>
              </w:rPr>
              <w:t>Warthin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tumor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proofErr w:type="spellStart"/>
            <w:r w:rsidRPr="001C3D1B">
              <w:rPr>
                <w:rFonts w:cs="Times New Roman"/>
                <w:szCs w:val="24"/>
              </w:rPr>
              <w:t>Squamous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carcinoma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4.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Description: benign inflammation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 xml:space="preserve">5 ( 3 </w:t>
            </w:r>
            <w:proofErr w:type="spellStart"/>
            <w:r w:rsidRPr="001C3D1B">
              <w:rPr>
                <w:rFonts w:cs="Times New Roman"/>
                <w:szCs w:val="24"/>
              </w:rPr>
              <w:t>lymphoepithelial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cysts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 xml:space="preserve">, 1 reactive lymphadenitis, 1 </w:t>
            </w:r>
            <w:proofErr w:type="spellStart"/>
            <w:r w:rsidRPr="001C3D1B">
              <w:rPr>
                <w:rFonts w:cs="Times New Roman"/>
                <w:szCs w:val="24"/>
              </w:rPr>
              <w:t>mucoepidermoid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carcinoma </w:t>
            </w:r>
            <w:r w:rsidRPr="001C3D1B">
              <w:rPr>
                <w:rFonts w:cs="Times New Roman"/>
                <w:szCs w:val="24"/>
                <w:vertAlign w:val="superscript"/>
              </w:rPr>
              <w:t>3</w:t>
            </w:r>
            <w:r w:rsidRPr="001C3D1B">
              <w:rPr>
                <w:rFonts w:cs="Times New Roman"/>
                <w:szCs w:val="24"/>
              </w:rPr>
              <w:t>)</w:t>
            </w: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5.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i/>
                <w:szCs w:val="24"/>
              </w:rPr>
            </w:pPr>
            <w:proofErr w:type="spellStart"/>
            <w:r w:rsidRPr="001C3D1B">
              <w:rPr>
                <w:rFonts w:cs="Times New Roman"/>
                <w:szCs w:val="24"/>
              </w:rPr>
              <w:t>Desciption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: malignant </w:t>
            </w:r>
            <w:r w:rsidRPr="001C3D1B">
              <w:rPr>
                <w:rFonts w:cs="Times New Roman"/>
                <w:i/>
                <w:szCs w:val="24"/>
              </w:rPr>
              <w:t>high grade</w:t>
            </w:r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 xml:space="preserve">2 (1 </w:t>
            </w:r>
            <w:proofErr w:type="spellStart"/>
            <w:r w:rsidRPr="001C3D1B">
              <w:rPr>
                <w:rFonts w:cs="Times New Roman"/>
                <w:szCs w:val="24"/>
              </w:rPr>
              <w:t>mucoepidermoid</w:t>
            </w:r>
            <w:proofErr w:type="spellEnd"/>
            <w:r w:rsidRPr="001C3D1B">
              <w:rPr>
                <w:rFonts w:cs="Times New Roman"/>
                <w:szCs w:val="24"/>
              </w:rPr>
              <w:t xml:space="preserve"> carcinoma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, 1 Lymphoma DLBCL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)</w:t>
            </w: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6.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 xml:space="preserve">Description </w:t>
            </w:r>
            <w:proofErr w:type="spellStart"/>
            <w:r w:rsidRPr="001C3D1B">
              <w:rPr>
                <w:rFonts w:cs="Times New Roman"/>
                <w:szCs w:val="24"/>
              </w:rPr>
              <w:t>nondiagnostic</w:t>
            </w:r>
            <w:proofErr w:type="spellEnd"/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 (1 haemangioma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, 1 lipomatosis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 xml:space="preserve">, 1 </w:t>
            </w:r>
            <w:r w:rsidRPr="001C3D1B">
              <w:rPr>
                <w:rFonts w:cs="Times New Roman"/>
                <w:i/>
                <w:szCs w:val="24"/>
              </w:rPr>
              <w:t>salivary duct cysts</w:t>
            </w:r>
            <w:r w:rsidRPr="001C3D1B">
              <w:rPr>
                <w:rFonts w:cs="Times New Roman"/>
                <w:szCs w:val="24"/>
                <w:vertAlign w:val="superscript"/>
              </w:rPr>
              <w:t>1</w:t>
            </w:r>
            <w:r w:rsidRPr="001C3D1B">
              <w:rPr>
                <w:rFonts w:cs="Times New Roman"/>
                <w:szCs w:val="24"/>
              </w:rPr>
              <w:t>)</w:t>
            </w:r>
          </w:p>
        </w:tc>
      </w:tr>
      <w:tr w:rsidR="008A27E5" w:rsidRPr="001C3D1B" w:rsidTr="00CC422B"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Σ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710" w:type="dxa"/>
            <w:tcBorders>
              <w:left w:val="double" w:sz="4" w:space="0" w:color="auto"/>
            </w:tcBorders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36</w:t>
            </w:r>
          </w:p>
        </w:tc>
        <w:tc>
          <w:tcPr>
            <w:tcW w:w="126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22</w:t>
            </w:r>
          </w:p>
        </w:tc>
        <w:tc>
          <w:tcPr>
            <w:tcW w:w="3240" w:type="dxa"/>
            <w:shd w:val="clear" w:color="auto" w:fill="auto"/>
          </w:tcPr>
          <w:p w:rsidR="008A27E5" w:rsidRPr="001C3D1B" w:rsidRDefault="008A27E5" w:rsidP="00CC422B">
            <w:pPr>
              <w:spacing w:after="0" w:line="360" w:lineRule="auto"/>
              <w:jc w:val="both"/>
              <w:rPr>
                <w:rFonts w:cs="Times New Roman"/>
                <w:szCs w:val="24"/>
              </w:rPr>
            </w:pPr>
            <w:r w:rsidRPr="001C3D1B">
              <w:rPr>
                <w:rFonts w:cs="Times New Roman"/>
                <w:szCs w:val="24"/>
              </w:rPr>
              <w:t>14</w:t>
            </w:r>
          </w:p>
        </w:tc>
      </w:tr>
    </w:tbl>
    <w:p w:rsidR="008A27E5" w:rsidRPr="001C3D1B" w:rsidRDefault="008A27E5" w:rsidP="008A27E5">
      <w:pPr>
        <w:spacing w:after="0" w:line="360" w:lineRule="auto"/>
        <w:jc w:val="both"/>
        <w:rPr>
          <w:rFonts w:cs="Times New Roman"/>
          <w:szCs w:val="24"/>
        </w:rPr>
      </w:pPr>
      <w:r w:rsidRPr="001C3D1B">
        <w:rPr>
          <w:rFonts w:cs="Times New Roman"/>
          <w:szCs w:val="24"/>
        </w:rPr>
        <w:t xml:space="preserve">Legend: </w:t>
      </w:r>
      <w:r w:rsidRPr="001C3D1B">
        <w:rPr>
          <w:rFonts w:cs="Times New Roman"/>
          <w:szCs w:val="24"/>
          <w:vertAlign w:val="superscript"/>
        </w:rPr>
        <w:t>1</w:t>
      </w:r>
      <w:r w:rsidRPr="001C3D1B">
        <w:rPr>
          <w:rFonts w:cs="Times New Roman"/>
          <w:szCs w:val="24"/>
        </w:rPr>
        <w:t xml:space="preserve"> - Minimal (insignificant) difference (n=12);</w:t>
      </w:r>
      <w:r w:rsidRPr="001C3D1B">
        <w:rPr>
          <w:rFonts w:cs="Times New Roman"/>
          <w:szCs w:val="24"/>
          <w:vertAlign w:val="superscript"/>
        </w:rPr>
        <w:t xml:space="preserve"> 2</w:t>
      </w:r>
      <w:r w:rsidRPr="001C3D1B">
        <w:rPr>
          <w:rFonts w:cs="Times New Roman"/>
          <w:szCs w:val="24"/>
        </w:rPr>
        <w:t xml:space="preserve">–Difference of medium significance (n=1); </w:t>
      </w:r>
      <w:r w:rsidRPr="001C3D1B">
        <w:rPr>
          <w:rFonts w:cs="Times New Roman"/>
          <w:szCs w:val="24"/>
          <w:vertAlign w:val="superscript"/>
        </w:rPr>
        <w:t xml:space="preserve">3 </w:t>
      </w:r>
      <w:r w:rsidRPr="001C3D1B">
        <w:rPr>
          <w:rFonts w:cs="Times New Roman"/>
          <w:szCs w:val="24"/>
        </w:rPr>
        <w:t xml:space="preserve">- Huge (significant) difference (n=1), DLBCL - </w:t>
      </w:r>
      <w:r w:rsidRPr="001C3D1B">
        <w:rPr>
          <w:rFonts w:cs="Times New Roman"/>
          <w:i/>
          <w:szCs w:val="24"/>
        </w:rPr>
        <w:t>Diffuse large B cell lymphoma</w:t>
      </w:r>
      <w:r w:rsidRPr="001C3D1B">
        <w:rPr>
          <w:rFonts w:cs="Times New Roman"/>
          <w:szCs w:val="24"/>
        </w:rPr>
        <w:t>.</w:t>
      </w:r>
    </w:p>
    <w:p w:rsidR="008A27E5" w:rsidRDefault="008A27E5"/>
    <w:sectPr w:rsidR="008A27E5" w:rsidSect="00F82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A27E5"/>
    <w:rsid w:val="008A27E5"/>
    <w:rsid w:val="00F8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E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8A2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dr Radoslav Gajanin</dc:creator>
  <cp:lastModifiedBy>Prof. dr Radoslav Gajanin</cp:lastModifiedBy>
  <cp:revision>1</cp:revision>
  <dcterms:created xsi:type="dcterms:W3CDTF">2013-10-14T20:51:00Z</dcterms:created>
  <dcterms:modified xsi:type="dcterms:W3CDTF">2013-10-14T20:54:00Z</dcterms:modified>
</cp:coreProperties>
</file>