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915" w:rsidRPr="00FF7B72" w:rsidRDefault="00636DA6" w:rsidP="002E7077">
      <w:pPr>
        <w:spacing w:line="360" w:lineRule="auto"/>
        <w:jc w:val="both"/>
        <w:rPr>
          <w:b/>
          <w:sz w:val="32"/>
          <w:szCs w:val="32"/>
        </w:rPr>
      </w:pPr>
      <w:r w:rsidRPr="00FF7B72">
        <w:rPr>
          <w:b/>
          <w:sz w:val="32"/>
          <w:szCs w:val="32"/>
        </w:rPr>
        <w:t>Significanc</w:t>
      </w:r>
      <w:r w:rsidR="00A1670D" w:rsidRPr="00FF7B72">
        <w:rPr>
          <w:b/>
          <w:sz w:val="32"/>
          <w:szCs w:val="32"/>
        </w:rPr>
        <w:t xml:space="preserve">e of MRI examination of plexus </w:t>
      </w:r>
      <w:r w:rsidRPr="00FF7B72">
        <w:rPr>
          <w:b/>
          <w:sz w:val="32"/>
          <w:szCs w:val="32"/>
        </w:rPr>
        <w:t>brachial in patients with multifocal motor neuropathy</w:t>
      </w:r>
    </w:p>
    <w:p w:rsidR="00636DA6" w:rsidRPr="00EB0650" w:rsidRDefault="00636DA6" w:rsidP="002E7077">
      <w:pPr>
        <w:spacing w:line="360" w:lineRule="auto"/>
        <w:rPr>
          <w:b/>
          <w:color w:val="00B050"/>
          <w:sz w:val="32"/>
          <w:szCs w:val="32"/>
          <w:lang w:val="en-US"/>
        </w:rPr>
      </w:pPr>
    </w:p>
    <w:p w:rsidR="00AE7F0C" w:rsidRDefault="00AE7F0C" w:rsidP="002E7077">
      <w:pPr>
        <w:spacing w:line="360" w:lineRule="auto"/>
      </w:pPr>
    </w:p>
    <w:p w:rsidR="004C4E0A" w:rsidRDefault="00AE7F0C" w:rsidP="002E7077">
      <w:pPr>
        <w:spacing w:line="360" w:lineRule="auto"/>
        <w:rPr>
          <w:b/>
          <w:vertAlign w:val="superscript"/>
        </w:rPr>
      </w:pPr>
      <w:r w:rsidRPr="00A32915">
        <w:rPr>
          <w:b/>
        </w:rPr>
        <w:t>Ivana Basta</w:t>
      </w:r>
      <w:r w:rsidR="00A90E23">
        <w:rPr>
          <w:b/>
          <w:vertAlign w:val="superscript"/>
        </w:rPr>
        <w:t>*</w:t>
      </w:r>
      <w:r w:rsidRPr="00A32915">
        <w:rPr>
          <w:b/>
        </w:rPr>
        <w:t xml:space="preserve">, </w:t>
      </w:r>
      <w:r w:rsidR="00F426FB">
        <w:rPr>
          <w:b/>
        </w:rPr>
        <w:t>Slobodan Apostolski</w:t>
      </w:r>
      <w:r w:rsidR="00A90E23">
        <w:rPr>
          <w:b/>
          <w:vertAlign w:val="superscript"/>
        </w:rPr>
        <w:t>§</w:t>
      </w:r>
      <w:r w:rsidR="00F426FB">
        <w:rPr>
          <w:b/>
        </w:rPr>
        <w:t>,</w:t>
      </w:r>
      <w:r w:rsidR="00F426FB" w:rsidRPr="00A32915">
        <w:rPr>
          <w:b/>
        </w:rPr>
        <w:t xml:space="preserve"> </w:t>
      </w:r>
      <w:r w:rsidRPr="00A32915">
        <w:rPr>
          <w:b/>
        </w:rPr>
        <w:t>Slobodan Lavrnić</w:t>
      </w:r>
      <w:r w:rsidR="00A90E23">
        <w:rPr>
          <w:b/>
          <w:vertAlign w:val="superscript"/>
        </w:rPr>
        <w:t>¶</w:t>
      </w:r>
      <w:r w:rsidRPr="00A32915">
        <w:rPr>
          <w:b/>
        </w:rPr>
        <w:t>, Tatjana Stošić-Opinćal</w:t>
      </w:r>
      <w:r w:rsidR="00A90E23">
        <w:rPr>
          <w:b/>
          <w:vertAlign w:val="superscript"/>
        </w:rPr>
        <w:t>¶</w:t>
      </w:r>
      <w:r w:rsidRPr="00A32915">
        <w:rPr>
          <w:b/>
        </w:rPr>
        <w:t xml:space="preserve">, </w:t>
      </w:r>
      <w:r w:rsidR="00A32915" w:rsidRPr="00A32915">
        <w:rPr>
          <w:b/>
        </w:rPr>
        <w:t>Sandra Banjalić</w:t>
      </w:r>
      <w:r w:rsidR="00A90E23">
        <w:rPr>
          <w:b/>
          <w:vertAlign w:val="superscript"/>
        </w:rPr>
        <w:t>¶</w:t>
      </w:r>
      <w:r w:rsidR="00C153AD" w:rsidRPr="00C153AD">
        <w:rPr>
          <w:b/>
        </w:rPr>
        <w:t>,</w:t>
      </w:r>
      <w:r w:rsidR="00743F59" w:rsidRPr="00C153AD">
        <w:rPr>
          <w:b/>
        </w:rPr>
        <w:t xml:space="preserve"> </w:t>
      </w:r>
      <w:r w:rsidR="00D11F49" w:rsidRPr="00C153AD">
        <w:rPr>
          <w:b/>
        </w:rPr>
        <w:t xml:space="preserve"> </w:t>
      </w:r>
      <w:r w:rsidRPr="00A32915">
        <w:rPr>
          <w:b/>
        </w:rPr>
        <w:t>Ana Nikolić</w:t>
      </w:r>
      <w:r w:rsidRPr="00A32915">
        <w:rPr>
          <w:b/>
          <w:vertAlign w:val="superscript"/>
        </w:rPr>
        <w:t>1</w:t>
      </w:r>
      <w:r w:rsidR="005562B2">
        <w:rPr>
          <w:b/>
        </w:rPr>
        <w:t>, Slađ</w:t>
      </w:r>
      <w:r w:rsidR="00D11F49">
        <w:rPr>
          <w:b/>
        </w:rPr>
        <w:t>ana Knež</w:t>
      </w:r>
      <w:r w:rsidR="00E32630">
        <w:rPr>
          <w:b/>
        </w:rPr>
        <w:t>ević</w:t>
      </w:r>
      <w:r w:rsidR="00D11F49">
        <w:rPr>
          <w:b/>
        </w:rPr>
        <w:t>-</w:t>
      </w:r>
      <w:r w:rsidRPr="00A32915">
        <w:rPr>
          <w:b/>
        </w:rPr>
        <w:t>Apostolski</w:t>
      </w:r>
      <w:r w:rsidR="00A90E23">
        <w:rPr>
          <w:b/>
          <w:vertAlign w:val="superscript"/>
        </w:rPr>
        <w:t>§</w:t>
      </w:r>
      <w:r w:rsidRPr="00A32915">
        <w:rPr>
          <w:b/>
        </w:rPr>
        <w:t>, Ljubica Šuturkova</w:t>
      </w:r>
      <w:r w:rsidR="00A90E23">
        <w:rPr>
          <w:b/>
          <w:vertAlign w:val="superscript"/>
        </w:rPr>
        <w:t>†</w:t>
      </w:r>
      <w:r w:rsidRPr="00A32915">
        <w:rPr>
          <w:b/>
        </w:rPr>
        <w:t>, Tihomir V. Ilić</w:t>
      </w:r>
      <w:r w:rsidR="00A90E23">
        <w:rPr>
          <w:b/>
          <w:vertAlign w:val="superscript"/>
        </w:rPr>
        <w:t>**</w:t>
      </w:r>
      <w:r w:rsidRPr="00A32915">
        <w:rPr>
          <w:b/>
        </w:rPr>
        <w:t xml:space="preserve">, </w:t>
      </w:r>
      <w:r w:rsidR="00D11F49">
        <w:rPr>
          <w:b/>
        </w:rPr>
        <w:t>Ivan Marjanović</w:t>
      </w:r>
      <w:r w:rsidR="00A90E23">
        <w:rPr>
          <w:b/>
          <w:vertAlign w:val="superscript"/>
        </w:rPr>
        <w:t>*</w:t>
      </w:r>
      <w:r w:rsidR="00D11F49">
        <w:rPr>
          <w:b/>
        </w:rPr>
        <w:t xml:space="preserve">, </w:t>
      </w:r>
      <w:r w:rsidR="00020DB9">
        <w:rPr>
          <w:b/>
        </w:rPr>
        <w:t>Milena Milićev</w:t>
      </w:r>
      <w:r w:rsidR="00020DB9">
        <w:rPr>
          <w:b/>
          <w:vertAlign w:val="superscript"/>
        </w:rPr>
        <w:t>*</w:t>
      </w:r>
      <w:r w:rsidR="00020DB9">
        <w:rPr>
          <w:b/>
        </w:rPr>
        <w:t xml:space="preserve">, </w:t>
      </w:r>
      <w:r w:rsidRPr="00A32915">
        <w:rPr>
          <w:b/>
        </w:rPr>
        <w:t>Dragana Lavrnić</w:t>
      </w:r>
      <w:r w:rsidR="00A90E23">
        <w:rPr>
          <w:b/>
          <w:vertAlign w:val="superscript"/>
        </w:rPr>
        <w:t>*</w:t>
      </w:r>
    </w:p>
    <w:p w:rsidR="00A32915" w:rsidRPr="00C153AD" w:rsidRDefault="00A90E23" w:rsidP="002E7077">
      <w:pPr>
        <w:spacing w:line="360" w:lineRule="auto"/>
        <w:rPr>
          <w:b/>
        </w:rPr>
      </w:pPr>
      <w:r>
        <w:t>*</w:t>
      </w:r>
      <w:r w:rsidR="00A32915" w:rsidRPr="004C4E0A">
        <w:t>Neurology</w:t>
      </w:r>
      <w:r w:rsidR="00493718" w:rsidRPr="004C4E0A">
        <w:t xml:space="preserve"> Clinic</w:t>
      </w:r>
      <w:r w:rsidR="00A32915" w:rsidRPr="004C4E0A">
        <w:t>, Clinical Cent</w:t>
      </w:r>
      <w:r w:rsidR="00493718" w:rsidRPr="004C4E0A">
        <w:t>e</w:t>
      </w:r>
      <w:r w:rsidR="00A32915" w:rsidRPr="004C4E0A">
        <w:t>r of Serbia</w:t>
      </w:r>
      <w:r w:rsidR="00AE7F0C" w:rsidRPr="004C4E0A">
        <w:t xml:space="preserve">, </w:t>
      </w:r>
      <w:r w:rsidR="00493718" w:rsidRPr="004C4E0A">
        <w:t xml:space="preserve">University of </w:t>
      </w:r>
      <w:r w:rsidR="00AE7F0C" w:rsidRPr="004C4E0A">
        <w:t>Belgrade,</w:t>
      </w:r>
      <w:r w:rsidR="00A1670D">
        <w:t xml:space="preserve"> </w:t>
      </w:r>
      <w:r w:rsidR="00493718" w:rsidRPr="00C153AD">
        <w:t xml:space="preserve">School of </w:t>
      </w:r>
      <w:r w:rsidR="004C4E0A" w:rsidRPr="00C153AD">
        <w:t>M</w:t>
      </w:r>
      <w:r w:rsidR="00493718" w:rsidRPr="00C153AD">
        <w:t>edicine</w:t>
      </w:r>
      <w:r w:rsidR="004C4E0A" w:rsidRPr="00C153AD">
        <w:t>,</w:t>
      </w:r>
      <w:r w:rsidR="00AE7F0C" w:rsidRPr="00C153AD">
        <w:t xml:space="preserve"> Serbia, </w:t>
      </w:r>
    </w:p>
    <w:p w:rsidR="00A32915" w:rsidRPr="00C153AD" w:rsidRDefault="00A90E23" w:rsidP="002E7077">
      <w:pPr>
        <w:spacing w:line="360" w:lineRule="auto"/>
      </w:pPr>
      <w:r>
        <w:rPr>
          <w:vertAlign w:val="superscript"/>
        </w:rPr>
        <w:t>§</w:t>
      </w:r>
      <w:r w:rsidR="00A32915" w:rsidRPr="00C153AD">
        <w:t xml:space="preserve"> </w:t>
      </w:r>
      <w:r w:rsidR="00F426FB" w:rsidRPr="00C153AD">
        <w:t xml:space="preserve">Outpatient Neurological Clinic, Belgrade, Serbia, </w:t>
      </w:r>
    </w:p>
    <w:p w:rsidR="00A32915" w:rsidRPr="00C153AD" w:rsidRDefault="00A90E23" w:rsidP="002E7077">
      <w:pPr>
        <w:spacing w:line="360" w:lineRule="auto"/>
      </w:pPr>
      <w:r>
        <w:rPr>
          <w:vertAlign w:val="superscript"/>
        </w:rPr>
        <w:t>¶</w:t>
      </w:r>
      <w:r w:rsidR="00F426FB" w:rsidRPr="00C153AD">
        <w:rPr>
          <w:vertAlign w:val="superscript"/>
        </w:rPr>
        <w:t xml:space="preserve"> </w:t>
      </w:r>
      <w:r w:rsidR="00F426FB" w:rsidRPr="00C153AD">
        <w:t>Magnetic Resonance Imaging Center, Clinical Center of Serbia, University of Belgrade, School of Medicine, Belgrade, Serbia,</w:t>
      </w:r>
    </w:p>
    <w:p w:rsidR="00A32915" w:rsidRPr="00C153AD" w:rsidRDefault="00A90E23" w:rsidP="002E7077">
      <w:pPr>
        <w:spacing w:line="360" w:lineRule="auto"/>
      </w:pPr>
      <w:r>
        <w:rPr>
          <w:vertAlign w:val="superscript"/>
        </w:rPr>
        <w:t>†</w:t>
      </w:r>
      <w:r w:rsidR="00A32915" w:rsidRPr="00C153AD">
        <w:t xml:space="preserve"> School of Pharmacy, Skopje, Macedonia, </w:t>
      </w:r>
    </w:p>
    <w:p w:rsidR="00AE7F0C" w:rsidRPr="004C4E0A" w:rsidRDefault="00A90E23" w:rsidP="002E7077">
      <w:pPr>
        <w:spacing w:line="360" w:lineRule="auto"/>
      </w:pPr>
      <w:r>
        <w:rPr>
          <w:vertAlign w:val="superscript"/>
        </w:rPr>
        <w:t>**</w:t>
      </w:r>
      <w:r w:rsidR="00AE7F0C" w:rsidRPr="004C4E0A">
        <w:t>Military Medical Academy, Belgrade, Serbia.</w:t>
      </w:r>
    </w:p>
    <w:p w:rsidR="00A32915" w:rsidRDefault="00A32915" w:rsidP="002E7077">
      <w:pPr>
        <w:spacing w:line="360" w:lineRule="auto"/>
      </w:pPr>
    </w:p>
    <w:p w:rsidR="00A90E23" w:rsidRDefault="00A32915" w:rsidP="002E7077">
      <w:pPr>
        <w:spacing w:line="360" w:lineRule="auto"/>
      </w:pPr>
      <w:r>
        <w:t>Correspondence should be addressed to</w:t>
      </w:r>
      <w:r w:rsidR="00033A6E">
        <w:t xml:space="preserve"> Dragana Lavrnić</w:t>
      </w:r>
      <w:r w:rsidR="00A90E23">
        <w:t>:</w:t>
      </w:r>
    </w:p>
    <w:p w:rsidR="004C4E0A" w:rsidRDefault="00A32915" w:rsidP="002E7077">
      <w:pPr>
        <w:spacing w:line="360" w:lineRule="auto"/>
        <w:rPr>
          <w:color w:val="17365D" w:themeColor="text2" w:themeShade="BF"/>
          <w:lang w:val="en-US"/>
        </w:rPr>
      </w:pPr>
      <w:r>
        <w:t xml:space="preserve"> </w:t>
      </w:r>
      <w:hyperlink r:id="rId8" w:history="1">
        <w:r w:rsidR="00A90E23" w:rsidRPr="003E42AF">
          <w:rPr>
            <w:rStyle w:val="Hyperlink"/>
          </w:rPr>
          <w:t>dragana.lavrnic</w:t>
        </w:r>
        <w:r w:rsidR="00A90E23" w:rsidRPr="003E42AF">
          <w:rPr>
            <w:rStyle w:val="Hyperlink"/>
            <w:lang w:val="en-US"/>
          </w:rPr>
          <w:t>@gmail.com</w:t>
        </w:r>
      </w:hyperlink>
    </w:p>
    <w:p w:rsidR="00A90E23" w:rsidRPr="00A90E23" w:rsidRDefault="00A90E23" w:rsidP="002E7077">
      <w:pPr>
        <w:spacing w:line="360" w:lineRule="auto"/>
        <w:rPr>
          <w:lang w:val="en-US"/>
        </w:rPr>
      </w:pPr>
      <w:r>
        <w:rPr>
          <w:lang w:val="en-US"/>
        </w:rPr>
        <w:t xml:space="preserve">dr Subotića br. </w:t>
      </w:r>
      <w:r w:rsidR="00E55D16">
        <w:rPr>
          <w:lang w:val="en-US"/>
        </w:rPr>
        <w:t>6, 011/3064234</w:t>
      </w:r>
      <w:r>
        <w:rPr>
          <w:lang w:val="en-US"/>
        </w:rPr>
        <w:t>,</w:t>
      </w:r>
      <w:r w:rsidR="00E55D16">
        <w:rPr>
          <w:lang w:val="en-US"/>
        </w:rPr>
        <w:t xml:space="preserve"> 063/319375</w:t>
      </w:r>
    </w:p>
    <w:p w:rsidR="004C4E0A" w:rsidRDefault="004C4E0A" w:rsidP="002E7077">
      <w:pPr>
        <w:autoSpaceDE w:val="0"/>
        <w:autoSpaceDN w:val="0"/>
        <w:adjustRightInd w:val="0"/>
        <w:spacing w:line="360" w:lineRule="auto"/>
        <w:ind w:firstLine="708"/>
        <w:jc w:val="both"/>
        <w:rPr>
          <w:b/>
        </w:rPr>
      </w:pPr>
    </w:p>
    <w:p w:rsidR="004C4E0A" w:rsidRDefault="004C4E0A" w:rsidP="002E7077">
      <w:pPr>
        <w:autoSpaceDE w:val="0"/>
        <w:autoSpaceDN w:val="0"/>
        <w:adjustRightInd w:val="0"/>
        <w:spacing w:line="360" w:lineRule="auto"/>
        <w:ind w:firstLine="708"/>
        <w:jc w:val="both"/>
        <w:rPr>
          <w:b/>
        </w:rPr>
      </w:pPr>
    </w:p>
    <w:p w:rsidR="004C4E0A" w:rsidRDefault="004C4E0A" w:rsidP="002E7077">
      <w:pPr>
        <w:autoSpaceDE w:val="0"/>
        <w:autoSpaceDN w:val="0"/>
        <w:adjustRightInd w:val="0"/>
        <w:spacing w:line="360" w:lineRule="auto"/>
        <w:ind w:firstLine="708"/>
        <w:jc w:val="both"/>
        <w:rPr>
          <w:b/>
        </w:rPr>
      </w:pPr>
    </w:p>
    <w:p w:rsidR="004C4E0A" w:rsidRDefault="004C4E0A" w:rsidP="002E7077">
      <w:pPr>
        <w:autoSpaceDE w:val="0"/>
        <w:autoSpaceDN w:val="0"/>
        <w:adjustRightInd w:val="0"/>
        <w:spacing w:line="360" w:lineRule="auto"/>
        <w:ind w:firstLine="708"/>
        <w:jc w:val="both"/>
        <w:rPr>
          <w:b/>
        </w:rPr>
      </w:pPr>
    </w:p>
    <w:p w:rsidR="004C4E0A" w:rsidRDefault="004C4E0A" w:rsidP="002E7077">
      <w:pPr>
        <w:autoSpaceDE w:val="0"/>
        <w:autoSpaceDN w:val="0"/>
        <w:adjustRightInd w:val="0"/>
        <w:spacing w:line="360" w:lineRule="auto"/>
        <w:ind w:firstLine="708"/>
        <w:jc w:val="both"/>
        <w:rPr>
          <w:b/>
        </w:rPr>
      </w:pPr>
    </w:p>
    <w:p w:rsidR="004C4E0A" w:rsidRDefault="004C4E0A" w:rsidP="002E7077">
      <w:pPr>
        <w:autoSpaceDE w:val="0"/>
        <w:autoSpaceDN w:val="0"/>
        <w:adjustRightInd w:val="0"/>
        <w:spacing w:line="360" w:lineRule="auto"/>
        <w:ind w:firstLine="708"/>
        <w:jc w:val="both"/>
        <w:rPr>
          <w:b/>
        </w:rPr>
      </w:pPr>
    </w:p>
    <w:p w:rsidR="004C4E0A" w:rsidRDefault="004C4E0A" w:rsidP="002E7077">
      <w:pPr>
        <w:autoSpaceDE w:val="0"/>
        <w:autoSpaceDN w:val="0"/>
        <w:adjustRightInd w:val="0"/>
        <w:spacing w:line="360" w:lineRule="auto"/>
        <w:ind w:firstLine="708"/>
        <w:jc w:val="both"/>
        <w:rPr>
          <w:b/>
        </w:rPr>
      </w:pPr>
    </w:p>
    <w:p w:rsidR="004C4E0A" w:rsidRDefault="004C4E0A" w:rsidP="002E7077">
      <w:pPr>
        <w:autoSpaceDE w:val="0"/>
        <w:autoSpaceDN w:val="0"/>
        <w:adjustRightInd w:val="0"/>
        <w:spacing w:line="360" w:lineRule="auto"/>
        <w:ind w:firstLine="708"/>
        <w:jc w:val="both"/>
        <w:rPr>
          <w:b/>
        </w:rPr>
      </w:pPr>
    </w:p>
    <w:p w:rsidR="004C4E0A" w:rsidRDefault="004C4E0A" w:rsidP="002E7077">
      <w:pPr>
        <w:autoSpaceDE w:val="0"/>
        <w:autoSpaceDN w:val="0"/>
        <w:adjustRightInd w:val="0"/>
        <w:spacing w:line="360" w:lineRule="auto"/>
        <w:ind w:firstLine="708"/>
        <w:jc w:val="both"/>
        <w:rPr>
          <w:b/>
        </w:rPr>
      </w:pPr>
    </w:p>
    <w:p w:rsidR="004C4E0A" w:rsidRDefault="004C4E0A" w:rsidP="002E7077">
      <w:pPr>
        <w:autoSpaceDE w:val="0"/>
        <w:autoSpaceDN w:val="0"/>
        <w:adjustRightInd w:val="0"/>
        <w:spacing w:line="360" w:lineRule="auto"/>
        <w:ind w:firstLine="708"/>
        <w:jc w:val="both"/>
        <w:rPr>
          <w:b/>
        </w:rPr>
      </w:pPr>
    </w:p>
    <w:p w:rsidR="00F8129F" w:rsidRDefault="00F8129F" w:rsidP="002E7077">
      <w:pPr>
        <w:autoSpaceDE w:val="0"/>
        <w:autoSpaceDN w:val="0"/>
        <w:adjustRightInd w:val="0"/>
        <w:spacing w:line="360" w:lineRule="auto"/>
        <w:ind w:firstLine="708"/>
        <w:jc w:val="both"/>
        <w:rPr>
          <w:b/>
        </w:rPr>
      </w:pPr>
    </w:p>
    <w:p w:rsidR="00F8129F" w:rsidRDefault="00F8129F" w:rsidP="002E7077">
      <w:pPr>
        <w:autoSpaceDE w:val="0"/>
        <w:autoSpaceDN w:val="0"/>
        <w:adjustRightInd w:val="0"/>
        <w:spacing w:line="360" w:lineRule="auto"/>
        <w:ind w:firstLine="708"/>
        <w:jc w:val="both"/>
        <w:rPr>
          <w:b/>
        </w:rPr>
      </w:pPr>
    </w:p>
    <w:p w:rsidR="004C4E0A" w:rsidRDefault="004C4E0A" w:rsidP="002E7077">
      <w:pPr>
        <w:autoSpaceDE w:val="0"/>
        <w:autoSpaceDN w:val="0"/>
        <w:adjustRightInd w:val="0"/>
        <w:spacing w:line="360" w:lineRule="auto"/>
        <w:ind w:firstLine="708"/>
        <w:jc w:val="both"/>
        <w:rPr>
          <w:b/>
        </w:rPr>
      </w:pPr>
    </w:p>
    <w:p w:rsidR="004C4E0A" w:rsidRDefault="004C4E0A" w:rsidP="002E7077">
      <w:pPr>
        <w:autoSpaceDE w:val="0"/>
        <w:autoSpaceDN w:val="0"/>
        <w:adjustRightInd w:val="0"/>
        <w:spacing w:line="360" w:lineRule="auto"/>
        <w:ind w:firstLine="708"/>
        <w:jc w:val="both"/>
        <w:rPr>
          <w:b/>
        </w:rPr>
      </w:pPr>
    </w:p>
    <w:p w:rsidR="00EB0650" w:rsidRPr="00743F59" w:rsidRDefault="00EB0650" w:rsidP="002E7077">
      <w:pPr>
        <w:spacing w:line="360" w:lineRule="auto"/>
        <w:jc w:val="both"/>
        <w:rPr>
          <w:b/>
          <w:sz w:val="32"/>
          <w:szCs w:val="32"/>
        </w:rPr>
      </w:pPr>
      <w:r w:rsidRPr="00743F59">
        <w:rPr>
          <w:b/>
          <w:sz w:val="32"/>
          <w:szCs w:val="32"/>
        </w:rPr>
        <w:lastRenderedPageBreak/>
        <w:t>Significanc</w:t>
      </w:r>
      <w:r w:rsidR="00F8129F">
        <w:rPr>
          <w:b/>
          <w:sz w:val="32"/>
          <w:szCs w:val="32"/>
        </w:rPr>
        <w:t xml:space="preserve">e of MRI examination of plexus brachial </w:t>
      </w:r>
      <w:r w:rsidRPr="00743F59">
        <w:rPr>
          <w:b/>
          <w:sz w:val="32"/>
          <w:szCs w:val="32"/>
        </w:rPr>
        <w:t>in patients with multifocal motor neuropathy</w:t>
      </w:r>
    </w:p>
    <w:p w:rsidR="004C4E0A" w:rsidRDefault="004C4E0A" w:rsidP="002E7077">
      <w:pPr>
        <w:autoSpaceDE w:val="0"/>
        <w:autoSpaceDN w:val="0"/>
        <w:adjustRightInd w:val="0"/>
        <w:spacing w:line="360" w:lineRule="auto"/>
        <w:jc w:val="both"/>
        <w:rPr>
          <w:b/>
        </w:rPr>
      </w:pPr>
    </w:p>
    <w:p w:rsidR="004C4E0A" w:rsidRDefault="004C4E0A" w:rsidP="002E7077">
      <w:pPr>
        <w:autoSpaceDE w:val="0"/>
        <w:autoSpaceDN w:val="0"/>
        <w:adjustRightInd w:val="0"/>
        <w:spacing w:line="360" w:lineRule="auto"/>
        <w:ind w:firstLine="708"/>
        <w:jc w:val="both"/>
        <w:rPr>
          <w:b/>
        </w:rPr>
      </w:pPr>
    </w:p>
    <w:p w:rsidR="00033A6E" w:rsidRPr="00090581" w:rsidRDefault="00033A6E" w:rsidP="002E7077">
      <w:pPr>
        <w:autoSpaceDE w:val="0"/>
        <w:autoSpaceDN w:val="0"/>
        <w:adjustRightInd w:val="0"/>
        <w:spacing w:line="360" w:lineRule="auto"/>
        <w:ind w:firstLine="708"/>
        <w:jc w:val="both"/>
        <w:rPr>
          <w:b/>
        </w:rPr>
      </w:pPr>
      <w:r w:rsidRPr="00090581">
        <w:rPr>
          <w:b/>
        </w:rPr>
        <w:t>Abstract</w:t>
      </w:r>
    </w:p>
    <w:p w:rsidR="00033A6E" w:rsidRDefault="00033A6E" w:rsidP="002E7077">
      <w:pPr>
        <w:autoSpaceDE w:val="0"/>
        <w:autoSpaceDN w:val="0"/>
        <w:adjustRightInd w:val="0"/>
        <w:spacing w:line="360" w:lineRule="auto"/>
        <w:ind w:firstLine="708"/>
        <w:jc w:val="both"/>
        <w:rPr>
          <w:color w:val="00B050"/>
        </w:rPr>
      </w:pPr>
    </w:p>
    <w:p w:rsidR="00033A6E" w:rsidRPr="00852305" w:rsidRDefault="00033A6E" w:rsidP="002E7077">
      <w:pPr>
        <w:autoSpaceDE w:val="0"/>
        <w:autoSpaceDN w:val="0"/>
        <w:adjustRightInd w:val="0"/>
        <w:spacing w:line="360" w:lineRule="auto"/>
        <w:ind w:firstLine="708"/>
        <w:jc w:val="both"/>
        <w:rPr>
          <w:rFonts w:ascii="TimesNewRoman" w:hAnsi="TimesNewRoman" w:cs="TimesNewRoman"/>
          <w:noProof w:val="0"/>
        </w:rPr>
      </w:pPr>
      <w:r w:rsidRPr="00161D30">
        <w:rPr>
          <w:b/>
        </w:rPr>
        <w:t>Background / Aim</w:t>
      </w:r>
      <w:r>
        <w:t xml:space="preserve">. Multifocal motor neuropathy (MMN) is an immune-mediated disorder characterised by slowly progressive, asymetrical weakness of limbs without sensory loss. </w:t>
      </w:r>
      <w:r w:rsidRPr="00E047AE">
        <w:t xml:space="preserve">The objective of this study was to investigate the </w:t>
      </w:r>
      <w:r>
        <w:t>significance of brachial plexus magnetic resonance imaging (MRI) in order to explore the proximal nerve segments in patients</w:t>
      </w:r>
      <w:r w:rsidRPr="00E047AE">
        <w:t xml:space="preserve"> wi</w:t>
      </w:r>
      <w:r>
        <w:t xml:space="preserve">th </w:t>
      </w:r>
      <w:r w:rsidRPr="00E047AE">
        <w:t>MMN</w:t>
      </w:r>
      <w:r>
        <w:t xml:space="preserve">. </w:t>
      </w:r>
      <w:r w:rsidRPr="00AB756B">
        <w:t>We payed the special attention to the nerves inervating weak muscles</w:t>
      </w:r>
      <w:r w:rsidR="0055118F">
        <w:t>,</w:t>
      </w:r>
      <w:r w:rsidRPr="00AB756B">
        <w:t xml:space="preserve"> but without electrophysiologically detectable</w:t>
      </w:r>
      <w:r>
        <w:t xml:space="preserve"> conduction block (CB). </w:t>
      </w:r>
      <w:r w:rsidRPr="00161D30">
        <w:rPr>
          <w:b/>
        </w:rPr>
        <w:t>Methods.</w:t>
      </w:r>
      <w:r w:rsidR="00D11F49">
        <w:rPr>
          <w:b/>
        </w:rPr>
        <w:t xml:space="preserve"> </w:t>
      </w:r>
      <w:r w:rsidRPr="00AB756B">
        <w:t>Nine patients with proven MMN were included in the study</w:t>
      </w:r>
      <w:r>
        <w:t>.</w:t>
      </w:r>
      <w:r w:rsidR="00D11F49">
        <w:t xml:space="preserve"> </w:t>
      </w:r>
      <w:r>
        <w:t>In all of them</w:t>
      </w:r>
      <w:r w:rsidRPr="00AB756B">
        <w:t xml:space="preserve"> MRI of the cervical spine and brachial plexus </w:t>
      </w:r>
      <w:r>
        <w:t xml:space="preserve">was performed </w:t>
      </w:r>
      <w:r w:rsidR="00E55D16">
        <w:rPr>
          <w:rFonts w:ascii="TimesNewRoman" w:hAnsi="TimesNewRoman" w:cs="TimesNewRoman"/>
          <w:noProof w:val="0"/>
        </w:rPr>
        <w:t>using</w:t>
      </w:r>
      <w:r w:rsidRPr="00AB756B">
        <w:rPr>
          <w:rFonts w:ascii="TimesNewRoman" w:hAnsi="TimesNewRoman" w:cs="TimesNewRoman"/>
          <w:noProof w:val="0"/>
        </w:rPr>
        <w:t xml:space="preserve"> Siemens</w:t>
      </w:r>
      <w:r w:rsidR="00D11F49">
        <w:rPr>
          <w:rFonts w:ascii="TimesNewRoman" w:hAnsi="TimesNewRoman" w:cs="TimesNewRoman"/>
          <w:noProof w:val="0"/>
        </w:rPr>
        <w:t xml:space="preserve"> </w:t>
      </w:r>
      <w:r w:rsidR="00E55D16">
        <w:rPr>
          <w:rFonts w:ascii="TimesNewRoman" w:hAnsi="TimesNewRoman" w:cs="TimesNewRoman"/>
          <w:noProof w:val="0"/>
        </w:rPr>
        <w:t xml:space="preserve">Avanto 1.5 T unit, </w:t>
      </w:r>
      <w:r w:rsidRPr="00AB756B">
        <w:rPr>
          <w:rFonts w:ascii="TimesNewRoman" w:hAnsi="TimesNewRoman" w:cs="TimesNewRoman"/>
          <w:noProof w:val="0"/>
        </w:rPr>
        <w:t>applying T1 and turbo spin-echo T1 sequence, ax</w:t>
      </w:r>
      <w:r w:rsidR="00D11F49">
        <w:rPr>
          <w:rFonts w:ascii="TimesNewRoman" w:hAnsi="TimesNewRoman" w:cs="TimesNewRoman"/>
          <w:noProof w:val="0"/>
        </w:rPr>
        <w:t>ial turbo spin-echo T2 sequence</w:t>
      </w:r>
      <w:r w:rsidRPr="00AB756B">
        <w:rPr>
          <w:rFonts w:ascii="TimesNewRoman" w:hAnsi="TimesNewRoman" w:cs="TimesNewRoman"/>
          <w:noProof w:val="0"/>
        </w:rPr>
        <w:t xml:space="preserve"> and a coronal</w:t>
      </w:r>
      <w:r w:rsidR="00D11F49">
        <w:rPr>
          <w:rFonts w:ascii="TimesNewRoman" w:hAnsi="TimesNewRoman" w:cs="TimesNewRoman"/>
          <w:noProof w:val="0"/>
        </w:rPr>
        <w:t xml:space="preserve"> </w:t>
      </w:r>
      <w:r w:rsidRPr="00AB756B">
        <w:rPr>
          <w:rFonts w:ascii="TimesNewRoman" w:hAnsi="TimesNewRoman" w:cs="TimesNewRoman"/>
          <w:noProof w:val="0"/>
        </w:rPr>
        <w:t>fat-saturated turbo spin</w:t>
      </w:r>
      <w:r>
        <w:rPr>
          <w:rFonts w:ascii="TimesNewRoman" w:hAnsi="TimesNewRoman" w:cs="TimesNewRoman"/>
          <w:noProof w:val="0"/>
        </w:rPr>
        <w:t>-</w:t>
      </w:r>
      <w:r w:rsidRPr="00AB756B">
        <w:rPr>
          <w:rFonts w:ascii="TimesNewRoman" w:hAnsi="TimesNewRoman" w:cs="TimesNewRoman"/>
          <w:noProof w:val="0"/>
        </w:rPr>
        <w:t>echo T2 sequence.</w:t>
      </w:r>
      <w:r w:rsidR="00743F59">
        <w:rPr>
          <w:rFonts w:ascii="TimesNewRoman" w:hAnsi="TimesNewRoman" w:cs="TimesNewRoman"/>
          <w:noProof w:val="0"/>
        </w:rPr>
        <w:t xml:space="preserve"> </w:t>
      </w:r>
      <w:r w:rsidRPr="00161D30">
        <w:rPr>
          <w:b/>
        </w:rPr>
        <w:t>Results</w:t>
      </w:r>
      <w:r>
        <w:t xml:space="preserve">. </w:t>
      </w:r>
      <w:r w:rsidRPr="00AB756B">
        <w:t xml:space="preserve">In all patients severe asymmetric distal weakness of muscles inervated by radial, ulnar, median and peroneal nerves was observed and the most striking presentation was bilateral wrist and finger drop. Three of them had additional proximal weakness of muscles inervated by axillar and femoral nerves. The </w:t>
      </w:r>
      <w:r w:rsidR="00EB0650" w:rsidRPr="00743F59">
        <w:t xml:space="preserve">majority of </w:t>
      </w:r>
      <w:r w:rsidRPr="00743F59">
        <w:t>patients</w:t>
      </w:r>
      <w:r w:rsidRPr="00AB756B">
        <w:t xml:space="preserve"> had slightly increased CSF protein content. Six patients had positive serum polyclo</w:t>
      </w:r>
      <w:r>
        <w:t>nal IgM anti-GM1 antibodies. Electromyoneurografy (EMG)</w:t>
      </w:r>
      <w:r w:rsidRPr="00AB756B">
        <w:t xml:space="preserve"> showed neurogenic changes, the most severe in distal muscles inervated by radial nerves. All patients had persistent partial </w:t>
      </w:r>
      <w:r>
        <w:t>CB</w:t>
      </w:r>
      <w:r w:rsidRPr="00E047AE">
        <w:t xml:space="preserve">s outside the usual sites of nerve compression in </w:t>
      </w:r>
      <w:r>
        <w:t xml:space="preserve">radial, </w:t>
      </w:r>
      <w:r w:rsidRPr="00E047AE">
        <w:t xml:space="preserve">ulnar, median and peroneal nerves. </w:t>
      </w:r>
      <w:r>
        <w:t>Proximal CB</w:t>
      </w:r>
      <w:r w:rsidRPr="00E047AE">
        <w:t>s between cervical root emergence and Erb</w:t>
      </w:r>
      <w:r>
        <w:t>’s</w:t>
      </w:r>
      <w:r w:rsidRPr="00E047AE">
        <w:t xml:space="preserve"> point (prolonged</w:t>
      </w:r>
      <w:r>
        <w:t xml:space="preserve"> motor </w:t>
      </w:r>
      <w:r w:rsidRPr="00E047AE">
        <w:t>root conduction time)</w:t>
      </w:r>
      <w:r w:rsidR="005E0830">
        <w:t xml:space="preserve"> were explored</w:t>
      </w:r>
      <w:r>
        <w:t xml:space="preserve"> by magnetic paravertebral stimula</w:t>
      </w:r>
      <w:r w:rsidR="005E0830">
        <w:t>tion in three patients. In all</w:t>
      </w:r>
      <w:r w:rsidRPr="00E047AE">
        <w:t xml:space="preserve"> patients T2-weighted MRI revealed increased signal inte</w:t>
      </w:r>
      <w:r>
        <w:t xml:space="preserve">nsity </w:t>
      </w:r>
      <w:r w:rsidRPr="00E047AE">
        <w:t xml:space="preserve">in </w:t>
      </w:r>
      <w:r>
        <w:t>at least one cervical root</w:t>
      </w:r>
      <w:r w:rsidRPr="00E047AE">
        <w:t xml:space="preserve"> and in the proximal segments of brachial plexus. </w:t>
      </w:r>
      <w:r w:rsidRPr="00161D30">
        <w:rPr>
          <w:b/>
        </w:rPr>
        <w:t xml:space="preserve">Conclusion. </w:t>
      </w:r>
      <w:r w:rsidRPr="00852305">
        <w:t xml:space="preserve">We found clinical correlation between muscle weakness, prolonged motor root conduction time and MRI abnormalities of the brachial plexus, which was of the greatest importance in the nerves without CB inervating weak muscles. </w:t>
      </w:r>
    </w:p>
    <w:p w:rsidR="00033A6E" w:rsidRDefault="00033A6E" w:rsidP="002E7077">
      <w:pPr>
        <w:spacing w:line="360" w:lineRule="auto"/>
        <w:rPr>
          <w:color w:val="00B050"/>
        </w:rPr>
      </w:pPr>
    </w:p>
    <w:p w:rsidR="003B39E1" w:rsidRDefault="00033A6E" w:rsidP="002E7077">
      <w:pPr>
        <w:spacing w:line="360" w:lineRule="auto"/>
        <w:rPr>
          <w:b/>
        </w:rPr>
      </w:pPr>
      <w:r w:rsidRPr="00161D30">
        <w:rPr>
          <w:b/>
        </w:rPr>
        <w:t>Key words:</w:t>
      </w:r>
      <w:r w:rsidR="002E7077">
        <w:rPr>
          <w:b/>
        </w:rPr>
        <w:t xml:space="preserve"> </w:t>
      </w:r>
      <w:r>
        <w:rPr>
          <w:b/>
        </w:rPr>
        <w:t>m</w:t>
      </w:r>
      <w:r w:rsidRPr="00161D30">
        <w:rPr>
          <w:b/>
        </w:rPr>
        <w:t>ultifocal motor neuropathy; brachial plexus</w:t>
      </w:r>
      <w:r>
        <w:rPr>
          <w:b/>
        </w:rPr>
        <w:t>; magnetic resonance imaging;</w:t>
      </w:r>
      <w:r w:rsidRPr="00161D30">
        <w:rPr>
          <w:b/>
        </w:rPr>
        <w:t xml:space="preserve"> conduction block.</w:t>
      </w:r>
    </w:p>
    <w:p w:rsidR="00EB0650" w:rsidRPr="00F8129F" w:rsidRDefault="00EB0650" w:rsidP="002E7077">
      <w:pPr>
        <w:spacing w:line="360" w:lineRule="auto"/>
        <w:rPr>
          <w:b/>
        </w:rPr>
      </w:pPr>
      <w:r w:rsidRPr="00F8129F">
        <w:rPr>
          <w:b/>
          <w:sz w:val="32"/>
          <w:szCs w:val="32"/>
        </w:rPr>
        <w:lastRenderedPageBreak/>
        <w:t>Značaj MRI pregleda</w:t>
      </w:r>
      <w:r w:rsidR="00743F59" w:rsidRPr="00F8129F">
        <w:rPr>
          <w:b/>
          <w:sz w:val="32"/>
          <w:szCs w:val="32"/>
        </w:rPr>
        <w:t xml:space="preserve"> pleksus bra</w:t>
      </w:r>
      <w:r w:rsidRPr="00F8129F">
        <w:rPr>
          <w:b/>
          <w:sz w:val="32"/>
          <w:szCs w:val="32"/>
        </w:rPr>
        <w:t>hialisa kod pacijenata sa multifokalnom motornom neuropatijom</w:t>
      </w:r>
    </w:p>
    <w:p w:rsidR="00033A6E" w:rsidRDefault="00033A6E" w:rsidP="002E7077">
      <w:pPr>
        <w:spacing w:line="360" w:lineRule="auto"/>
        <w:rPr>
          <w:color w:val="00B050"/>
        </w:rPr>
      </w:pPr>
    </w:p>
    <w:p w:rsidR="00033A6E" w:rsidRDefault="00033A6E" w:rsidP="002E7077">
      <w:pPr>
        <w:spacing w:line="360" w:lineRule="auto"/>
        <w:jc w:val="both"/>
        <w:rPr>
          <w:b/>
        </w:rPr>
      </w:pPr>
      <w:r w:rsidRPr="00161D30">
        <w:rPr>
          <w:b/>
        </w:rPr>
        <w:t>Apstrakt</w:t>
      </w:r>
    </w:p>
    <w:p w:rsidR="00033A6E" w:rsidRDefault="00033A6E" w:rsidP="002E7077">
      <w:pPr>
        <w:spacing w:line="360" w:lineRule="auto"/>
        <w:jc w:val="both"/>
        <w:rPr>
          <w:b/>
        </w:rPr>
      </w:pPr>
    </w:p>
    <w:p w:rsidR="00033A6E" w:rsidRPr="00033A6E" w:rsidRDefault="00033A6E" w:rsidP="002E7077">
      <w:pPr>
        <w:spacing w:line="360" w:lineRule="auto"/>
        <w:ind w:firstLine="708"/>
        <w:jc w:val="both"/>
        <w:rPr>
          <w:rFonts w:ascii="TimesNewRoman" w:hAnsi="TimesNewRoman" w:cs="TimesNewRoman"/>
          <w:noProof w:val="0"/>
        </w:rPr>
      </w:pPr>
      <w:r w:rsidRPr="00033A6E">
        <w:rPr>
          <w:b/>
        </w:rPr>
        <w:t xml:space="preserve">Uvod / Cilj. </w:t>
      </w:r>
      <w:r w:rsidRPr="00033A6E">
        <w:t>Multifokalna</w:t>
      </w:r>
      <w:r w:rsidR="001A45EF">
        <w:t xml:space="preserve"> </w:t>
      </w:r>
      <w:r w:rsidRPr="00033A6E">
        <w:t>motorna neuropatija (MMN)</w:t>
      </w:r>
      <w:r w:rsidR="001A45EF">
        <w:t xml:space="preserve"> </w:t>
      </w:r>
      <w:r w:rsidRPr="00033A6E">
        <w:t>je imunski posredovano ob</w:t>
      </w:r>
      <w:r w:rsidR="00053A2A">
        <w:t>oljenje perifenih nerava karakterisano</w:t>
      </w:r>
      <w:r w:rsidRPr="00033A6E">
        <w:t xml:space="preserve"> sporo progresivnim</w:t>
      </w:r>
      <w:r w:rsidR="00AC49F6">
        <w:t xml:space="preserve"> razvojem asimetričnih slabosti mišića ekstremiteta,</w:t>
      </w:r>
      <w:r w:rsidRPr="00033A6E">
        <w:t xml:space="preserve"> bez poremećaja senzibiliteta. Cilj rada je bio da se ispita značaj magnetne rezonance (MR) brahijalnog pleksusa u otkrivanju oštećenja proksimalnih segmenata p</w:t>
      </w:r>
      <w:r w:rsidR="00053A2A">
        <w:t>erifernih nerava kod obolelih od</w:t>
      </w:r>
      <w:r w:rsidR="00A819E2">
        <w:t xml:space="preserve"> MMN. Ž</w:t>
      </w:r>
      <w:r w:rsidRPr="00033A6E">
        <w:t xml:space="preserve">eleli </w:t>
      </w:r>
      <w:r w:rsidR="00A819E2">
        <w:t xml:space="preserve">smo </w:t>
      </w:r>
      <w:r w:rsidRPr="00033A6E">
        <w:t>da utvrdimo da li u proksimalnim segmentima nerava koji inervišu klinički slabe mišiće, a kod kojih elektrofiziološkim ispitivanjem nije registrovano postojanje blokova provođenja (BP)</w:t>
      </w:r>
      <w:r w:rsidR="00362A8F">
        <w:t>,</w:t>
      </w:r>
      <w:r w:rsidRPr="00033A6E">
        <w:t xml:space="preserve"> postoje znaci oštećenja. </w:t>
      </w:r>
      <w:r w:rsidRPr="00033A6E">
        <w:rPr>
          <w:b/>
        </w:rPr>
        <w:t>Metode</w:t>
      </w:r>
      <w:r w:rsidR="00743F59">
        <w:t xml:space="preserve">. </w:t>
      </w:r>
      <w:r w:rsidRPr="00033A6E">
        <w:t>U studiju je uključeno devet pacijenata sa klinički i elektrofiziološki potvrđenom dijagnozom MMN. Svim pacijentima je urađen MR vratnog dela kičme i brahijalnog ple</w:t>
      </w:r>
      <w:r w:rsidR="001A45EF">
        <w:t>ksusa</w:t>
      </w:r>
      <w:r w:rsidRPr="00033A6E">
        <w:t xml:space="preserve"> </w:t>
      </w:r>
      <w:r w:rsidRPr="00033A6E">
        <w:rPr>
          <w:rFonts w:ascii="TimesNewRoman" w:hAnsi="TimesNewRoman" w:cs="TimesNewRoman"/>
          <w:noProof w:val="0"/>
        </w:rPr>
        <w:t>u T1 i turbo spin-eho T1 sekvenci, aksijalno</w:t>
      </w:r>
      <w:r w:rsidR="001A45EF">
        <w:rPr>
          <w:rFonts w:ascii="TimesNewRoman" w:hAnsi="TimesNewRoman" w:cs="TimesNewRoman"/>
          <w:noProof w:val="0"/>
        </w:rPr>
        <w:t>j turbo spin-eho T2 sekvenci i k</w:t>
      </w:r>
      <w:r w:rsidRPr="00033A6E">
        <w:rPr>
          <w:rFonts w:ascii="TimesNewRoman" w:hAnsi="TimesNewRoman" w:cs="TimesNewRoman"/>
          <w:noProof w:val="0"/>
        </w:rPr>
        <w:t>orona</w:t>
      </w:r>
      <w:r w:rsidR="001A45EF">
        <w:rPr>
          <w:rFonts w:ascii="TimesNewRoman" w:hAnsi="TimesNewRoman" w:cs="TimesNewRoman"/>
          <w:noProof w:val="0"/>
        </w:rPr>
        <w:t xml:space="preserve">rnoj </w:t>
      </w:r>
      <w:r w:rsidR="001A45EF" w:rsidRPr="00033A6E">
        <w:rPr>
          <w:rFonts w:ascii="TimesNewRoman" w:hAnsi="TimesNewRoman" w:cs="TimesNewRoman"/>
          <w:noProof w:val="0"/>
        </w:rPr>
        <w:t>turbo spin-eho T2 sekvenc</w:t>
      </w:r>
      <w:r w:rsidR="004C3CD1">
        <w:rPr>
          <w:rFonts w:ascii="TimesNewRoman" w:hAnsi="TimesNewRoman" w:cs="TimesNewRoman"/>
          <w:noProof w:val="0"/>
        </w:rPr>
        <w:t>i</w:t>
      </w:r>
      <w:r w:rsidR="001A45EF">
        <w:rPr>
          <w:rFonts w:ascii="TimesNewRoman" w:hAnsi="TimesNewRoman" w:cs="TimesNewRoman"/>
          <w:noProof w:val="0"/>
        </w:rPr>
        <w:t xml:space="preserve"> sa saturacijom masti</w:t>
      </w:r>
      <w:r w:rsidRPr="00033A6E">
        <w:rPr>
          <w:rFonts w:ascii="TimesNewRoman" w:hAnsi="TimesNewRoman" w:cs="TimesNewRoman"/>
          <w:noProof w:val="0"/>
        </w:rPr>
        <w:t xml:space="preserve">, </w:t>
      </w:r>
      <w:r w:rsidRPr="00033A6E">
        <w:t xml:space="preserve">aparatom Simens </w:t>
      </w:r>
      <w:r w:rsidRPr="00033A6E">
        <w:rPr>
          <w:rFonts w:ascii="TimesNewRoman" w:hAnsi="TimesNewRoman" w:cs="TimesNewRoman"/>
          <w:noProof w:val="0"/>
        </w:rPr>
        <w:t xml:space="preserve">Avanto jačine 1.5 T. </w:t>
      </w:r>
      <w:r w:rsidRPr="00033A6E">
        <w:rPr>
          <w:rFonts w:ascii="TimesNewRoman" w:hAnsi="TimesNewRoman" w:cs="TimesNewRoman"/>
          <w:b/>
          <w:noProof w:val="0"/>
        </w:rPr>
        <w:t xml:space="preserve">Rezultati. </w:t>
      </w:r>
      <w:r w:rsidRPr="00033A6E">
        <w:rPr>
          <w:rFonts w:ascii="TimesNewRoman" w:hAnsi="TimesNewRoman" w:cs="TimesNewRoman"/>
          <w:noProof w:val="0"/>
        </w:rPr>
        <w:t>Kod svih bole</w:t>
      </w:r>
      <w:r w:rsidR="00053A2A">
        <w:rPr>
          <w:rFonts w:ascii="TimesNewRoman" w:hAnsi="TimesNewRoman" w:cs="TimesNewRoman"/>
          <w:noProof w:val="0"/>
        </w:rPr>
        <w:t>snika je registrovana izražena</w:t>
      </w:r>
      <w:r w:rsidRPr="00033A6E">
        <w:rPr>
          <w:rFonts w:ascii="TimesNewRoman" w:hAnsi="TimesNewRoman" w:cs="TimesNewRoman"/>
          <w:noProof w:val="0"/>
        </w:rPr>
        <w:t xml:space="preserve"> asimet</w:t>
      </w:r>
      <w:r w:rsidR="00053A2A">
        <w:rPr>
          <w:rFonts w:ascii="TimesNewRoman" w:hAnsi="TimesNewRoman" w:cs="TimesNewRoman"/>
          <w:noProof w:val="0"/>
        </w:rPr>
        <w:t>rična distalna slabost mišića inervisanih radijalnim, ulnarnim, medijalnim i peronealnim nervima</w:t>
      </w:r>
      <w:r w:rsidRPr="00033A6E">
        <w:rPr>
          <w:rFonts w:ascii="TimesNewRoman" w:hAnsi="TimesNewRoman" w:cs="TimesNewRoman"/>
          <w:noProof w:val="0"/>
        </w:rPr>
        <w:t>, sa najupečatljivijo</w:t>
      </w:r>
      <w:r w:rsidR="00053A2A">
        <w:rPr>
          <w:rFonts w:ascii="TimesNewRoman" w:hAnsi="TimesNewRoman" w:cs="TimesNewRoman"/>
          <w:noProof w:val="0"/>
        </w:rPr>
        <w:t>m kliničkom prezentacijom</w:t>
      </w:r>
      <w:r w:rsidR="00A819E2">
        <w:rPr>
          <w:rFonts w:ascii="TimesNewRoman" w:hAnsi="TimesNewRoman" w:cs="TimesNewRoman"/>
          <w:noProof w:val="0"/>
        </w:rPr>
        <w:t xml:space="preserve"> viseće šake i prstiju. </w:t>
      </w:r>
      <w:r w:rsidRPr="00033A6E">
        <w:rPr>
          <w:rFonts w:ascii="TimesNewRoman" w:hAnsi="TimesNewRoman" w:cs="TimesNewRoman"/>
          <w:noProof w:val="0"/>
        </w:rPr>
        <w:t>Analiz</w:t>
      </w:r>
      <w:r w:rsidR="004C3CD1">
        <w:rPr>
          <w:rFonts w:ascii="TimesNewRoman" w:hAnsi="TimesNewRoman" w:cs="TimesNewRoman"/>
          <w:noProof w:val="0"/>
        </w:rPr>
        <w:t>om</w:t>
      </w:r>
      <w:r w:rsidRPr="00033A6E">
        <w:rPr>
          <w:rFonts w:ascii="TimesNewRoman" w:hAnsi="TimesNewRoman" w:cs="TimesNewRoman"/>
          <w:noProof w:val="0"/>
        </w:rPr>
        <w:t xml:space="preserve"> likvora</w:t>
      </w:r>
      <w:r w:rsidR="008613A4">
        <w:rPr>
          <w:rFonts w:ascii="TimesNewRoman" w:hAnsi="TimesNewRoman" w:cs="TimesNewRoman"/>
          <w:noProof w:val="0"/>
        </w:rPr>
        <w:t xml:space="preserve"> zabeležena</w:t>
      </w:r>
      <w:r w:rsidR="004C3CD1">
        <w:rPr>
          <w:rFonts w:ascii="TimesNewRoman" w:hAnsi="TimesNewRoman" w:cs="TimesNewRoman"/>
          <w:noProof w:val="0"/>
        </w:rPr>
        <w:t xml:space="preserve"> je</w:t>
      </w:r>
      <w:r w:rsidR="008613A4">
        <w:rPr>
          <w:rFonts w:ascii="TimesNewRoman" w:hAnsi="TimesNewRoman" w:cs="TimesNewRoman"/>
          <w:noProof w:val="0"/>
        </w:rPr>
        <w:t xml:space="preserve"> </w:t>
      </w:r>
      <w:r w:rsidRPr="00033A6E">
        <w:rPr>
          <w:rFonts w:ascii="TimesNewRoman" w:hAnsi="TimesNewRoman" w:cs="TimesNewRoman"/>
          <w:noProof w:val="0"/>
        </w:rPr>
        <w:t>blag</w:t>
      </w:r>
      <w:r w:rsidR="008613A4">
        <w:rPr>
          <w:rFonts w:ascii="TimesNewRoman" w:hAnsi="TimesNewRoman" w:cs="TimesNewRoman"/>
          <w:noProof w:val="0"/>
        </w:rPr>
        <w:t>a</w:t>
      </w:r>
      <w:r w:rsidRPr="00033A6E">
        <w:rPr>
          <w:rFonts w:ascii="TimesNewRoman" w:hAnsi="TimesNewRoman" w:cs="TimesNewRoman"/>
          <w:noProof w:val="0"/>
        </w:rPr>
        <w:t xml:space="preserve"> proteinorahij</w:t>
      </w:r>
      <w:r w:rsidR="008613A4">
        <w:rPr>
          <w:rFonts w:ascii="TimesNewRoman" w:hAnsi="TimesNewRoman" w:cs="TimesNewRoman"/>
          <w:noProof w:val="0"/>
        </w:rPr>
        <w:t>a</w:t>
      </w:r>
      <w:r w:rsidRPr="00033A6E">
        <w:rPr>
          <w:rFonts w:ascii="TimesNewRoman" w:hAnsi="TimesNewRoman" w:cs="TimesNewRoman"/>
          <w:noProof w:val="0"/>
        </w:rPr>
        <w:t xml:space="preserve"> kod većine obolelih. U serumu šest pacijenata nađena su poliklonska anti-GM1 antitela. Elektromioneurografija (EMG) je pokazala znake neurogene</w:t>
      </w:r>
      <w:r w:rsidR="004C3CD1">
        <w:rPr>
          <w:rFonts w:ascii="TimesNewRoman" w:hAnsi="TimesNewRoman" w:cs="TimesNewRoman"/>
          <w:noProof w:val="0"/>
        </w:rPr>
        <w:t xml:space="preserve"> </w:t>
      </w:r>
      <w:r w:rsidRPr="00033A6E">
        <w:rPr>
          <w:rFonts w:ascii="TimesNewRoman" w:hAnsi="TimesNewRoman" w:cs="TimesNewRoman"/>
          <w:noProof w:val="0"/>
        </w:rPr>
        <w:t xml:space="preserve">lezije, predominantno u distalnoj muskulaturi inervisanoj </w:t>
      </w:r>
      <w:r w:rsidR="008613A4">
        <w:rPr>
          <w:rFonts w:ascii="TimesNewRoman" w:hAnsi="TimesNewRoman" w:cs="TimesNewRoman"/>
          <w:noProof w:val="0"/>
        </w:rPr>
        <w:t>radijalnim</w:t>
      </w:r>
      <w:r w:rsidRPr="00033A6E">
        <w:rPr>
          <w:rFonts w:ascii="TimesNewRoman" w:hAnsi="TimesNewRoman" w:cs="TimesNewRoman"/>
          <w:noProof w:val="0"/>
        </w:rPr>
        <w:t xml:space="preserve"> </w:t>
      </w:r>
      <w:r w:rsidR="008613A4">
        <w:rPr>
          <w:rFonts w:ascii="TimesNewRoman" w:hAnsi="TimesNewRoman" w:cs="TimesNewRoman"/>
          <w:noProof w:val="0"/>
        </w:rPr>
        <w:t>nervom</w:t>
      </w:r>
      <w:r w:rsidRPr="00033A6E">
        <w:rPr>
          <w:rFonts w:ascii="TimesNewRoman" w:hAnsi="TimesNewRoman" w:cs="TimesNewRoman"/>
          <w:noProof w:val="0"/>
        </w:rPr>
        <w:t>. Ko</w:t>
      </w:r>
      <w:r w:rsidR="008613A4">
        <w:rPr>
          <w:rFonts w:ascii="TimesNewRoman" w:hAnsi="TimesNewRoman" w:cs="TimesNewRoman"/>
          <w:noProof w:val="0"/>
        </w:rPr>
        <w:t>d svih bolesnika je registrovan parcijalni</w:t>
      </w:r>
      <w:r w:rsidRPr="00033A6E">
        <w:rPr>
          <w:rFonts w:ascii="TimesNewRoman" w:hAnsi="TimesNewRoman" w:cs="TimesNewRoman"/>
          <w:noProof w:val="0"/>
        </w:rPr>
        <w:t xml:space="preserve"> BP van uobičajenih mesta kompresije rad</w:t>
      </w:r>
      <w:r w:rsidR="004C3CD1">
        <w:rPr>
          <w:rFonts w:ascii="TimesNewRoman" w:hAnsi="TimesNewRoman" w:cs="TimesNewRoman"/>
          <w:noProof w:val="0"/>
        </w:rPr>
        <w:t xml:space="preserve">ijalnog, ulnarnog, medijalnog </w:t>
      </w:r>
      <w:r w:rsidRPr="00033A6E">
        <w:rPr>
          <w:rFonts w:ascii="TimesNewRoman" w:hAnsi="TimesNewRoman" w:cs="TimesNewRoman"/>
          <w:noProof w:val="0"/>
        </w:rPr>
        <w:t>i</w:t>
      </w:r>
      <w:r w:rsidR="008613A4">
        <w:rPr>
          <w:rFonts w:ascii="TimesNewRoman" w:hAnsi="TimesNewRoman" w:cs="TimesNewRoman"/>
          <w:noProof w:val="0"/>
        </w:rPr>
        <w:t xml:space="preserve"> peronealnog nerva. </w:t>
      </w:r>
      <w:r w:rsidR="008613A4" w:rsidRPr="00C06325">
        <w:rPr>
          <w:rFonts w:ascii="TimesNewRoman" w:hAnsi="TimesNewRoman" w:cs="TimesNewRoman"/>
          <w:noProof w:val="0"/>
        </w:rPr>
        <w:t>P</w:t>
      </w:r>
      <w:r w:rsidR="00362A8F" w:rsidRPr="00C06325">
        <w:rPr>
          <w:rFonts w:ascii="TimesNewRoman" w:hAnsi="TimesNewRoman" w:cs="TimesNewRoman"/>
          <w:noProof w:val="0"/>
        </w:rPr>
        <w:t>risustvo p</w:t>
      </w:r>
      <w:r w:rsidR="008613A4" w:rsidRPr="00C06325">
        <w:rPr>
          <w:rFonts w:ascii="TimesNewRoman" w:hAnsi="TimesNewRoman" w:cs="TimesNewRoman"/>
          <w:noProof w:val="0"/>
        </w:rPr>
        <w:t>roksimalni</w:t>
      </w:r>
      <w:r w:rsidR="00362A8F" w:rsidRPr="00C06325">
        <w:rPr>
          <w:rFonts w:ascii="TimesNewRoman" w:hAnsi="TimesNewRoman" w:cs="TimesNewRoman"/>
          <w:noProof w:val="0"/>
        </w:rPr>
        <w:t>h blokova</w:t>
      </w:r>
      <w:r w:rsidRPr="00033A6E">
        <w:rPr>
          <w:rFonts w:ascii="TimesNewRoman" w:hAnsi="TimesNewRoman" w:cs="TimesNewRoman"/>
          <w:noProof w:val="0"/>
        </w:rPr>
        <w:t xml:space="preserve"> provođenja između mesta izlaska cervikalnih korenova i Erbove tačke ispitano je pomoću magnetne paravertebralne stimula</w:t>
      </w:r>
      <w:r w:rsidR="00C06325">
        <w:rPr>
          <w:rFonts w:ascii="TimesNewRoman" w:hAnsi="TimesNewRoman" w:cs="TimesNewRoman"/>
          <w:noProof w:val="0"/>
        </w:rPr>
        <w:t>cije kod tri bolesnika. Kod svih</w:t>
      </w:r>
      <w:r w:rsidRPr="00033A6E">
        <w:rPr>
          <w:rFonts w:ascii="TimesNewRoman" w:hAnsi="TimesNewRoman" w:cs="TimesNewRoman"/>
          <w:noProof w:val="0"/>
        </w:rPr>
        <w:t xml:space="preserve"> pacijenata MR pregledom u T2 sekvenci otkrivene su zone pojačanog intenziteta signala u najmanje jednom cervikalnom korenu i u proksimalnim segmentima brahijalnog</w:t>
      </w:r>
      <w:r w:rsidR="004C3CD1">
        <w:rPr>
          <w:rFonts w:ascii="TimesNewRoman" w:hAnsi="TimesNewRoman" w:cs="TimesNewRoman"/>
          <w:noProof w:val="0"/>
        </w:rPr>
        <w:t xml:space="preserve"> </w:t>
      </w:r>
      <w:r w:rsidRPr="00033A6E">
        <w:rPr>
          <w:rFonts w:ascii="TimesNewRoman" w:hAnsi="TimesNewRoman" w:cs="TimesNewRoman"/>
          <w:noProof w:val="0"/>
        </w:rPr>
        <w:t xml:space="preserve">pleksusa. </w:t>
      </w:r>
      <w:r w:rsidRPr="00033A6E">
        <w:rPr>
          <w:rFonts w:ascii="TimesNewRoman" w:hAnsi="TimesNewRoman" w:cs="TimesNewRoman"/>
          <w:b/>
          <w:noProof w:val="0"/>
        </w:rPr>
        <w:t>Zaključak.</w:t>
      </w:r>
      <w:r w:rsidR="00743F59">
        <w:rPr>
          <w:rFonts w:ascii="TimesNewRoman" w:hAnsi="TimesNewRoman" w:cs="TimesNewRoman"/>
          <w:b/>
          <w:noProof w:val="0"/>
        </w:rPr>
        <w:t xml:space="preserve"> </w:t>
      </w:r>
      <w:r w:rsidR="00053A2A">
        <w:rPr>
          <w:rFonts w:ascii="TimesNewRoman" w:hAnsi="TimesNewRoman" w:cs="TimesNewRoman"/>
          <w:noProof w:val="0"/>
        </w:rPr>
        <w:t>Rezultati ispitivanja su pokazali kliničku</w:t>
      </w:r>
      <w:r w:rsidRPr="00033A6E">
        <w:rPr>
          <w:rFonts w:ascii="TimesNewRoman" w:hAnsi="TimesNewRoman" w:cs="TimesNewRoman"/>
          <w:noProof w:val="0"/>
        </w:rPr>
        <w:t xml:space="preserve"> korelacij</w:t>
      </w:r>
      <w:r w:rsidR="00053A2A">
        <w:rPr>
          <w:rFonts w:ascii="TimesNewRoman" w:hAnsi="TimesNewRoman" w:cs="TimesNewRoman"/>
          <w:noProof w:val="0"/>
        </w:rPr>
        <w:t>u</w:t>
      </w:r>
      <w:r w:rsidRPr="00033A6E">
        <w:rPr>
          <w:rFonts w:ascii="TimesNewRoman" w:hAnsi="TimesNewRoman" w:cs="TimesNewRoman"/>
          <w:noProof w:val="0"/>
        </w:rPr>
        <w:t xml:space="preserve"> između mišićne slabosti, produženog vremena provođenja kroz motorne korenove i promena na MR brahijalnog</w:t>
      </w:r>
      <w:r w:rsidR="00743F59">
        <w:rPr>
          <w:rFonts w:ascii="TimesNewRoman" w:hAnsi="TimesNewRoman" w:cs="TimesNewRoman"/>
          <w:noProof w:val="0"/>
        </w:rPr>
        <w:t xml:space="preserve"> </w:t>
      </w:r>
      <w:r w:rsidRPr="00033A6E">
        <w:rPr>
          <w:rFonts w:ascii="TimesNewRoman" w:hAnsi="TimesNewRoman" w:cs="TimesNewRoman"/>
          <w:noProof w:val="0"/>
        </w:rPr>
        <w:t>pleksusa, posebno u nervima koji su inervisali klinički slabe mišiće, a kod kojih nije registrovano postojanje BP.</w:t>
      </w:r>
    </w:p>
    <w:p w:rsidR="003B39E1" w:rsidRDefault="00033A6E" w:rsidP="002E7077">
      <w:pPr>
        <w:spacing w:line="360" w:lineRule="auto"/>
        <w:jc w:val="both"/>
        <w:rPr>
          <w:b/>
        </w:rPr>
      </w:pPr>
      <w:r w:rsidRPr="00033A6E">
        <w:rPr>
          <w:b/>
        </w:rPr>
        <w:t>Ključne reči:</w:t>
      </w:r>
      <w:r w:rsidR="00A819E2">
        <w:rPr>
          <w:b/>
        </w:rPr>
        <w:t xml:space="preserve"> </w:t>
      </w:r>
      <w:r w:rsidRPr="00033A6E">
        <w:rPr>
          <w:b/>
        </w:rPr>
        <w:t>multifokalna motorna neuropatija; brahijalni pleksus; magnetna rezonanca; blok provođenja</w:t>
      </w:r>
      <w:r w:rsidR="003B39E1">
        <w:rPr>
          <w:b/>
        </w:rPr>
        <w:t>.</w:t>
      </w:r>
    </w:p>
    <w:p w:rsidR="00743F59" w:rsidRPr="003B39E1" w:rsidRDefault="00743F59" w:rsidP="002E7077">
      <w:pPr>
        <w:spacing w:line="360" w:lineRule="auto"/>
        <w:jc w:val="both"/>
        <w:rPr>
          <w:b/>
        </w:rPr>
      </w:pPr>
      <w:r w:rsidRPr="00743F59">
        <w:rPr>
          <w:b/>
          <w:sz w:val="32"/>
          <w:szCs w:val="32"/>
        </w:rPr>
        <w:t>Significance of MRI examination of plexus  brachial  in patients with multifocal motor neuropathy</w:t>
      </w:r>
    </w:p>
    <w:p w:rsidR="004C4E0A" w:rsidRDefault="004C4E0A" w:rsidP="002E7077">
      <w:pPr>
        <w:spacing w:line="360" w:lineRule="auto"/>
        <w:rPr>
          <w:b/>
          <w:sz w:val="28"/>
          <w:szCs w:val="28"/>
        </w:rPr>
      </w:pPr>
    </w:p>
    <w:p w:rsidR="000E79D9" w:rsidRPr="003B28AF" w:rsidRDefault="00355DFD" w:rsidP="002E7077">
      <w:pPr>
        <w:spacing w:line="360" w:lineRule="auto"/>
        <w:rPr>
          <w:b/>
          <w:sz w:val="28"/>
          <w:szCs w:val="28"/>
        </w:rPr>
      </w:pPr>
      <w:r>
        <w:rPr>
          <w:b/>
          <w:sz w:val="28"/>
          <w:szCs w:val="28"/>
        </w:rPr>
        <w:t>Introd</w:t>
      </w:r>
      <w:r w:rsidR="00254DCB">
        <w:rPr>
          <w:b/>
          <w:sz w:val="28"/>
          <w:szCs w:val="28"/>
        </w:rPr>
        <w:t>u</w:t>
      </w:r>
      <w:r>
        <w:rPr>
          <w:b/>
          <w:sz w:val="28"/>
          <w:szCs w:val="28"/>
        </w:rPr>
        <w:t>ction</w:t>
      </w:r>
    </w:p>
    <w:p w:rsidR="00FF7311" w:rsidRPr="00AB756B" w:rsidRDefault="00322B53" w:rsidP="002E7077">
      <w:pPr>
        <w:spacing w:line="360" w:lineRule="auto"/>
        <w:ind w:firstLine="708"/>
        <w:jc w:val="both"/>
      </w:pPr>
      <w:r w:rsidRPr="00E047AE">
        <w:t xml:space="preserve">Multifocal motor neuropathy (MMN) is </w:t>
      </w:r>
      <w:r w:rsidR="00B5650B">
        <w:t xml:space="preserve">a </w:t>
      </w:r>
      <w:r w:rsidRPr="00E047AE">
        <w:t>chronic, slowly progressive immune-mediated neuropathy, characterized by progressive, predominantly distal, asymmetric limb weaknes</w:t>
      </w:r>
      <w:r w:rsidR="00B5650B">
        <w:t>s</w:t>
      </w:r>
      <w:r w:rsidR="000E79D9">
        <w:t>,</w:t>
      </w:r>
      <w:r w:rsidR="00B5650B">
        <w:t xml:space="preserve"> mostly affecting upper limbs, </w:t>
      </w:r>
      <w:r w:rsidRPr="00E047AE">
        <w:t>minimal or no sens</w:t>
      </w:r>
      <w:r w:rsidR="00B5650B">
        <w:t>ory impairment</w:t>
      </w:r>
      <w:r w:rsidR="0064656D">
        <w:t xml:space="preserve"> and</w:t>
      </w:r>
      <w:r w:rsidR="004C3CD1">
        <w:t xml:space="preserve"> </w:t>
      </w:r>
      <w:r w:rsidR="00B5650B">
        <w:t xml:space="preserve">the </w:t>
      </w:r>
      <w:r w:rsidRPr="00E047AE">
        <w:t>presence of multifocal persistent partial conduction blocks</w:t>
      </w:r>
      <w:r w:rsidR="004C3CD1">
        <w:t xml:space="preserve"> </w:t>
      </w:r>
      <w:r w:rsidR="000C1A62" w:rsidRPr="00AB756B">
        <w:t>(CB)</w:t>
      </w:r>
      <w:r w:rsidRPr="00AB756B">
        <w:t xml:space="preserve"> on</w:t>
      </w:r>
      <w:r w:rsidRPr="00E047AE">
        <w:t xml:space="preserve"> motor but not sensory nerves</w:t>
      </w:r>
      <w:r w:rsidR="00E16B54">
        <w:t xml:space="preserve"> (</w:t>
      </w:r>
      <w:r w:rsidR="006F55D8" w:rsidRPr="00E16B54">
        <w:t>1</w:t>
      </w:r>
      <w:r w:rsidR="00E16B54">
        <w:t>)</w:t>
      </w:r>
      <w:r w:rsidRPr="00E047AE">
        <w:t xml:space="preserve">. </w:t>
      </w:r>
      <w:r w:rsidR="00B42135" w:rsidRPr="00B5650B">
        <w:t xml:space="preserve">It is </w:t>
      </w:r>
      <w:r w:rsidR="00B5650B">
        <w:t xml:space="preserve">a </w:t>
      </w:r>
      <w:r w:rsidR="00B42135" w:rsidRPr="00B5650B">
        <w:t xml:space="preserve">rare </w:t>
      </w:r>
      <w:r w:rsidR="00FF7311">
        <w:t xml:space="preserve">disorder </w:t>
      </w:r>
      <w:r w:rsidR="00B42135" w:rsidRPr="00B5650B">
        <w:t xml:space="preserve">with </w:t>
      </w:r>
      <w:r w:rsidR="00B5650B">
        <w:t>an estimated prevalence of 1-2/</w:t>
      </w:r>
      <w:r w:rsidR="00B42135" w:rsidRPr="00B5650B">
        <w:t>100 000 individuals</w:t>
      </w:r>
      <w:r w:rsidR="00B5650B">
        <w:t>,</w:t>
      </w:r>
      <w:r w:rsidR="00B42135" w:rsidRPr="00B5650B">
        <w:t xml:space="preserve"> more fre</w:t>
      </w:r>
      <w:r w:rsidR="00BA473D" w:rsidRPr="00B5650B">
        <w:t>quent</w:t>
      </w:r>
      <w:r w:rsidR="00B5650B">
        <w:t xml:space="preserve">ly </w:t>
      </w:r>
      <w:r w:rsidR="00FF7311">
        <w:t>present in men</w:t>
      </w:r>
      <w:r w:rsidR="00BA473D" w:rsidRPr="00B5650B">
        <w:t>. MMN predominantly affects young people and almost 80% of patients develop first symptoms between 20-50 years of age</w:t>
      </w:r>
      <w:r w:rsidR="00E16B54">
        <w:t xml:space="preserve"> (</w:t>
      </w:r>
      <w:r w:rsidR="00AD615B" w:rsidRPr="00E16B54">
        <w:t>2</w:t>
      </w:r>
      <w:r w:rsidR="00E16B54">
        <w:t>)</w:t>
      </w:r>
      <w:r w:rsidR="00AD615B">
        <w:t xml:space="preserve">. </w:t>
      </w:r>
      <w:r w:rsidR="00FF7311">
        <w:t>Evidence of</w:t>
      </w:r>
      <w:r w:rsidR="004C3CD1">
        <w:t xml:space="preserve"> </w:t>
      </w:r>
      <w:r w:rsidR="000C1A62">
        <w:t>CB</w:t>
      </w:r>
      <w:r w:rsidR="004C3CD1">
        <w:t xml:space="preserve"> </w:t>
      </w:r>
      <w:r w:rsidR="009F43A8" w:rsidRPr="00B5650B">
        <w:t>is the</w:t>
      </w:r>
      <w:r w:rsidR="009F43A8">
        <w:t xml:space="preserve"> elect</w:t>
      </w:r>
      <w:r w:rsidR="00416E13">
        <w:t>rophysiological hallmark of MMN</w:t>
      </w:r>
      <w:r w:rsidR="004C3CD1">
        <w:t xml:space="preserve"> </w:t>
      </w:r>
      <w:r w:rsidR="000E79D9">
        <w:t xml:space="preserve">and </w:t>
      </w:r>
      <w:r w:rsidRPr="00E047AE">
        <w:t>must be found at sites distinct from common entrapment or compression syndromes</w:t>
      </w:r>
      <w:r w:rsidR="00E16B54">
        <w:t xml:space="preserve"> (</w:t>
      </w:r>
      <w:r w:rsidR="00AD615B" w:rsidRPr="00E16B54">
        <w:t>3</w:t>
      </w:r>
      <w:r w:rsidR="00E16B54">
        <w:t>)</w:t>
      </w:r>
      <w:r w:rsidRPr="00E047AE">
        <w:t>. CB may occur in any m</w:t>
      </w:r>
      <w:r w:rsidR="00D0374C">
        <w:t>otor nerve</w:t>
      </w:r>
      <w:r w:rsidR="00FF7311">
        <w:t xml:space="preserve">, but has been more </w:t>
      </w:r>
      <w:r w:rsidRPr="00E047AE">
        <w:t xml:space="preserve">frequently reported in the </w:t>
      </w:r>
      <w:r w:rsidR="000E79D9">
        <w:t>distal segment</w:t>
      </w:r>
      <w:r w:rsidR="005E5F17">
        <w:t xml:space="preserve"> of upper limb nerves</w:t>
      </w:r>
      <w:r w:rsidR="00E16B54">
        <w:t xml:space="preserve"> (</w:t>
      </w:r>
      <w:r w:rsidR="00C8162E" w:rsidRPr="00E16B54">
        <w:t>4</w:t>
      </w:r>
      <w:r w:rsidR="00E16B54">
        <w:t>)</w:t>
      </w:r>
      <w:r w:rsidR="005E5F17">
        <w:t>.</w:t>
      </w:r>
      <w:r>
        <w:t>Very proximal CB</w:t>
      </w:r>
      <w:r w:rsidR="000C1A62">
        <w:t>s</w:t>
      </w:r>
      <w:r w:rsidRPr="00E047AE">
        <w:t xml:space="preserve"> located in the sites above Erb</w:t>
      </w:r>
      <w:r>
        <w:t>’s</w:t>
      </w:r>
      <w:r w:rsidRPr="00E047AE">
        <w:t xml:space="preserve"> point can not be detected by routine nerve conduction studies (NCS)</w:t>
      </w:r>
      <w:r w:rsidR="00E16B54">
        <w:t xml:space="preserve"> (</w:t>
      </w:r>
      <w:r w:rsidR="0063735A" w:rsidRPr="00E16B54">
        <w:t>3</w:t>
      </w:r>
      <w:r w:rsidR="005562B2" w:rsidRPr="00E16B54">
        <w:t>,</w:t>
      </w:r>
      <w:r w:rsidR="00E16B54">
        <w:t xml:space="preserve"> </w:t>
      </w:r>
      <w:r w:rsidR="00C8162E" w:rsidRPr="00E16B54">
        <w:t>5</w:t>
      </w:r>
      <w:r w:rsidR="00E16B54">
        <w:t>)</w:t>
      </w:r>
      <w:r w:rsidRPr="00AA0119">
        <w:t>.</w:t>
      </w:r>
      <w:r w:rsidR="00BE7D8D">
        <w:t xml:space="preserve"> </w:t>
      </w:r>
      <w:r>
        <w:t>T</w:t>
      </w:r>
      <w:r w:rsidRPr="00E047AE">
        <w:t xml:space="preserve">ranscranial magnetic stimulation (TMS) </w:t>
      </w:r>
      <w:r w:rsidR="00792EC8">
        <w:t xml:space="preserve">technique </w:t>
      </w:r>
      <w:r>
        <w:t xml:space="preserve">combined with peripheral conduction time </w:t>
      </w:r>
      <w:r w:rsidRPr="00E047AE">
        <w:t>can detect CB between root em</w:t>
      </w:r>
      <w:r>
        <w:t>ergence and Erb’s point (root</w:t>
      </w:r>
      <w:r w:rsidRPr="00E047AE">
        <w:t xml:space="preserve"> conduction time)</w:t>
      </w:r>
      <w:r w:rsidR="00E16B54">
        <w:t xml:space="preserve"> (5)</w:t>
      </w:r>
      <w:r w:rsidRPr="00E047AE">
        <w:t xml:space="preserve">. </w:t>
      </w:r>
      <w:r>
        <w:t>The proximal CB</w:t>
      </w:r>
      <w:r w:rsidRPr="00E047AE">
        <w:t xml:space="preserve"> may be also confirmed </w:t>
      </w:r>
      <w:r w:rsidRPr="00AB756B">
        <w:t>by</w:t>
      </w:r>
      <w:r w:rsidR="005B1F0A" w:rsidRPr="00AB756B">
        <w:t xml:space="preserve"> magnetic resonance </w:t>
      </w:r>
      <w:r w:rsidRPr="00AB756B">
        <w:t>imaging</w:t>
      </w:r>
      <w:r w:rsidR="005B1F0A" w:rsidRPr="00AB756B">
        <w:t xml:space="preserve"> (MRI)</w:t>
      </w:r>
      <w:r w:rsidRPr="00AB756B">
        <w:t xml:space="preserve"> abnormalities of the brachial plexus</w:t>
      </w:r>
      <w:r w:rsidR="00E16B54">
        <w:t xml:space="preserve"> (</w:t>
      </w:r>
      <w:r w:rsidR="00573FEE" w:rsidRPr="00E16B54">
        <w:t>6</w:t>
      </w:r>
      <w:r w:rsidR="00E16B54">
        <w:t>)</w:t>
      </w:r>
      <w:r w:rsidRPr="00AB756B">
        <w:t xml:space="preserve">. Supportive diagnostic criteria include </w:t>
      </w:r>
      <w:r w:rsidR="00D0374C" w:rsidRPr="00AB756B">
        <w:t xml:space="preserve">elevated </w:t>
      </w:r>
      <w:r w:rsidRPr="00AB756B">
        <w:t>serum anti-GM1 antibodies</w:t>
      </w:r>
      <w:r w:rsidR="00E16B54">
        <w:t xml:space="preserve"> (</w:t>
      </w:r>
      <w:r w:rsidR="00573FEE" w:rsidRPr="00E16B54">
        <w:t>7</w:t>
      </w:r>
      <w:r w:rsidR="00E16B54">
        <w:t>)</w:t>
      </w:r>
      <w:r w:rsidRPr="00AB756B">
        <w:t xml:space="preserve">. </w:t>
      </w:r>
    </w:p>
    <w:p w:rsidR="00626EEB" w:rsidRDefault="00322B53" w:rsidP="002E7077">
      <w:pPr>
        <w:spacing w:line="360" w:lineRule="auto"/>
        <w:ind w:firstLine="708"/>
        <w:jc w:val="both"/>
      </w:pPr>
      <w:r w:rsidRPr="00E047AE">
        <w:t>The purpose of this study was to</w:t>
      </w:r>
      <w:r>
        <w:t xml:space="preserve"> investigate the </w:t>
      </w:r>
      <w:r w:rsidR="00A13052">
        <w:t>involvement of the brachial plex</w:t>
      </w:r>
      <w:r w:rsidR="0062167B">
        <w:t>u</w:t>
      </w:r>
      <w:r w:rsidR="00FF7311">
        <w:t xml:space="preserve">s </w:t>
      </w:r>
      <w:r w:rsidR="00D0374C">
        <w:t xml:space="preserve">by </w:t>
      </w:r>
      <w:r w:rsidR="005B1F0A">
        <w:t>MRI</w:t>
      </w:r>
      <w:r w:rsidR="00626EEB">
        <w:t xml:space="preserve">, </w:t>
      </w:r>
      <w:r w:rsidR="00FF7311">
        <w:t xml:space="preserve">in </w:t>
      </w:r>
      <w:r w:rsidR="00A13052">
        <w:t xml:space="preserve">patients with </w:t>
      </w:r>
      <w:r w:rsidR="000E79D9">
        <w:t xml:space="preserve">proven </w:t>
      </w:r>
      <w:r w:rsidR="00626EEB">
        <w:t xml:space="preserve">diagnosis of MMN, </w:t>
      </w:r>
      <w:r w:rsidR="00CE5B28" w:rsidRPr="00852305">
        <w:t>especially MR</w:t>
      </w:r>
      <w:r w:rsidR="00EC5A35" w:rsidRPr="00852305">
        <w:t>I</w:t>
      </w:r>
      <w:r w:rsidR="00CE5B28" w:rsidRPr="00852305">
        <w:t xml:space="preserve"> changes in the nerves which were clinically affected but without electrophysiologic</w:t>
      </w:r>
      <w:r w:rsidR="000C1A62" w:rsidRPr="00852305">
        <w:t>al proof of the CB</w:t>
      </w:r>
      <w:r w:rsidR="00CE5B28" w:rsidRPr="00852305">
        <w:t xml:space="preserve">. Our hypothesis was that </w:t>
      </w:r>
      <w:r w:rsidR="00EC5A35" w:rsidRPr="00852305">
        <w:t xml:space="preserve">brachial plexus </w:t>
      </w:r>
      <w:r w:rsidR="00855FAF" w:rsidRPr="00852305">
        <w:t>changes</w:t>
      </w:r>
      <w:r w:rsidR="00EC5A35" w:rsidRPr="00852305">
        <w:t xml:space="preserve"> on </w:t>
      </w:r>
      <w:r w:rsidR="00CE5B28" w:rsidRPr="00852305">
        <w:t>MR</w:t>
      </w:r>
      <w:r w:rsidR="00EC5A35" w:rsidRPr="00852305">
        <w:t>I</w:t>
      </w:r>
      <w:r w:rsidR="00855FAF" w:rsidRPr="00852305">
        <w:t xml:space="preserve"> are</w:t>
      </w:r>
      <w:r w:rsidR="00CE5B28" w:rsidRPr="00852305">
        <w:t xml:space="preserve"> valuable in confirmation </w:t>
      </w:r>
      <w:r w:rsidR="000C1A62" w:rsidRPr="00852305">
        <w:t>of the proximal CB</w:t>
      </w:r>
      <w:r w:rsidR="00CE5B28" w:rsidRPr="00852305">
        <w:t xml:space="preserve"> which can not be diagnosed by electrophysiological examination. </w:t>
      </w:r>
      <w:r w:rsidR="00743F59" w:rsidRPr="00743F59">
        <w:t xml:space="preserve">In </w:t>
      </w:r>
      <w:r w:rsidR="00743F59">
        <w:t>t</w:t>
      </w:r>
      <w:r w:rsidR="00CE5B28" w:rsidRPr="00852305">
        <w:t>hi</w:t>
      </w:r>
      <w:r w:rsidR="00EC5A35" w:rsidRPr="00852305">
        <w:t>s way, brachial plexus MRI can be helpful in confirmation of the MMN diagnosis and earlier initiation of the therapy.</w:t>
      </w:r>
    </w:p>
    <w:p w:rsidR="00626EEB" w:rsidRDefault="00626EEB" w:rsidP="002E7077">
      <w:pPr>
        <w:spacing w:line="360" w:lineRule="auto"/>
        <w:jc w:val="both"/>
      </w:pPr>
    </w:p>
    <w:p w:rsidR="004C4E0A" w:rsidRDefault="004C4E0A" w:rsidP="002E7077">
      <w:pPr>
        <w:spacing w:line="360" w:lineRule="auto"/>
        <w:jc w:val="both"/>
        <w:rPr>
          <w:b/>
          <w:sz w:val="28"/>
          <w:szCs w:val="28"/>
        </w:rPr>
      </w:pPr>
    </w:p>
    <w:p w:rsidR="002E7077" w:rsidRDefault="002E7077" w:rsidP="002E7077">
      <w:pPr>
        <w:spacing w:line="360" w:lineRule="auto"/>
        <w:jc w:val="both"/>
        <w:rPr>
          <w:b/>
          <w:sz w:val="28"/>
          <w:szCs w:val="28"/>
        </w:rPr>
      </w:pPr>
    </w:p>
    <w:p w:rsidR="002E7077" w:rsidRDefault="002E7077" w:rsidP="002E7077">
      <w:pPr>
        <w:spacing w:line="360" w:lineRule="auto"/>
        <w:jc w:val="both"/>
        <w:rPr>
          <w:b/>
          <w:sz w:val="28"/>
          <w:szCs w:val="28"/>
        </w:rPr>
      </w:pPr>
    </w:p>
    <w:p w:rsidR="002E7077" w:rsidRDefault="002E7077" w:rsidP="002E7077">
      <w:pPr>
        <w:spacing w:line="360" w:lineRule="auto"/>
        <w:jc w:val="both"/>
        <w:rPr>
          <w:b/>
          <w:sz w:val="28"/>
          <w:szCs w:val="28"/>
        </w:rPr>
      </w:pPr>
    </w:p>
    <w:p w:rsidR="002E7077" w:rsidRDefault="002E7077" w:rsidP="002E7077">
      <w:pPr>
        <w:spacing w:line="360" w:lineRule="auto"/>
        <w:jc w:val="both"/>
        <w:rPr>
          <w:b/>
          <w:sz w:val="28"/>
          <w:szCs w:val="28"/>
        </w:rPr>
      </w:pPr>
    </w:p>
    <w:p w:rsidR="00626EEB" w:rsidRPr="003B28AF" w:rsidRDefault="00A93237" w:rsidP="002E7077">
      <w:pPr>
        <w:spacing w:line="360" w:lineRule="auto"/>
        <w:jc w:val="both"/>
        <w:rPr>
          <w:b/>
          <w:sz w:val="28"/>
          <w:szCs w:val="28"/>
        </w:rPr>
      </w:pPr>
      <w:r>
        <w:rPr>
          <w:b/>
          <w:sz w:val="28"/>
          <w:szCs w:val="28"/>
        </w:rPr>
        <w:t>Material and Methods</w:t>
      </w:r>
    </w:p>
    <w:p w:rsidR="00A93237" w:rsidRPr="00743F59" w:rsidRDefault="00A93237" w:rsidP="002E7077">
      <w:pPr>
        <w:spacing w:line="360" w:lineRule="auto"/>
        <w:ind w:firstLine="708"/>
        <w:jc w:val="both"/>
      </w:pPr>
      <w:r w:rsidRPr="00E047AE">
        <w:t xml:space="preserve">The </w:t>
      </w:r>
      <w:r w:rsidRPr="002E7077">
        <w:rPr>
          <w:i/>
        </w:rPr>
        <w:t>clinical diagnosis</w:t>
      </w:r>
      <w:r w:rsidRPr="00E047AE">
        <w:t xml:space="preserve"> of MMN was based on the presence of  (a) chronic or stepwise progressive asymmetric limb weakness with a multineuropathic distribution affecting the muscles of at lea</w:t>
      </w:r>
      <w:r w:rsidR="00296BEA">
        <w:t>st two distinct motor nerves</w:t>
      </w:r>
      <w:r w:rsidRPr="00E047AE">
        <w:t xml:space="preserve"> l</w:t>
      </w:r>
      <w:r w:rsidR="00296BEA">
        <w:t xml:space="preserve">asting at least two months; </w:t>
      </w:r>
      <w:r w:rsidR="009F0CC8">
        <w:t xml:space="preserve">(b) minimal </w:t>
      </w:r>
      <w:r w:rsidR="009F0CC8" w:rsidRPr="00743F59">
        <w:t xml:space="preserve">or </w:t>
      </w:r>
      <w:r w:rsidR="00743F59" w:rsidRPr="00743F59">
        <w:t xml:space="preserve">no </w:t>
      </w:r>
      <w:r w:rsidRPr="00743F59">
        <w:t>sensory loss or symptoms and absence of clinical upper motor neuron signs</w:t>
      </w:r>
      <w:r w:rsidR="00E16B54">
        <w:t xml:space="preserve"> (</w:t>
      </w:r>
      <w:r w:rsidR="00573FEE" w:rsidRPr="00E16B54">
        <w:t>2,</w:t>
      </w:r>
      <w:r w:rsidR="00E16B54">
        <w:t xml:space="preserve"> </w:t>
      </w:r>
      <w:r w:rsidR="00573FEE" w:rsidRPr="00E16B54">
        <w:t>8,</w:t>
      </w:r>
      <w:r w:rsidR="00E16B54">
        <w:t xml:space="preserve"> </w:t>
      </w:r>
      <w:r w:rsidR="00573FEE" w:rsidRPr="00E16B54">
        <w:t>9</w:t>
      </w:r>
      <w:r w:rsidR="00E16B54">
        <w:t>)</w:t>
      </w:r>
      <w:r w:rsidRPr="00743F59">
        <w:t xml:space="preserve">. </w:t>
      </w:r>
    </w:p>
    <w:p w:rsidR="00A93237" w:rsidRPr="006076F2" w:rsidRDefault="00867B70" w:rsidP="002E7077">
      <w:pPr>
        <w:spacing w:line="360" w:lineRule="auto"/>
        <w:ind w:firstLine="708"/>
        <w:jc w:val="both"/>
        <w:rPr>
          <w:color w:val="00B050"/>
        </w:rPr>
      </w:pPr>
      <w:r w:rsidRPr="002E7077">
        <w:rPr>
          <w:i/>
        </w:rPr>
        <w:t>Electrophysiology</w:t>
      </w:r>
      <w:r w:rsidR="00A93237" w:rsidRPr="003A283D">
        <w:t>.</w:t>
      </w:r>
      <w:r w:rsidR="004C3CD1">
        <w:t xml:space="preserve"> </w:t>
      </w:r>
      <w:r w:rsidRPr="00AB756B">
        <w:t xml:space="preserve">Standard methods of </w:t>
      </w:r>
      <w:r w:rsidR="008B0B34">
        <w:t xml:space="preserve">motor and sensory NCS and </w:t>
      </w:r>
      <w:r w:rsidR="005B1F0A" w:rsidRPr="00AB756B">
        <w:t>concentric needle EMG were performed. Motor NCS</w:t>
      </w:r>
      <w:r w:rsidRPr="00AB756B">
        <w:t xml:space="preserve"> included </w:t>
      </w:r>
      <w:r w:rsidR="005B1F0A" w:rsidRPr="00AB756B">
        <w:t xml:space="preserve">distal </w:t>
      </w:r>
      <w:r w:rsidRPr="00AB756B">
        <w:t>motor latencies, compound muscle action potenti</w:t>
      </w:r>
      <w:r w:rsidR="00296BEA" w:rsidRPr="00AB756B">
        <w:t>a</w:t>
      </w:r>
      <w:r w:rsidRPr="00AB756B">
        <w:t>l</w:t>
      </w:r>
      <w:r w:rsidR="005B1F0A" w:rsidRPr="00AB756B">
        <w:t xml:space="preserve"> (CMAP)</w:t>
      </w:r>
      <w:r w:rsidRPr="00AB756B">
        <w:t xml:space="preserve"> am</w:t>
      </w:r>
      <w:r w:rsidR="00BE7D8D">
        <w:t>plitudes, conduction velocities</w:t>
      </w:r>
      <w:r w:rsidRPr="00AB756B">
        <w:t xml:space="preserve"> and F wave latencies. </w:t>
      </w:r>
      <w:r w:rsidR="005B1F0A" w:rsidRPr="00AB756B">
        <w:t>Motor NCS were performed</w:t>
      </w:r>
      <w:r w:rsidR="00A93237" w:rsidRPr="00AB756B">
        <w:t xml:space="preserve"> up to Erb’s point in the median (recording: m. abductor pollicis </w:t>
      </w:r>
      <w:r w:rsidR="005B1F0A" w:rsidRPr="00AB756B">
        <w:t>brevis</w:t>
      </w:r>
      <w:r w:rsidR="00A93237" w:rsidRPr="00AB756B">
        <w:t>), ulnar (recording: m. abductor digiti minimi), radial</w:t>
      </w:r>
      <w:r w:rsidR="004C3CD1">
        <w:t xml:space="preserve"> </w:t>
      </w:r>
      <w:r w:rsidR="00A93237" w:rsidRPr="00AB756B">
        <w:t>(reco</w:t>
      </w:r>
      <w:r w:rsidR="005B1F0A" w:rsidRPr="00AB756B">
        <w:t>rding</w:t>
      </w:r>
      <w:r w:rsidR="00090581" w:rsidRPr="00AB756B">
        <w:t>: m. extensor indicis</w:t>
      </w:r>
      <w:r w:rsidR="00A93237" w:rsidRPr="00AB756B">
        <w:t>) nerves, and up to the popliteal fossa in the deep peroneal (recording: m. extensor digitorum brevis) and tibial (recording: m.abductor hallucis</w:t>
      </w:r>
      <w:r w:rsidR="00855FAF" w:rsidRPr="00AB756B">
        <w:t xml:space="preserve"> brevis</w:t>
      </w:r>
      <w:r w:rsidR="00A93237" w:rsidRPr="00AB756B">
        <w:t xml:space="preserve">) nerves. CB was defined as </w:t>
      </w:r>
      <w:r w:rsidR="00345E80" w:rsidRPr="00AB756B">
        <w:t xml:space="preserve">the decrement of </w:t>
      </w:r>
      <w:r w:rsidR="00855FAF" w:rsidRPr="00AB756B">
        <w:t>CMAP amplitude/area from</w:t>
      </w:r>
      <w:r w:rsidR="00345E80" w:rsidRPr="00AB756B">
        <w:t xml:space="preserve"> distal to proximal stimulation site</w:t>
      </w:r>
      <w:r w:rsidR="00855FAF" w:rsidRPr="00AB756B">
        <w:t xml:space="preserve"> without a significant increase in CMAP duration, according to E</w:t>
      </w:r>
      <w:r w:rsidR="00551E69">
        <w:t xml:space="preserve">uropen </w:t>
      </w:r>
      <w:r w:rsidR="00855FAF" w:rsidRPr="00AB756B">
        <w:t>F</w:t>
      </w:r>
      <w:r w:rsidR="00551E69">
        <w:t xml:space="preserve">ederation of </w:t>
      </w:r>
      <w:r w:rsidR="00855FAF" w:rsidRPr="00AB756B">
        <w:t>N</w:t>
      </w:r>
      <w:r w:rsidR="00551E69">
        <w:t xml:space="preserve">eurological </w:t>
      </w:r>
      <w:r w:rsidR="00855FAF" w:rsidRPr="00AB756B">
        <w:t>S</w:t>
      </w:r>
      <w:r w:rsidR="00551E69">
        <w:t>ociety</w:t>
      </w:r>
      <w:r w:rsidR="00855FAF" w:rsidRPr="00AB756B">
        <w:t>/Peripheral Nerve Societi</w:t>
      </w:r>
      <w:r w:rsidR="00AE0781" w:rsidRPr="00AB756B">
        <w:t>es gu</w:t>
      </w:r>
      <w:r w:rsidR="008B0B34">
        <w:t>i</w:t>
      </w:r>
      <w:r w:rsidR="00AE0781" w:rsidRPr="00AB756B">
        <w:t>delines</w:t>
      </w:r>
      <w:r w:rsidR="00E16B54">
        <w:t xml:space="preserve"> (</w:t>
      </w:r>
      <w:r w:rsidR="004823D3" w:rsidRPr="00E16B54">
        <w:t>10</w:t>
      </w:r>
      <w:r w:rsidR="00E16B54">
        <w:t>)</w:t>
      </w:r>
      <w:r w:rsidRPr="00AB756B">
        <w:t>.</w:t>
      </w:r>
      <w:r w:rsidR="004C3CD1">
        <w:t xml:space="preserve"> </w:t>
      </w:r>
      <w:r w:rsidR="00A50067" w:rsidRPr="00AB756B">
        <w:t>Antidromic sensory NCS were</w:t>
      </w:r>
      <w:r w:rsidR="005133E2" w:rsidRPr="00AB756B">
        <w:t xml:space="preserve"> investigat</w:t>
      </w:r>
      <w:r w:rsidR="008B0B34">
        <w:t>ed in the median, ulnar, radial</w:t>
      </w:r>
      <w:r w:rsidR="005133E2" w:rsidRPr="00AB756B">
        <w:t xml:space="preserve"> and sural nerves. </w:t>
      </w:r>
      <w:r w:rsidR="00A93237" w:rsidRPr="00AB756B">
        <w:t>Concentric</w:t>
      </w:r>
      <w:r w:rsidR="004C3CD1">
        <w:t xml:space="preserve"> </w:t>
      </w:r>
      <w:r w:rsidR="00345E80">
        <w:t>needle EMG</w:t>
      </w:r>
      <w:r w:rsidR="00A93237" w:rsidRPr="00E047AE">
        <w:t xml:space="preserve"> was performed in proximal and distal upper and lower limb muscles</w:t>
      </w:r>
      <w:r w:rsidR="00E16B54">
        <w:t xml:space="preserve"> (</w:t>
      </w:r>
      <w:r w:rsidR="00622888" w:rsidRPr="00E16B54">
        <w:t>10</w:t>
      </w:r>
      <w:r w:rsidR="00E16B54">
        <w:t>)</w:t>
      </w:r>
      <w:r w:rsidR="00A93237" w:rsidRPr="00E047AE">
        <w:t>.</w:t>
      </w:r>
    </w:p>
    <w:p w:rsidR="002A654D" w:rsidRPr="004A2F66" w:rsidRDefault="004A2F66" w:rsidP="002E7077">
      <w:pPr>
        <w:spacing w:line="360" w:lineRule="auto"/>
        <w:ind w:firstLine="708"/>
        <w:jc w:val="both"/>
        <w:rPr>
          <w:lang w:val="en-US"/>
        </w:rPr>
      </w:pPr>
      <w:r>
        <w:t>In</w:t>
      </w:r>
      <w:r w:rsidR="00A50067">
        <w:t xml:space="preserve"> addition to conventional</w:t>
      </w:r>
      <w:r w:rsidR="00743F59">
        <w:t xml:space="preserve"> </w:t>
      </w:r>
      <w:r w:rsidR="00345E80" w:rsidRPr="00AB756B">
        <w:t>NCS</w:t>
      </w:r>
      <w:r w:rsidRPr="00AB756B">
        <w:t>,</w:t>
      </w:r>
      <w:r w:rsidRPr="00DC537C">
        <w:t xml:space="preserve"> magnetic paravertebral stimulation </w:t>
      </w:r>
      <w:r>
        <w:t xml:space="preserve">via round coil (90 mm) centered </w:t>
      </w:r>
      <w:r w:rsidRPr="00DC537C">
        <w:t xml:space="preserve">over </w:t>
      </w:r>
      <w:r w:rsidRPr="00DC537C">
        <w:rPr>
          <w:shd w:val="clear" w:color="auto" w:fill="FFFFFF"/>
          <w:lang w:val="en-US"/>
        </w:rPr>
        <w:t>the</w:t>
      </w:r>
      <w:r w:rsidRPr="00DC537C">
        <w:rPr>
          <w:lang w:val="en-US"/>
        </w:rPr>
        <w:t> </w:t>
      </w:r>
      <w:r w:rsidRPr="00DC537C">
        <w:rPr>
          <w:bCs/>
          <w:lang w:val="en-US"/>
        </w:rPr>
        <w:t>spinous process of C7 was applied in order to detect the most proximal conduction blocks.</w:t>
      </w:r>
      <w:r>
        <w:rPr>
          <w:bCs/>
          <w:lang w:val="en-US"/>
        </w:rPr>
        <w:t xml:space="preserve"> Motor root conduction time (MRCT) was calculated by subtracting latency of motor evoked potentials evoked by </w:t>
      </w:r>
      <w:r w:rsidRPr="008E1B3C">
        <w:rPr>
          <w:color w:val="000000"/>
          <w:szCs w:val="28"/>
          <w:shd w:val="clear" w:color="auto" w:fill="FFFFFF"/>
          <w:lang w:val="en-US"/>
        </w:rPr>
        <w:t>cervical magnetic stimulation and total peripheral mo</w:t>
      </w:r>
      <w:r>
        <w:rPr>
          <w:color w:val="000000"/>
          <w:szCs w:val="28"/>
          <w:shd w:val="clear" w:color="auto" w:fill="FFFFFF"/>
          <w:lang w:val="en-US"/>
        </w:rPr>
        <w:t xml:space="preserve">tor conduction time (PMCT) obtained by </w:t>
      </w:r>
      <w:r w:rsidRPr="008E1B3C">
        <w:rPr>
          <w:color w:val="000000"/>
          <w:szCs w:val="28"/>
          <w:shd w:val="clear" w:color="auto" w:fill="FFFFFF"/>
          <w:lang w:val="en-US"/>
        </w:rPr>
        <w:t xml:space="preserve">electrical stimulation of </w:t>
      </w:r>
      <w:r>
        <w:rPr>
          <w:color w:val="000000"/>
          <w:szCs w:val="28"/>
          <w:shd w:val="clear" w:color="auto" w:fill="FFFFFF"/>
          <w:lang w:val="en-US"/>
        </w:rPr>
        <w:t>corresponding</w:t>
      </w:r>
      <w:r w:rsidRPr="008E1B3C">
        <w:rPr>
          <w:color w:val="000000"/>
          <w:szCs w:val="28"/>
          <w:shd w:val="clear" w:color="auto" w:fill="FFFFFF"/>
          <w:lang w:val="en-US"/>
        </w:rPr>
        <w:t xml:space="preserve"> nerve</w:t>
      </w:r>
      <w:r>
        <w:rPr>
          <w:color w:val="000000"/>
          <w:szCs w:val="28"/>
          <w:shd w:val="clear" w:color="auto" w:fill="FFFFFF"/>
          <w:lang w:val="en-US"/>
        </w:rPr>
        <w:t xml:space="preserve">. PMCT was estimated from the latencies of the CMAPs </w:t>
      </w:r>
      <w:r w:rsidRPr="00137A53">
        <w:rPr>
          <w:color w:val="000000"/>
          <w:szCs w:val="28"/>
          <w:shd w:val="clear" w:color="auto" w:fill="FFFFFF"/>
          <w:lang w:val="en-US"/>
        </w:rPr>
        <w:t xml:space="preserve">and F-waves as follows </w:t>
      </w:r>
      <w:r w:rsidRPr="00137A53">
        <w:rPr>
          <w:color w:val="000000"/>
          <w:szCs w:val="17"/>
          <w:shd w:val="clear" w:color="auto" w:fill="FFFFFF"/>
          <w:lang w:val="en-US"/>
        </w:rPr>
        <w:t>(latency of CMAPs + latency of F-waves − 1)/2</w:t>
      </w:r>
      <w:r w:rsidRPr="00137A53">
        <w:rPr>
          <w:color w:val="000000"/>
          <w:szCs w:val="28"/>
          <w:shd w:val="clear" w:color="auto" w:fill="FFFFFF"/>
          <w:lang w:val="en-US"/>
        </w:rPr>
        <w:t>.</w:t>
      </w:r>
      <w:r>
        <w:rPr>
          <w:color w:val="000000"/>
          <w:szCs w:val="28"/>
          <w:shd w:val="clear" w:color="auto" w:fill="FFFFFF"/>
          <w:lang w:val="en-US"/>
        </w:rPr>
        <w:t xml:space="preserve"> MRCT was accepted as prolonged only for th</w:t>
      </w:r>
      <w:r w:rsidR="008B0B34">
        <w:rPr>
          <w:color w:val="000000"/>
          <w:szCs w:val="28"/>
          <w:shd w:val="clear" w:color="auto" w:fill="FFFFFF"/>
          <w:lang w:val="en-US"/>
        </w:rPr>
        <w:t>e peripheral nerves along which</w:t>
      </w:r>
      <w:r>
        <w:rPr>
          <w:color w:val="000000"/>
          <w:szCs w:val="28"/>
          <w:shd w:val="clear" w:color="auto" w:fill="FFFFFF"/>
          <w:lang w:val="en-US"/>
        </w:rPr>
        <w:t xml:space="preserve"> conductive block in more distal segments has not been previously found. MRCT </w:t>
      </w:r>
      <w:r w:rsidRPr="002F5346">
        <w:rPr>
          <w:color w:val="000000"/>
          <w:szCs w:val="28"/>
          <w:shd w:val="clear" w:color="auto" w:fill="FFFFFF"/>
          <w:lang w:val="en-US"/>
        </w:rPr>
        <w:t xml:space="preserve">was considered normal if </w:t>
      </w:r>
      <w:r>
        <w:rPr>
          <w:color w:val="000000"/>
          <w:szCs w:val="28"/>
          <w:shd w:val="clear" w:color="auto" w:fill="FFFFFF"/>
          <w:lang w:val="en-US"/>
        </w:rPr>
        <w:t xml:space="preserve">the latency was shorter than 1.46 msec. We have decided to accept as </w:t>
      </w:r>
      <w:r w:rsidRPr="00794A30">
        <w:rPr>
          <w:color w:val="000000"/>
          <w:szCs w:val="28"/>
          <w:shd w:val="clear" w:color="auto" w:fill="FFFFFF"/>
          <w:lang w:val="en-US"/>
        </w:rPr>
        <w:t xml:space="preserve">possible proximal conductive blocks only </w:t>
      </w:r>
      <w:r>
        <w:rPr>
          <w:color w:val="000000"/>
          <w:szCs w:val="28"/>
          <w:shd w:val="clear" w:color="auto" w:fill="FFFFFF"/>
          <w:lang w:val="en-US"/>
        </w:rPr>
        <w:t xml:space="preserve">cases with clear MRCT prolongation, since the possible inability </w:t>
      </w:r>
      <w:r w:rsidRPr="00794A30">
        <w:rPr>
          <w:color w:val="000000"/>
          <w:szCs w:val="28"/>
          <w:shd w:val="clear" w:color="auto" w:fill="FFFFFF"/>
          <w:lang w:val="en-US"/>
        </w:rPr>
        <w:t xml:space="preserve">to achieve </w:t>
      </w:r>
      <w:r>
        <w:rPr>
          <w:color w:val="000000"/>
          <w:szCs w:val="28"/>
          <w:shd w:val="clear" w:color="auto" w:fill="FFFFFF"/>
          <w:lang w:val="en-US"/>
        </w:rPr>
        <w:t xml:space="preserve">supramaximal </w:t>
      </w:r>
      <w:r w:rsidRPr="00794A30">
        <w:rPr>
          <w:color w:val="000000"/>
          <w:szCs w:val="28"/>
          <w:shd w:val="clear" w:color="auto" w:fill="FFFFFF"/>
          <w:lang w:val="en-US"/>
        </w:rPr>
        <w:t xml:space="preserve">stimulation </w:t>
      </w:r>
      <w:r>
        <w:rPr>
          <w:color w:val="000000"/>
          <w:szCs w:val="28"/>
          <w:shd w:val="clear" w:color="auto" w:fill="FFFFFF"/>
          <w:lang w:val="en-US"/>
        </w:rPr>
        <w:t xml:space="preserve">by magnetic stimulation </w:t>
      </w:r>
      <w:r w:rsidRPr="00794A30">
        <w:rPr>
          <w:color w:val="000000"/>
          <w:szCs w:val="28"/>
          <w:shd w:val="clear" w:color="auto" w:fill="FFFFFF"/>
          <w:lang w:val="en-US"/>
        </w:rPr>
        <w:t>leaves the least impact on latenc</w:t>
      </w:r>
      <w:r>
        <w:rPr>
          <w:color w:val="000000"/>
          <w:szCs w:val="28"/>
          <w:shd w:val="clear" w:color="auto" w:fill="FFFFFF"/>
          <w:lang w:val="en-US"/>
        </w:rPr>
        <w:t>ies</w:t>
      </w:r>
      <w:r w:rsidRPr="00794A30">
        <w:rPr>
          <w:color w:val="000000"/>
          <w:szCs w:val="28"/>
          <w:shd w:val="clear" w:color="auto" w:fill="FFFFFF"/>
          <w:lang w:val="en-US"/>
        </w:rPr>
        <w:t>,</w:t>
      </w:r>
      <w:r>
        <w:rPr>
          <w:color w:val="000000"/>
          <w:szCs w:val="28"/>
          <w:shd w:val="clear" w:color="auto" w:fill="FFFFFF"/>
          <w:lang w:val="en-US"/>
        </w:rPr>
        <w:t xml:space="preserve"> contrary to </w:t>
      </w:r>
      <w:r w:rsidRPr="00794A30">
        <w:rPr>
          <w:color w:val="000000"/>
          <w:szCs w:val="28"/>
          <w:shd w:val="clear" w:color="auto" w:fill="FFFFFF"/>
          <w:lang w:val="en-US"/>
        </w:rPr>
        <w:t xml:space="preserve">significantly </w:t>
      </w:r>
      <w:r>
        <w:rPr>
          <w:color w:val="000000"/>
          <w:szCs w:val="28"/>
          <w:shd w:val="clear" w:color="auto" w:fill="FFFFFF"/>
          <w:lang w:val="en-US"/>
        </w:rPr>
        <w:t>lower</w:t>
      </w:r>
      <w:r w:rsidRPr="00794A30">
        <w:rPr>
          <w:color w:val="000000"/>
          <w:szCs w:val="28"/>
          <w:shd w:val="clear" w:color="auto" w:fill="FFFFFF"/>
          <w:lang w:val="en-US"/>
        </w:rPr>
        <w:t xml:space="preserve"> amplitude</w:t>
      </w:r>
      <w:r>
        <w:rPr>
          <w:color w:val="000000"/>
          <w:szCs w:val="28"/>
          <w:shd w:val="clear" w:color="auto" w:fill="FFFFFF"/>
          <w:lang w:val="en-US"/>
        </w:rPr>
        <w:t>s</w:t>
      </w:r>
      <w:r w:rsidRPr="00794A30">
        <w:rPr>
          <w:color w:val="000000"/>
          <w:szCs w:val="28"/>
          <w:shd w:val="clear" w:color="auto" w:fill="FFFFFF"/>
          <w:lang w:val="en-US"/>
        </w:rPr>
        <w:t xml:space="preserve"> and </w:t>
      </w:r>
      <w:r>
        <w:rPr>
          <w:color w:val="000000"/>
          <w:szCs w:val="28"/>
          <w:shd w:val="clear" w:color="auto" w:fill="FFFFFF"/>
          <w:lang w:val="en-US"/>
        </w:rPr>
        <w:t>areas in such cases</w:t>
      </w:r>
      <w:r w:rsidR="00E16B54">
        <w:rPr>
          <w:color w:val="000000"/>
          <w:szCs w:val="28"/>
          <w:shd w:val="clear" w:color="auto" w:fill="FFFFFF"/>
          <w:lang w:val="en-US"/>
        </w:rPr>
        <w:t xml:space="preserve"> (</w:t>
      </w:r>
      <w:r w:rsidR="00622888" w:rsidRPr="00E16B54">
        <w:rPr>
          <w:color w:val="000000"/>
          <w:szCs w:val="28"/>
          <w:shd w:val="clear" w:color="auto" w:fill="FFFFFF"/>
          <w:lang w:val="en-US"/>
        </w:rPr>
        <w:t>5,</w:t>
      </w:r>
      <w:r w:rsidR="00E16B54">
        <w:rPr>
          <w:color w:val="000000"/>
          <w:szCs w:val="28"/>
          <w:shd w:val="clear" w:color="auto" w:fill="FFFFFF"/>
          <w:lang w:val="en-US"/>
        </w:rPr>
        <w:t xml:space="preserve"> </w:t>
      </w:r>
      <w:r w:rsidR="00622888" w:rsidRPr="00E16B54">
        <w:rPr>
          <w:color w:val="000000"/>
          <w:szCs w:val="28"/>
          <w:shd w:val="clear" w:color="auto" w:fill="FFFFFF"/>
          <w:lang w:val="en-US"/>
        </w:rPr>
        <w:t>11</w:t>
      </w:r>
      <w:r w:rsidR="00E16B54">
        <w:rPr>
          <w:color w:val="000000"/>
          <w:szCs w:val="28"/>
          <w:shd w:val="clear" w:color="auto" w:fill="FFFFFF"/>
          <w:lang w:val="en-US"/>
        </w:rPr>
        <w:t>)</w:t>
      </w:r>
      <w:r>
        <w:rPr>
          <w:color w:val="000000"/>
          <w:szCs w:val="28"/>
          <w:shd w:val="clear" w:color="auto" w:fill="FFFFFF"/>
          <w:lang w:val="en-US"/>
        </w:rPr>
        <w:t>.</w:t>
      </w:r>
    </w:p>
    <w:p w:rsidR="00A93237" w:rsidRPr="00E047AE" w:rsidRDefault="00A93237" w:rsidP="002E7077">
      <w:pPr>
        <w:spacing w:line="360" w:lineRule="auto"/>
        <w:ind w:firstLine="708"/>
        <w:jc w:val="both"/>
      </w:pPr>
      <w:r w:rsidRPr="002E7077">
        <w:rPr>
          <w:i/>
        </w:rPr>
        <w:t>Serum and CSF analyses</w:t>
      </w:r>
      <w:r w:rsidRPr="00E047AE">
        <w:rPr>
          <w:b/>
        </w:rPr>
        <w:t xml:space="preserve">. </w:t>
      </w:r>
      <w:r w:rsidRPr="00E047AE">
        <w:t>Serum IgG and IgM antibodies to ganglioside GM1</w:t>
      </w:r>
      <w:r w:rsidR="004C3CD1">
        <w:t xml:space="preserve"> </w:t>
      </w:r>
      <w:r w:rsidRPr="00E047AE">
        <w:t xml:space="preserve">were measured by enzyme linked immunosorbent assay (ELISA) before </w:t>
      </w:r>
      <w:r w:rsidR="007628C3">
        <w:t>imunoglobulin</w:t>
      </w:r>
      <w:r w:rsidRPr="00E047AE">
        <w:t xml:space="preserve"> treatment</w:t>
      </w:r>
      <w:r w:rsidR="00622888">
        <w:rPr>
          <w:vertAlign w:val="superscript"/>
        </w:rPr>
        <w:t>12,13</w:t>
      </w:r>
      <w:r w:rsidRPr="00E047AE">
        <w:t>. The presence of monoclonal gammopathy was investigated by serum immunoelectrophoresis and immunofixation. CSF was examined for total protein concentration and cell count by standard procedures and by isoelectric focusing agarose gel electrophoresis for oligoclonal bands</w:t>
      </w:r>
      <w:r w:rsidR="00E16B54">
        <w:t xml:space="preserve"> (</w:t>
      </w:r>
      <w:r w:rsidR="00622888" w:rsidRPr="00E16B54">
        <w:t>8</w:t>
      </w:r>
      <w:r w:rsidR="00E16B54">
        <w:t>)</w:t>
      </w:r>
      <w:r w:rsidRPr="00E047AE">
        <w:t>.</w:t>
      </w:r>
    </w:p>
    <w:p w:rsidR="0007599D" w:rsidRPr="00551882" w:rsidRDefault="0007599D" w:rsidP="002E7077">
      <w:pPr>
        <w:autoSpaceDE w:val="0"/>
        <w:autoSpaceDN w:val="0"/>
        <w:adjustRightInd w:val="0"/>
        <w:spacing w:line="360" w:lineRule="auto"/>
        <w:ind w:firstLine="708"/>
        <w:jc w:val="both"/>
        <w:rPr>
          <w:rFonts w:ascii="TimesNewRoman" w:hAnsi="TimesNewRoman" w:cs="TimesNewRoman"/>
          <w:noProof w:val="0"/>
        </w:rPr>
      </w:pPr>
      <w:r w:rsidRPr="002E7077">
        <w:rPr>
          <w:rFonts w:ascii="TimesNewRoman" w:hAnsi="TimesNewRoman" w:cs="TimesNewRoman"/>
          <w:i/>
          <w:noProof w:val="0"/>
        </w:rPr>
        <w:t>MRI</w:t>
      </w:r>
      <w:r w:rsidR="00743F59" w:rsidRPr="00743F59">
        <w:rPr>
          <w:rFonts w:ascii="TimesNewRoman" w:hAnsi="TimesNewRoman" w:cs="TimesNewRoman"/>
          <w:noProof w:val="0"/>
        </w:rPr>
        <w:t xml:space="preserve"> </w:t>
      </w:r>
      <w:r w:rsidRPr="00551882">
        <w:rPr>
          <w:rFonts w:ascii="TimesNewRoman" w:hAnsi="TimesNewRoman" w:cs="TimesNewRoman"/>
          <w:noProof w:val="0"/>
        </w:rPr>
        <w:t>of cervical</w:t>
      </w:r>
      <w:r w:rsidR="00743F59">
        <w:rPr>
          <w:rFonts w:ascii="TimesNewRoman" w:hAnsi="TimesNewRoman" w:cs="TimesNewRoman"/>
          <w:noProof w:val="0"/>
        </w:rPr>
        <w:t xml:space="preserve"> </w:t>
      </w:r>
      <w:r w:rsidRPr="00551882">
        <w:rPr>
          <w:rFonts w:ascii="TimesNewRoman" w:hAnsi="TimesNewRoman" w:cs="TimesNewRoman"/>
          <w:noProof w:val="0"/>
        </w:rPr>
        <w:t>spine</w:t>
      </w:r>
      <w:r w:rsidR="00743F59">
        <w:rPr>
          <w:rFonts w:ascii="TimesNewRoman" w:hAnsi="TimesNewRoman" w:cs="TimesNewRoman"/>
          <w:noProof w:val="0"/>
        </w:rPr>
        <w:t xml:space="preserve"> </w:t>
      </w:r>
      <w:r w:rsidRPr="00551882">
        <w:rPr>
          <w:rFonts w:ascii="TimesNewRoman" w:hAnsi="TimesNewRoman" w:cs="TimesNewRoman"/>
          <w:noProof w:val="0"/>
        </w:rPr>
        <w:t>and</w:t>
      </w:r>
      <w:r w:rsidR="00743F59">
        <w:rPr>
          <w:rFonts w:ascii="TimesNewRoman" w:hAnsi="TimesNewRoman" w:cs="TimesNewRoman"/>
          <w:noProof w:val="0"/>
        </w:rPr>
        <w:t xml:space="preserve"> </w:t>
      </w:r>
      <w:r w:rsidRPr="00551882">
        <w:rPr>
          <w:rFonts w:ascii="TimesNewRoman" w:hAnsi="TimesNewRoman" w:cs="TimesNewRoman"/>
          <w:noProof w:val="0"/>
        </w:rPr>
        <w:t>brachial</w:t>
      </w:r>
      <w:r w:rsidR="00743F59">
        <w:rPr>
          <w:rFonts w:ascii="TimesNewRoman" w:hAnsi="TimesNewRoman" w:cs="TimesNewRoman"/>
          <w:noProof w:val="0"/>
        </w:rPr>
        <w:t xml:space="preserve"> </w:t>
      </w:r>
      <w:r w:rsidRPr="00551882">
        <w:rPr>
          <w:rFonts w:ascii="TimesNewRoman" w:hAnsi="TimesNewRoman" w:cs="TimesNewRoman"/>
          <w:noProof w:val="0"/>
        </w:rPr>
        <w:t>plexus</w:t>
      </w:r>
      <w:r w:rsidR="00743F59">
        <w:rPr>
          <w:rFonts w:ascii="TimesNewRoman" w:hAnsi="TimesNewRoman" w:cs="TimesNewRoman"/>
          <w:noProof w:val="0"/>
        </w:rPr>
        <w:t xml:space="preserve"> </w:t>
      </w:r>
      <w:r w:rsidRPr="00551882">
        <w:rPr>
          <w:rFonts w:ascii="TimesNewRoman" w:hAnsi="TimesNewRoman" w:cs="TimesNewRoman"/>
          <w:noProof w:val="0"/>
        </w:rPr>
        <w:t>was</w:t>
      </w:r>
      <w:r w:rsidR="00743F59">
        <w:rPr>
          <w:rFonts w:ascii="TimesNewRoman" w:hAnsi="TimesNewRoman" w:cs="TimesNewRoman"/>
          <w:noProof w:val="0"/>
        </w:rPr>
        <w:t xml:space="preserve"> </w:t>
      </w:r>
      <w:r w:rsidRPr="00551882">
        <w:rPr>
          <w:rFonts w:ascii="TimesNewRoman" w:hAnsi="TimesNewRoman" w:cs="TimesNewRoman"/>
          <w:noProof w:val="0"/>
        </w:rPr>
        <w:t>performed</w:t>
      </w:r>
      <w:r w:rsidR="00743F59">
        <w:rPr>
          <w:rFonts w:ascii="TimesNewRoman" w:hAnsi="TimesNewRoman" w:cs="TimesNewRoman"/>
          <w:noProof w:val="0"/>
        </w:rPr>
        <w:t xml:space="preserve"> </w:t>
      </w:r>
      <w:r w:rsidR="00296BEA">
        <w:rPr>
          <w:rFonts w:ascii="TimesNewRoman" w:hAnsi="TimesNewRoman" w:cs="TimesNewRoman"/>
          <w:noProof w:val="0"/>
        </w:rPr>
        <w:t>in all</w:t>
      </w:r>
      <w:r w:rsidR="00743F59">
        <w:rPr>
          <w:rFonts w:ascii="TimesNewRoman" w:hAnsi="TimesNewRoman" w:cs="TimesNewRoman"/>
          <w:noProof w:val="0"/>
        </w:rPr>
        <w:t xml:space="preserve"> </w:t>
      </w:r>
      <w:r w:rsidRPr="00551882">
        <w:rPr>
          <w:rFonts w:ascii="TimesNewRoman" w:hAnsi="TimesNewRoman" w:cs="TimesNewRoman"/>
          <w:noProof w:val="0"/>
        </w:rPr>
        <w:t>patients</w:t>
      </w:r>
      <w:r w:rsidR="00743F59">
        <w:rPr>
          <w:rFonts w:ascii="TimesNewRoman" w:hAnsi="TimesNewRoman" w:cs="TimesNewRoman"/>
          <w:noProof w:val="0"/>
        </w:rPr>
        <w:t xml:space="preserve"> </w:t>
      </w:r>
      <w:r w:rsidRPr="00551882">
        <w:rPr>
          <w:rFonts w:ascii="TimesNewRoman" w:hAnsi="TimesNewRoman" w:cs="TimesNewRoman"/>
          <w:noProof w:val="0"/>
        </w:rPr>
        <w:t>using a Siemens</w:t>
      </w:r>
      <w:r w:rsidR="00743F59">
        <w:rPr>
          <w:rFonts w:ascii="TimesNewRoman" w:hAnsi="TimesNewRoman" w:cs="TimesNewRoman"/>
          <w:noProof w:val="0"/>
        </w:rPr>
        <w:t xml:space="preserve"> </w:t>
      </w:r>
      <w:r w:rsidRPr="00551882">
        <w:rPr>
          <w:rFonts w:ascii="TimesNewRoman" w:hAnsi="TimesNewRoman" w:cs="TimesNewRoman"/>
          <w:noProof w:val="0"/>
        </w:rPr>
        <w:t>Avanto 1.5 T unit.</w:t>
      </w:r>
      <w:r w:rsidR="00DA5F59">
        <w:rPr>
          <w:rFonts w:ascii="TimesNewRoman" w:hAnsi="TimesNewRoman" w:cs="TimesNewRoman"/>
          <w:noProof w:val="0"/>
        </w:rPr>
        <w:t xml:space="preserve"> </w:t>
      </w:r>
      <w:r w:rsidRPr="00551882">
        <w:rPr>
          <w:rFonts w:ascii="TimesNewRoman" w:hAnsi="TimesNewRoman" w:cs="TimesNewRoman"/>
          <w:noProof w:val="0"/>
        </w:rPr>
        <w:t>The following</w:t>
      </w:r>
      <w:r w:rsidR="00C418DE">
        <w:rPr>
          <w:rFonts w:ascii="TimesNewRoman" w:hAnsi="TimesNewRoman" w:cs="TimesNewRoman"/>
          <w:noProof w:val="0"/>
        </w:rPr>
        <w:t xml:space="preserve"> </w:t>
      </w:r>
      <w:r w:rsidRPr="00551882">
        <w:rPr>
          <w:rFonts w:ascii="TimesNewRoman" w:hAnsi="TimesNewRoman" w:cs="TimesNewRoman"/>
          <w:noProof w:val="0"/>
        </w:rPr>
        <w:t>sequences</w:t>
      </w:r>
      <w:r w:rsidR="00C418DE">
        <w:rPr>
          <w:rFonts w:ascii="TimesNewRoman" w:hAnsi="TimesNewRoman" w:cs="TimesNewRoman"/>
          <w:noProof w:val="0"/>
        </w:rPr>
        <w:t xml:space="preserve"> </w:t>
      </w:r>
      <w:r w:rsidRPr="00551882">
        <w:rPr>
          <w:rFonts w:ascii="TimesNewRoman" w:hAnsi="TimesNewRoman" w:cs="TimesNewRoman"/>
          <w:noProof w:val="0"/>
        </w:rPr>
        <w:t>were</w:t>
      </w:r>
      <w:r w:rsidR="00C418DE">
        <w:rPr>
          <w:rFonts w:ascii="TimesNewRoman" w:hAnsi="TimesNewRoman" w:cs="TimesNewRoman"/>
          <w:noProof w:val="0"/>
        </w:rPr>
        <w:t xml:space="preserve"> </w:t>
      </w:r>
      <w:r w:rsidRPr="00551882">
        <w:rPr>
          <w:rFonts w:ascii="TimesNewRoman" w:hAnsi="TimesNewRoman" w:cs="TimesNewRoman"/>
          <w:noProof w:val="0"/>
        </w:rPr>
        <w:t>applied: an</w:t>
      </w:r>
      <w:r w:rsidR="00C418DE">
        <w:rPr>
          <w:rFonts w:ascii="TimesNewRoman" w:hAnsi="TimesNewRoman" w:cs="TimesNewRoman"/>
          <w:noProof w:val="0"/>
        </w:rPr>
        <w:t xml:space="preserve"> </w:t>
      </w:r>
      <w:r w:rsidRPr="00551882">
        <w:rPr>
          <w:rFonts w:ascii="TimesNewRoman" w:hAnsi="TimesNewRoman" w:cs="TimesNewRoman"/>
          <w:noProof w:val="0"/>
        </w:rPr>
        <w:t>axial turbo spin</w:t>
      </w:r>
      <w:r w:rsidR="007628C3">
        <w:rPr>
          <w:rFonts w:ascii="TimesNewRoman" w:hAnsi="TimesNewRoman" w:cs="TimesNewRoman"/>
          <w:noProof w:val="0"/>
        </w:rPr>
        <w:t>-</w:t>
      </w:r>
      <w:r w:rsidRPr="00551882">
        <w:rPr>
          <w:rFonts w:ascii="TimesNewRoman" w:hAnsi="TimesNewRoman" w:cs="TimesNewRoman"/>
          <w:noProof w:val="0"/>
        </w:rPr>
        <w:t>echo</w:t>
      </w:r>
      <w:r w:rsidR="00C418DE">
        <w:rPr>
          <w:rFonts w:ascii="TimesNewRoman" w:hAnsi="TimesNewRoman" w:cs="TimesNewRoman"/>
          <w:noProof w:val="0"/>
        </w:rPr>
        <w:t xml:space="preserve"> </w:t>
      </w:r>
      <w:r w:rsidRPr="00551882">
        <w:rPr>
          <w:rFonts w:ascii="TimesNewRoman" w:hAnsi="TimesNewRoman" w:cs="TimesNewRoman"/>
          <w:noProof w:val="0"/>
        </w:rPr>
        <w:t>T1 sequence (FoV 280 mm, slice</w:t>
      </w:r>
      <w:r w:rsidR="00C418DE">
        <w:rPr>
          <w:rFonts w:ascii="TimesNewRoman" w:hAnsi="TimesNewRoman" w:cs="TimesNewRoman"/>
          <w:noProof w:val="0"/>
        </w:rPr>
        <w:t xml:space="preserve"> </w:t>
      </w:r>
      <w:r w:rsidRPr="00551882">
        <w:rPr>
          <w:rFonts w:ascii="TimesNewRoman" w:hAnsi="TimesNewRoman" w:cs="TimesNewRoman"/>
          <w:noProof w:val="0"/>
        </w:rPr>
        <w:t>thickness 3.0 mm, TR</w:t>
      </w:r>
      <w:r w:rsidR="00FF7B72">
        <w:rPr>
          <w:rFonts w:ascii="TimesNewRoman" w:hAnsi="TimesNewRoman" w:cs="TimesNewRoman"/>
          <w:noProof w:val="0"/>
        </w:rPr>
        <w:t xml:space="preserve"> </w:t>
      </w:r>
      <w:r w:rsidRPr="00551882">
        <w:rPr>
          <w:rFonts w:ascii="TimesNewRoman" w:hAnsi="TimesNewRoman" w:cs="TimesNewRoman"/>
          <w:noProof w:val="0"/>
        </w:rPr>
        <w:t>561 ms, TE 11 ms, flip</w:t>
      </w:r>
      <w:r w:rsidR="00FF7B72">
        <w:rPr>
          <w:rFonts w:ascii="TimesNewRoman" w:hAnsi="TimesNewRoman" w:cs="TimesNewRoman"/>
          <w:noProof w:val="0"/>
        </w:rPr>
        <w:t xml:space="preserve"> </w:t>
      </w:r>
      <w:r w:rsidRPr="00551882">
        <w:rPr>
          <w:rFonts w:ascii="TimesNewRoman" w:hAnsi="TimesNewRoman" w:cs="TimesNewRoman"/>
          <w:noProof w:val="0"/>
        </w:rPr>
        <w:t>angle 150 degree, acquisition</w:t>
      </w:r>
      <w:r w:rsidR="00FF7B72">
        <w:rPr>
          <w:rFonts w:ascii="TimesNewRoman" w:hAnsi="TimesNewRoman" w:cs="TimesNewRoman"/>
          <w:noProof w:val="0"/>
        </w:rPr>
        <w:t xml:space="preserve"> </w:t>
      </w:r>
      <w:r w:rsidRPr="00551882">
        <w:rPr>
          <w:rFonts w:ascii="TimesNewRoman" w:hAnsi="TimesNewRoman" w:cs="TimesNewRoman"/>
          <w:noProof w:val="0"/>
        </w:rPr>
        <w:t>number</w:t>
      </w:r>
      <w:r w:rsidR="00FF7B72">
        <w:rPr>
          <w:rFonts w:ascii="TimesNewRoman" w:hAnsi="TimesNewRoman" w:cs="TimesNewRoman"/>
          <w:noProof w:val="0"/>
        </w:rPr>
        <w:t xml:space="preserve"> </w:t>
      </w:r>
      <w:r w:rsidRPr="00551882">
        <w:rPr>
          <w:rFonts w:ascii="TimesNewRoman" w:hAnsi="TimesNewRoman" w:cs="TimesNewRoman"/>
          <w:noProof w:val="0"/>
        </w:rPr>
        <w:t>1, base</w:t>
      </w:r>
      <w:r w:rsidR="00FF7B72">
        <w:rPr>
          <w:rFonts w:ascii="TimesNewRoman" w:hAnsi="TimesNewRoman" w:cs="TimesNewRoman"/>
          <w:noProof w:val="0"/>
        </w:rPr>
        <w:t xml:space="preserve"> </w:t>
      </w:r>
      <w:r w:rsidRPr="00551882">
        <w:rPr>
          <w:rFonts w:ascii="TimesNewRoman" w:hAnsi="TimesNewRoman" w:cs="TimesNewRoman"/>
          <w:noProof w:val="0"/>
        </w:rPr>
        <w:t>resolution 320), an</w:t>
      </w:r>
      <w:r w:rsidR="00FF7B72">
        <w:rPr>
          <w:rFonts w:ascii="TimesNewRoman" w:hAnsi="TimesNewRoman" w:cs="TimesNewRoman"/>
          <w:noProof w:val="0"/>
        </w:rPr>
        <w:t xml:space="preserve"> </w:t>
      </w:r>
      <w:r w:rsidRPr="00551882">
        <w:rPr>
          <w:rFonts w:ascii="TimesNewRoman" w:hAnsi="TimesNewRoman" w:cs="TimesNewRoman"/>
          <w:noProof w:val="0"/>
        </w:rPr>
        <w:t>axial turbo spin-echo T2 sequence</w:t>
      </w:r>
    </w:p>
    <w:p w:rsidR="0007599D" w:rsidRPr="00551882" w:rsidRDefault="0007599D" w:rsidP="002E7077">
      <w:pPr>
        <w:autoSpaceDE w:val="0"/>
        <w:autoSpaceDN w:val="0"/>
        <w:adjustRightInd w:val="0"/>
        <w:spacing w:line="360" w:lineRule="auto"/>
        <w:jc w:val="both"/>
        <w:rPr>
          <w:rFonts w:ascii="TimesNewRoman" w:hAnsi="TimesNewRoman" w:cs="TimesNewRoman"/>
          <w:noProof w:val="0"/>
        </w:rPr>
      </w:pPr>
      <w:r w:rsidRPr="00551882">
        <w:rPr>
          <w:rFonts w:ascii="TimesNewRoman" w:hAnsi="TimesNewRoman" w:cs="TimesNewRoman"/>
          <w:noProof w:val="0"/>
        </w:rPr>
        <w:t>(FoV 280 mm, slice</w:t>
      </w:r>
      <w:r w:rsidR="00FF7B72">
        <w:rPr>
          <w:rFonts w:ascii="TimesNewRoman" w:hAnsi="TimesNewRoman" w:cs="TimesNewRoman"/>
          <w:noProof w:val="0"/>
        </w:rPr>
        <w:t xml:space="preserve"> </w:t>
      </w:r>
      <w:r w:rsidRPr="00551882">
        <w:rPr>
          <w:rFonts w:ascii="TimesNewRoman" w:hAnsi="TimesNewRoman" w:cs="TimesNewRoman"/>
          <w:noProof w:val="0"/>
        </w:rPr>
        <w:t>thickness 3.0 mm, TR 3600 ms, TE 127</w:t>
      </w:r>
      <w:r w:rsidR="00FF7B72">
        <w:rPr>
          <w:rFonts w:ascii="TimesNewRoman" w:hAnsi="TimesNewRoman" w:cs="TimesNewRoman"/>
          <w:noProof w:val="0"/>
        </w:rPr>
        <w:t xml:space="preserve"> </w:t>
      </w:r>
      <w:r w:rsidRPr="00551882">
        <w:rPr>
          <w:rFonts w:ascii="TimesNewRoman" w:hAnsi="TimesNewRoman" w:cs="TimesNewRoman"/>
          <w:noProof w:val="0"/>
        </w:rPr>
        <w:t>ms, flip</w:t>
      </w:r>
      <w:r w:rsidR="00FF7B72">
        <w:rPr>
          <w:rFonts w:ascii="TimesNewRoman" w:hAnsi="TimesNewRoman" w:cs="TimesNewRoman"/>
          <w:noProof w:val="0"/>
        </w:rPr>
        <w:t xml:space="preserve"> </w:t>
      </w:r>
      <w:r w:rsidRPr="00551882">
        <w:rPr>
          <w:rFonts w:ascii="TimesNewRoman" w:hAnsi="TimesNewRoman" w:cs="TimesNewRoman"/>
          <w:noProof w:val="0"/>
        </w:rPr>
        <w:t>angle 170 degree, acquisition</w:t>
      </w:r>
      <w:r w:rsidR="00FF7B72">
        <w:rPr>
          <w:rFonts w:ascii="TimesNewRoman" w:hAnsi="TimesNewRoman" w:cs="TimesNewRoman"/>
          <w:noProof w:val="0"/>
        </w:rPr>
        <w:t xml:space="preserve"> </w:t>
      </w:r>
      <w:r w:rsidRPr="00551882">
        <w:rPr>
          <w:rFonts w:ascii="TimesNewRoman" w:hAnsi="TimesNewRoman" w:cs="TimesNewRoman"/>
          <w:noProof w:val="0"/>
        </w:rPr>
        <w:t>number 1, base</w:t>
      </w:r>
      <w:r w:rsidR="00FF7B72">
        <w:rPr>
          <w:rFonts w:ascii="TimesNewRoman" w:hAnsi="TimesNewRoman" w:cs="TimesNewRoman"/>
          <w:noProof w:val="0"/>
        </w:rPr>
        <w:t xml:space="preserve"> </w:t>
      </w:r>
      <w:r w:rsidRPr="00551882">
        <w:rPr>
          <w:rFonts w:ascii="TimesNewRoman" w:hAnsi="TimesNewRoman" w:cs="TimesNewRoman"/>
          <w:noProof w:val="0"/>
        </w:rPr>
        <w:t>resolution</w:t>
      </w:r>
      <w:r w:rsidR="00FF7B72">
        <w:rPr>
          <w:rFonts w:ascii="TimesNewRoman" w:hAnsi="TimesNewRoman" w:cs="TimesNewRoman"/>
          <w:noProof w:val="0"/>
        </w:rPr>
        <w:t xml:space="preserve"> </w:t>
      </w:r>
      <w:r w:rsidRPr="00551882">
        <w:rPr>
          <w:rFonts w:ascii="TimesNewRoman" w:hAnsi="TimesNewRoman" w:cs="TimesNewRoman"/>
          <w:noProof w:val="0"/>
        </w:rPr>
        <w:t>512), a coronal</w:t>
      </w:r>
      <w:r w:rsidR="00FF7B72">
        <w:rPr>
          <w:rFonts w:ascii="TimesNewRoman" w:hAnsi="TimesNewRoman" w:cs="TimesNewRoman"/>
          <w:noProof w:val="0"/>
        </w:rPr>
        <w:t xml:space="preserve"> </w:t>
      </w:r>
      <w:r w:rsidRPr="00551882">
        <w:rPr>
          <w:rFonts w:ascii="TimesNewRoman" w:hAnsi="TimesNewRoman" w:cs="TimesNewRoman"/>
          <w:noProof w:val="0"/>
        </w:rPr>
        <w:t>fat-saturated (FS) turbo spin-echo T1 sequence</w:t>
      </w:r>
      <w:r w:rsidR="00FF7B72">
        <w:rPr>
          <w:rFonts w:ascii="TimesNewRoman" w:hAnsi="TimesNewRoman" w:cs="TimesNewRoman"/>
          <w:noProof w:val="0"/>
        </w:rPr>
        <w:t xml:space="preserve"> </w:t>
      </w:r>
      <w:r w:rsidRPr="00551882">
        <w:rPr>
          <w:rFonts w:ascii="TimesNewRoman" w:hAnsi="TimesNewRoman" w:cs="TimesNewRoman"/>
          <w:noProof w:val="0"/>
        </w:rPr>
        <w:t>(FoV 350 mm, slice</w:t>
      </w:r>
      <w:r w:rsidR="00FF7B72">
        <w:rPr>
          <w:rFonts w:ascii="TimesNewRoman" w:hAnsi="TimesNewRoman" w:cs="TimesNewRoman"/>
          <w:noProof w:val="0"/>
        </w:rPr>
        <w:t xml:space="preserve"> </w:t>
      </w:r>
      <w:r w:rsidRPr="00551882">
        <w:rPr>
          <w:rFonts w:ascii="TimesNewRoman" w:hAnsi="TimesNewRoman" w:cs="TimesNewRoman"/>
          <w:noProof w:val="0"/>
        </w:rPr>
        <w:t>thickness 2.5 mm, TR 550 ms,</w:t>
      </w:r>
      <w:r w:rsidR="00DA5F59">
        <w:rPr>
          <w:rFonts w:ascii="TimesNewRoman" w:hAnsi="TimesNewRoman" w:cs="TimesNewRoman"/>
          <w:noProof w:val="0"/>
        </w:rPr>
        <w:t xml:space="preserve"> </w:t>
      </w:r>
      <w:r w:rsidRPr="00551882">
        <w:rPr>
          <w:rFonts w:ascii="TimesNewRoman" w:hAnsi="TimesNewRoman" w:cs="TimesNewRoman"/>
          <w:noProof w:val="0"/>
        </w:rPr>
        <w:t>TE 11 ms, flip</w:t>
      </w:r>
      <w:r w:rsidR="00FF7B72">
        <w:rPr>
          <w:rFonts w:ascii="TimesNewRoman" w:hAnsi="TimesNewRoman" w:cs="TimesNewRoman"/>
          <w:noProof w:val="0"/>
        </w:rPr>
        <w:t xml:space="preserve"> </w:t>
      </w:r>
      <w:r w:rsidRPr="00551882">
        <w:rPr>
          <w:rFonts w:ascii="TimesNewRoman" w:hAnsi="TimesNewRoman" w:cs="TimesNewRoman"/>
          <w:noProof w:val="0"/>
        </w:rPr>
        <w:t>angle 150 degree, acquisition</w:t>
      </w:r>
      <w:r w:rsidR="00FF7B72">
        <w:rPr>
          <w:rFonts w:ascii="TimesNewRoman" w:hAnsi="TimesNewRoman" w:cs="TimesNewRoman"/>
          <w:noProof w:val="0"/>
        </w:rPr>
        <w:t xml:space="preserve"> </w:t>
      </w:r>
      <w:r w:rsidRPr="00551882">
        <w:rPr>
          <w:rFonts w:ascii="TimesNewRoman" w:hAnsi="TimesNewRoman" w:cs="TimesNewRoman"/>
          <w:noProof w:val="0"/>
        </w:rPr>
        <w:t>number 1, base</w:t>
      </w:r>
      <w:r w:rsidR="00FF7B72">
        <w:rPr>
          <w:rFonts w:ascii="TimesNewRoman" w:hAnsi="TimesNewRoman" w:cs="TimesNewRoman"/>
          <w:noProof w:val="0"/>
        </w:rPr>
        <w:t xml:space="preserve"> </w:t>
      </w:r>
      <w:r w:rsidR="007628C3">
        <w:rPr>
          <w:rFonts w:ascii="TimesNewRoman" w:hAnsi="TimesNewRoman" w:cs="TimesNewRoman"/>
          <w:noProof w:val="0"/>
        </w:rPr>
        <w:t>resolution 256)</w:t>
      </w:r>
      <w:r w:rsidR="00FF7B72">
        <w:rPr>
          <w:rFonts w:ascii="TimesNewRoman" w:hAnsi="TimesNewRoman" w:cs="TimesNewRoman"/>
          <w:noProof w:val="0"/>
        </w:rPr>
        <w:t xml:space="preserve"> </w:t>
      </w:r>
      <w:r w:rsidRPr="00551882">
        <w:rPr>
          <w:rFonts w:ascii="TimesNewRoman" w:hAnsi="TimesNewRoman" w:cs="TimesNewRoman"/>
          <w:noProof w:val="0"/>
        </w:rPr>
        <w:t>and a coronal</w:t>
      </w:r>
      <w:r w:rsidR="00DA5F59">
        <w:rPr>
          <w:rFonts w:ascii="TimesNewRoman" w:hAnsi="TimesNewRoman" w:cs="TimesNewRoman"/>
          <w:noProof w:val="0"/>
        </w:rPr>
        <w:t xml:space="preserve"> </w:t>
      </w:r>
      <w:r w:rsidRPr="00551882">
        <w:rPr>
          <w:rFonts w:ascii="TimesNewRoman" w:hAnsi="TimesNewRoman" w:cs="TimesNewRoman"/>
          <w:noProof w:val="0"/>
        </w:rPr>
        <w:t>fat-saturated (FS) turbo spin</w:t>
      </w:r>
      <w:r w:rsidR="007628C3">
        <w:rPr>
          <w:rFonts w:ascii="TimesNewRoman" w:hAnsi="TimesNewRoman" w:cs="TimesNewRoman"/>
          <w:noProof w:val="0"/>
        </w:rPr>
        <w:t>-</w:t>
      </w:r>
      <w:r w:rsidRPr="00551882">
        <w:rPr>
          <w:rFonts w:ascii="TimesNewRoman" w:hAnsi="TimesNewRoman" w:cs="TimesNewRoman"/>
          <w:noProof w:val="0"/>
        </w:rPr>
        <w:t>echo</w:t>
      </w:r>
    </w:p>
    <w:p w:rsidR="005A097C" w:rsidRPr="003B28AF" w:rsidRDefault="0007599D" w:rsidP="002E7077">
      <w:pPr>
        <w:autoSpaceDE w:val="0"/>
        <w:autoSpaceDN w:val="0"/>
        <w:adjustRightInd w:val="0"/>
        <w:spacing w:line="360" w:lineRule="auto"/>
        <w:jc w:val="both"/>
        <w:rPr>
          <w:rFonts w:ascii="TimesNewRoman" w:hAnsi="TimesNewRoman" w:cs="TimesNewRoman"/>
          <w:noProof w:val="0"/>
        </w:rPr>
      </w:pPr>
      <w:r w:rsidRPr="00551882">
        <w:rPr>
          <w:rFonts w:ascii="TimesNewRoman" w:hAnsi="TimesNewRoman" w:cs="TimesNewRoman"/>
          <w:noProof w:val="0"/>
        </w:rPr>
        <w:t>T2 sequence (FoV 350 mm, slice</w:t>
      </w:r>
      <w:r w:rsidR="00FF7B72">
        <w:rPr>
          <w:rFonts w:ascii="TimesNewRoman" w:hAnsi="TimesNewRoman" w:cs="TimesNewRoman"/>
          <w:noProof w:val="0"/>
        </w:rPr>
        <w:t xml:space="preserve"> </w:t>
      </w:r>
      <w:r w:rsidRPr="00551882">
        <w:rPr>
          <w:rFonts w:ascii="TimesNewRoman" w:hAnsi="TimesNewRoman" w:cs="TimesNewRoman"/>
          <w:noProof w:val="0"/>
        </w:rPr>
        <w:t>thickness 2.5 mm, TR</w:t>
      </w:r>
      <w:r w:rsidR="00FF7B72">
        <w:rPr>
          <w:rFonts w:ascii="TimesNewRoman" w:hAnsi="TimesNewRoman" w:cs="TimesNewRoman"/>
          <w:noProof w:val="0"/>
        </w:rPr>
        <w:t xml:space="preserve"> </w:t>
      </w:r>
      <w:r w:rsidRPr="00551882">
        <w:rPr>
          <w:rFonts w:ascii="TimesNewRoman" w:hAnsi="TimesNewRoman" w:cs="TimesNewRoman"/>
          <w:noProof w:val="0"/>
        </w:rPr>
        <w:t>7500 ms, TE 157 ms, flip</w:t>
      </w:r>
      <w:r w:rsidR="00FF7B72">
        <w:rPr>
          <w:rFonts w:ascii="TimesNewRoman" w:hAnsi="TimesNewRoman" w:cs="TimesNewRoman"/>
          <w:noProof w:val="0"/>
        </w:rPr>
        <w:t xml:space="preserve"> </w:t>
      </w:r>
      <w:r w:rsidRPr="00551882">
        <w:rPr>
          <w:rFonts w:ascii="TimesNewRoman" w:hAnsi="TimesNewRoman" w:cs="TimesNewRoman"/>
          <w:noProof w:val="0"/>
        </w:rPr>
        <w:t>angle 170 degree, acquisition</w:t>
      </w:r>
      <w:r w:rsidR="00FF7B72">
        <w:rPr>
          <w:rFonts w:ascii="TimesNewRoman" w:hAnsi="TimesNewRoman" w:cs="TimesNewRoman"/>
          <w:noProof w:val="0"/>
        </w:rPr>
        <w:t xml:space="preserve"> </w:t>
      </w:r>
      <w:r w:rsidRPr="00551882">
        <w:rPr>
          <w:rFonts w:ascii="TimesNewRoman" w:hAnsi="TimesNewRoman" w:cs="TimesNewRoman"/>
          <w:noProof w:val="0"/>
        </w:rPr>
        <w:t>number 1, base</w:t>
      </w:r>
      <w:r w:rsidR="00FF7B72">
        <w:rPr>
          <w:rFonts w:ascii="TimesNewRoman" w:hAnsi="TimesNewRoman" w:cs="TimesNewRoman"/>
          <w:noProof w:val="0"/>
        </w:rPr>
        <w:t xml:space="preserve"> </w:t>
      </w:r>
      <w:r w:rsidRPr="00551882">
        <w:rPr>
          <w:rFonts w:ascii="TimesNewRoman" w:hAnsi="TimesNewRoman" w:cs="TimesNewRoman"/>
          <w:noProof w:val="0"/>
        </w:rPr>
        <w:t>resolution 384). The T1 sequences</w:t>
      </w:r>
      <w:r w:rsidR="00FF7B72">
        <w:rPr>
          <w:rFonts w:ascii="TimesNewRoman" w:hAnsi="TimesNewRoman" w:cs="TimesNewRoman"/>
          <w:noProof w:val="0"/>
        </w:rPr>
        <w:t xml:space="preserve"> </w:t>
      </w:r>
      <w:r w:rsidRPr="00551882">
        <w:rPr>
          <w:rFonts w:ascii="TimesNewRoman" w:hAnsi="TimesNewRoman" w:cs="TimesNewRoman"/>
          <w:noProof w:val="0"/>
        </w:rPr>
        <w:t>were</w:t>
      </w:r>
      <w:r w:rsidR="00FF7B72">
        <w:rPr>
          <w:rFonts w:ascii="TimesNewRoman" w:hAnsi="TimesNewRoman" w:cs="TimesNewRoman"/>
          <w:noProof w:val="0"/>
        </w:rPr>
        <w:t xml:space="preserve"> </w:t>
      </w:r>
      <w:r w:rsidRPr="00551882">
        <w:rPr>
          <w:rFonts w:ascii="TimesNewRoman" w:hAnsi="TimesNewRoman" w:cs="TimesNewRoman"/>
          <w:noProof w:val="0"/>
        </w:rPr>
        <w:t>also</w:t>
      </w:r>
      <w:r w:rsidR="00FF7B72">
        <w:rPr>
          <w:rFonts w:ascii="TimesNewRoman" w:hAnsi="TimesNewRoman" w:cs="TimesNewRoman"/>
          <w:noProof w:val="0"/>
        </w:rPr>
        <w:t xml:space="preserve"> </w:t>
      </w:r>
      <w:r w:rsidRPr="00551882">
        <w:rPr>
          <w:rFonts w:ascii="TimesNewRoman" w:hAnsi="TimesNewRoman" w:cs="TimesNewRoman"/>
          <w:noProof w:val="0"/>
        </w:rPr>
        <w:t>made after</w:t>
      </w:r>
      <w:r w:rsidR="00FF7B72">
        <w:rPr>
          <w:rFonts w:ascii="TimesNewRoman" w:hAnsi="TimesNewRoman" w:cs="TimesNewRoman"/>
          <w:noProof w:val="0"/>
        </w:rPr>
        <w:t xml:space="preserve"> </w:t>
      </w:r>
      <w:r w:rsidRPr="00551882">
        <w:rPr>
          <w:rFonts w:ascii="TimesNewRoman" w:hAnsi="TimesNewRoman" w:cs="TimesNewRoman"/>
          <w:noProof w:val="0"/>
        </w:rPr>
        <w:t>application of paramagnetic</w:t>
      </w:r>
      <w:r w:rsidR="00FF7B72">
        <w:rPr>
          <w:rFonts w:ascii="TimesNewRoman" w:hAnsi="TimesNewRoman" w:cs="TimesNewRoman"/>
          <w:noProof w:val="0"/>
        </w:rPr>
        <w:t xml:space="preserve"> </w:t>
      </w:r>
      <w:r w:rsidRPr="00551882">
        <w:rPr>
          <w:rFonts w:ascii="TimesNewRoman" w:hAnsi="TimesNewRoman" w:cs="TimesNewRoman"/>
          <w:noProof w:val="0"/>
        </w:rPr>
        <w:t>contrast</w:t>
      </w:r>
      <w:r w:rsidR="00E16B54">
        <w:rPr>
          <w:rFonts w:ascii="TimesNewRoman" w:hAnsi="TimesNewRoman" w:cs="TimesNewRoman"/>
          <w:noProof w:val="0"/>
        </w:rPr>
        <w:t xml:space="preserve"> (</w:t>
      </w:r>
      <w:r w:rsidR="00551E69" w:rsidRPr="00E16B54">
        <w:rPr>
          <w:rFonts w:ascii="TimesNewRoman" w:hAnsi="TimesNewRoman" w:cs="TimesNewRoman"/>
          <w:noProof w:val="0"/>
        </w:rPr>
        <w:t>14</w:t>
      </w:r>
      <w:r w:rsidR="00E16B54">
        <w:rPr>
          <w:rFonts w:ascii="TimesNewRoman" w:hAnsi="TimesNewRoman" w:cs="TimesNewRoman"/>
          <w:noProof w:val="0"/>
        </w:rPr>
        <w:t>)</w:t>
      </w:r>
      <w:r w:rsidRPr="00551882">
        <w:rPr>
          <w:rFonts w:ascii="TimesNewRoman" w:hAnsi="TimesNewRoman" w:cs="TimesNewRoman"/>
          <w:noProof w:val="0"/>
        </w:rPr>
        <w:t>.</w:t>
      </w:r>
    </w:p>
    <w:p w:rsidR="004C4E0A" w:rsidRDefault="004C4E0A" w:rsidP="002E7077">
      <w:pPr>
        <w:spacing w:line="360" w:lineRule="auto"/>
        <w:jc w:val="both"/>
        <w:rPr>
          <w:b/>
          <w:sz w:val="28"/>
          <w:szCs w:val="28"/>
        </w:rPr>
      </w:pPr>
    </w:p>
    <w:p w:rsidR="00A51181" w:rsidRPr="003B28AF" w:rsidRDefault="00175D5F" w:rsidP="002E7077">
      <w:pPr>
        <w:spacing w:line="360" w:lineRule="auto"/>
        <w:jc w:val="both"/>
        <w:rPr>
          <w:b/>
          <w:sz w:val="28"/>
          <w:szCs w:val="28"/>
        </w:rPr>
      </w:pPr>
      <w:r>
        <w:rPr>
          <w:b/>
          <w:sz w:val="28"/>
          <w:szCs w:val="28"/>
        </w:rPr>
        <w:t>Results</w:t>
      </w:r>
    </w:p>
    <w:p w:rsidR="00595FDD" w:rsidRPr="00793E8D" w:rsidRDefault="00A51181" w:rsidP="002E7077">
      <w:pPr>
        <w:spacing w:line="360" w:lineRule="auto"/>
        <w:ind w:firstLine="708"/>
        <w:jc w:val="both"/>
      </w:pPr>
      <w:r>
        <w:t>Nine patients (5 male</w:t>
      </w:r>
      <w:r w:rsidR="0021160C" w:rsidRPr="00E047AE">
        <w:t>,</w:t>
      </w:r>
      <w:r>
        <w:t xml:space="preserve"> 4 female)</w:t>
      </w:r>
      <w:r w:rsidR="00DA5F59">
        <w:t xml:space="preserve"> </w:t>
      </w:r>
      <w:r w:rsidR="0021160C">
        <w:t xml:space="preserve">mean </w:t>
      </w:r>
      <w:r w:rsidR="00852305">
        <w:t>age of 38</w:t>
      </w:r>
      <w:r w:rsidR="00DA5F59">
        <w:t xml:space="preserve"> </w:t>
      </w:r>
      <w:r w:rsidR="00345E80" w:rsidRPr="00AB756B">
        <w:t>years</w:t>
      </w:r>
      <w:r w:rsidR="00DA5F59">
        <w:t xml:space="preserve"> </w:t>
      </w:r>
      <w:r w:rsidR="00E25FB8">
        <w:t>(range, 22-</w:t>
      </w:r>
      <w:r>
        <w:t>53</w:t>
      </w:r>
      <w:r w:rsidR="0021160C">
        <w:t xml:space="preserve">) </w:t>
      </w:r>
      <w:r w:rsidR="0021160C" w:rsidRPr="00A224D2">
        <w:t>had</w:t>
      </w:r>
      <w:r w:rsidR="0021160C" w:rsidRPr="00E047AE">
        <w:t xml:space="preserve"> history </w:t>
      </w:r>
      <w:r w:rsidR="00E25FB8">
        <w:t xml:space="preserve">of </w:t>
      </w:r>
      <w:r w:rsidR="0021160C" w:rsidRPr="00E047AE">
        <w:t>MMN</w:t>
      </w:r>
      <w:r w:rsidR="00B119EE">
        <w:t xml:space="preserve"> (Table 1). The mean duration of the dis</w:t>
      </w:r>
      <w:r w:rsidR="00296BEA">
        <w:t>ease was 6.3 years (range, 3-</w:t>
      </w:r>
      <w:r w:rsidR="00B119EE">
        <w:t xml:space="preserve">12 years). </w:t>
      </w:r>
      <w:r w:rsidR="00AE6E95">
        <w:t xml:space="preserve">In 7 </w:t>
      </w:r>
      <w:r>
        <w:t xml:space="preserve">of 9 </w:t>
      </w:r>
      <w:r w:rsidR="00AE6E95">
        <w:t>patients</w:t>
      </w:r>
      <w:r>
        <w:t xml:space="preserve"> (78%)</w:t>
      </w:r>
      <w:r w:rsidR="00AE6E95">
        <w:t xml:space="preserve"> the first symptom was asymmetric weakness of the</w:t>
      </w:r>
      <w:r w:rsidR="00AE6E95">
        <w:rPr>
          <w:lang w:val="en-US"/>
        </w:rPr>
        <w:t xml:space="preserve"> finger extensors without wa</w:t>
      </w:r>
      <w:r w:rsidR="00C765C5">
        <w:rPr>
          <w:lang w:val="en-US"/>
        </w:rPr>
        <w:t>sting of the arm muscles (Fig.</w:t>
      </w:r>
      <w:r w:rsidR="00AE6E95">
        <w:rPr>
          <w:lang w:val="en-US"/>
        </w:rPr>
        <w:t xml:space="preserve"> 1)</w:t>
      </w:r>
      <w:r w:rsidR="00AE6E95" w:rsidRPr="00AE6E95">
        <w:rPr>
          <w:lang w:val="en-US"/>
        </w:rPr>
        <w:t>.</w:t>
      </w:r>
      <w:r w:rsidR="00DA5F59">
        <w:rPr>
          <w:lang w:val="en-US"/>
        </w:rPr>
        <w:t xml:space="preserve"> </w:t>
      </w:r>
      <w:r w:rsidR="00897116">
        <w:rPr>
          <w:lang w:val="en-US"/>
        </w:rPr>
        <w:t>The course of the disease in all patients was stepwise progressive</w:t>
      </w:r>
      <w:r>
        <w:rPr>
          <w:lang w:val="en-US"/>
        </w:rPr>
        <w:t>,</w:t>
      </w:r>
      <w:r w:rsidR="00897116">
        <w:rPr>
          <w:lang w:val="en-US"/>
        </w:rPr>
        <w:t xml:space="preserve"> resulting in severe</w:t>
      </w:r>
      <w:r>
        <w:rPr>
          <w:lang w:val="en-US"/>
        </w:rPr>
        <w:t>,</w:t>
      </w:r>
      <w:r w:rsidR="00B119EE" w:rsidRPr="00E047AE">
        <w:t xml:space="preserve"> asymmetric</w:t>
      </w:r>
      <w:r>
        <w:t>,</w:t>
      </w:r>
      <w:r w:rsidR="00DA5F59">
        <w:t xml:space="preserve"> </w:t>
      </w:r>
      <w:r w:rsidR="00B119EE">
        <w:t xml:space="preserve">distal </w:t>
      </w:r>
      <w:r w:rsidR="00B119EE" w:rsidRPr="00E047AE">
        <w:t xml:space="preserve">weakness of muscles inervated by radial, ulnar, median </w:t>
      </w:r>
      <w:r w:rsidR="00897116">
        <w:t>and peroneal nerves</w:t>
      </w:r>
      <w:r w:rsidR="00B119EE" w:rsidRPr="00E047AE">
        <w:t xml:space="preserve"> and the most striking presentation was bilateral wrist and finger drop. </w:t>
      </w:r>
      <w:r w:rsidR="00B119EE">
        <w:t>Three of them had additional proximal weakness of muscles inervated by axillar and femoral nerves</w:t>
      </w:r>
      <w:r w:rsidR="00C85784">
        <w:t xml:space="preserve"> (patient No </w:t>
      </w:r>
      <w:r w:rsidR="005A097C">
        <w:t>5</w:t>
      </w:r>
      <w:r w:rsidR="00C85784">
        <w:t>, 7, an</w:t>
      </w:r>
      <w:r w:rsidR="00E25FB8">
        <w:t>d</w:t>
      </w:r>
      <w:r w:rsidR="00C85784">
        <w:t xml:space="preserve"> 8)</w:t>
      </w:r>
      <w:r w:rsidR="00B119EE">
        <w:t xml:space="preserve">. </w:t>
      </w:r>
      <w:r w:rsidR="006076F2" w:rsidRPr="00793E8D">
        <w:t>One</w:t>
      </w:r>
      <w:r w:rsidR="00C85784" w:rsidRPr="00793E8D">
        <w:t xml:space="preserve"> pati</w:t>
      </w:r>
      <w:r w:rsidR="006076F2" w:rsidRPr="00793E8D">
        <w:t>ent (No 5) had involvement of</w:t>
      </w:r>
      <w:r w:rsidR="00C85784" w:rsidRPr="00793E8D">
        <w:t xml:space="preserve"> facial nerve with menta</w:t>
      </w:r>
      <w:r w:rsidR="006076F2" w:rsidRPr="00793E8D">
        <w:t>l muscle myokim</w:t>
      </w:r>
      <w:r w:rsidR="008524FF">
        <w:t>i</w:t>
      </w:r>
      <w:r w:rsidR="006076F2" w:rsidRPr="00793E8D">
        <w:t>a</w:t>
      </w:r>
      <w:r w:rsidR="00DA5F59">
        <w:t xml:space="preserve"> </w:t>
      </w:r>
      <w:r w:rsidR="006076F2" w:rsidRPr="00793E8D">
        <w:t xml:space="preserve">and in one </w:t>
      </w:r>
      <w:r w:rsidR="00A50067">
        <w:t xml:space="preserve">patient </w:t>
      </w:r>
      <w:r w:rsidR="006076F2" w:rsidRPr="00793E8D">
        <w:t xml:space="preserve">there was also occurence of </w:t>
      </w:r>
      <w:r w:rsidR="00B119EE" w:rsidRPr="00793E8D">
        <w:t>seropositive myasthenia gravis</w:t>
      </w:r>
      <w:r w:rsidR="00DA5F59">
        <w:t xml:space="preserve"> </w:t>
      </w:r>
      <w:r w:rsidR="00D160D5">
        <w:t>(</w:t>
      </w:r>
      <w:r w:rsidR="0029487A" w:rsidRPr="00793E8D">
        <w:t>Patient No 6)</w:t>
      </w:r>
      <w:r w:rsidR="00B119EE" w:rsidRPr="00793E8D">
        <w:t>.</w:t>
      </w:r>
    </w:p>
    <w:p w:rsidR="00595FDD" w:rsidRPr="006076F2" w:rsidRDefault="0029487A" w:rsidP="002E7077">
      <w:pPr>
        <w:spacing w:line="360" w:lineRule="auto"/>
        <w:ind w:firstLine="708"/>
        <w:jc w:val="both"/>
        <w:rPr>
          <w:color w:val="00B050"/>
        </w:rPr>
      </w:pPr>
      <w:r>
        <w:t>In six patients (</w:t>
      </w:r>
      <w:r w:rsidRPr="00F81D07">
        <w:t>No 1, 2, 5, 6, 7, 8) polyclonal</w:t>
      </w:r>
      <w:r>
        <w:t xml:space="preserve"> IgM anti-GM1 antibodies were detected. Eight patients had slightly elevated CSF p</w:t>
      </w:r>
      <w:r w:rsidR="006076F2">
        <w:t>r</w:t>
      </w:r>
      <w:r>
        <w:t>otein content, ranging from 0.46 to 0.84 g/L (mean, 0.58 g/L</w:t>
      </w:r>
      <w:r w:rsidR="006076F2">
        <w:t>). In patient No 5 with the very</w:t>
      </w:r>
      <w:r>
        <w:t xml:space="preserve"> severe clinical presentation oligoclonal IgG band</w:t>
      </w:r>
      <w:r w:rsidR="00345E80">
        <w:t>s</w:t>
      </w:r>
      <w:r>
        <w:t xml:space="preserve"> were detected in the CSF. </w:t>
      </w:r>
    </w:p>
    <w:p w:rsidR="00322B53" w:rsidRDefault="00254DCB" w:rsidP="002E7077">
      <w:pPr>
        <w:spacing w:line="360" w:lineRule="auto"/>
        <w:ind w:firstLine="708"/>
        <w:jc w:val="both"/>
      </w:pPr>
      <w:r>
        <w:t xml:space="preserve">Neurogenic EMG pattern was found in all affected muscles. </w:t>
      </w:r>
      <w:r w:rsidR="008524FF" w:rsidRPr="00AB756B">
        <w:t xml:space="preserve">Demyelination of the motor nerves and </w:t>
      </w:r>
      <w:r w:rsidRPr="00AB756B">
        <w:t xml:space="preserve">CBs were detected in all patients at sites distinct from common entrapment </w:t>
      </w:r>
      <w:r>
        <w:t>syndrom</w:t>
      </w:r>
      <w:r w:rsidR="00057DCB">
        <w:t xml:space="preserve">es, most frequently in </w:t>
      </w:r>
      <w:r w:rsidR="00815EFF">
        <w:t xml:space="preserve">the </w:t>
      </w:r>
      <w:r w:rsidR="00057DCB">
        <w:t>radial nerve (7/9)</w:t>
      </w:r>
      <w:r>
        <w:t xml:space="preserve">. The </w:t>
      </w:r>
      <w:r w:rsidR="00D46BB4">
        <w:t>distribution of muscle weakness correlated with the CBs detected by NCS in all patients with the ex</w:t>
      </w:r>
      <w:r w:rsidR="006E0074">
        <w:t>c</w:t>
      </w:r>
      <w:r w:rsidR="00D46BB4">
        <w:t>eption of patients No 1, 2</w:t>
      </w:r>
      <w:r w:rsidR="006E0074">
        <w:t>,</w:t>
      </w:r>
      <w:r w:rsidR="00D46BB4">
        <w:t xml:space="preserve"> and 7 who had severe </w:t>
      </w:r>
      <w:r w:rsidR="00057DCB">
        <w:t xml:space="preserve">muscle weakness related to distribution of </w:t>
      </w:r>
      <w:r w:rsidR="009321A1">
        <w:t xml:space="preserve">right </w:t>
      </w:r>
      <w:r w:rsidR="00057DCB">
        <w:t>median nerve but wi</w:t>
      </w:r>
      <w:r w:rsidR="00D46BB4">
        <w:t xml:space="preserve">thout </w:t>
      </w:r>
      <w:r w:rsidR="00057DCB">
        <w:t xml:space="preserve">detectable </w:t>
      </w:r>
      <w:r w:rsidR="00296BEA">
        <w:t>CBs</w:t>
      </w:r>
      <w:r w:rsidR="00D46BB4">
        <w:t xml:space="preserve">. </w:t>
      </w:r>
      <w:r w:rsidR="00597E6B">
        <w:t>These three patients were subjected to magnetic paravertebral stimulation</w:t>
      </w:r>
      <w:r w:rsidR="009321A1">
        <w:t xml:space="preserve"> and in each of them clear MRCT prolongation was obtained at sites for right median nerve</w:t>
      </w:r>
      <w:r w:rsidR="00815EFF">
        <w:t>,</w:t>
      </w:r>
      <w:r w:rsidR="008524FF">
        <w:t xml:space="preserve"> indicating the p</w:t>
      </w:r>
      <w:r w:rsidR="009321A1">
        <w:t>r</w:t>
      </w:r>
      <w:r w:rsidR="008524FF">
        <w:t>e</w:t>
      </w:r>
      <w:r w:rsidR="009321A1">
        <w:t>s</w:t>
      </w:r>
      <w:r w:rsidR="008524FF">
        <w:t>e</w:t>
      </w:r>
      <w:r w:rsidR="00A50067">
        <w:t>nce of proximal CB</w:t>
      </w:r>
      <w:r w:rsidR="009321A1">
        <w:t xml:space="preserve"> (Table 2). </w:t>
      </w:r>
    </w:p>
    <w:p w:rsidR="003B28AF" w:rsidRPr="00DA5F59" w:rsidRDefault="00804CB5" w:rsidP="002E7077">
      <w:pPr>
        <w:spacing w:line="360" w:lineRule="auto"/>
        <w:ind w:firstLine="708"/>
        <w:jc w:val="both"/>
      </w:pPr>
      <w:r w:rsidRPr="002225BB">
        <w:t>In all</w:t>
      </w:r>
      <w:r w:rsidR="00DA5F59">
        <w:t xml:space="preserve"> </w:t>
      </w:r>
      <w:r w:rsidR="002225BB" w:rsidRPr="002225BB">
        <w:t xml:space="preserve">examined </w:t>
      </w:r>
      <w:r w:rsidR="007D7D34" w:rsidRPr="002225BB">
        <w:t>patients</w:t>
      </w:r>
      <w:r w:rsidR="00DA5F59">
        <w:t xml:space="preserve"> </w:t>
      </w:r>
      <w:r>
        <w:t xml:space="preserve">MRI of the brachial plexus revealed asymmetric </w:t>
      </w:r>
      <w:r w:rsidR="007D7D34">
        <w:t>increased</w:t>
      </w:r>
      <w:r>
        <w:t xml:space="preserve"> signal intensity on T2-weighted images as well as </w:t>
      </w:r>
      <w:r w:rsidR="007D7D34">
        <w:t>increased</w:t>
      </w:r>
      <w:r>
        <w:t xml:space="preserve"> signal intensity on T1-weighted images after gadolini</w:t>
      </w:r>
      <w:r w:rsidR="00326E2D">
        <w:t>um enhancement</w:t>
      </w:r>
      <w:r>
        <w:t>. MRI finding was particularly significant in patients No 1, 2</w:t>
      </w:r>
      <w:r w:rsidR="001256A1">
        <w:t>,</w:t>
      </w:r>
      <w:r>
        <w:t xml:space="preserve"> and 7 with clinical signs of right median nerve affection without CB on NCS</w:t>
      </w:r>
      <w:r w:rsidR="001256A1">
        <w:t>,</w:t>
      </w:r>
      <w:r w:rsidR="00DA5F59">
        <w:t xml:space="preserve"> </w:t>
      </w:r>
      <w:r w:rsidR="001256A1">
        <w:t>revealing high signal intensity in the right plexus brachialis corresponding with the distribution of symptom</w:t>
      </w:r>
      <w:r w:rsidR="00815EFF">
        <w:t>s and proximal CBs</w:t>
      </w:r>
      <w:r w:rsidR="001256A1">
        <w:t xml:space="preserve"> detected by magnetic paravertebral stimulation</w:t>
      </w:r>
      <w:r w:rsidR="00C765C5">
        <w:t xml:space="preserve"> (Fig. 2; Fig. 3)</w:t>
      </w:r>
      <w:r w:rsidR="00DA5F59" w:rsidRPr="00DA5F59">
        <w:t>.</w:t>
      </w:r>
    </w:p>
    <w:p w:rsidR="00DA5F59" w:rsidRDefault="00DA5F59" w:rsidP="002E7077">
      <w:pPr>
        <w:pStyle w:val="ListParagraph"/>
        <w:spacing w:line="360" w:lineRule="auto"/>
        <w:rPr>
          <w:b/>
          <w:sz w:val="28"/>
          <w:szCs w:val="28"/>
        </w:rPr>
      </w:pPr>
    </w:p>
    <w:p w:rsidR="00AB756B" w:rsidRPr="003B28AF" w:rsidRDefault="00C96AC4" w:rsidP="002E7077">
      <w:pPr>
        <w:pStyle w:val="ListParagraph"/>
        <w:spacing w:line="360" w:lineRule="auto"/>
        <w:rPr>
          <w:b/>
          <w:sz w:val="28"/>
          <w:szCs w:val="28"/>
        </w:rPr>
      </w:pPr>
      <w:r w:rsidRPr="00AB756B">
        <w:rPr>
          <w:b/>
          <w:sz w:val="28"/>
          <w:szCs w:val="28"/>
        </w:rPr>
        <w:t>Discussion</w:t>
      </w:r>
    </w:p>
    <w:p w:rsidR="00500717" w:rsidRDefault="00C96AC4" w:rsidP="002E7077">
      <w:pPr>
        <w:autoSpaceDE w:val="0"/>
        <w:autoSpaceDN w:val="0"/>
        <w:adjustRightInd w:val="0"/>
        <w:spacing w:line="360" w:lineRule="auto"/>
        <w:ind w:firstLine="708"/>
        <w:jc w:val="both"/>
        <w:rPr>
          <w:rFonts w:ascii="TimesNewRoman" w:hAnsi="TimesNewRoman" w:cs="TimesNewRoman"/>
          <w:noProof w:val="0"/>
        </w:rPr>
      </w:pPr>
      <w:r>
        <w:rPr>
          <w:rFonts w:ascii="TimesNewRoman" w:hAnsi="TimesNewRoman" w:cs="TimesNewRoman"/>
          <w:noProof w:val="0"/>
        </w:rPr>
        <w:t>We</w:t>
      </w:r>
      <w:r w:rsidR="00DA5F59">
        <w:rPr>
          <w:rFonts w:ascii="TimesNewRoman" w:hAnsi="TimesNewRoman" w:cs="TimesNewRoman"/>
          <w:noProof w:val="0"/>
        </w:rPr>
        <w:t xml:space="preserve"> </w:t>
      </w:r>
      <w:r>
        <w:rPr>
          <w:rFonts w:ascii="TimesNewRoman" w:hAnsi="TimesNewRoman" w:cs="TimesNewRoman"/>
          <w:noProof w:val="0"/>
        </w:rPr>
        <w:t>have</w:t>
      </w:r>
      <w:r w:rsidR="00DA5F59">
        <w:rPr>
          <w:rFonts w:ascii="TimesNewRoman" w:hAnsi="TimesNewRoman" w:cs="TimesNewRoman"/>
          <w:noProof w:val="0"/>
        </w:rPr>
        <w:t xml:space="preserve"> </w:t>
      </w:r>
      <w:r>
        <w:rPr>
          <w:rFonts w:ascii="TimesNewRoman" w:hAnsi="TimesNewRoman" w:cs="TimesNewRoman"/>
          <w:noProof w:val="0"/>
        </w:rPr>
        <w:t>presente</w:t>
      </w:r>
      <w:r w:rsidR="009C3B8B">
        <w:rPr>
          <w:rFonts w:ascii="TimesNewRoman" w:hAnsi="TimesNewRoman" w:cs="TimesNewRoman"/>
          <w:noProof w:val="0"/>
        </w:rPr>
        <w:t>d</w:t>
      </w:r>
      <w:r w:rsidR="00DA5F59">
        <w:rPr>
          <w:rFonts w:ascii="TimesNewRoman" w:hAnsi="TimesNewRoman" w:cs="TimesNewRoman"/>
          <w:noProof w:val="0"/>
        </w:rPr>
        <w:t xml:space="preserve"> </w:t>
      </w:r>
      <w:r w:rsidR="009C3B8B">
        <w:rPr>
          <w:rFonts w:ascii="TimesNewRoman" w:hAnsi="TimesNewRoman" w:cs="TimesNewRoman"/>
          <w:noProof w:val="0"/>
        </w:rPr>
        <w:t>brachial</w:t>
      </w:r>
      <w:r w:rsidR="00DA5F59">
        <w:rPr>
          <w:rFonts w:ascii="TimesNewRoman" w:hAnsi="TimesNewRoman" w:cs="TimesNewRoman"/>
          <w:noProof w:val="0"/>
        </w:rPr>
        <w:t xml:space="preserve"> </w:t>
      </w:r>
      <w:r w:rsidR="009C3B8B">
        <w:rPr>
          <w:rFonts w:ascii="TimesNewRoman" w:hAnsi="TimesNewRoman" w:cs="TimesNewRoman"/>
          <w:noProof w:val="0"/>
        </w:rPr>
        <w:t>plexus</w:t>
      </w:r>
      <w:r w:rsidR="00DA5F59">
        <w:rPr>
          <w:rFonts w:ascii="TimesNewRoman" w:hAnsi="TimesNewRoman" w:cs="TimesNewRoman"/>
          <w:noProof w:val="0"/>
        </w:rPr>
        <w:t xml:space="preserve"> </w:t>
      </w:r>
      <w:r w:rsidR="009C3B8B">
        <w:rPr>
          <w:rFonts w:ascii="TimesNewRoman" w:hAnsi="TimesNewRoman" w:cs="TimesNewRoman"/>
          <w:noProof w:val="0"/>
        </w:rPr>
        <w:t>involvement in nine</w:t>
      </w:r>
      <w:r w:rsidR="00DA5F59">
        <w:rPr>
          <w:rFonts w:ascii="TimesNewRoman" w:hAnsi="TimesNewRoman" w:cs="TimesNewRoman"/>
          <w:noProof w:val="0"/>
        </w:rPr>
        <w:t xml:space="preserve"> </w:t>
      </w:r>
      <w:r w:rsidR="009C3B8B">
        <w:rPr>
          <w:rFonts w:ascii="TimesNewRoman" w:hAnsi="TimesNewRoman" w:cs="TimesNewRoman"/>
          <w:noProof w:val="0"/>
        </w:rPr>
        <w:t>patients</w:t>
      </w:r>
      <w:r w:rsidR="00DA5F59">
        <w:rPr>
          <w:rFonts w:ascii="TimesNewRoman" w:hAnsi="TimesNewRoman" w:cs="TimesNewRoman"/>
          <w:noProof w:val="0"/>
        </w:rPr>
        <w:t xml:space="preserve"> </w:t>
      </w:r>
      <w:r w:rsidR="009C3B8B">
        <w:rPr>
          <w:rFonts w:ascii="TimesNewRoman" w:hAnsi="TimesNewRoman" w:cs="TimesNewRoman"/>
          <w:noProof w:val="0"/>
        </w:rPr>
        <w:t xml:space="preserve">with MMN. </w:t>
      </w:r>
      <w:r w:rsidR="00326E2D">
        <w:rPr>
          <w:rFonts w:ascii="TimesNewRoman" w:hAnsi="TimesNewRoman" w:cs="TimesNewRoman"/>
          <w:noProof w:val="0"/>
        </w:rPr>
        <w:t>The</w:t>
      </w:r>
      <w:r w:rsidR="00DA5F59">
        <w:rPr>
          <w:rFonts w:ascii="TimesNewRoman" w:hAnsi="TimesNewRoman" w:cs="TimesNewRoman"/>
          <w:noProof w:val="0"/>
        </w:rPr>
        <w:t xml:space="preserve"> </w:t>
      </w:r>
      <w:r w:rsidR="009C3B8B">
        <w:rPr>
          <w:rFonts w:ascii="TimesNewRoman" w:hAnsi="TimesNewRoman" w:cs="TimesNewRoman"/>
          <w:noProof w:val="0"/>
        </w:rPr>
        <w:t>clinical</w:t>
      </w:r>
      <w:r w:rsidR="00DA5F59">
        <w:rPr>
          <w:rFonts w:ascii="TimesNewRoman" w:hAnsi="TimesNewRoman" w:cs="TimesNewRoman"/>
          <w:noProof w:val="0"/>
        </w:rPr>
        <w:t xml:space="preserve"> </w:t>
      </w:r>
      <w:r w:rsidR="009C3B8B">
        <w:rPr>
          <w:rFonts w:ascii="TimesNewRoman" w:hAnsi="TimesNewRoman" w:cs="TimesNewRoman"/>
          <w:noProof w:val="0"/>
        </w:rPr>
        <w:t>presentation</w:t>
      </w:r>
      <w:r w:rsidR="00DA5F59">
        <w:rPr>
          <w:rFonts w:ascii="TimesNewRoman" w:hAnsi="TimesNewRoman" w:cs="TimesNewRoman"/>
          <w:noProof w:val="0"/>
        </w:rPr>
        <w:t xml:space="preserve"> </w:t>
      </w:r>
      <w:r w:rsidR="00326E2D">
        <w:rPr>
          <w:rFonts w:ascii="TimesNewRoman" w:hAnsi="TimesNewRoman" w:cs="TimesNewRoman"/>
          <w:noProof w:val="0"/>
        </w:rPr>
        <w:t>and</w:t>
      </w:r>
      <w:r w:rsidR="00DA5F59">
        <w:rPr>
          <w:rFonts w:ascii="TimesNewRoman" w:hAnsi="TimesNewRoman" w:cs="TimesNewRoman"/>
          <w:noProof w:val="0"/>
        </w:rPr>
        <w:t xml:space="preserve"> </w:t>
      </w:r>
      <w:r w:rsidR="00326E2D">
        <w:rPr>
          <w:rFonts w:ascii="TimesNewRoman" w:hAnsi="TimesNewRoman" w:cs="TimesNewRoman"/>
          <w:noProof w:val="0"/>
        </w:rPr>
        <w:t>electrophysiological</w:t>
      </w:r>
      <w:r w:rsidR="00DA5F59">
        <w:rPr>
          <w:rFonts w:ascii="TimesNewRoman" w:hAnsi="TimesNewRoman" w:cs="TimesNewRoman"/>
          <w:noProof w:val="0"/>
        </w:rPr>
        <w:t xml:space="preserve"> </w:t>
      </w:r>
      <w:r w:rsidR="00326E2D">
        <w:rPr>
          <w:rFonts w:ascii="TimesNewRoman" w:hAnsi="TimesNewRoman" w:cs="TimesNewRoman"/>
          <w:noProof w:val="0"/>
        </w:rPr>
        <w:t>studies</w:t>
      </w:r>
      <w:r w:rsidR="00DA5F59">
        <w:rPr>
          <w:rFonts w:ascii="TimesNewRoman" w:hAnsi="TimesNewRoman" w:cs="TimesNewRoman"/>
          <w:noProof w:val="0"/>
        </w:rPr>
        <w:t xml:space="preserve"> </w:t>
      </w:r>
      <w:r w:rsidR="009F43A8">
        <w:rPr>
          <w:rFonts w:ascii="TimesNewRoman" w:hAnsi="TimesNewRoman" w:cs="TimesNewRoman"/>
          <w:noProof w:val="0"/>
        </w:rPr>
        <w:t>fulfilled</w:t>
      </w:r>
      <w:r w:rsidR="00DA5F59">
        <w:rPr>
          <w:rFonts w:ascii="TimesNewRoman" w:hAnsi="TimesNewRoman" w:cs="TimesNewRoman"/>
          <w:noProof w:val="0"/>
        </w:rPr>
        <w:t xml:space="preserve"> </w:t>
      </w:r>
      <w:r w:rsidR="009F43A8">
        <w:rPr>
          <w:rFonts w:ascii="TimesNewRoman" w:hAnsi="TimesNewRoman" w:cs="TimesNewRoman"/>
          <w:noProof w:val="0"/>
        </w:rPr>
        <w:t>criteria for the diagnosis of definite MMN</w:t>
      </w:r>
      <w:r w:rsidR="00DA5F59">
        <w:rPr>
          <w:rFonts w:ascii="TimesNewRoman" w:hAnsi="TimesNewRoman" w:cs="TimesNewRoman"/>
          <w:noProof w:val="0"/>
        </w:rPr>
        <w:t xml:space="preserve"> </w:t>
      </w:r>
      <w:r w:rsidR="00815EFF">
        <w:rPr>
          <w:rFonts w:ascii="TimesNewRoman" w:hAnsi="TimesNewRoman" w:cs="TimesNewRoman"/>
          <w:noProof w:val="0"/>
        </w:rPr>
        <w:t>in all</w:t>
      </w:r>
      <w:r w:rsidR="00DA5F59">
        <w:rPr>
          <w:rFonts w:ascii="TimesNewRoman" w:hAnsi="TimesNewRoman" w:cs="TimesNewRoman"/>
          <w:noProof w:val="0"/>
        </w:rPr>
        <w:t xml:space="preserve"> </w:t>
      </w:r>
      <w:r w:rsidR="00815EFF">
        <w:rPr>
          <w:rFonts w:ascii="TimesNewRoman" w:hAnsi="TimesNewRoman" w:cs="TimesNewRoman"/>
          <w:noProof w:val="0"/>
        </w:rPr>
        <w:t>patients</w:t>
      </w:r>
      <w:r w:rsidR="008524FF">
        <w:rPr>
          <w:rFonts w:ascii="TimesNewRoman" w:hAnsi="TimesNewRoman" w:cs="TimesNewRoman"/>
          <w:noProof w:val="0"/>
        </w:rPr>
        <w:t xml:space="preserve">, </w:t>
      </w:r>
      <w:r w:rsidR="008524FF" w:rsidRPr="00AB756B">
        <w:rPr>
          <w:rFonts w:ascii="TimesNewRoman" w:hAnsi="TimesNewRoman" w:cs="TimesNewRoman"/>
          <w:noProof w:val="0"/>
        </w:rPr>
        <w:t>which</w:t>
      </w:r>
      <w:r w:rsidR="00DA5F59">
        <w:rPr>
          <w:rFonts w:ascii="TimesNewRoman" w:hAnsi="TimesNewRoman" w:cs="TimesNewRoman"/>
          <w:noProof w:val="0"/>
        </w:rPr>
        <w:t xml:space="preserve"> </w:t>
      </w:r>
      <w:r w:rsidR="008524FF" w:rsidRPr="00AB756B">
        <w:rPr>
          <w:rFonts w:ascii="TimesNewRoman" w:hAnsi="TimesNewRoman" w:cs="TimesNewRoman"/>
          <w:noProof w:val="0"/>
        </w:rPr>
        <w:t>was</w:t>
      </w:r>
      <w:r w:rsidR="00DA5F59">
        <w:rPr>
          <w:rFonts w:ascii="TimesNewRoman" w:hAnsi="TimesNewRoman" w:cs="TimesNewRoman"/>
          <w:noProof w:val="0"/>
        </w:rPr>
        <w:t xml:space="preserve"> </w:t>
      </w:r>
      <w:r w:rsidR="008524FF" w:rsidRPr="00AB756B">
        <w:rPr>
          <w:rFonts w:ascii="TimesNewRoman" w:hAnsi="TimesNewRoman" w:cs="TimesNewRoman"/>
          <w:noProof w:val="0"/>
        </w:rPr>
        <w:t>also</w:t>
      </w:r>
      <w:r w:rsidR="00DA5F59">
        <w:rPr>
          <w:rFonts w:ascii="TimesNewRoman" w:hAnsi="TimesNewRoman" w:cs="TimesNewRoman"/>
          <w:noProof w:val="0"/>
        </w:rPr>
        <w:t xml:space="preserve"> </w:t>
      </w:r>
      <w:r w:rsidR="008524FF" w:rsidRPr="00AB756B">
        <w:rPr>
          <w:rFonts w:ascii="TimesNewRoman" w:hAnsi="TimesNewRoman" w:cs="TimesNewRoman"/>
          <w:noProof w:val="0"/>
        </w:rPr>
        <w:t>supported</w:t>
      </w:r>
      <w:r w:rsidR="00DA5F59">
        <w:rPr>
          <w:rFonts w:ascii="TimesNewRoman" w:hAnsi="TimesNewRoman" w:cs="TimesNewRoman"/>
          <w:noProof w:val="0"/>
        </w:rPr>
        <w:t xml:space="preserve"> </w:t>
      </w:r>
      <w:r w:rsidR="008524FF" w:rsidRPr="00AB756B">
        <w:rPr>
          <w:rFonts w:ascii="TimesNewRoman" w:hAnsi="TimesNewRoman" w:cs="TimesNewRoman"/>
          <w:noProof w:val="0"/>
        </w:rPr>
        <w:t>by</w:t>
      </w:r>
      <w:r w:rsidR="00DA5F59">
        <w:rPr>
          <w:rFonts w:ascii="TimesNewRoman" w:hAnsi="TimesNewRoman" w:cs="TimesNewRoman"/>
          <w:noProof w:val="0"/>
        </w:rPr>
        <w:t xml:space="preserve"> </w:t>
      </w:r>
      <w:r w:rsidR="00551E69">
        <w:rPr>
          <w:rFonts w:ascii="TimesNewRoman" w:hAnsi="TimesNewRoman" w:cs="TimesNewRoman"/>
          <w:noProof w:val="0"/>
        </w:rPr>
        <w:t xml:space="preserve">serum and CSF </w:t>
      </w:r>
      <w:r w:rsidR="00551E69" w:rsidRPr="00DA5F59">
        <w:rPr>
          <w:rFonts w:ascii="TimesNewRoman" w:hAnsi="TimesNewRoman" w:cs="TimesNewRoman"/>
          <w:noProof w:val="0"/>
        </w:rPr>
        <w:t>findings</w:t>
      </w:r>
      <w:r w:rsidR="00326E2D">
        <w:rPr>
          <w:rFonts w:ascii="TimesNewRoman" w:hAnsi="TimesNewRoman" w:cs="TimesNewRoman"/>
          <w:noProof w:val="0"/>
        </w:rPr>
        <w:t xml:space="preserve">. </w:t>
      </w:r>
      <w:r w:rsidR="007B4567">
        <w:rPr>
          <w:rFonts w:ascii="TimesNewRoman" w:hAnsi="TimesNewRoman" w:cs="TimesNewRoman"/>
          <w:noProof w:val="0"/>
        </w:rPr>
        <w:t>Similar</w:t>
      </w:r>
      <w:r w:rsidR="0052462C">
        <w:rPr>
          <w:rFonts w:ascii="TimesNewRoman" w:hAnsi="TimesNewRoman" w:cs="TimesNewRoman"/>
          <w:noProof w:val="0"/>
        </w:rPr>
        <w:t>ly</w:t>
      </w:r>
      <w:r w:rsidR="007B4567">
        <w:rPr>
          <w:rFonts w:ascii="TimesNewRoman" w:hAnsi="TimesNewRoman" w:cs="TimesNewRoman"/>
          <w:noProof w:val="0"/>
        </w:rPr>
        <w:t xml:space="preserve"> to many</w:t>
      </w:r>
      <w:r w:rsidR="00DA5F59">
        <w:rPr>
          <w:rFonts w:ascii="TimesNewRoman" w:hAnsi="TimesNewRoman" w:cs="TimesNewRoman"/>
          <w:noProof w:val="0"/>
        </w:rPr>
        <w:t xml:space="preserve"> </w:t>
      </w:r>
      <w:r w:rsidR="007B4567">
        <w:rPr>
          <w:rFonts w:ascii="TimesNewRoman" w:hAnsi="TimesNewRoman" w:cs="TimesNewRoman"/>
          <w:noProof w:val="0"/>
        </w:rPr>
        <w:t>other</w:t>
      </w:r>
      <w:r w:rsidR="00DA5F59">
        <w:rPr>
          <w:rFonts w:ascii="TimesNewRoman" w:hAnsi="TimesNewRoman" w:cs="TimesNewRoman"/>
          <w:noProof w:val="0"/>
        </w:rPr>
        <w:t xml:space="preserve"> </w:t>
      </w:r>
      <w:r w:rsidR="007B4567">
        <w:rPr>
          <w:rFonts w:ascii="TimesNewRoman" w:hAnsi="TimesNewRoman" w:cs="TimesNewRoman"/>
          <w:noProof w:val="0"/>
        </w:rPr>
        <w:t>reports,</w:t>
      </w:r>
      <w:r w:rsidR="00DA5F59">
        <w:rPr>
          <w:rFonts w:ascii="TimesNewRoman" w:hAnsi="TimesNewRoman" w:cs="TimesNewRoman"/>
          <w:noProof w:val="0"/>
        </w:rPr>
        <w:t xml:space="preserve"> </w:t>
      </w:r>
      <w:r w:rsidR="004017B2">
        <w:rPr>
          <w:rFonts w:ascii="TimesNewRoman" w:hAnsi="TimesNewRoman" w:cs="TimesNewRoman"/>
          <w:noProof w:val="0"/>
        </w:rPr>
        <w:t xml:space="preserve">the </w:t>
      </w:r>
      <w:r w:rsidR="009F43A8" w:rsidRPr="003665D8">
        <w:rPr>
          <w:rFonts w:ascii="TimesNewRoman" w:hAnsi="TimesNewRoman" w:cs="TimesNewRoman"/>
          <w:noProof w:val="0"/>
        </w:rPr>
        <w:t>upper limb onset</w:t>
      </w:r>
      <w:r w:rsidR="00DA5F59">
        <w:rPr>
          <w:rFonts w:ascii="TimesNewRoman" w:hAnsi="TimesNewRoman" w:cs="TimesNewRoman"/>
          <w:noProof w:val="0"/>
        </w:rPr>
        <w:t xml:space="preserve"> </w:t>
      </w:r>
      <w:r w:rsidR="009F43A8">
        <w:rPr>
          <w:rFonts w:ascii="TimesNewRoman" w:hAnsi="TimesNewRoman" w:cs="TimesNewRoman"/>
          <w:noProof w:val="0"/>
        </w:rPr>
        <w:t>with</w:t>
      </w:r>
      <w:r w:rsidR="00DA5F59">
        <w:rPr>
          <w:rFonts w:ascii="TimesNewRoman" w:hAnsi="TimesNewRoman" w:cs="TimesNewRoman"/>
          <w:noProof w:val="0"/>
        </w:rPr>
        <w:t xml:space="preserve"> </w:t>
      </w:r>
      <w:r w:rsidR="007B4567">
        <w:rPr>
          <w:rFonts w:ascii="TimesNewRoman" w:hAnsi="TimesNewRoman" w:cs="TimesNewRoman"/>
          <w:noProof w:val="0"/>
        </w:rPr>
        <w:t>f</w:t>
      </w:r>
      <w:r w:rsidR="00067ACE">
        <w:rPr>
          <w:rFonts w:ascii="TimesNewRoman" w:hAnsi="TimesNewRoman" w:cs="TimesNewRoman"/>
          <w:noProof w:val="0"/>
        </w:rPr>
        <w:t>inger</w:t>
      </w:r>
      <w:r w:rsidR="00DA5F59">
        <w:rPr>
          <w:rFonts w:ascii="TimesNewRoman" w:hAnsi="TimesNewRoman" w:cs="TimesNewRoman"/>
          <w:noProof w:val="0"/>
        </w:rPr>
        <w:t xml:space="preserve"> </w:t>
      </w:r>
      <w:r w:rsidR="00067ACE">
        <w:rPr>
          <w:rFonts w:ascii="TimesNewRoman" w:hAnsi="TimesNewRoman" w:cs="TimesNewRoman"/>
          <w:noProof w:val="0"/>
        </w:rPr>
        <w:t>extension</w:t>
      </w:r>
      <w:r w:rsidR="00DA5F59">
        <w:rPr>
          <w:rFonts w:ascii="TimesNewRoman" w:hAnsi="TimesNewRoman" w:cs="TimesNewRoman"/>
          <w:noProof w:val="0"/>
        </w:rPr>
        <w:t xml:space="preserve"> </w:t>
      </w:r>
      <w:r w:rsidR="00067ACE">
        <w:rPr>
          <w:rFonts w:ascii="TimesNewRoman" w:hAnsi="TimesNewRoman" w:cs="TimesNewRoman"/>
          <w:noProof w:val="0"/>
        </w:rPr>
        <w:t>weakness</w:t>
      </w:r>
      <w:r w:rsidR="00DA5F59">
        <w:rPr>
          <w:rFonts w:ascii="TimesNewRoman" w:hAnsi="TimesNewRoman" w:cs="TimesNewRoman"/>
          <w:noProof w:val="0"/>
        </w:rPr>
        <w:t xml:space="preserve"> </w:t>
      </w:r>
      <w:r w:rsidR="009F43A8">
        <w:rPr>
          <w:rFonts w:ascii="TimesNewRoman" w:hAnsi="TimesNewRoman" w:cs="TimesNewRoman"/>
          <w:noProof w:val="0"/>
        </w:rPr>
        <w:t>as</w:t>
      </w:r>
      <w:r w:rsidR="00DA5F59">
        <w:rPr>
          <w:rFonts w:ascii="TimesNewRoman" w:hAnsi="TimesNewRoman" w:cs="TimesNewRoman"/>
          <w:noProof w:val="0"/>
        </w:rPr>
        <w:t xml:space="preserve"> </w:t>
      </w:r>
      <w:r w:rsidR="00500717">
        <w:rPr>
          <w:rFonts w:ascii="TimesNewRoman" w:hAnsi="TimesNewRoman" w:cs="TimesNewRoman"/>
          <w:noProof w:val="0"/>
        </w:rPr>
        <w:t xml:space="preserve">the </w:t>
      </w:r>
      <w:r w:rsidR="00067ACE">
        <w:rPr>
          <w:rFonts w:ascii="TimesNewRoman" w:hAnsi="TimesNewRoman" w:cs="TimesNewRoman"/>
          <w:noProof w:val="0"/>
        </w:rPr>
        <w:t>first</w:t>
      </w:r>
      <w:r w:rsidR="00DA5F59">
        <w:rPr>
          <w:rFonts w:ascii="TimesNewRoman" w:hAnsi="TimesNewRoman" w:cs="TimesNewRoman"/>
          <w:noProof w:val="0"/>
        </w:rPr>
        <w:t xml:space="preserve"> </w:t>
      </w:r>
      <w:r w:rsidR="00067ACE">
        <w:rPr>
          <w:rFonts w:ascii="TimesNewRoman" w:hAnsi="TimesNewRoman" w:cs="TimesNewRoman"/>
          <w:noProof w:val="0"/>
        </w:rPr>
        <w:t>cl</w:t>
      </w:r>
      <w:r w:rsidR="004017B2">
        <w:rPr>
          <w:rFonts w:ascii="TimesNewRoman" w:hAnsi="TimesNewRoman" w:cs="TimesNewRoman"/>
          <w:noProof w:val="0"/>
        </w:rPr>
        <w:t>inical</w:t>
      </w:r>
      <w:r w:rsidR="00DA5F59">
        <w:rPr>
          <w:rFonts w:ascii="TimesNewRoman" w:hAnsi="TimesNewRoman" w:cs="TimesNewRoman"/>
          <w:noProof w:val="0"/>
        </w:rPr>
        <w:t xml:space="preserve"> </w:t>
      </w:r>
      <w:r w:rsidR="004017B2">
        <w:rPr>
          <w:rFonts w:ascii="TimesNewRoman" w:hAnsi="TimesNewRoman" w:cs="TimesNewRoman"/>
          <w:noProof w:val="0"/>
        </w:rPr>
        <w:t>manifestation</w:t>
      </w:r>
      <w:r w:rsidR="00815EFF">
        <w:rPr>
          <w:rFonts w:ascii="TimesNewRoman" w:hAnsi="TimesNewRoman" w:cs="TimesNewRoman"/>
          <w:noProof w:val="0"/>
        </w:rPr>
        <w:t xml:space="preserve"> of the disease</w:t>
      </w:r>
      <w:r w:rsidR="00DA5F59">
        <w:rPr>
          <w:rFonts w:ascii="TimesNewRoman" w:hAnsi="TimesNewRoman" w:cs="TimesNewRoman"/>
          <w:noProof w:val="0"/>
        </w:rPr>
        <w:t xml:space="preserve"> </w:t>
      </w:r>
      <w:r w:rsidR="009F43A8">
        <w:rPr>
          <w:rFonts w:ascii="TimesNewRoman" w:hAnsi="TimesNewRoman" w:cs="TimesNewRoman"/>
          <w:noProof w:val="0"/>
        </w:rPr>
        <w:t>was</w:t>
      </w:r>
      <w:r w:rsidR="00DA5F59">
        <w:rPr>
          <w:rFonts w:ascii="TimesNewRoman" w:hAnsi="TimesNewRoman" w:cs="TimesNewRoman"/>
          <w:noProof w:val="0"/>
        </w:rPr>
        <w:t xml:space="preserve"> </w:t>
      </w:r>
      <w:r w:rsidR="009F43A8">
        <w:rPr>
          <w:rFonts w:ascii="TimesNewRoman" w:hAnsi="TimesNewRoman" w:cs="TimesNewRoman"/>
          <w:noProof w:val="0"/>
        </w:rPr>
        <w:t>present</w:t>
      </w:r>
      <w:r w:rsidR="007B4567">
        <w:rPr>
          <w:rFonts w:ascii="TimesNewRoman" w:hAnsi="TimesNewRoman" w:cs="TimesNewRoman"/>
          <w:noProof w:val="0"/>
        </w:rPr>
        <w:t xml:space="preserve"> in two-thirds of our</w:t>
      </w:r>
      <w:r w:rsidR="00DA5F59">
        <w:rPr>
          <w:rFonts w:ascii="TimesNewRoman" w:hAnsi="TimesNewRoman" w:cs="TimesNewRoman"/>
          <w:noProof w:val="0"/>
        </w:rPr>
        <w:t xml:space="preserve"> </w:t>
      </w:r>
      <w:r w:rsidR="00067ACE">
        <w:rPr>
          <w:rFonts w:ascii="TimesNewRoman" w:hAnsi="TimesNewRoman" w:cs="TimesNewRoman"/>
          <w:noProof w:val="0"/>
        </w:rPr>
        <w:t>patients</w:t>
      </w:r>
      <w:r w:rsidR="00E16B54">
        <w:rPr>
          <w:rFonts w:ascii="TimesNewRoman" w:hAnsi="TimesNewRoman" w:cs="TimesNewRoman"/>
          <w:noProof w:val="0"/>
        </w:rPr>
        <w:t xml:space="preserve"> (</w:t>
      </w:r>
      <w:r w:rsidR="00551E69" w:rsidRPr="00E16B54">
        <w:rPr>
          <w:rFonts w:ascii="TimesNewRoman" w:hAnsi="TimesNewRoman" w:cs="TimesNewRoman"/>
          <w:noProof w:val="0"/>
        </w:rPr>
        <w:t>2,</w:t>
      </w:r>
      <w:r w:rsidR="00E16B54">
        <w:rPr>
          <w:rFonts w:ascii="TimesNewRoman" w:hAnsi="TimesNewRoman" w:cs="TimesNewRoman"/>
          <w:noProof w:val="0"/>
        </w:rPr>
        <w:t xml:space="preserve"> </w:t>
      </w:r>
      <w:r w:rsidR="00551E69" w:rsidRPr="00E16B54">
        <w:rPr>
          <w:rFonts w:ascii="TimesNewRoman" w:hAnsi="TimesNewRoman" w:cs="TimesNewRoman"/>
          <w:noProof w:val="0"/>
        </w:rPr>
        <w:t>15</w:t>
      </w:r>
      <w:r w:rsidR="00886A8D" w:rsidRPr="00E16B54">
        <w:rPr>
          <w:rFonts w:ascii="TimesNewRoman" w:hAnsi="TimesNewRoman" w:cs="TimesNewRoman"/>
          <w:noProof w:val="0"/>
        </w:rPr>
        <w:t>-1</w:t>
      </w:r>
      <w:r w:rsidR="00551E69" w:rsidRPr="00E16B54">
        <w:rPr>
          <w:rFonts w:ascii="TimesNewRoman" w:hAnsi="TimesNewRoman" w:cs="TimesNewRoman"/>
          <w:noProof w:val="0"/>
        </w:rPr>
        <w:t>7</w:t>
      </w:r>
      <w:r w:rsidR="00E16B54">
        <w:rPr>
          <w:rFonts w:ascii="TimesNewRoman" w:hAnsi="TimesNewRoman" w:cs="TimesNewRoman"/>
          <w:noProof w:val="0"/>
        </w:rPr>
        <w:t>)</w:t>
      </w:r>
      <w:r w:rsidR="007B4567">
        <w:rPr>
          <w:rFonts w:ascii="TimesNewRoman" w:hAnsi="TimesNewRoman" w:cs="TimesNewRoman"/>
          <w:noProof w:val="0"/>
        </w:rPr>
        <w:t>.</w:t>
      </w:r>
      <w:r w:rsidR="00DA5F59">
        <w:rPr>
          <w:rFonts w:ascii="TimesNewRoman" w:hAnsi="TimesNewRoman" w:cs="TimesNewRoman"/>
          <w:noProof w:val="0"/>
        </w:rPr>
        <w:t xml:space="preserve"> </w:t>
      </w:r>
      <w:r w:rsidR="001F1A11">
        <w:rPr>
          <w:rFonts w:ascii="TimesNewRoman" w:hAnsi="TimesNewRoman" w:cs="TimesNewRoman"/>
          <w:noProof w:val="0"/>
        </w:rPr>
        <w:t>Three</w:t>
      </w:r>
      <w:r w:rsidR="00DA5F59">
        <w:rPr>
          <w:rFonts w:ascii="TimesNewRoman" w:hAnsi="TimesNewRoman" w:cs="TimesNewRoman"/>
          <w:noProof w:val="0"/>
        </w:rPr>
        <w:t xml:space="preserve"> </w:t>
      </w:r>
      <w:r w:rsidR="001F1A11">
        <w:rPr>
          <w:rFonts w:ascii="TimesNewRoman" w:hAnsi="TimesNewRoman" w:cs="TimesNewRoman"/>
          <w:noProof w:val="0"/>
        </w:rPr>
        <w:t>patients of our</w:t>
      </w:r>
      <w:r w:rsidR="00DA5F59">
        <w:rPr>
          <w:rFonts w:ascii="TimesNewRoman" w:hAnsi="TimesNewRoman" w:cs="TimesNewRoman"/>
          <w:noProof w:val="0"/>
        </w:rPr>
        <w:t xml:space="preserve"> </w:t>
      </w:r>
      <w:r w:rsidR="001F1A11">
        <w:rPr>
          <w:rFonts w:ascii="TimesNewRoman" w:hAnsi="TimesNewRoman" w:cs="TimesNewRoman"/>
          <w:noProof w:val="0"/>
        </w:rPr>
        <w:t>cohort</w:t>
      </w:r>
      <w:r w:rsidR="00DA5F59">
        <w:rPr>
          <w:rFonts w:ascii="TimesNewRoman" w:hAnsi="TimesNewRoman" w:cs="TimesNewRoman"/>
          <w:noProof w:val="0"/>
        </w:rPr>
        <w:t xml:space="preserve"> </w:t>
      </w:r>
      <w:r w:rsidR="001F1A11">
        <w:rPr>
          <w:rFonts w:ascii="TimesNewRoman" w:hAnsi="TimesNewRoman" w:cs="TimesNewRoman"/>
          <w:noProof w:val="0"/>
        </w:rPr>
        <w:t>had</w:t>
      </w:r>
      <w:r w:rsidR="00DA5F59">
        <w:rPr>
          <w:rFonts w:ascii="TimesNewRoman" w:hAnsi="TimesNewRoman" w:cs="TimesNewRoman"/>
          <w:noProof w:val="0"/>
        </w:rPr>
        <w:t xml:space="preserve"> </w:t>
      </w:r>
      <w:r w:rsidR="001F1A11">
        <w:rPr>
          <w:rFonts w:ascii="TimesNewRoman" w:hAnsi="TimesNewRoman" w:cs="TimesNewRoman"/>
          <w:noProof w:val="0"/>
        </w:rPr>
        <w:t>additional</w:t>
      </w:r>
      <w:r w:rsidR="00DA5F59">
        <w:rPr>
          <w:rFonts w:ascii="TimesNewRoman" w:hAnsi="TimesNewRoman" w:cs="TimesNewRoman"/>
          <w:noProof w:val="0"/>
        </w:rPr>
        <w:t xml:space="preserve"> </w:t>
      </w:r>
      <w:r w:rsidR="001F1A11">
        <w:rPr>
          <w:rFonts w:ascii="TimesNewRoman" w:hAnsi="TimesNewRoman" w:cs="TimesNewRoman"/>
          <w:noProof w:val="0"/>
        </w:rPr>
        <w:t>proximal</w:t>
      </w:r>
      <w:r w:rsidR="00DA5F59">
        <w:rPr>
          <w:rFonts w:ascii="TimesNewRoman" w:hAnsi="TimesNewRoman" w:cs="TimesNewRoman"/>
          <w:noProof w:val="0"/>
        </w:rPr>
        <w:t xml:space="preserve"> </w:t>
      </w:r>
      <w:r w:rsidR="001F1A11">
        <w:rPr>
          <w:rFonts w:ascii="TimesNewRoman" w:hAnsi="TimesNewRoman" w:cs="TimesNewRoman"/>
          <w:noProof w:val="0"/>
        </w:rPr>
        <w:t>weakness of muscles</w:t>
      </w:r>
      <w:r w:rsidR="00DA5F59">
        <w:rPr>
          <w:rFonts w:ascii="TimesNewRoman" w:hAnsi="TimesNewRoman" w:cs="TimesNewRoman"/>
          <w:noProof w:val="0"/>
        </w:rPr>
        <w:t xml:space="preserve"> </w:t>
      </w:r>
      <w:r w:rsidR="001F1A11">
        <w:rPr>
          <w:rFonts w:ascii="TimesNewRoman" w:hAnsi="TimesNewRoman" w:cs="TimesNewRoman"/>
          <w:noProof w:val="0"/>
        </w:rPr>
        <w:t>inervated</w:t>
      </w:r>
      <w:r w:rsidR="00DA5F59">
        <w:rPr>
          <w:rFonts w:ascii="TimesNewRoman" w:hAnsi="TimesNewRoman" w:cs="TimesNewRoman"/>
          <w:noProof w:val="0"/>
        </w:rPr>
        <w:t xml:space="preserve"> </w:t>
      </w:r>
      <w:r w:rsidR="001F1A11">
        <w:rPr>
          <w:rFonts w:ascii="TimesNewRoman" w:hAnsi="TimesNewRoman" w:cs="TimesNewRoman"/>
          <w:noProof w:val="0"/>
        </w:rPr>
        <w:t>by</w:t>
      </w:r>
      <w:r w:rsidR="00DA5F59">
        <w:rPr>
          <w:rFonts w:ascii="TimesNewRoman" w:hAnsi="TimesNewRoman" w:cs="TimesNewRoman"/>
          <w:noProof w:val="0"/>
        </w:rPr>
        <w:t xml:space="preserve"> </w:t>
      </w:r>
      <w:r w:rsidR="001F1A11">
        <w:rPr>
          <w:rFonts w:ascii="TimesNewRoman" w:hAnsi="TimesNewRoman" w:cs="TimesNewRoman"/>
          <w:noProof w:val="0"/>
        </w:rPr>
        <w:t>axilar</w:t>
      </w:r>
      <w:r w:rsidR="00DA5F59">
        <w:rPr>
          <w:rFonts w:ascii="TimesNewRoman" w:hAnsi="TimesNewRoman" w:cs="TimesNewRoman"/>
          <w:noProof w:val="0"/>
        </w:rPr>
        <w:t xml:space="preserve"> </w:t>
      </w:r>
      <w:r w:rsidR="001F1A11">
        <w:rPr>
          <w:rFonts w:ascii="TimesNewRoman" w:hAnsi="TimesNewRoman" w:cs="TimesNewRoman"/>
          <w:noProof w:val="0"/>
        </w:rPr>
        <w:t>and</w:t>
      </w:r>
      <w:r w:rsidR="00DA5F59">
        <w:rPr>
          <w:rFonts w:ascii="TimesNewRoman" w:hAnsi="TimesNewRoman" w:cs="TimesNewRoman"/>
          <w:noProof w:val="0"/>
        </w:rPr>
        <w:t xml:space="preserve"> </w:t>
      </w:r>
      <w:r w:rsidR="001F1A11">
        <w:rPr>
          <w:rFonts w:ascii="TimesNewRoman" w:hAnsi="TimesNewRoman" w:cs="TimesNewRoman"/>
          <w:noProof w:val="0"/>
        </w:rPr>
        <w:t>femoral</w:t>
      </w:r>
      <w:r w:rsidR="00DA5F59">
        <w:rPr>
          <w:rFonts w:ascii="TimesNewRoman" w:hAnsi="TimesNewRoman" w:cs="TimesNewRoman"/>
          <w:noProof w:val="0"/>
        </w:rPr>
        <w:t xml:space="preserve"> </w:t>
      </w:r>
      <w:r w:rsidR="001F1A11">
        <w:rPr>
          <w:rFonts w:ascii="TimesNewRoman" w:hAnsi="TimesNewRoman" w:cs="TimesNewRoman"/>
          <w:noProof w:val="0"/>
        </w:rPr>
        <w:t xml:space="preserve">nerves. </w:t>
      </w:r>
      <w:r w:rsidR="00500717">
        <w:rPr>
          <w:rFonts w:ascii="TimesNewRoman" w:hAnsi="TimesNewRoman" w:cs="TimesNewRoman"/>
          <w:noProof w:val="0"/>
        </w:rPr>
        <w:t>On the contrary, some authors</w:t>
      </w:r>
      <w:r w:rsidR="00DA5F59">
        <w:rPr>
          <w:rFonts w:ascii="TimesNewRoman" w:hAnsi="TimesNewRoman" w:cs="TimesNewRoman"/>
          <w:noProof w:val="0"/>
        </w:rPr>
        <w:t xml:space="preserve"> </w:t>
      </w:r>
      <w:r w:rsidR="00500717">
        <w:rPr>
          <w:rFonts w:ascii="TimesNewRoman" w:hAnsi="TimesNewRoman" w:cs="TimesNewRoman"/>
          <w:noProof w:val="0"/>
        </w:rPr>
        <w:t>showed</w:t>
      </w:r>
      <w:r w:rsidR="00DA5F59">
        <w:rPr>
          <w:rFonts w:ascii="TimesNewRoman" w:hAnsi="TimesNewRoman" w:cs="TimesNewRoman"/>
          <w:noProof w:val="0"/>
        </w:rPr>
        <w:t xml:space="preserve"> </w:t>
      </w:r>
      <w:r w:rsidR="00500717">
        <w:rPr>
          <w:rFonts w:ascii="TimesNewRoman" w:hAnsi="TimesNewRoman" w:cs="TimesNewRoman"/>
          <w:noProof w:val="0"/>
        </w:rPr>
        <w:t>that</w:t>
      </w:r>
      <w:r w:rsidR="00DA5F59">
        <w:rPr>
          <w:rFonts w:ascii="TimesNewRoman" w:hAnsi="TimesNewRoman" w:cs="TimesNewRoman"/>
          <w:noProof w:val="0"/>
        </w:rPr>
        <w:t xml:space="preserve"> </w:t>
      </w:r>
      <w:r w:rsidR="00815EFF">
        <w:rPr>
          <w:rFonts w:ascii="TimesNewRoman" w:hAnsi="TimesNewRoman" w:cs="TimesNewRoman"/>
          <w:noProof w:val="0"/>
        </w:rPr>
        <w:t>lower limb onset</w:t>
      </w:r>
      <w:r w:rsidR="00DA5F59">
        <w:rPr>
          <w:rFonts w:ascii="TimesNewRoman" w:hAnsi="TimesNewRoman" w:cs="TimesNewRoman"/>
          <w:noProof w:val="0"/>
        </w:rPr>
        <w:t xml:space="preserve"> </w:t>
      </w:r>
      <w:r w:rsidR="004017B2">
        <w:rPr>
          <w:rFonts w:ascii="TimesNewRoman" w:hAnsi="TimesNewRoman" w:cs="TimesNewRoman"/>
          <w:noProof w:val="0"/>
        </w:rPr>
        <w:t>was</w:t>
      </w:r>
      <w:r w:rsidR="00DA5F59">
        <w:rPr>
          <w:rFonts w:ascii="TimesNewRoman" w:hAnsi="TimesNewRoman" w:cs="TimesNewRoman"/>
          <w:noProof w:val="0"/>
        </w:rPr>
        <w:t xml:space="preserve"> </w:t>
      </w:r>
      <w:r w:rsidR="004017B2">
        <w:rPr>
          <w:rFonts w:ascii="TimesNewRoman" w:hAnsi="TimesNewRoman" w:cs="TimesNewRoman"/>
          <w:noProof w:val="0"/>
        </w:rPr>
        <w:t xml:space="preserve">present in </w:t>
      </w:r>
      <w:r w:rsidR="00A03BBF">
        <w:rPr>
          <w:rFonts w:ascii="TimesNewRoman" w:hAnsi="TimesNewRoman" w:cs="TimesNewRoman"/>
          <w:noProof w:val="0"/>
        </w:rPr>
        <w:t>27% of patients</w:t>
      </w:r>
      <w:r w:rsidR="00DA5F59">
        <w:rPr>
          <w:rFonts w:ascii="TimesNewRoman" w:hAnsi="TimesNewRoman" w:cs="TimesNewRoman"/>
          <w:noProof w:val="0"/>
        </w:rPr>
        <w:t xml:space="preserve"> </w:t>
      </w:r>
      <w:r w:rsidR="00A03BBF">
        <w:rPr>
          <w:rFonts w:ascii="TimesNewRoman" w:hAnsi="TimesNewRoman" w:cs="TimesNewRoman"/>
          <w:noProof w:val="0"/>
        </w:rPr>
        <w:t>with MMN</w:t>
      </w:r>
      <w:r w:rsidR="00E16B54">
        <w:rPr>
          <w:rFonts w:ascii="TimesNewRoman" w:hAnsi="TimesNewRoman" w:cs="TimesNewRoman"/>
          <w:noProof w:val="0"/>
        </w:rPr>
        <w:t xml:space="preserve"> (</w:t>
      </w:r>
      <w:r w:rsidR="00551E69" w:rsidRPr="00E16B54">
        <w:rPr>
          <w:rFonts w:ascii="TimesNewRoman" w:hAnsi="TimesNewRoman" w:cs="TimesNewRoman"/>
          <w:noProof w:val="0"/>
        </w:rPr>
        <w:t>3</w:t>
      </w:r>
      <w:r w:rsidR="00E16B54">
        <w:rPr>
          <w:rFonts w:ascii="TimesNewRoman" w:hAnsi="TimesNewRoman" w:cs="TimesNewRoman"/>
          <w:noProof w:val="0"/>
        </w:rPr>
        <w:t>)</w:t>
      </w:r>
      <w:r w:rsidR="001F1A11">
        <w:rPr>
          <w:rFonts w:ascii="TimesNewRoman" w:hAnsi="TimesNewRoman" w:cs="TimesNewRoman"/>
          <w:noProof w:val="0"/>
        </w:rPr>
        <w:t>.</w:t>
      </w:r>
    </w:p>
    <w:p w:rsidR="00BF31B8" w:rsidRPr="0052462C" w:rsidRDefault="0052462C" w:rsidP="002E7077">
      <w:pPr>
        <w:spacing w:line="360" w:lineRule="auto"/>
        <w:ind w:firstLine="708"/>
        <w:jc w:val="both"/>
      </w:pPr>
      <w:r w:rsidRPr="0052462C">
        <w:t>I</w:t>
      </w:r>
      <w:r>
        <w:t>n</w:t>
      </w:r>
      <w:r w:rsidRPr="0052462C">
        <w:t xml:space="preserve"> the majority of </w:t>
      </w:r>
      <w:r>
        <w:t>anlyzed patients in our study,</w:t>
      </w:r>
      <w:r w:rsidR="00DA5F59">
        <w:t xml:space="preserve"> </w:t>
      </w:r>
      <w:r w:rsidR="00BF31B8" w:rsidRPr="0052462C">
        <w:t xml:space="preserve">CSF </w:t>
      </w:r>
      <w:r w:rsidR="00815EFF" w:rsidRPr="0052462C">
        <w:t>analyses showed</w:t>
      </w:r>
      <w:r w:rsidRPr="0052462C">
        <w:t xml:space="preserve"> slightly elevated</w:t>
      </w:r>
      <w:r w:rsidR="00BF31B8" w:rsidRPr="0052462C">
        <w:t xml:space="preserve"> p</w:t>
      </w:r>
      <w:r w:rsidRPr="0052462C">
        <w:t>r</w:t>
      </w:r>
      <w:r w:rsidR="00BF31B8" w:rsidRPr="0052462C">
        <w:t>otein content (0.58 g/L), which is in line with</w:t>
      </w:r>
      <w:r w:rsidR="001D175F" w:rsidRPr="0052462C">
        <w:t xml:space="preserve"> the data</w:t>
      </w:r>
      <w:r w:rsidR="00886A8D">
        <w:t xml:space="preserve"> from the literat</w:t>
      </w:r>
      <w:r w:rsidR="002338F5">
        <w:t>ure</w:t>
      </w:r>
      <w:r w:rsidR="00E16B54">
        <w:t xml:space="preserve"> (</w:t>
      </w:r>
      <w:r w:rsidR="00886A8D" w:rsidRPr="00E16B54">
        <w:t>16-18</w:t>
      </w:r>
      <w:r w:rsidR="00E16B54">
        <w:t>)</w:t>
      </w:r>
      <w:r w:rsidR="00886A8D" w:rsidRPr="00E16B54">
        <w:t>.</w:t>
      </w:r>
    </w:p>
    <w:p w:rsidR="001F1A11" w:rsidRDefault="00500717" w:rsidP="002E7077">
      <w:pPr>
        <w:autoSpaceDE w:val="0"/>
        <w:autoSpaceDN w:val="0"/>
        <w:adjustRightInd w:val="0"/>
        <w:spacing w:line="360" w:lineRule="auto"/>
        <w:ind w:firstLine="708"/>
        <w:jc w:val="both"/>
        <w:rPr>
          <w:color w:val="000000"/>
        </w:rPr>
      </w:pPr>
      <w:r>
        <w:rPr>
          <w:rFonts w:ascii="TimesNewRoman" w:hAnsi="TimesNewRoman" w:cs="TimesNewRoman"/>
          <w:noProof w:val="0"/>
        </w:rPr>
        <w:t>In six</w:t>
      </w:r>
      <w:r w:rsidR="00DA5F59">
        <w:rPr>
          <w:rFonts w:ascii="TimesNewRoman" w:hAnsi="TimesNewRoman" w:cs="TimesNewRoman"/>
          <w:noProof w:val="0"/>
        </w:rPr>
        <w:t xml:space="preserve"> </w:t>
      </w:r>
      <w:r>
        <w:rPr>
          <w:rFonts w:ascii="TimesNewRoman" w:hAnsi="TimesNewRoman" w:cs="TimesNewRoman"/>
          <w:noProof w:val="0"/>
        </w:rPr>
        <w:t>out of nine</w:t>
      </w:r>
      <w:r w:rsidR="00DA5F59">
        <w:rPr>
          <w:rFonts w:ascii="TimesNewRoman" w:hAnsi="TimesNewRoman" w:cs="TimesNewRoman"/>
          <w:noProof w:val="0"/>
        </w:rPr>
        <w:t xml:space="preserve"> </w:t>
      </w:r>
      <w:r w:rsidR="001F1A11">
        <w:rPr>
          <w:rFonts w:ascii="TimesNewRoman" w:hAnsi="TimesNewRoman" w:cs="TimesNewRoman"/>
          <w:noProof w:val="0"/>
        </w:rPr>
        <w:t>patients</w:t>
      </w:r>
      <w:r w:rsidR="00ED0341">
        <w:rPr>
          <w:rFonts w:ascii="TimesNewRoman" w:hAnsi="TimesNewRoman" w:cs="TimesNewRoman"/>
          <w:noProof w:val="0"/>
        </w:rPr>
        <w:t xml:space="preserve"> (66,7%)</w:t>
      </w:r>
      <w:r w:rsidR="00DA5F59">
        <w:rPr>
          <w:rFonts w:ascii="TimesNewRoman" w:hAnsi="TimesNewRoman" w:cs="TimesNewRoman"/>
          <w:noProof w:val="0"/>
        </w:rPr>
        <w:t xml:space="preserve"> </w:t>
      </w:r>
      <w:r w:rsidR="004017B2">
        <w:rPr>
          <w:rFonts w:ascii="TimesNewRoman" w:hAnsi="TimesNewRoman" w:cs="TimesNewRoman"/>
          <w:noProof w:val="0"/>
        </w:rPr>
        <w:t>of our</w:t>
      </w:r>
      <w:r w:rsidR="00DA5F59">
        <w:rPr>
          <w:rFonts w:ascii="TimesNewRoman" w:hAnsi="TimesNewRoman" w:cs="TimesNewRoman"/>
          <w:noProof w:val="0"/>
        </w:rPr>
        <w:t xml:space="preserve"> </w:t>
      </w:r>
      <w:r w:rsidR="004017B2">
        <w:rPr>
          <w:rFonts w:ascii="TimesNewRoman" w:hAnsi="TimesNewRoman" w:cs="TimesNewRoman"/>
          <w:noProof w:val="0"/>
        </w:rPr>
        <w:t>cohort</w:t>
      </w:r>
      <w:r w:rsidR="00DA5F59">
        <w:rPr>
          <w:rFonts w:ascii="TimesNewRoman" w:hAnsi="TimesNewRoman" w:cs="TimesNewRoman"/>
          <w:noProof w:val="0"/>
        </w:rPr>
        <w:t xml:space="preserve"> </w:t>
      </w:r>
      <w:r w:rsidR="001F1A11">
        <w:rPr>
          <w:rFonts w:ascii="TimesNewRoman" w:hAnsi="TimesNewRoman" w:cs="TimesNewRoman"/>
          <w:noProof w:val="0"/>
        </w:rPr>
        <w:t>polyclonal</w:t>
      </w:r>
      <w:r w:rsidR="00DA5F59">
        <w:rPr>
          <w:rFonts w:ascii="TimesNewRoman" w:hAnsi="TimesNewRoman" w:cs="TimesNewRoman"/>
          <w:noProof w:val="0"/>
        </w:rPr>
        <w:t xml:space="preserve"> </w:t>
      </w:r>
      <w:r w:rsidR="001F1A11">
        <w:rPr>
          <w:rFonts w:ascii="TimesNewRoman" w:hAnsi="TimesNewRoman" w:cs="TimesNewRoman"/>
          <w:noProof w:val="0"/>
        </w:rPr>
        <w:t>IgM ant</w:t>
      </w:r>
      <w:r w:rsidR="00ED0341">
        <w:rPr>
          <w:rFonts w:ascii="TimesNewRoman" w:hAnsi="TimesNewRoman" w:cs="TimesNewRoman"/>
          <w:noProof w:val="0"/>
        </w:rPr>
        <w:t>i-GM1 antibodies</w:t>
      </w:r>
      <w:r w:rsidR="00DA5F59">
        <w:rPr>
          <w:rFonts w:ascii="TimesNewRoman" w:hAnsi="TimesNewRoman" w:cs="TimesNewRoman"/>
          <w:noProof w:val="0"/>
        </w:rPr>
        <w:t xml:space="preserve"> </w:t>
      </w:r>
      <w:r w:rsidR="00ED0341">
        <w:rPr>
          <w:rFonts w:ascii="TimesNewRoman" w:hAnsi="TimesNewRoman" w:cs="TimesNewRoman"/>
          <w:noProof w:val="0"/>
        </w:rPr>
        <w:t>were</w:t>
      </w:r>
      <w:r w:rsidR="00DA5F59">
        <w:rPr>
          <w:rFonts w:ascii="TimesNewRoman" w:hAnsi="TimesNewRoman" w:cs="TimesNewRoman"/>
          <w:noProof w:val="0"/>
        </w:rPr>
        <w:t xml:space="preserve"> </w:t>
      </w:r>
      <w:r w:rsidR="00ED0341">
        <w:rPr>
          <w:rFonts w:ascii="TimesNewRoman" w:hAnsi="TimesNewRoman" w:cs="TimesNewRoman"/>
          <w:noProof w:val="0"/>
        </w:rPr>
        <w:t>detected. This</w:t>
      </w:r>
      <w:r w:rsidR="00DA5F59">
        <w:rPr>
          <w:rFonts w:ascii="TimesNewRoman" w:hAnsi="TimesNewRoman" w:cs="TimesNewRoman"/>
          <w:noProof w:val="0"/>
        </w:rPr>
        <w:t xml:space="preserve"> </w:t>
      </w:r>
      <w:r w:rsidR="00ED0341">
        <w:rPr>
          <w:rFonts w:ascii="TimesNewRoman" w:hAnsi="TimesNewRoman" w:cs="TimesNewRoman"/>
          <w:noProof w:val="0"/>
        </w:rPr>
        <w:t>result</w:t>
      </w:r>
      <w:r w:rsidR="00C545DA">
        <w:rPr>
          <w:rFonts w:ascii="TimesNewRoman" w:hAnsi="TimesNewRoman" w:cs="TimesNewRoman"/>
          <w:noProof w:val="0"/>
        </w:rPr>
        <w:t xml:space="preserve"> </w:t>
      </w:r>
      <w:r w:rsidR="0052462C">
        <w:rPr>
          <w:rFonts w:ascii="TimesNewRoman" w:hAnsi="TimesNewRoman" w:cs="TimesNewRoman"/>
          <w:noProof w:val="0"/>
        </w:rPr>
        <w:t xml:space="preserve">is in </w:t>
      </w:r>
      <w:r w:rsidR="007772BC">
        <w:rPr>
          <w:rFonts w:ascii="TimesNewRoman" w:hAnsi="TimesNewRoman" w:cs="TimesNewRoman"/>
          <w:noProof w:val="0"/>
        </w:rPr>
        <w:t>agreement</w:t>
      </w:r>
      <w:r w:rsidR="00DA5F59">
        <w:rPr>
          <w:rFonts w:ascii="TimesNewRoman" w:hAnsi="TimesNewRoman" w:cs="TimesNewRoman"/>
          <w:noProof w:val="0"/>
        </w:rPr>
        <w:t xml:space="preserve"> </w:t>
      </w:r>
      <w:r w:rsidR="0052462C">
        <w:rPr>
          <w:rFonts w:ascii="TimesNewRoman" w:hAnsi="TimesNewRoman" w:cs="TimesNewRoman"/>
          <w:noProof w:val="0"/>
        </w:rPr>
        <w:t>with</w:t>
      </w:r>
      <w:r w:rsidR="00DA5F59">
        <w:rPr>
          <w:rFonts w:ascii="TimesNewRoman" w:hAnsi="TimesNewRoman" w:cs="TimesNewRoman"/>
          <w:noProof w:val="0"/>
        </w:rPr>
        <w:t xml:space="preserve"> </w:t>
      </w:r>
      <w:r w:rsidR="0052462C">
        <w:rPr>
          <w:rFonts w:ascii="TimesNewRoman" w:hAnsi="TimesNewRoman" w:cs="TimesNewRoman"/>
          <w:noProof w:val="0"/>
        </w:rPr>
        <w:t>previous</w:t>
      </w:r>
      <w:r w:rsidR="00DA5F59">
        <w:rPr>
          <w:rFonts w:ascii="TimesNewRoman" w:hAnsi="TimesNewRoman" w:cs="TimesNewRoman"/>
          <w:noProof w:val="0"/>
        </w:rPr>
        <w:t xml:space="preserve"> </w:t>
      </w:r>
      <w:r w:rsidR="0052462C">
        <w:rPr>
          <w:rFonts w:ascii="TimesNewRoman" w:hAnsi="TimesNewRoman" w:cs="TimesNewRoman"/>
          <w:noProof w:val="0"/>
        </w:rPr>
        <w:t>ones</w:t>
      </w:r>
      <w:r w:rsidR="00ED0341">
        <w:rPr>
          <w:rFonts w:ascii="TimesNewRoman" w:hAnsi="TimesNewRoman" w:cs="TimesNewRoman"/>
          <w:noProof w:val="0"/>
        </w:rPr>
        <w:t xml:space="preserve"> in which</w:t>
      </w:r>
      <w:r w:rsidR="00DA5F59">
        <w:rPr>
          <w:rFonts w:ascii="TimesNewRoman" w:hAnsi="TimesNewRoman" w:cs="TimesNewRoman"/>
          <w:noProof w:val="0"/>
        </w:rPr>
        <w:t xml:space="preserve"> </w:t>
      </w:r>
      <w:r w:rsidR="00ED0341">
        <w:rPr>
          <w:rFonts w:ascii="TimesNewRoman" w:hAnsi="TimesNewRoman" w:cs="TimesNewRoman"/>
          <w:noProof w:val="0"/>
        </w:rPr>
        <w:t>these</w:t>
      </w:r>
      <w:r w:rsidR="00DA5F59">
        <w:rPr>
          <w:rFonts w:ascii="TimesNewRoman" w:hAnsi="TimesNewRoman" w:cs="TimesNewRoman"/>
          <w:noProof w:val="0"/>
        </w:rPr>
        <w:t xml:space="preserve"> </w:t>
      </w:r>
      <w:r w:rsidR="00ED0341">
        <w:rPr>
          <w:rFonts w:ascii="TimesNewRoman" w:hAnsi="TimesNewRoman" w:cs="TimesNewRoman"/>
          <w:noProof w:val="0"/>
        </w:rPr>
        <w:t>antibodies</w:t>
      </w:r>
      <w:r w:rsidR="00DA5F59">
        <w:rPr>
          <w:rFonts w:ascii="TimesNewRoman" w:hAnsi="TimesNewRoman" w:cs="TimesNewRoman"/>
          <w:noProof w:val="0"/>
        </w:rPr>
        <w:t xml:space="preserve"> </w:t>
      </w:r>
      <w:r w:rsidR="00ED0341">
        <w:rPr>
          <w:rFonts w:ascii="TimesNewRoman" w:hAnsi="TimesNewRoman" w:cs="TimesNewRoman"/>
          <w:noProof w:val="0"/>
        </w:rPr>
        <w:t>were</w:t>
      </w:r>
      <w:r w:rsidR="00DA5F59">
        <w:rPr>
          <w:rFonts w:ascii="TimesNewRoman" w:hAnsi="TimesNewRoman" w:cs="TimesNewRoman"/>
          <w:noProof w:val="0"/>
        </w:rPr>
        <w:t xml:space="preserve"> </w:t>
      </w:r>
      <w:r w:rsidR="00ED0341">
        <w:rPr>
          <w:rFonts w:ascii="TimesNewRoman" w:hAnsi="TimesNewRoman" w:cs="TimesNewRoman"/>
          <w:noProof w:val="0"/>
        </w:rPr>
        <w:t xml:space="preserve">found in </w:t>
      </w:r>
      <w:r w:rsidR="00575AB4">
        <w:rPr>
          <w:rFonts w:ascii="TimesNewRoman" w:hAnsi="TimesNewRoman" w:cs="TimesNewRoman"/>
          <w:noProof w:val="0"/>
        </w:rPr>
        <w:t>22-85</w:t>
      </w:r>
      <w:r w:rsidR="003A3D55">
        <w:rPr>
          <w:rFonts w:ascii="TimesNewRoman" w:hAnsi="TimesNewRoman" w:cs="TimesNewRoman"/>
          <w:noProof w:val="0"/>
        </w:rPr>
        <w:t>% of patients</w:t>
      </w:r>
      <w:r w:rsidR="00DA5F59">
        <w:rPr>
          <w:rFonts w:ascii="TimesNewRoman" w:hAnsi="TimesNewRoman" w:cs="TimesNewRoman"/>
          <w:noProof w:val="0"/>
        </w:rPr>
        <w:t xml:space="preserve"> </w:t>
      </w:r>
      <w:r w:rsidR="003A3D55">
        <w:rPr>
          <w:rFonts w:ascii="TimesNewRoman" w:hAnsi="TimesNewRoman" w:cs="TimesNewRoman"/>
          <w:noProof w:val="0"/>
        </w:rPr>
        <w:t>with MMN, but its</w:t>
      </w:r>
      <w:r w:rsidR="00DA5F59">
        <w:rPr>
          <w:rFonts w:ascii="TimesNewRoman" w:hAnsi="TimesNewRoman" w:cs="TimesNewRoman"/>
          <w:noProof w:val="0"/>
        </w:rPr>
        <w:t xml:space="preserve"> </w:t>
      </w:r>
      <w:r w:rsidR="003A3D55">
        <w:rPr>
          <w:rFonts w:ascii="TimesNewRoman" w:hAnsi="TimesNewRoman" w:cs="TimesNewRoman"/>
          <w:noProof w:val="0"/>
        </w:rPr>
        <w:t>relationship to the pathogenesis of the disease</w:t>
      </w:r>
      <w:r w:rsidR="00DA5F59">
        <w:rPr>
          <w:rFonts w:ascii="TimesNewRoman" w:hAnsi="TimesNewRoman" w:cs="TimesNewRoman"/>
          <w:noProof w:val="0"/>
        </w:rPr>
        <w:t xml:space="preserve"> </w:t>
      </w:r>
      <w:r w:rsidR="00AA64EA" w:rsidRPr="00DD086D">
        <w:rPr>
          <w:rFonts w:ascii="TimesNewRoman" w:hAnsi="TimesNewRoman" w:cs="TimesNewRoman"/>
          <w:noProof w:val="0"/>
        </w:rPr>
        <w:t>still</w:t>
      </w:r>
      <w:r w:rsidR="00DA5F59">
        <w:rPr>
          <w:rFonts w:ascii="TimesNewRoman" w:hAnsi="TimesNewRoman" w:cs="TimesNewRoman"/>
          <w:noProof w:val="0"/>
        </w:rPr>
        <w:t xml:space="preserve"> </w:t>
      </w:r>
      <w:r w:rsidR="003A3D55">
        <w:rPr>
          <w:rFonts w:ascii="TimesNewRoman" w:hAnsi="TimesNewRoman" w:cs="TimesNewRoman"/>
          <w:noProof w:val="0"/>
        </w:rPr>
        <w:t>remains</w:t>
      </w:r>
      <w:r w:rsidR="00DA5F59">
        <w:rPr>
          <w:rFonts w:ascii="TimesNewRoman" w:hAnsi="TimesNewRoman" w:cs="TimesNewRoman"/>
          <w:noProof w:val="0"/>
        </w:rPr>
        <w:t xml:space="preserve"> </w:t>
      </w:r>
      <w:r w:rsidR="003A3D55">
        <w:rPr>
          <w:rFonts w:ascii="TimesNewRoman" w:hAnsi="TimesNewRoman" w:cs="TimesNewRoman"/>
          <w:noProof w:val="0"/>
        </w:rPr>
        <w:t>unclear</w:t>
      </w:r>
      <w:r w:rsidR="00E16B54">
        <w:rPr>
          <w:rFonts w:ascii="TimesNewRoman" w:hAnsi="TimesNewRoman" w:cs="TimesNewRoman"/>
          <w:noProof w:val="0"/>
        </w:rPr>
        <w:t xml:space="preserve"> (</w:t>
      </w:r>
      <w:r w:rsidR="00886A8D" w:rsidRPr="00E16B54">
        <w:rPr>
          <w:rFonts w:ascii="TimesNewRoman" w:hAnsi="TimesNewRoman" w:cs="TimesNewRoman"/>
          <w:noProof w:val="0"/>
        </w:rPr>
        <w:t>19,</w:t>
      </w:r>
      <w:r w:rsidR="00E16B54">
        <w:rPr>
          <w:rFonts w:ascii="TimesNewRoman" w:hAnsi="TimesNewRoman" w:cs="TimesNewRoman"/>
          <w:noProof w:val="0"/>
        </w:rPr>
        <w:t xml:space="preserve"> </w:t>
      </w:r>
      <w:r w:rsidR="00886A8D" w:rsidRPr="00E16B54">
        <w:rPr>
          <w:rFonts w:ascii="TimesNewRoman" w:hAnsi="TimesNewRoman" w:cs="TimesNewRoman"/>
          <w:noProof w:val="0"/>
        </w:rPr>
        <w:t>20</w:t>
      </w:r>
      <w:r w:rsidR="00E16B54">
        <w:rPr>
          <w:rFonts w:ascii="TimesNewRoman" w:hAnsi="TimesNewRoman" w:cs="TimesNewRoman"/>
          <w:noProof w:val="0"/>
        </w:rPr>
        <w:t>)</w:t>
      </w:r>
      <w:r w:rsidR="003A3D55">
        <w:rPr>
          <w:rFonts w:ascii="TimesNewRoman" w:hAnsi="TimesNewRoman" w:cs="TimesNewRoman"/>
          <w:noProof w:val="0"/>
        </w:rPr>
        <w:t>.</w:t>
      </w:r>
      <w:r w:rsidR="00DA5F59">
        <w:rPr>
          <w:rFonts w:ascii="TimesNewRoman" w:hAnsi="TimesNewRoman" w:cs="TimesNewRoman"/>
          <w:noProof w:val="0"/>
        </w:rPr>
        <w:t xml:space="preserve"> </w:t>
      </w:r>
      <w:r w:rsidR="00DD086D" w:rsidRPr="00B24629">
        <w:rPr>
          <w:rFonts w:ascii="TimesNewRoman" w:hAnsi="TimesNewRoman" w:cs="TimesNewRoman"/>
          <w:noProof w:val="0"/>
        </w:rPr>
        <w:t>A</w:t>
      </w:r>
      <w:r w:rsidR="00AA64EA" w:rsidRPr="00B24629">
        <w:rPr>
          <w:rFonts w:ascii="TimesNewRoman" w:hAnsi="TimesNewRoman" w:cs="TimesNewRoman"/>
          <w:noProof w:val="0"/>
        </w:rPr>
        <w:t>lthough</w:t>
      </w:r>
      <w:r w:rsidR="00DA5F59">
        <w:rPr>
          <w:rFonts w:ascii="TimesNewRoman" w:hAnsi="TimesNewRoman" w:cs="TimesNewRoman"/>
          <w:noProof w:val="0"/>
        </w:rPr>
        <w:t xml:space="preserve"> </w:t>
      </w:r>
      <w:r w:rsidR="00AA64EA" w:rsidRPr="00B24629">
        <w:t>there</w:t>
      </w:r>
      <w:r w:rsidR="00AA64EA">
        <w:rPr>
          <w:color w:val="000000"/>
        </w:rPr>
        <w:t xml:space="preserve"> was no </w:t>
      </w:r>
      <w:r w:rsidR="00CB5201">
        <w:rPr>
          <w:rFonts w:ascii="TimesNewRoman" w:hAnsi="TimesNewRoman" w:cs="TimesNewRoman"/>
          <w:noProof w:val="0"/>
        </w:rPr>
        <w:t>relationship</w:t>
      </w:r>
      <w:r w:rsidR="00DA5F59">
        <w:rPr>
          <w:rFonts w:ascii="TimesNewRoman" w:hAnsi="TimesNewRoman" w:cs="TimesNewRoman"/>
          <w:noProof w:val="0"/>
        </w:rPr>
        <w:t xml:space="preserve"> </w:t>
      </w:r>
      <w:r w:rsidR="00CB5201">
        <w:rPr>
          <w:rFonts w:ascii="TimesNewRoman" w:hAnsi="TimesNewRoman" w:cs="TimesNewRoman"/>
          <w:noProof w:val="0"/>
        </w:rPr>
        <w:t>between the antibody</w:t>
      </w:r>
      <w:r w:rsidR="00DA5F59">
        <w:rPr>
          <w:rFonts w:ascii="TimesNewRoman" w:hAnsi="TimesNewRoman" w:cs="TimesNewRoman"/>
          <w:noProof w:val="0"/>
        </w:rPr>
        <w:t xml:space="preserve"> </w:t>
      </w:r>
      <w:r w:rsidR="00CB5201">
        <w:rPr>
          <w:rFonts w:ascii="TimesNewRoman" w:hAnsi="TimesNewRoman" w:cs="TimesNewRoman"/>
          <w:noProof w:val="0"/>
        </w:rPr>
        <w:t>finding</w:t>
      </w:r>
      <w:r w:rsidR="00DA5F59">
        <w:rPr>
          <w:rFonts w:ascii="TimesNewRoman" w:hAnsi="TimesNewRoman" w:cs="TimesNewRoman"/>
          <w:noProof w:val="0"/>
        </w:rPr>
        <w:t xml:space="preserve"> </w:t>
      </w:r>
      <w:r w:rsidR="00CB5201">
        <w:rPr>
          <w:rFonts w:ascii="TimesNewRoman" w:hAnsi="TimesNewRoman" w:cs="TimesNewRoman"/>
          <w:noProof w:val="0"/>
        </w:rPr>
        <w:t>and</w:t>
      </w:r>
      <w:r w:rsidR="00DA5F59">
        <w:rPr>
          <w:rFonts w:ascii="TimesNewRoman" w:hAnsi="TimesNewRoman" w:cs="TimesNewRoman"/>
          <w:noProof w:val="0"/>
        </w:rPr>
        <w:t xml:space="preserve"> </w:t>
      </w:r>
      <w:r w:rsidR="00CB5201">
        <w:rPr>
          <w:rFonts w:ascii="TimesNewRoman" w:hAnsi="TimesNewRoman" w:cs="TimesNewRoman"/>
          <w:noProof w:val="0"/>
        </w:rPr>
        <w:t>disease</w:t>
      </w:r>
      <w:r w:rsidR="00DA5F59">
        <w:rPr>
          <w:rFonts w:ascii="TimesNewRoman" w:hAnsi="TimesNewRoman" w:cs="TimesNewRoman"/>
          <w:noProof w:val="0"/>
        </w:rPr>
        <w:t xml:space="preserve"> </w:t>
      </w:r>
      <w:r w:rsidR="00CB5201">
        <w:rPr>
          <w:rFonts w:ascii="TimesNewRoman" w:hAnsi="TimesNewRoman" w:cs="TimesNewRoman"/>
          <w:noProof w:val="0"/>
        </w:rPr>
        <w:t>severity</w:t>
      </w:r>
      <w:r w:rsidR="00DA5F59">
        <w:rPr>
          <w:rFonts w:ascii="TimesNewRoman" w:hAnsi="TimesNewRoman" w:cs="TimesNewRoman"/>
          <w:noProof w:val="0"/>
        </w:rPr>
        <w:t xml:space="preserve"> </w:t>
      </w:r>
      <w:r w:rsidR="00C466D3">
        <w:rPr>
          <w:rFonts w:ascii="TimesNewRoman" w:hAnsi="TimesNewRoman" w:cs="TimesNewRoman"/>
          <w:noProof w:val="0"/>
        </w:rPr>
        <w:t>and</w:t>
      </w:r>
      <w:r w:rsidR="00DA5F59">
        <w:rPr>
          <w:rFonts w:ascii="TimesNewRoman" w:hAnsi="TimesNewRoman" w:cs="TimesNewRoman"/>
          <w:noProof w:val="0"/>
        </w:rPr>
        <w:t xml:space="preserve"> </w:t>
      </w:r>
      <w:r w:rsidR="00C466D3">
        <w:rPr>
          <w:rFonts w:ascii="TimesNewRoman" w:hAnsi="TimesNewRoman" w:cs="TimesNewRoman"/>
          <w:noProof w:val="0"/>
        </w:rPr>
        <w:t>there</w:t>
      </w:r>
      <w:r w:rsidR="00DA5F59">
        <w:rPr>
          <w:rFonts w:ascii="TimesNewRoman" w:hAnsi="TimesNewRoman" w:cs="TimesNewRoman"/>
          <w:noProof w:val="0"/>
        </w:rPr>
        <w:t xml:space="preserve"> </w:t>
      </w:r>
      <w:r w:rsidR="00C466D3">
        <w:rPr>
          <w:rFonts w:ascii="TimesNewRoman" w:hAnsi="TimesNewRoman" w:cs="TimesNewRoman"/>
          <w:noProof w:val="0"/>
        </w:rPr>
        <w:t>was no decline in anti-GM</w:t>
      </w:r>
      <w:r w:rsidR="00DD086D">
        <w:rPr>
          <w:rFonts w:ascii="TimesNewRoman" w:hAnsi="TimesNewRoman" w:cs="TimesNewRoman"/>
          <w:noProof w:val="0"/>
        </w:rPr>
        <w:t>1</w:t>
      </w:r>
      <w:r w:rsidR="00DA5F59">
        <w:rPr>
          <w:rFonts w:ascii="TimesNewRoman" w:hAnsi="TimesNewRoman" w:cs="TimesNewRoman"/>
          <w:noProof w:val="0"/>
        </w:rPr>
        <w:t xml:space="preserve"> </w:t>
      </w:r>
      <w:r w:rsidR="00C466D3">
        <w:rPr>
          <w:rFonts w:ascii="TimesNewRoman" w:hAnsi="TimesNewRoman" w:cs="TimesNewRoman"/>
          <w:noProof w:val="0"/>
        </w:rPr>
        <w:t>titer</w:t>
      </w:r>
      <w:r w:rsidR="00DA5F59">
        <w:rPr>
          <w:rFonts w:ascii="TimesNewRoman" w:hAnsi="TimesNewRoman" w:cs="TimesNewRoman"/>
          <w:noProof w:val="0"/>
        </w:rPr>
        <w:t xml:space="preserve"> </w:t>
      </w:r>
      <w:r w:rsidR="00886A8D">
        <w:rPr>
          <w:rFonts w:ascii="TimesNewRoman" w:hAnsi="TimesNewRoman" w:cs="TimesNewRoman"/>
          <w:noProof w:val="0"/>
        </w:rPr>
        <w:t>with</w:t>
      </w:r>
      <w:r w:rsidR="00DA5F59">
        <w:rPr>
          <w:rFonts w:ascii="TimesNewRoman" w:hAnsi="TimesNewRoman" w:cs="TimesNewRoman"/>
          <w:noProof w:val="0"/>
        </w:rPr>
        <w:t xml:space="preserve"> </w:t>
      </w:r>
      <w:r w:rsidR="00886A8D">
        <w:rPr>
          <w:rFonts w:ascii="TimesNewRoman" w:hAnsi="TimesNewRoman" w:cs="TimesNewRoman"/>
          <w:noProof w:val="0"/>
        </w:rPr>
        <w:t>immunomodulatory</w:t>
      </w:r>
      <w:r w:rsidR="00DA5F59">
        <w:rPr>
          <w:rFonts w:ascii="TimesNewRoman" w:hAnsi="TimesNewRoman" w:cs="TimesNewRoman"/>
          <w:noProof w:val="0"/>
        </w:rPr>
        <w:t xml:space="preserve"> </w:t>
      </w:r>
      <w:r w:rsidR="00886A8D">
        <w:rPr>
          <w:rFonts w:ascii="TimesNewRoman" w:hAnsi="TimesNewRoman" w:cs="TimesNewRoman"/>
          <w:noProof w:val="0"/>
        </w:rPr>
        <w:t>treatment</w:t>
      </w:r>
      <w:r w:rsidR="00E16B54">
        <w:rPr>
          <w:rFonts w:ascii="TimesNewRoman" w:hAnsi="TimesNewRoman" w:cs="TimesNewRoman"/>
          <w:noProof w:val="0"/>
        </w:rPr>
        <w:t xml:space="preserve"> (</w:t>
      </w:r>
      <w:r w:rsidR="00886A8D" w:rsidRPr="00E16B54">
        <w:rPr>
          <w:rFonts w:ascii="TimesNewRoman" w:hAnsi="TimesNewRoman" w:cs="TimesNewRoman"/>
          <w:noProof w:val="0"/>
        </w:rPr>
        <w:t>17</w:t>
      </w:r>
      <w:r w:rsidR="00E16B54">
        <w:rPr>
          <w:rFonts w:ascii="TimesNewRoman" w:hAnsi="TimesNewRoman" w:cs="TimesNewRoman"/>
          <w:noProof w:val="0"/>
        </w:rPr>
        <w:t>)</w:t>
      </w:r>
      <w:r w:rsidR="00AA430F">
        <w:rPr>
          <w:rFonts w:ascii="TimesNewRoman" w:hAnsi="TimesNewRoman" w:cs="TimesNewRoman"/>
          <w:noProof w:val="0"/>
        </w:rPr>
        <w:t>,</w:t>
      </w:r>
      <w:r w:rsidR="00DA5F59">
        <w:rPr>
          <w:rFonts w:ascii="TimesNewRoman" w:hAnsi="TimesNewRoman" w:cs="TimesNewRoman"/>
          <w:noProof w:val="0"/>
        </w:rPr>
        <w:t xml:space="preserve"> </w:t>
      </w:r>
      <w:r w:rsidR="00AA430F">
        <w:rPr>
          <w:rFonts w:ascii="TimesNewRoman" w:hAnsi="TimesNewRoman" w:cs="TimesNewRoman"/>
          <w:noProof w:val="0"/>
        </w:rPr>
        <w:t xml:space="preserve">a </w:t>
      </w:r>
      <w:r w:rsidR="00CB5201">
        <w:rPr>
          <w:rFonts w:ascii="TimesNewRoman" w:hAnsi="TimesNewRoman" w:cs="TimesNewRoman"/>
          <w:noProof w:val="0"/>
        </w:rPr>
        <w:t>consensus</w:t>
      </w:r>
      <w:r w:rsidR="00DA5F59">
        <w:rPr>
          <w:rFonts w:ascii="TimesNewRoman" w:hAnsi="TimesNewRoman" w:cs="TimesNewRoman"/>
          <w:noProof w:val="0"/>
        </w:rPr>
        <w:t xml:space="preserve"> </w:t>
      </w:r>
      <w:r w:rsidR="00CB5201">
        <w:rPr>
          <w:rFonts w:ascii="TimesNewRoman" w:hAnsi="TimesNewRoman" w:cs="TimesNewRoman"/>
          <w:noProof w:val="0"/>
        </w:rPr>
        <w:t xml:space="preserve">statement of the </w:t>
      </w:r>
      <w:r w:rsidR="00AA430F">
        <w:rPr>
          <w:rFonts w:ascii="TimesNewRoman" w:hAnsi="TimesNewRoman" w:cs="TimesNewRoman"/>
          <w:noProof w:val="0"/>
        </w:rPr>
        <w:t>American</w:t>
      </w:r>
      <w:r w:rsidR="00DA5F59">
        <w:rPr>
          <w:rFonts w:ascii="TimesNewRoman" w:hAnsi="TimesNewRoman" w:cs="TimesNewRoman"/>
          <w:noProof w:val="0"/>
        </w:rPr>
        <w:t xml:space="preserve"> </w:t>
      </w:r>
      <w:r w:rsidR="00AA430F">
        <w:rPr>
          <w:rFonts w:ascii="TimesNewRoman" w:hAnsi="TimesNewRoman" w:cs="TimesNewRoman"/>
          <w:noProof w:val="0"/>
        </w:rPr>
        <w:t xml:space="preserve">Academy of Electrodiagnostic Medicine </w:t>
      </w:r>
      <w:r w:rsidR="00CB5201">
        <w:rPr>
          <w:rFonts w:ascii="TimesNewRoman" w:hAnsi="TimesNewRoman" w:cs="TimesNewRoman"/>
          <w:noProof w:val="0"/>
        </w:rPr>
        <w:t>included</w:t>
      </w:r>
      <w:r w:rsidR="00C545DA">
        <w:rPr>
          <w:rFonts w:ascii="TimesNewRoman" w:hAnsi="TimesNewRoman" w:cs="TimesNewRoman"/>
          <w:noProof w:val="0"/>
        </w:rPr>
        <w:t xml:space="preserve"> </w:t>
      </w:r>
      <w:r w:rsidR="004017B2">
        <w:rPr>
          <w:rFonts w:ascii="TimesNewRoman" w:hAnsi="TimesNewRoman" w:cs="TimesNewRoman"/>
          <w:noProof w:val="0"/>
        </w:rPr>
        <w:t>anti-</w:t>
      </w:r>
      <w:r w:rsidR="00CB5201">
        <w:rPr>
          <w:rFonts w:ascii="TimesNewRoman" w:hAnsi="TimesNewRoman" w:cs="TimesNewRoman"/>
          <w:noProof w:val="0"/>
        </w:rPr>
        <w:t>GM1 antibody in the possibly</w:t>
      </w:r>
      <w:r w:rsidR="00DA5F59">
        <w:rPr>
          <w:rFonts w:ascii="TimesNewRoman" w:hAnsi="TimesNewRoman" w:cs="TimesNewRoman"/>
          <w:noProof w:val="0"/>
        </w:rPr>
        <w:t xml:space="preserve"> </w:t>
      </w:r>
      <w:r w:rsidR="00CB5201">
        <w:rPr>
          <w:rFonts w:ascii="TimesNewRoman" w:hAnsi="TimesNewRoman" w:cs="TimesNewRoman"/>
          <w:noProof w:val="0"/>
        </w:rPr>
        <w:t>supportive</w:t>
      </w:r>
      <w:r w:rsidR="00DA5F59">
        <w:rPr>
          <w:rFonts w:ascii="TimesNewRoman" w:hAnsi="TimesNewRoman" w:cs="TimesNewRoman"/>
          <w:noProof w:val="0"/>
        </w:rPr>
        <w:t xml:space="preserve"> </w:t>
      </w:r>
      <w:r w:rsidR="00CB5201">
        <w:rPr>
          <w:rFonts w:ascii="TimesNewRoman" w:hAnsi="TimesNewRoman" w:cs="TimesNewRoman"/>
          <w:noProof w:val="0"/>
        </w:rPr>
        <w:t>laboratory</w:t>
      </w:r>
      <w:r w:rsidR="00DA5F59">
        <w:rPr>
          <w:rFonts w:ascii="TimesNewRoman" w:hAnsi="TimesNewRoman" w:cs="TimesNewRoman"/>
          <w:noProof w:val="0"/>
        </w:rPr>
        <w:t xml:space="preserve"> </w:t>
      </w:r>
      <w:r w:rsidR="00CB5201">
        <w:rPr>
          <w:rFonts w:ascii="TimesNewRoman" w:hAnsi="TimesNewRoman" w:cs="TimesNewRoman"/>
          <w:noProof w:val="0"/>
        </w:rPr>
        <w:t>criteria for MMN</w:t>
      </w:r>
      <w:r w:rsidR="00DA5F59">
        <w:rPr>
          <w:rFonts w:ascii="TimesNewRoman" w:hAnsi="TimesNewRoman" w:cs="TimesNewRoman"/>
          <w:noProof w:val="0"/>
        </w:rPr>
        <w:t xml:space="preserve"> </w:t>
      </w:r>
      <w:r w:rsidR="00AA64EA">
        <w:rPr>
          <w:rFonts w:ascii="TimesNewRoman" w:hAnsi="TimesNewRoman" w:cs="TimesNewRoman"/>
          <w:noProof w:val="0"/>
        </w:rPr>
        <w:t>diagnosis</w:t>
      </w:r>
      <w:r w:rsidR="00E16B54">
        <w:rPr>
          <w:rFonts w:ascii="TimesNewRoman" w:hAnsi="TimesNewRoman" w:cs="TimesNewRoman"/>
          <w:noProof w:val="0"/>
        </w:rPr>
        <w:t xml:space="preserve"> (3)</w:t>
      </w:r>
      <w:r w:rsidR="00CB5201">
        <w:rPr>
          <w:rFonts w:ascii="TimesNewRoman" w:hAnsi="TimesNewRoman" w:cs="TimesNewRoman"/>
          <w:noProof w:val="0"/>
        </w:rPr>
        <w:t xml:space="preserve">. It is </w:t>
      </w:r>
      <w:r w:rsidR="00CB5201" w:rsidRPr="00CB5201">
        <w:rPr>
          <w:color w:val="000000"/>
        </w:rPr>
        <w:t>especially</w:t>
      </w:r>
      <w:r w:rsidR="00CB5201">
        <w:rPr>
          <w:color w:val="000000"/>
        </w:rPr>
        <w:t xml:space="preserve"> important </w:t>
      </w:r>
      <w:r w:rsidR="00A50067">
        <w:rPr>
          <w:color w:val="000000"/>
        </w:rPr>
        <w:t>in situations where a definite</w:t>
      </w:r>
      <w:r w:rsidR="00CB5201">
        <w:rPr>
          <w:color w:val="000000"/>
        </w:rPr>
        <w:t xml:space="preserve"> diagnosis of MMN cannot be made on clinical and neurophysiologic</w:t>
      </w:r>
      <w:r w:rsidR="00AE0781">
        <w:rPr>
          <w:color w:val="000000"/>
        </w:rPr>
        <w:t>al</w:t>
      </w:r>
      <w:r w:rsidR="00CB5201">
        <w:rPr>
          <w:color w:val="000000"/>
        </w:rPr>
        <w:t xml:space="preserve"> grounds</w:t>
      </w:r>
      <w:r w:rsidR="00E16B54">
        <w:rPr>
          <w:color w:val="000000"/>
        </w:rPr>
        <w:t xml:space="preserve"> (</w:t>
      </w:r>
      <w:r w:rsidR="00AA430F" w:rsidRPr="00E16B54">
        <w:rPr>
          <w:color w:val="000000"/>
        </w:rPr>
        <w:t>2,</w:t>
      </w:r>
      <w:r w:rsidR="00E16B54">
        <w:rPr>
          <w:color w:val="000000"/>
        </w:rPr>
        <w:t xml:space="preserve"> </w:t>
      </w:r>
      <w:r w:rsidR="00AA430F" w:rsidRPr="00E16B54">
        <w:rPr>
          <w:color w:val="000000"/>
        </w:rPr>
        <w:t>12</w:t>
      </w:r>
      <w:r w:rsidR="00E16B54">
        <w:rPr>
          <w:color w:val="000000"/>
        </w:rPr>
        <w:t>)</w:t>
      </w:r>
      <w:r w:rsidR="00CB5201">
        <w:rPr>
          <w:color w:val="000000"/>
        </w:rPr>
        <w:t>.</w:t>
      </w:r>
    </w:p>
    <w:p w:rsidR="0003477E" w:rsidRPr="00B619ED" w:rsidRDefault="00BA473D" w:rsidP="002E7077">
      <w:pPr>
        <w:autoSpaceDE w:val="0"/>
        <w:autoSpaceDN w:val="0"/>
        <w:adjustRightInd w:val="0"/>
        <w:spacing w:line="360" w:lineRule="auto"/>
        <w:rPr>
          <w:rFonts w:ascii="TimesNewRoman" w:hAnsi="TimesNewRoman" w:cs="TimesNewRoman"/>
          <w:noProof w:val="0"/>
        </w:rPr>
      </w:pPr>
      <w:r>
        <w:rPr>
          <w:color w:val="000000"/>
        </w:rPr>
        <w:tab/>
      </w:r>
      <w:r w:rsidR="00DD086D">
        <w:rPr>
          <w:color w:val="000000"/>
        </w:rPr>
        <w:t>I</w:t>
      </w:r>
      <w:r w:rsidR="001A2DEE">
        <w:rPr>
          <w:color w:val="000000"/>
        </w:rPr>
        <w:t>t is well known that</w:t>
      </w:r>
      <w:r w:rsidR="00C545DA">
        <w:rPr>
          <w:color w:val="000000"/>
        </w:rPr>
        <w:t xml:space="preserve"> </w:t>
      </w:r>
      <w:r w:rsidR="004017B2">
        <w:rPr>
          <w:color w:val="000000"/>
        </w:rPr>
        <w:t>the</w:t>
      </w:r>
      <w:r w:rsidR="003A3D55">
        <w:rPr>
          <w:color w:val="000000"/>
        </w:rPr>
        <w:t xml:space="preserve"> neurophysiologic</w:t>
      </w:r>
      <w:r w:rsidR="004017B2">
        <w:rPr>
          <w:color w:val="000000"/>
        </w:rPr>
        <w:t xml:space="preserve"> hallmark of the MMN</w:t>
      </w:r>
      <w:r w:rsidR="001A2DEE">
        <w:rPr>
          <w:color w:val="000000"/>
        </w:rPr>
        <w:t xml:space="preserve"> is the presence of CB</w:t>
      </w:r>
      <w:r w:rsidR="00DD086D">
        <w:rPr>
          <w:color w:val="000000"/>
        </w:rPr>
        <w:t>s in motor nerves</w:t>
      </w:r>
      <w:r>
        <w:rPr>
          <w:color w:val="000000"/>
        </w:rPr>
        <w:t>, which is supposed to be the unde</w:t>
      </w:r>
      <w:r w:rsidR="00C466D3">
        <w:rPr>
          <w:color w:val="000000"/>
        </w:rPr>
        <w:t>rlying cause of muscle weakness</w:t>
      </w:r>
      <w:r w:rsidR="00E16B54">
        <w:rPr>
          <w:color w:val="000000"/>
        </w:rPr>
        <w:t xml:space="preserve"> (</w:t>
      </w:r>
      <w:r w:rsidR="003D3664" w:rsidRPr="00E16B54">
        <w:rPr>
          <w:color w:val="000000"/>
        </w:rPr>
        <w:t>3,</w:t>
      </w:r>
      <w:r w:rsidR="00E16B54">
        <w:rPr>
          <w:color w:val="000000"/>
        </w:rPr>
        <w:t xml:space="preserve"> </w:t>
      </w:r>
      <w:r w:rsidR="00AA430F" w:rsidRPr="00E16B54">
        <w:rPr>
          <w:color w:val="000000"/>
        </w:rPr>
        <w:t>8,</w:t>
      </w:r>
      <w:r w:rsidR="00E16B54">
        <w:rPr>
          <w:color w:val="000000"/>
        </w:rPr>
        <w:t xml:space="preserve"> </w:t>
      </w:r>
      <w:r w:rsidR="00AA430F" w:rsidRPr="00E16B54">
        <w:rPr>
          <w:color w:val="000000"/>
        </w:rPr>
        <w:t>10</w:t>
      </w:r>
      <w:r w:rsidR="00E16B54">
        <w:rPr>
          <w:color w:val="000000"/>
        </w:rPr>
        <w:t>)</w:t>
      </w:r>
      <w:r w:rsidR="00E772D4" w:rsidRPr="00AA430F">
        <w:rPr>
          <w:rFonts w:ascii="TimesNewRoman" w:hAnsi="TimesNewRoman" w:cs="TimesNewRoman"/>
          <w:noProof w:val="0"/>
        </w:rPr>
        <w:t xml:space="preserve">. </w:t>
      </w:r>
      <w:r w:rsidR="00B24629" w:rsidRPr="00B24629">
        <w:rPr>
          <w:rFonts w:ascii="TimesNewRoman" w:hAnsi="TimesNewRoman" w:cs="TimesNewRoman"/>
          <w:noProof w:val="0"/>
        </w:rPr>
        <w:t>Accordingly,</w:t>
      </w:r>
      <w:r w:rsidR="00C545DA">
        <w:rPr>
          <w:rFonts w:ascii="TimesNewRoman" w:hAnsi="TimesNewRoman" w:cs="TimesNewRoman"/>
          <w:noProof w:val="0"/>
        </w:rPr>
        <w:t xml:space="preserve"> </w:t>
      </w:r>
      <w:r w:rsidR="001A2DEE" w:rsidRPr="00B24629">
        <w:rPr>
          <w:rFonts w:ascii="TimesNewRoman" w:hAnsi="TimesNewRoman" w:cs="TimesNewRoman"/>
          <w:noProof w:val="0"/>
        </w:rPr>
        <w:t>CB</w:t>
      </w:r>
      <w:r w:rsidR="00DD086D" w:rsidRPr="00B24629">
        <w:rPr>
          <w:rFonts w:ascii="TimesNewRoman" w:hAnsi="TimesNewRoman" w:cs="TimesNewRoman"/>
          <w:noProof w:val="0"/>
        </w:rPr>
        <w:t>s</w:t>
      </w:r>
      <w:r w:rsidR="00B24629" w:rsidRPr="00B24629">
        <w:t xml:space="preserve"> are </w:t>
      </w:r>
      <w:r w:rsidR="00DD086D" w:rsidRPr="00B24629">
        <w:t>most commonly</w:t>
      </w:r>
      <w:r w:rsidR="00B24629" w:rsidRPr="00B24629">
        <w:t xml:space="preserve"> found </w:t>
      </w:r>
      <w:r w:rsidR="000F60E5" w:rsidRPr="00B24629">
        <w:t xml:space="preserve"> in long ar</w:t>
      </w:r>
      <w:r w:rsidR="00DD086D" w:rsidRPr="00B24629">
        <w:t>m nerves that innervate weak</w:t>
      </w:r>
      <w:r w:rsidR="000F60E5" w:rsidRPr="00B24629">
        <w:t xml:space="preserve"> muscles. </w:t>
      </w:r>
      <w:r w:rsidR="00D92754" w:rsidRPr="00B24629">
        <w:t>One</w:t>
      </w:r>
      <w:r w:rsidR="00D92754">
        <w:t xml:space="preserve"> of t</w:t>
      </w:r>
      <w:r w:rsidR="00E40DD1">
        <w:t xml:space="preserve">he possible </w:t>
      </w:r>
      <w:r w:rsidR="00E40DD1" w:rsidRPr="00B24629">
        <w:t>explanation</w:t>
      </w:r>
      <w:r w:rsidR="00A50067">
        <w:t>s</w:t>
      </w:r>
      <w:r w:rsidR="00E40DD1" w:rsidRPr="00B24629">
        <w:t xml:space="preserve"> for this</w:t>
      </w:r>
      <w:r w:rsidR="00D92754" w:rsidRPr="00B24629">
        <w:t xml:space="preserve"> is</w:t>
      </w:r>
      <w:r w:rsidR="00D92754">
        <w:t xml:space="preserve"> that motor axons in arm nerv</w:t>
      </w:r>
      <w:r w:rsidR="00E40DD1">
        <w:t>e</w:t>
      </w:r>
      <w:r w:rsidR="00D92754">
        <w:t>s have  more prominent slow potassium conductance</w:t>
      </w:r>
      <w:r w:rsidR="00AA430F">
        <w:t xml:space="preserve"> than motor axons in leg nerves</w:t>
      </w:r>
      <w:r w:rsidR="00E16B54">
        <w:t xml:space="preserve"> (</w:t>
      </w:r>
      <w:r w:rsidR="00AA430F" w:rsidRPr="00E16B54">
        <w:t>21</w:t>
      </w:r>
      <w:r w:rsidR="00E16B54">
        <w:t>)</w:t>
      </w:r>
      <w:r w:rsidR="00AA430F">
        <w:t xml:space="preserve">. </w:t>
      </w:r>
      <w:r w:rsidR="00D92754" w:rsidRPr="00AA430F">
        <w:t>These</w:t>
      </w:r>
      <w:r w:rsidR="00C545DA">
        <w:t xml:space="preserve"> </w:t>
      </w:r>
      <w:r w:rsidR="00B24629">
        <w:t xml:space="preserve">differences </w:t>
      </w:r>
      <w:r w:rsidR="00D92754">
        <w:t xml:space="preserve">could contribute to the greater </w:t>
      </w:r>
      <w:r w:rsidR="00B24629">
        <w:t>sus</w:t>
      </w:r>
      <w:r w:rsidR="00476513">
        <w:t>cep</w:t>
      </w:r>
      <w:r w:rsidR="00B24629">
        <w:t>tibility</w:t>
      </w:r>
      <w:r w:rsidR="00D92754">
        <w:t xml:space="preserve"> of </w:t>
      </w:r>
      <w:r w:rsidR="00B24629" w:rsidRPr="00F67F06">
        <w:t>arm</w:t>
      </w:r>
      <w:r w:rsidR="00C545DA">
        <w:t xml:space="preserve"> motor axons </w:t>
      </w:r>
      <w:r w:rsidR="00B24629" w:rsidRPr="00F67F06">
        <w:t>for</w:t>
      </w:r>
      <w:r w:rsidR="00D92754" w:rsidRPr="00F67F06">
        <w:t xml:space="preserve"> deve</w:t>
      </w:r>
      <w:r w:rsidR="00E40DD1" w:rsidRPr="00F67F06">
        <w:t>lop</w:t>
      </w:r>
      <w:r w:rsidR="00B24629" w:rsidRPr="00F67F06">
        <w:t>ing</w:t>
      </w:r>
      <w:r w:rsidR="00A50067">
        <w:t xml:space="preserve"> CB</w:t>
      </w:r>
      <w:r w:rsidR="00E16B54">
        <w:t xml:space="preserve"> (</w:t>
      </w:r>
      <w:r w:rsidR="00AA430F" w:rsidRPr="00E16B54">
        <w:t>15,</w:t>
      </w:r>
      <w:r w:rsidR="00E16B54">
        <w:t xml:space="preserve"> </w:t>
      </w:r>
      <w:r w:rsidR="00AA430F" w:rsidRPr="00E16B54">
        <w:t>21,</w:t>
      </w:r>
      <w:r w:rsidR="00E16B54">
        <w:t xml:space="preserve"> </w:t>
      </w:r>
      <w:r w:rsidR="00AA430F" w:rsidRPr="00E16B54">
        <w:t>22</w:t>
      </w:r>
      <w:r w:rsidR="00E16B54">
        <w:t>)</w:t>
      </w:r>
      <w:r w:rsidR="00D92754" w:rsidRPr="00F67F06">
        <w:t>.</w:t>
      </w:r>
      <w:r w:rsidR="0062416C" w:rsidRPr="00F67F06">
        <w:t xml:space="preserve"> In line with this results we found CBs in all patients included in the study at sites distinct from common entrapment </w:t>
      </w:r>
      <w:r w:rsidR="0062416C">
        <w:t xml:space="preserve">syndromes, most frequently in radial nerve. </w:t>
      </w:r>
      <w:r w:rsidR="00E40DD1">
        <w:t xml:space="preserve">In the majority of patients </w:t>
      </w:r>
      <w:r w:rsidR="00F337D4">
        <w:t xml:space="preserve">with MMN </w:t>
      </w:r>
      <w:r w:rsidR="00E40DD1">
        <w:t>t</w:t>
      </w:r>
      <w:r w:rsidR="000F60E5">
        <w:t>he distribution of muscle weakness correlated with the CBs detected by NCS</w:t>
      </w:r>
      <w:r w:rsidR="00E16B54">
        <w:t xml:space="preserve"> (</w:t>
      </w:r>
      <w:r w:rsidR="00282A58" w:rsidRPr="00E16B54">
        <w:t>2,</w:t>
      </w:r>
      <w:r w:rsidR="00E16B54">
        <w:t xml:space="preserve"> </w:t>
      </w:r>
      <w:r w:rsidR="00282A58" w:rsidRPr="00E16B54">
        <w:t>16,</w:t>
      </w:r>
      <w:r w:rsidR="00E16B54">
        <w:t xml:space="preserve"> </w:t>
      </w:r>
      <w:r w:rsidR="00282A58" w:rsidRPr="00E16B54">
        <w:t>23</w:t>
      </w:r>
      <w:r w:rsidR="00E16B54">
        <w:t>)</w:t>
      </w:r>
      <w:r w:rsidR="00E40DD1">
        <w:t>.</w:t>
      </w:r>
      <w:r w:rsidR="00C545DA">
        <w:t xml:space="preserve"> </w:t>
      </w:r>
      <w:r w:rsidR="009E4BDB" w:rsidRPr="0095696F">
        <w:rPr>
          <w:rFonts w:ascii="TimesNewRoman" w:hAnsi="TimesNewRoman" w:cs="TimesNewRoman"/>
          <w:noProof w:val="0"/>
        </w:rPr>
        <w:t xml:space="preserve">However, </w:t>
      </w:r>
      <w:r w:rsidR="009E4BDB">
        <w:rPr>
          <w:rFonts w:ascii="TimesNewRoman" w:hAnsi="TimesNewRoman" w:cs="TimesNewRoman"/>
          <w:noProof w:val="0"/>
        </w:rPr>
        <w:t>CB</w:t>
      </w:r>
      <w:r w:rsidR="00C545DA">
        <w:rPr>
          <w:rFonts w:ascii="TimesNewRoman" w:hAnsi="TimesNewRoman" w:cs="TimesNewRoman"/>
          <w:noProof w:val="0"/>
        </w:rPr>
        <w:t xml:space="preserve"> </w:t>
      </w:r>
      <w:r w:rsidR="009E4BDB" w:rsidRPr="0095696F">
        <w:rPr>
          <w:rFonts w:ascii="TimesNewRoman" w:hAnsi="TimesNewRoman" w:cs="TimesNewRoman"/>
          <w:noProof w:val="0"/>
        </w:rPr>
        <w:t>may be localized in p</w:t>
      </w:r>
      <w:r w:rsidR="009E4BDB">
        <w:rPr>
          <w:rFonts w:ascii="TimesNewRoman" w:hAnsi="TimesNewRoman" w:cs="TimesNewRoman"/>
          <w:noProof w:val="0"/>
        </w:rPr>
        <w:t>roximal nerve segments</w:t>
      </w:r>
      <w:r w:rsidR="00C545DA">
        <w:rPr>
          <w:rFonts w:ascii="TimesNewRoman" w:hAnsi="TimesNewRoman" w:cs="TimesNewRoman"/>
          <w:noProof w:val="0"/>
        </w:rPr>
        <w:t xml:space="preserve"> </w:t>
      </w:r>
      <w:r w:rsidR="009E4BDB">
        <w:rPr>
          <w:rFonts w:ascii="TimesNewRoman" w:hAnsi="TimesNewRoman" w:cs="TimesNewRoman"/>
          <w:noProof w:val="0"/>
        </w:rPr>
        <w:t>and</w:t>
      </w:r>
      <w:r w:rsidR="00C545DA">
        <w:rPr>
          <w:rFonts w:ascii="TimesNewRoman" w:hAnsi="TimesNewRoman" w:cs="TimesNewRoman"/>
          <w:noProof w:val="0"/>
        </w:rPr>
        <w:t xml:space="preserve"> </w:t>
      </w:r>
      <w:r w:rsidR="009E4BDB">
        <w:rPr>
          <w:rFonts w:ascii="TimesNewRoman" w:hAnsi="TimesNewRoman" w:cs="TimesNewRoman"/>
          <w:noProof w:val="0"/>
        </w:rPr>
        <w:t xml:space="preserve">may be </w:t>
      </w:r>
      <w:r w:rsidR="009E4BDB" w:rsidRPr="0095696F">
        <w:rPr>
          <w:rFonts w:ascii="TimesNewRoman" w:hAnsi="TimesNewRoman" w:cs="TimesNewRoman"/>
          <w:noProof w:val="0"/>
        </w:rPr>
        <w:t>di</w:t>
      </w:r>
      <w:r w:rsidR="00AE0781">
        <w:rPr>
          <w:rFonts w:ascii="TimesNewRoman" w:hAnsi="TimesNewRoman" w:cs="TimesNewRoman"/>
          <w:noProof w:val="0"/>
        </w:rPr>
        <w:t>fficult to detect</w:t>
      </w:r>
      <w:r w:rsidR="00C545DA">
        <w:rPr>
          <w:rFonts w:ascii="TimesNewRoman" w:hAnsi="TimesNewRoman" w:cs="TimesNewRoman"/>
          <w:noProof w:val="0"/>
        </w:rPr>
        <w:t xml:space="preserve"> </w:t>
      </w:r>
      <w:r w:rsidR="009E4BDB">
        <w:rPr>
          <w:rFonts w:ascii="TimesNewRoman" w:hAnsi="TimesNewRoman" w:cs="TimesNewRoman"/>
          <w:noProof w:val="0"/>
        </w:rPr>
        <w:t>by NCS</w:t>
      </w:r>
      <w:r w:rsidR="00E16B54">
        <w:rPr>
          <w:rFonts w:ascii="TimesNewRoman" w:hAnsi="TimesNewRoman" w:cs="TimesNewRoman"/>
          <w:noProof w:val="0"/>
        </w:rPr>
        <w:t xml:space="preserve"> (</w:t>
      </w:r>
      <w:r w:rsidR="00282A58" w:rsidRPr="00E16B54">
        <w:rPr>
          <w:rFonts w:ascii="TimesNewRoman" w:hAnsi="TimesNewRoman" w:cs="TimesNewRoman"/>
          <w:noProof w:val="0"/>
        </w:rPr>
        <w:t>5,</w:t>
      </w:r>
      <w:r w:rsidR="00E16B54">
        <w:rPr>
          <w:rFonts w:ascii="TimesNewRoman" w:hAnsi="TimesNewRoman" w:cs="TimesNewRoman"/>
          <w:noProof w:val="0"/>
        </w:rPr>
        <w:t xml:space="preserve"> </w:t>
      </w:r>
      <w:r w:rsidR="00282A58" w:rsidRPr="00E16B54">
        <w:rPr>
          <w:rFonts w:ascii="TimesNewRoman" w:hAnsi="TimesNewRoman" w:cs="TimesNewRoman"/>
          <w:noProof w:val="0"/>
        </w:rPr>
        <w:t>2</w:t>
      </w:r>
      <w:r w:rsidR="00423A09" w:rsidRPr="00E16B54">
        <w:rPr>
          <w:rFonts w:ascii="TimesNewRoman" w:hAnsi="TimesNewRoman" w:cs="TimesNewRoman"/>
          <w:noProof w:val="0"/>
        </w:rPr>
        <w:t>4</w:t>
      </w:r>
      <w:r w:rsidR="00E16B54">
        <w:rPr>
          <w:rFonts w:ascii="TimesNewRoman" w:hAnsi="TimesNewRoman" w:cs="TimesNewRoman"/>
          <w:noProof w:val="0"/>
        </w:rPr>
        <w:t>)</w:t>
      </w:r>
      <w:r w:rsidR="009E4BDB">
        <w:rPr>
          <w:rFonts w:ascii="TimesNewRoman" w:hAnsi="TimesNewRoman" w:cs="TimesNewRoman"/>
          <w:noProof w:val="0"/>
        </w:rPr>
        <w:t>,</w:t>
      </w:r>
      <w:r w:rsidR="009E4BDB" w:rsidRPr="0095696F">
        <w:rPr>
          <w:rFonts w:ascii="TimesNewRoman" w:hAnsi="TimesNewRoman" w:cs="TimesNewRoman"/>
          <w:noProof w:val="0"/>
        </w:rPr>
        <w:t xml:space="preserve"> as was the case in </w:t>
      </w:r>
      <w:r w:rsidR="00F337D4">
        <w:rPr>
          <w:rFonts w:ascii="TimesNewRoman" w:hAnsi="TimesNewRoman" w:cs="TimesNewRoman"/>
          <w:noProof w:val="0"/>
        </w:rPr>
        <w:t>three</w:t>
      </w:r>
      <w:r w:rsidR="00C545DA">
        <w:rPr>
          <w:rFonts w:ascii="TimesNewRoman" w:hAnsi="TimesNewRoman" w:cs="TimesNewRoman"/>
          <w:noProof w:val="0"/>
        </w:rPr>
        <w:t xml:space="preserve"> </w:t>
      </w:r>
      <w:r w:rsidR="009E4BDB" w:rsidRPr="0095696F">
        <w:rPr>
          <w:rFonts w:ascii="TimesNewRoman" w:hAnsi="TimesNewRoman" w:cs="TimesNewRoman"/>
          <w:noProof w:val="0"/>
        </w:rPr>
        <w:t>patients</w:t>
      </w:r>
      <w:r w:rsidR="00F337D4">
        <w:rPr>
          <w:rFonts w:ascii="TimesNewRoman" w:hAnsi="TimesNewRoman" w:cs="TimesNewRoman"/>
          <w:noProof w:val="0"/>
        </w:rPr>
        <w:t xml:space="preserve"> of our</w:t>
      </w:r>
      <w:r w:rsidR="00C545DA">
        <w:rPr>
          <w:rFonts w:ascii="TimesNewRoman" w:hAnsi="TimesNewRoman" w:cs="TimesNewRoman"/>
          <w:noProof w:val="0"/>
        </w:rPr>
        <w:t xml:space="preserve"> </w:t>
      </w:r>
      <w:r w:rsidR="00F337D4">
        <w:rPr>
          <w:rFonts w:ascii="TimesNewRoman" w:hAnsi="TimesNewRoman" w:cs="TimesNewRoman"/>
          <w:noProof w:val="0"/>
        </w:rPr>
        <w:t>cohort</w:t>
      </w:r>
      <w:r w:rsidR="009E4BDB" w:rsidRPr="0095696F">
        <w:rPr>
          <w:rFonts w:ascii="TimesNewRoman" w:hAnsi="TimesNewRoman" w:cs="TimesNewRoman"/>
          <w:noProof w:val="0"/>
        </w:rPr>
        <w:t>.</w:t>
      </w:r>
      <w:r w:rsidR="00C545DA">
        <w:rPr>
          <w:rFonts w:ascii="TimesNewRoman" w:hAnsi="TimesNewRoman" w:cs="TimesNewRoman"/>
          <w:noProof w:val="0"/>
        </w:rPr>
        <w:t xml:space="preserve"> </w:t>
      </w:r>
      <w:r w:rsidR="00F910B9" w:rsidRPr="00B619ED">
        <w:t>The</w:t>
      </w:r>
      <w:r w:rsidR="00C545DA">
        <w:t xml:space="preserve"> </w:t>
      </w:r>
      <w:r w:rsidR="00E772D4" w:rsidRPr="00B619ED">
        <w:rPr>
          <w:rFonts w:ascii="TimesNewRoman" w:hAnsi="TimesNewRoman" w:cs="TimesNewRoman"/>
          <w:noProof w:val="0"/>
        </w:rPr>
        <w:t>significance of MRI</w:t>
      </w:r>
      <w:r w:rsidR="00F910B9" w:rsidRPr="00B619ED">
        <w:rPr>
          <w:rFonts w:ascii="TimesNewRoman" w:hAnsi="TimesNewRoman" w:cs="TimesNewRoman"/>
          <w:noProof w:val="0"/>
        </w:rPr>
        <w:t xml:space="preserve"> in these</w:t>
      </w:r>
      <w:r w:rsidR="00C545DA">
        <w:rPr>
          <w:rFonts w:ascii="TimesNewRoman" w:hAnsi="TimesNewRoman" w:cs="TimesNewRoman"/>
          <w:noProof w:val="0"/>
        </w:rPr>
        <w:t xml:space="preserve"> </w:t>
      </w:r>
      <w:r w:rsidR="00F910B9" w:rsidRPr="00B619ED">
        <w:rPr>
          <w:rFonts w:ascii="TimesNewRoman" w:hAnsi="TimesNewRoman" w:cs="TimesNewRoman"/>
          <w:noProof w:val="0"/>
        </w:rPr>
        <w:t>cases</w:t>
      </w:r>
      <w:r w:rsidR="00C545DA">
        <w:rPr>
          <w:rFonts w:ascii="TimesNewRoman" w:hAnsi="TimesNewRoman" w:cs="TimesNewRoman"/>
          <w:noProof w:val="0"/>
        </w:rPr>
        <w:t xml:space="preserve"> </w:t>
      </w:r>
      <w:r w:rsidR="00E772D4" w:rsidRPr="00B619ED">
        <w:rPr>
          <w:rFonts w:ascii="TimesNewRoman" w:hAnsi="TimesNewRoman" w:cs="TimesNewRoman"/>
          <w:noProof w:val="0"/>
        </w:rPr>
        <w:t>is crucial</w:t>
      </w:r>
      <w:r w:rsidR="00476513" w:rsidRPr="00B619ED">
        <w:rPr>
          <w:rFonts w:ascii="TimesNewRoman" w:hAnsi="TimesNewRoman" w:cs="TimesNewRoman"/>
          <w:noProof w:val="0"/>
        </w:rPr>
        <w:t>,</w:t>
      </w:r>
      <w:r w:rsidR="00C545DA">
        <w:rPr>
          <w:rFonts w:ascii="TimesNewRoman" w:hAnsi="TimesNewRoman" w:cs="TimesNewRoman"/>
          <w:noProof w:val="0"/>
        </w:rPr>
        <w:t xml:space="preserve"> </w:t>
      </w:r>
      <w:r w:rsidR="00476513" w:rsidRPr="00B619ED">
        <w:rPr>
          <w:rFonts w:ascii="TimesNewRoman" w:hAnsi="TimesNewRoman" w:cs="TimesNewRoman"/>
          <w:noProof w:val="0"/>
        </w:rPr>
        <w:t>because</w:t>
      </w:r>
      <w:r w:rsidR="00C545DA">
        <w:rPr>
          <w:rFonts w:ascii="TimesNewRoman" w:hAnsi="TimesNewRoman" w:cs="TimesNewRoman"/>
          <w:noProof w:val="0"/>
        </w:rPr>
        <w:t xml:space="preserve"> </w:t>
      </w:r>
      <w:r w:rsidR="00B619ED" w:rsidRPr="00B619ED">
        <w:t>the pattern of signal alteration in brachial plexus in MMN closely correlates with the distribu</w:t>
      </w:r>
      <w:r w:rsidR="00282A58">
        <w:t>tion of muscle weakness</w:t>
      </w:r>
      <w:r w:rsidR="00B619ED" w:rsidRPr="00B619ED">
        <w:t xml:space="preserve"> and </w:t>
      </w:r>
      <w:r w:rsidR="00423A09">
        <w:rPr>
          <w:rFonts w:ascii="TimesNewRoman" w:hAnsi="TimesNewRoman" w:cs="TimesNewRoman"/>
          <w:noProof w:val="0"/>
        </w:rPr>
        <w:t>can be equiva</w:t>
      </w:r>
      <w:r w:rsidR="00476513" w:rsidRPr="00B619ED">
        <w:rPr>
          <w:rFonts w:ascii="TimesNewRoman" w:hAnsi="TimesNewRoman" w:cs="TimesNewRoman"/>
          <w:noProof w:val="0"/>
        </w:rPr>
        <w:t>lent of proximal CB in affected nerv</w:t>
      </w:r>
      <w:r w:rsidR="00B619ED" w:rsidRPr="00B619ED">
        <w:rPr>
          <w:rFonts w:ascii="TimesNewRoman" w:hAnsi="TimesNewRoman" w:cs="TimesNewRoman"/>
          <w:noProof w:val="0"/>
        </w:rPr>
        <w:t>e</w:t>
      </w:r>
      <w:r w:rsidR="00E16B54">
        <w:rPr>
          <w:rFonts w:ascii="TimesNewRoman" w:hAnsi="TimesNewRoman" w:cs="TimesNewRoman"/>
          <w:noProof w:val="0"/>
        </w:rPr>
        <w:t xml:space="preserve"> (</w:t>
      </w:r>
      <w:r w:rsidR="00423A09" w:rsidRPr="00E16B54">
        <w:rPr>
          <w:rFonts w:ascii="TimesNewRoman" w:hAnsi="TimesNewRoman" w:cs="TimesNewRoman"/>
          <w:noProof w:val="0"/>
        </w:rPr>
        <w:t>6, 14,</w:t>
      </w:r>
      <w:r w:rsidR="00E16B54">
        <w:rPr>
          <w:rFonts w:ascii="TimesNewRoman" w:hAnsi="TimesNewRoman" w:cs="TimesNewRoman"/>
          <w:noProof w:val="0"/>
        </w:rPr>
        <w:t xml:space="preserve"> </w:t>
      </w:r>
      <w:r w:rsidR="00423A09" w:rsidRPr="00E16B54">
        <w:rPr>
          <w:rFonts w:ascii="TimesNewRoman" w:hAnsi="TimesNewRoman" w:cs="TimesNewRoman"/>
          <w:noProof w:val="0"/>
        </w:rPr>
        <w:t>25,</w:t>
      </w:r>
      <w:r w:rsidR="00E16B54">
        <w:rPr>
          <w:rFonts w:ascii="TimesNewRoman" w:hAnsi="TimesNewRoman" w:cs="TimesNewRoman"/>
          <w:noProof w:val="0"/>
        </w:rPr>
        <w:t xml:space="preserve"> </w:t>
      </w:r>
      <w:r w:rsidR="00423A09" w:rsidRPr="00E16B54">
        <w:rPr>
          <w:rFonts w:ascii="TimesNewRoman" w:hAnsi="TimesNewRoman" w:cs="TimesNewRoman"/>
          <w:noProof w:val="0"/>
        </w:rPr>
        <w:t>26</w:t>
      </w:r>
      <w:r w:rsidR="00E16B54">
        <w:rPr>
          <w:rFonts w:ascii="TimesNewRoman" w:hAnsi="TimesNewRoman" w:cs="TimesNewRoman"/>
          <w:noProof w:val="0"/>
        </w:rPr>
        <w:t>)</w:t>
      </w:r>
      <w:r w:rsidR="00E772D4" w:rsidRPr="00B619ED">
        <w:rPr>
          <w:rFonts w:ascii="TimesNewRoman" w:hAnsi="TimesNewRoman" w:cs="TimesNewRoman"/>
          <w:noProof w:val="0"/>
        </w:rPr>
        <w:t xml:space="preserve">. </w:t>
      </w:r>
    </w:p>
    <w:p w:rsidR="00B619ED" w:rsidRDefault="001D175F" w:rsidP="002E7077">
      <w:pPr>
        <w:autoSpaceDE w:val="0"/>
        <w:autoSpaceDN w:val="0"/>
        <w:adjustRightInd w:val="0"/>
        <w:spacing w:line="360" w:lineRule="auto"/>
        <w:jc w:val="both"/>
        <w:rPr>
          <w:rFonts w:ascii="TimesNewRoman" w:hAnsi="TimesNewRoman" w:cs="TimesNewRoman"/>
          <w:noProof w:val="0"/>
        </w:rPr>
      </w:pPr>
      <w:r>
        <w:rPr>
          <w:rFonts w:ascii="TimesNewRoman" w:hAnsi="TimesNewRoman" w:cs="TimesNewRoman"/>
          <w:noProof w:val="0"/>
        </w:rPr>
        <w:tab/>
      </w:r>
      <w:r w:rsidR="00C545DA">
        <w:rPr>
          <w:rFonts w:ascii="TimesNewRoman" w:hAnsi="TimesNewRoman" w:cs="TimesNewRoman"/>
          <w:noProof w:val="0"/>
        </w:rPr>
        <w:t xml:space="preserve">In </w:t>
      </w:r>
      <w:r w:rsidR="00B619ED">
        <w:rPr>
          <w:rFonts w:ascii="TimesNewRoman" w:hAnsi="TimesNewRoman" w:cs="TimesNewRoman"/>
          <w:noProof w:val="0"/>
        </w:rPr>
        <w:t>addition,</w:t>
      </w:r>
      <w:r w:rsidR="00C545DA">
        <w:rPr>
          <w:rFonts w:ascii="TimesNewRoman" w:hAnsi="TimesNewRoman" w:cs="TimesNewRoman"/>
          <w:noProof w:val="0"/>
        </w:rPr>
        <w:t xml:space="preserve"> </w:t>
      </w:r>
      <w:r w:rsidR="00E772D4" w:rsidRPr="0095696F">
        <w:rPr>
          <w:rFonts w:ascii="TimesNewRoman" w:hAnsi="TimesNewRoman" w:cs="TimesNewRoman"/>
          <w:noProof w:val="0"/>
        </w:rPr>
        <w:t>MRI may</w:t>
      </w:r>
      <w:r w:rsidR="00C545DA">
        <w:rPr>
          <w:rFonts w:ascii="TimesNewRoman" w:hAnsi="TimesNewRoman" w:cs="TimesNewRoman"/>
          <w:noProof w:val="0"/>
        </w:rPr>
        <w:t xml:space="preserve"> </w:t>
      </w:r>
      <w:r w:rsidR="00E772D4" w:rsidRPr="0095696F">
        <w:rPr>
          <w:rFonts w:ascii="TimesNewRoman" w:hAnsi="TimesNewRoman" w:cs="TimesNewRoman"/>
          <w:noProof w:val="0"/>
        </w:rPr>
        <w:t>distinguish MMN</w:t>
      </w:r>
      <w:r w:rsidR="00C545DA">
        <w:rPr>
          <w:rFonts w:ascii="TimesNewRoman" w:hAnsi="TimesNewRoman" w:cs="TimesNewRoman"/>
          <w:noProof w:val="0"/>
        </w:rPr>
        <w:t xml:space="preserve"> </w:t>
      </w:r>
      <w:r w:rsidR="00E772D4" w:rsidRPr="0095696F">
        <w:rPr>
          <w:rFonts w:ascii="TimesNewRoman" w:hAnsi="TimesNewRoman" w:cs="TimesNewRoman"/>
          <w:noProof w:val="0"/>
        </w:rPr>
        <w:t>from</w:t>
      </w:r>
      <w:r w:rsidR="00C545DA">
        <w:rPr>
          <w:rFonts w:ascii="TimesNewRoman" w:hAnsi="TimesNewRoman" w:cs="TimesNewRoman"/>
          <w:noProof w:val="0"/>
        </w:rPr>
        <w:t xml:space="preserve"> </w:t>
      </w:r>
      <w:r w:rsidR="00B619ED">
        <w:rPr>
          <w:rFonts w:ascii="TimesNewRoman" w:hAnsi="TimesNewRoman" w:cs="TimesNewRoman"/>
          <w:noProof w:val="0"/>
        </w:rPr>
        <w:t>inflamatory</w:t>
      </w:r>
      <w:r w:rsidR="00C545DA">
        <w:rPr>
          <w:rFonts w:ascii="TimesNewRoman" w:hAnsi="TimesNewRoman" w:cs="TimesNewRoman"/>
          <w:noProof w:val="0"/>
        </w:rPr>
        <w:t xml:space="preserve"> </w:t>
      </w:r>
      <w:r w:rsidR="00B619ED">
        <w:rPr>
          <w:rFonts w:ascii="TimesNewRoman" w:hAnsi="TimesNewRoman" w:cs="TimesNewRoman"/>
          <w:noProof w:val="0"/>
        </w:rPr>
        <w:t>neuropathies</w:t>
      </w:r>
      <w:r w:rsidR="00FA4785">
        <w:rPr>
          <w:rFonts w:ascii="TimesNewRoman" w:hAnsi="TimesNewRoman" w:cs="TimesNewRoman"/>
          <w:noProof w:val="0"/>
        </w:rPr>
        <w:t>, chronic</w:t>
      </w:r>
      <w:r w:rsidR="00C545DA">
        <w:rPr>
          <w:rFonts w:ascii="TimesNewRoman" w:hAnsi="TimesNewRoman" w:cs="TimesNewRoman"/>
          <w:noProof w:val="0"/>
        </w:rPr>
        <w:t xml:space="preserve"> </w:t>
      </w:r>
      <w:r w:rsidR="00FA4785">
        <w:rPr>
          <w:rFonts w:ascii="TimesNewRoman" w:hAnsi="TimesNewRoman" w:cs="TimesNewRoman"/>
          <w:noProof w:val="0"/>
        </w:rPr>
        <w:t>inflammatory</w:t>
      </w:r>
      <w:r w:rsidR="00C545DA">
        <w:rPr>
          <w:rFonts w:ascii="TimesNewRoman" w:hAnsi="TimesNewRoman" w:cs="TimesNewRoman"/>
          <w:noProof w:val="0"/>
        </w:rPr>
        <w:t xml:space="preserve"> </w:t>
      </w:r>
      <w:r w:rsidR="00FA4785">
        <w:rPr>
          <w:rFonts w:ascii="TimesNewRoman" w:hAnsi="TimesNewRoman" w:cs="TimesNewRoman"/>
          <w:noProof w:val="0"/>
        </w:rPr>
        <w:t>demyelinating</w:t>
      </w:r>
      <w:r w:rsidR="00C545DA">
        <w:rPr>
          <w:rFonts w:ascii="TimesNewRoman" w:hAnsi="TimesNewRoman" w:cs="TimesNewRoman"/>
          <w:noProof w:val="0"/>
        </w:rPr>
        <w:t xml:space="preserve"> </w:t>
      </w:r>
      <w:r w:rsidR="00FA4785">
        <w:rPr>
          <w:rFonts w:ascii="TimesNewRoman" w:hAnsi="TimesNewRoman" w:cs="TimesNewRoman"/>
          <w:noProof w:val="0"/>
        </w:rPr>
        <w:t>polyradiculoneuropathy</w:t>
      </w:r>
      <w:r w:rsidR="00B619ED">
        <w:rPr>
          <w:rFonts w:ascii="TimesNewRoman" w:hAnsi="TimesNewRoman" w:cs="TimesNewRoman"/>
          <w:noProof w:val="0"/>
        </w:rPr>
        <w:t xml:space="preserve"> (</w:t>
      </w:r>
      <w:r w:rsidR="00476513">
        <w:rPr>
          <w:rFonts w:ascii="TimesNewRoman" w:hAnsi="TimesNewRoman" w:cs="TimesNewRoman"/>
          <w:noProof w:val="0"/>
        </w:rPr>
        <w:t>CIDP</w:t>
      </w:r>
      <w:r w:rsidR="00B619ED">
        <w:rPr>
          <w:rFonts w:ascii="TimesNewRoman" w:hAnsi="TimesNewRoman" w:cs="TimesNewRoman"/>
          <w:noProof w:val="0"/>
        </w:rPr>
        <w:t>)</w:t>
      </w:r>
      <w:r w:rsidR="00C545DA">
        <w:rPr>
          <w:rFonts w:ascii="TimesNewRoman" w:hAnsi="TimesNewRoman" w:cs="TimesNewRoman"/>
          <w:noProof w:val="0"/>
        </w:rPr>
        <w:t xml:space="preserve"> </w:t>
      </w:r>
      <w:r w:rsidR="003D323F">
        <w:rPr>
          <w:rFonts w:ascii="TimesNewRoman" w:hAnsi="TimesNewRoman" w:cs="TimesNewRoman"/>
          <w:noProof w:val="0"/>
        </w:rPr>
        <w:t>and</w:t>
      </w:r>
      <w:r w:rsidR="00C545DA">
        <w:rPr>
          <w:rFonts w:ascii="TimesNewRoman" w:hAnsi="TimesNewRoman" w:cs="TimesNewRoman"/>
          <w:noProof w:val="0"/>
        </w:rPr>
        <w:t xml:space="preserve"> </w:t>
      </w:r>
      <w:r w:rsidR="003D323F">
        <w:rPr>
          <w:rFonts w:ascii="TimesNewRoman" w:hAnsi="TimesNewRoman" w:cs="TimesNewRoman"/>
          <w:noProof w:val="0"/>
        </w:rPr>
        <w:t>lower motor neuron</w:t>
      </w:r>
      <w:r w:rsidR="00C545DA">
        <w:rPr>
          <w:rFonts w:ascii="TimesNewRoman" w:hAnsi="TimesNewRoman" w:cs="TimesNewRoman"/>
          <w:noProof w:val="0"/>
        </w:rPr>
        <w:t xml:space="preserve"> </w:t>
      </w:r>
      <w:r w:rsidR="003D323F">
        <w:rPr>
          <w:rFonts w:ascii="TimesNewRoman" w:hAnsi="TimesNewRoman" w:cs="TimesNewRoman"/>
          <w:noProof w:val="0"/>
        </w:rPr>
        <w:t>disease (LMND)</w:t>
      </w:r>
      <w:r w:rsidR="00C254E9">
        <w:rPr>
          <w:rFonts w:ascii="TimesNewRoman" w:hAnsi="TimesNewRoman" w:cs="TimesNewRoman"/>
          <w:noProof w:val="0"/>
        </w:rPr>
        <w:t>. I</w:t>
      </w:r>
      <w:r w:rsidR="00E772D4" w:rsidRPr="0095696F">
        <w:rPr>
          <w:rFonts w:ascii="TimesNewRoman" w:hAnsi="TimesNewRoman" w:cs="TimesNewRoman"/>
          <w:noProof w:val="0"/>
        </w:rPr>
        <w:t>n MMN patients</w:t>
      </w:r>
      <w:r w:rsidR="00C545DA">
        <w:rPr>
          <w:rFonts w:ascii="TimesNewRoman" w:hAnsi="TimesNewRoman" w:cs="TimesNewRoman"/>
          <w:noProof w:val="0"/>
        </w:rPr>
        <w:t xml:space="preserve"> </w:t>
      </w:r>
      <w:r>
        <w:rPr>
          <w:rFonts w:ascii="TimesNewRoman" w:hAnsi="TimesNewRoman" w:cs="TimesNewRoman"/>
          <w:noProof w:val="0"/>
        </w:rPr>
        <w:t>MRI shows</w:t>
      </w:r>
      <w:r w:rsidR="00C545DA">
        <w:rPr>
          <w:rFonts w:ascii="TimesNewRoman" w:hAnsi="TimesNewRoman" w:cs="TimesNewRoman"/>
          <w:noProof w:val="0"/>
        </w:rPr>
        <w:t xml:space="preserve"> </w:t>
      </w:r>
      <w:r w:rsidR="00F910B9">
        <w:rPr>
          <w:rFonts w:ascii="TimesNewRoman" w:hAnsi="TimesNewRoman" w:cs="TimesNewRoman"/>
          <w:noProof w:val="0"/>
        </w:rPr>
        <w:t>asymmetrically</w:t>
      </w:r>
      <w:r w:rsidR="00C545DA">
        <w:rPr>
          <w:rFonts w:ascii="TimesNewRoman" w:hAnsi="TimesNewRoman" w:cs="TimesNewRoman"/>
          <w:noProof w:val="0"/>
        </w:rPr>
        <w:t xml:space="preserve"> </w:t>
      </w:r>
      <w:r w:rsidR="00E14EDB">
        <w:rPr>
          <w:rFonts w:ascii="TimesNewRoman" w:hAnsi="TimesNewRoman" w:cs="TimesNewRoman"/>
          <w:noProof w:val="0"/>
        </w:rPr>
        <w:t>increased</w:t>
      </w:r>
      <w:r w:rsidR="00E772D4" w:rsidRPr="0095696F">
        <w:rPr>
          <w:rFonts w:ascii="TimesNewRoman" w:hAnsi="TimesNewRoman" w:cs="TimesNewRoman"/>
          <w:noProof w:val="0"/>
        </w:rPr>
        <w:t xml:space="preserve"> signal </w:t>
      </w:r>
      <w:r w:rsidR="00E14EDB">
        <w:rPr>
          <w:rFonts w:ascii="TimesNewRoman" w:hAnsi="TimesNewRoman" w:cs="TimesNewRoman"/>
          <w:noProof w:val="0"/>
        </w:rPr>
        <w:t>intensity</w:t>
      </w:r>
      <w:r w:rsidR="00E772D4" w:rsidRPr="0095696F">
        <w:rPr>
          <w:rFonts w:ascii="TimesNewRoman" w:hAnsi="TimesNewRoman" w:cs="TimesNewRoman"/>
          <w:noProof w:val="0"/>
        </w:rPr>
        <w:t xml:space="preserve"> on T2</w:t>
      </w:r>
      <w:r w:rsidR="0003477E">
        <w:rPr>
          <w:rFonts w:ascii="TimesNewRoman" w:hAnsi="TimesNewRoman" w:cs="TimesNewRoman"/>
          <w:noProof w:val="0"/>
        </w:rPr>
        <w:t>-wei</w:t>
      </w:r>
      <w:r w:rsidR="00E14EDB">
        <w:rPr>
          <w:rFonts w:ascii="TimesNewRoman" w:hAnsi="TimesNewRoman" w:cs="TimesNewRoman"/>
          <w:noProof w:val="0"/>
        </w:rPr>
        <w:t>g</w:t>
      </w:r>
      <w:r w:rsidR="0003477E">
        <w:rPr>
          <w:rFonts w:ascii="TimesNewRoman" w:hAnsi="TimesNewRoman" w:cs="TimesNewRoman"/>
          <w:noProof w:val="0"/>
        </w:rPr>
        <w:t>h</w:t>
      </w:r>
      <w:r w:rsidR="00E14EDB">
        <w:rPr>
          <w:rFonts w:ascii="TimesNewRoman" w:hAnsi="TimesNewRoman" w:cs="TimesNewRoman"/>
          <w:noProof w:val="0"/>
        </w:rPr>
        <w:t>ted</w:t>
      </w:r>
      <w:r w:rsidR="00C545DA">
        <w:rPr>
          <w:rFonts w:ascii="TimesNewRoman" w:hAnsi="TimesNewRoman" w:cs="TimesNewRoman"/>
          <w:noProof w:val="0"/>
        </w:rPr>
        <w:t xml:space="preserve"> </w:t>
      </w:r>
      <w:r w:rsidR="00E14EDB">
        <w:rPr>
          <w:rFonts w:ascii="TimesNewRoman" w:hAnsi="TimesNewRoman" w:cs="TimesNewRoman"/>
          <w:noProof w:val="0"/>
        </w:rPr>
        <w:t>images</w:t>
      </w:r>
      <w:r w:rsidR="00C545DA">
        <w:rPr>
          <w:rFonts w:ascii="TimesNewRoman" w:hAnsi="TimesNewRoman" w:cs="TimesNewRoman"/>
          <w:noProof w:val="0"/>
        </w:rPr>
        <w:t xml:space="preserve"> </w:t>
      </w:r>
      <w:r w:rsidR="00E772D4" w:rsidRPr="0095696F">
        <w:rPr>
          <w:rFonts w:ascii="TimesNewRoman" w:hAnsi="TimesNewRoman" w:cs="TimesNewRoman"/>
          <w:noProof w:val="0"/>
        </w:rPr>
        <w:t>sequences</w:t>
      </w:r>
      <w:r w:rsidR="00C545DA">
        <w:rPr>
          <w:rFonts w:ascii="TimesNewRoman" w:hAnsi="TimesNewRoman" w:cs="TimesNewRoman"/>
          <w:noProof w:val="0"/>
        </w:rPr>
        <w:t xml:space="preserve"> </w:t>
      </w:r>
      <w:r>
        <w:rPr>
          <w:rFonts w:ascii="TimesNewRoman" w:hAnsi="TimesNewRoman" w:cs="TimesNewRoman"/>
          <w:noProof w:val="0"/>
        </w:rPr>
        <w:t>with</w:t>
      </w:r>
      <w:r w:rsidR="00C545DA">
        <w:rPr>
          <w:rFonts w:ascii="TimesNewRoman" w:hAnsi="TimesNewRoman" w:cs="TimesNewRoman"/>
          <w:noProof w:val="0"/>
        </w:rPr>
        <w:t xml:space="preserve"> </w:t>
      </w:r>
      <w:r>
        <w:rPr>
          <w:rFonts w:ascii="TimesNewRoman" w:hAnsi="TimesNewRoman" w:cs="TimesNewRoman"/>
          <w:noProof w:val="0"/>
        </w:rPr>
        <w:t>evidence of nerve swelling in 40-50% of patients</w:t>
      </w:r>
      <w:r w:rsidR="00E772D4" w:rsidRPr="0095696F">
        <w:rPr>
          <w:rFonts w:ascii="TimesNewRoman" w:hAnsi="TimesNewRoman" w:cs="TimesNewRoman"/>
          <w:noProof w:val="0"/>
        </w:rPr>
        <w:t>, while</w:t>
      </w:r>
      <w:r w:rsidR="00C545DA">
        <w:rPr>
          <w:rFonts w:ascii="TimesNewRoman" w:hAnsi="TimesNewRoman" w:cs="TimesNewRoman"/>
          <w:noProof w:val="0"/>
        </w:rPr>
        <w:t xml:space="preserve"> </w:t>
      </w:r>
      <w:r w:rsidR="00E772D4" w:rsidRPr="0095696F">
        <w:rPr>
          <w:rFonts w:ascii="TimesNewRoman" w:hAnsi="TimesNewRoman" w:cs="TimesNewRoman"/>
          <w:noProof w:val="0"/>
        </w:rPr>
        <w:t>in</w:t>
      </w:r>
      <w:r w:rsidR="00B619ED">
        <w:rPr>
          <w:rFonts w:ascii="TimesNewRoman" w:hAnsi="TimesNewRoman" w:cs="TimesNewRoman"/>
          <w:noProof w:val="0"/>
        </w:rPr>
        <w:t xml:space="preserve"> CIDP </w:t>
      </w:r>
      <w:r w:rsidR="00E772D4" w:rsidRPr="0095696F">
        <w:rPr>
          <w:rFonts w:ascii="TimesNewRoman" w:hAnsi="TimesNewRoman" w:cs="TimesNewRoman"/>
          <w:noProof w:val="0"/>
        </w:rPr>
        <w:t>MRI usually</w:t>
      </w:r>
      <w:r w:rsidR="00C545DA">
        <w:rPr>
          <w:rFonts w:ascii="TimesNewRoman" w:hAnsi="TimesNewRoman" w:cs="TimesNewRoman"/>
          <w:noProof w:val="0"/>
        </w:rPr>
        <w:t xml:space="preserve"> </w:t>
      </w:r>
      <w:r w:rsidR="00E772D4" w:rsidRPr="0095696F">
        <w:rPr>
          <w:rFonts w:ascii="TimesNewRoman" w:hAnsi="TimesNewRoman" w:cs="TimesNewRoman"/>
          <w:noProof w:val="0"/>
        </w:rPr>
        <w:t>depicts</w:t>
      </w:r>
      <w:r w:rsidR="00C545DA">
        <w:rPr>
          <w:rFonts w:ascii="TimesNewRoman" w:hAnsi="TimesNewRoman" w:cs="TimesNewRoman"/>
          <w:noProof w:val="0"/>
        </w:rPr>
        <w:t xml:space="preserve"> </w:t>
      </w:r>
      <w:r w:rsidR="00E772D4" w:rsidRPr="0095696F">
        <w:rPr>
          <w:rFonts w:ascii="TimesNewRoman" w:hAnsi="TimesNewRoman" w:cs="TimesNewRoman"/>
          <w:noProof w:val="0"/>
        </w:rPr>
        <w:t>diffuse</w:t>
      </w:r>
      <w:r w:rsidR="00C545DA">
        <w:rPr>
          <w:rFonts w:ascii="TimesNewRoman" w:hAnsi="TimesNewRoman" w:cs="TimesNewRoman"/>
          <w:noProof w:val="0"/>
        </w:rPr>
        <w:t xml:space="preserve"> </w:t>
      </w:r>
      <w:r w:rsidR="00B619ED">
        <w:rPr>
          <w:rFonts w:ascii="TimesNewRoman" w:hAnsi="TimesNewRoman" w:cs="TimesNewRoman"/>
          <w:noProof w:val="0"/>
        </w:rPr>
        <w:t>and</w:t>
      </w:r>
      <w:r w:rsidR="00C545DA">
        <w:rPr>
          <w:rFonts w:ascii="TimesNewRoman" w:hAnsi="TimesNewRoman" w:cs="TimesNewRoman"/>
          <w:noProof w:val="0"/>
        </w:rPr>
        <w:t xml:space="preserve"> </w:t>
      </w:r>
      <w:r w:rsidR="00B619ED">
        <w:rPr>
          <w:rFonts w:ascii="TimesNewRoman" w:hAnsi="TimesNewRoman" w:cs="TimesNewRoman"/>
          <w:noProof w:val="0"/>
        </w:rPr>
        <w:t xml:space="preserve">homogenous signal </w:t>
      </w:r>
      <w:r w:rsidR="00E772D4" w:rsidRPr="0095696F">
        <w:rPr>
          <w:rFonts w:ascii="TimesNewRoman" w:hAnsi="TimesNewRoman" w:cs="TimesNewRoman"/>
          <w:noProof w:val="0"/>
        </w:rPr>
        <w:t>enhancement.</w:t>
      </w:r>
      <w:r w:rsidR="00C545DA">
        <w:rPr>
          <w:rFonts w:ascii="TimesNewRoman" w:hAnsi="TimesNewRoman" w:cs="TimesNewRoman"/>
          <w:noProof w:val="0"/>
        </w:rPr>
        <w:t xml:space="preserve"> </w:t>
      </w:r>
      <w:r>
        <w:rPr>
          <w:rFonts w:ascii="TimesNewRoman" w:hAnsi="TimesNewRoman" w:cs="TimesNewRoman"/>
          <w:noProof w:val="0"/>
        </w:rPr>
        <w:t>However, patients</w:t>
      </w:r>
      <w:r w:rsidR="00C545DA">
        <w:rPr>
          <w:rFonts w:ascii="TimesNewRoman" w:hAnsi="TimesNewRoman" w:cs="TimesNewRoman"/>
          <w:noProof w:val="0"/>
        </w:rPr>
        <w:t xml:space="preserve"> </w:t>
      </w:r>
      <w:r>
        <w:rPr>
          <w:rFonts w:ascii="TimesNewRoman" w:hAnsi="TimesNewRoman" w:cs="TimesNewRoman"/>
          <w:noProof w:val="0"/>
        </w:rPr>
        <w:t>with</w:t>
      </w:r>
      <w:r w:rsidR="003D323F">
        <w:rPr>
          <w:rFonts w:ascii="TimesNewRoman" w:hAnsi="TimesNewRoman" w:cs="TimesNewRoman"/>
          <w:noProof w:val="0"/>
        </w:rPr>
        <w:t xml:space="preserve"> LMND </w:t>
      </w:r>
      <w:r w:rsidR="00282A58">
        <w:rPr>
          <w:rFonts w:ascii="TimesNewRoman" w:hAnsi="TimesNewRoman" w:cs="TimesNewRoman"/>
          <w:noProof w:val="0"/>
        </w:rPr>
        <w:t>do not</w:t>
      </w:r>
      <w:r w:rsidR="00C545DA">
        <w:rPr>
          <w:rFonts w:ascii="TimesNewRoman" w:hAnsi="TimesNewRoman" w:cs="TimesNewRoman"/>
          <w:noProof w:val="0"/>
        </w:rPr>
        <w:t xml:space="preserve"> </w:t>
      </w:r>
      <w:r w:rsidR="00282A58">
        <w:rPr>
          <w:rFonts w:ascii="TimesNewRoman" w:hAnsi="TimesNewRoman" w:cs="TimesNewRoman"/>
          <w:noProof w:val="0"/>
        </w:rPr>
        <w:t>have</w:t>
      </w:r>
      <w:r w:rsidR="00C545DA">
        <w:rPr>
          <w:rFonts w:ascii="TimesNewRoman" w:hAnsi="TimesNewRoman" w:cs="TimesNewRoman"/>
          <w:noProof w:val="0"/>
        </w:rPr>
        <w:t xml:space="preserve"> </w:t>
      </w:r>
      <w:r w:rsidR="00282A58">
        <w:rPr>
          <w:rFonts w:ascii="TimesNewRoman" w:hAnsi="TimesNewRoman" w:cs="TimesNewRoman"/>
          <w:noProof w:val="0"/>
        </w:rPr>
        <w:t>these</w:t>
      </w:r>
      <w:r w:rsidR="00C545DA">
        <w:rPr>
          <w:rFonts w:ascii="TimesNewRoman" w:hAnsi="TimesNewRoman" w:cs="TimesNewRoman"/>
          <w:noProof w:val="0"/>
        </w:rPr>
        <w:t xml:space="preserve"> </w:t>
      </w:r>
      <w:r w:rsidR="00282A58">
        <w:rPr>
          <w:rFonts w:ascii="TimesNewRoman" w:hAnsi="TimesNewRoman" w:cs="TimesNewRoman"/>
          <w:noProof w:val="0"/>
        </w:rPr>
        <w:t>findings</w:t>
      </w:r>
      <w:r w:rsidR="00E16B54">
        <w:rPr>
          <w:rFonts w:ascii="TimesNewRoman" w:hAnsi="TimesNewRoman" w:cs="TimesNewRoman"/>
          <w:noProof w:val="0"/>
        </w:rPr>
        <w:t xml:space="preserve"> (</w:t>
      </w:r>
      <w:r w:rsidR="00282A58" w:rsidRPr="00E16B54">
        <w:rPr>
          <w:rFonts w:ascii="TimesNewRoman" w:hAnsi="TimesNewRoman" w:cs="TimesNewRoman"/>
          <w:noProof w:val="0"/>
        </w:rPr>
        <w:t>6</w:t>
      </w:r>
      <w:r w:rsidR="00E16B54">
        <w:rPr>
          <w:rFonts w:ascii="TimesNewRoman" w:hAnsi="TimesNewRoman" w:cs="TimesNewRoman"/>
          <w:noProof w:val="0"/>
        </w:rPr>
        <w:t>)</w:t>
      </w:r>
      <w:r w:rsidR="003D323F">
        <w:rPr>
          <w:rFonts w:ascii="TimesNewRoman" w:hAnsi="TimesNewRoman" w:cs="TimesNewRoman"/>
          <w:noProof w:val="0"/>
        </w:rPr>
        <w:t>.</w:t>
      </w:r>
    </w:p>
    <w:p w:rsidR="00AB756B" w:rsidRDefault="00EB682D" w:rsidP="002E7077">
      <w:pPr>
        <w:autoSpaceDE w:val="0"/>
        <w:autoSpaceDN w:val="0"/>
        <w:adjustRightInd w:val="0"/>
        <w:spacing w:line="360" w:lineRule="auto"/>
        <w:jc w:val="both"/>
      </w:pPr>
      <w:r>
        <w:rPr>
          <w:noProof w:val="0"/>
        </w:rPr>
        <w:tab/>
      </w:r>
      <w:r w:rsidR="00E37E21">
        <w:rPr>
          <w:noProof w:val="0"/>
        </w:rPr>
        <w:t>Our</w:t>
      </w:r>
      <w:r w:rsidR="00C418DE">
        <w:rPr>
          <w:noProof w:val="0"/>
        </w:rPr>
        <w:t xml:space="preserve"> </w:t>
      </w:r>
      <w:r w:rsidR="00E37E21">
        <w:rPr>
          <w:noProof w:val="0"/>
        </w:rPr>
        <w:t>results</w:t>
      </w:r>
      <w:r w:rsidR="00C418DE">
        <w:rPr>
          <w:noProof w:val="0"/>
        </w:rPr>
        <w:t xml:space="preserve"> </w:t>
      </w:r>
      <w:r w:rsidR="00E37E21">
        <w:rPr>
          <w:noProof w:val="0"/>
        </w:rPr>
        <w:t>showed</w:t>
      </w:r>
      <w:r w:rsidR="00C418DE">
        <w:rPr>
          <w:noProof w:val="0"/>
        </w:rPr>
        <w:t xml:space="preserve"> </w:t>
      </w:r>
      <w:r w:rsidR="00E37E21">
        <w:rPr>
          <w:noProof w:val="0"/>
        </w:rPr>
        <w:t>that in</w:t>
      </w:r>
      <w:r w:rsidR="00C418DE">
        <w:rPr>
          <w:noProof w:val="0"/>
        </w:rPr>
        <w:t xml:space="preserve"> </w:t>
      </w:r>
      <w:r w:rsidR="0095696F" w:rsidRPr="0095696F">
        <w:rPr>
          <w:rFonts w:ascii="TimesNewRoman" w:hAnsi="TimesNewRoman" w:cs="TimesNewRoman"/>
          <w:noProof w:val="0"/>
        </w:rPr>
        <w:t>all</w:t>
      </w:r>
      <w:r w:rsidR="00C418DE">
        <w:rPr>
          <w:rFonts w:ascii="TimesNewRoman" w:hAnsi="TimesNewRoman" w:cs="TimesNewRoman"/>
          <w:noProof w:val="0"/>
        </w:rPr>
        <w:t xml:space="preserve"> </w:t>
      </w:r>
      <w:r w:rsidR="00B619ED">
        <w:rPr>
          <w:rFonts w:ascii="TimesNewRoman" w:hAnsi="TimesNewRoman" w:cs="TimesNewRoman"/>
          <w:noProof w:val="0"/>
        </w:rPr>
        <w:t>examined</w:t>
      </w:r>
      <w:r w:rsidR="00C418DE">
        <w:rPr>
          <w:rFonts w:ascii="TimesNewRoman" w:hAnsi="TimesNewRoman" w:cs="TimesNewRoman"/>
          <w:noProof w:val="0"/>
        </w:rPr>
        <w:t xml:space="preserve"> </w:t>
      </w:r>
      <w:r w:rsidR="0003477E">
        <w:rPr>
          <w:rFonts w:ascii="TimesNewRoman" w:hAnsi="TimesNewRoman" w:cs="TimesNewRoman"/>
          <w:noProof w:val="0"/>
        </w:rPr>
        <w:t>patient</w:t>
      </w:r>
      <w:r w:rsidR="00B619ED">
        <w:rPr>
          <w:rFonts w:ascii="TimesNewRoman" w:hAnsi="TimesNewRoman" w:cs="TimesNewRoman"/>
          <w:noProof w:val="0"/>
        </w:rPr>
        <w:t>s</w:t>
      </w:r>
      <w:r w:rsidR="0095696F" w:rsidRPr="0095696F">
        <w:rPr>
          <w:rFonts w:ascii="TimesNewRoman" w:hAnsi="TimesNewRoman" w:cs="TimesNewRoman"/>
          <w:noProof w:val="0"/>
        </w:rPr>
        <w:t xml:space="preserve"> MRI</w:t>
      </w:r>
      <w:r w:rsidR="00C545DA">
        <w:rPr>
          <w:rFonts w:ascii="TimesNewRoman" w:hAnsi="TimesNewRoman" w:cs="TimesNewRoman"/>
          <w:noProof w:val="0"/>
        </w:rPr>
        <w:t xml:space="preserve"> </w:t>
      </w:r>
      <w:r w:rsidR="0095696F" w:rsidRPr="0095696F">
        <w:rPr>
          <w:rFonts w:ascii="TimesNewRoman" w:hAnsi="TimesNewRoman" w:cs="TimesNewRoman"/>
          <w:noProof w:val="0"/>
        </w:rPr>
        <w:t>showed</w:t>
      </w:r>
      <w:r w:rsidR="00C545DA">
        <w:rPr>
          <w:rFonts w:ascii="TimesNewRoman" w:hAnsi="TimesNewRoman" w:cs="TimesNewRoman"/>
          <w:noProof w:val="0"/>
        </w:rPr>
        <w:t xml:space="preserve"> </w:t>
      </w:r>
      <w:r w:rsidR="0098371B">
        <w:t>asymmetric</w:t>
      </w:r>
      <w:r w:rsidR="00C545DA">
        <w:t xml:space="preserve"> </w:t>
      </w:r>
      <w:r w:rsidR="0095696F" w:rsidRPr="0095696F">
        <w:rPr>
          <w:rFonts w:ascii="TimesNewRoman" w:hAnsi="TimesNewRoman" w:cs="TimesNewRoman"/>
          <w:noProof w:val="0"/>
        </w:rPr>
        <w:t>focal</w:t>
      </w:r>
      <w:r w:rsidR="00C545DA">
        <w:rPr>
          <w:rFonts w:ascii="TimesNewRoman" w:hAnsi="TimesNewRoman" w:cs="TimesNewRoman"/>
          <w:noProof w:val="0"/>
        </w:rPr>
        <w:t xml:space="preserve"> </w:t>
      </w:r>
      <w:r w:rsidR="0095696F" w:rsidRPr="0095696F">
        <w:rPr>
          <w:rFonts w:ascii="TimesNewRoman" w:hAnsi="TimesNewRoman" w:cs="TimesNewRoman"/>
          <w:noProof w:val="0"/>
        </w:rPr>
        <w:t>lesions</w:t>
      </w:r>
      <w:r w:rsidR="00C545DA">
        <w:rPr>
          <w:rFonts w:ascii="TimesNewRoman" w:hAnsi="TimesNewRoman" w:cs="TimesNewRoman"/>
          <w:noProof w:val="0"/>
        </w:rPr>
        <w:t xml:space="preserve"> </w:t>
      </w:r>
      <w:r w:rsidR="0095696F" w:rsidRPr="0095696F">
        <w:rPr>
          <w:rFonts w:ascii="TimesNewRoman" w:hAnsi="TimesNewRoman" w:cs="TimesNewRoman"/>
          <w:noProof w:val="0"/>
        </w:rPr>
        <w:t>along the structures of brachial</w:t>
      </w:r>
      <w:r w:rsidR="00C545DA">
        <w:rPr>
          <w:rFonts w:ascii="TimesNewRoman" w:hAnsi="TimesNewRoman" w:cs="TimesNewRoman"/>
          <w:noProof w:val="0"/>
        </w:rPr>
        <w:t xml:space="preserve"> </w:t>
      </w:r>
      <w:r w:rsidR="0095696F" w:rsidRPr="0095696F">
        <w:rPr>
          <w:rFonts w:ascii="TimesNewRoman" w:hAnsi="TimesNewRoman" w:cs="TimesNewRoman"/>
          <w:noProof w:val="0"/>
        </w:rPr>
        <w:t>plexus</w:t>
      </w:r>
      <w:r w:rsidR="00C545DA">
        <w:rPr>
          <w:rFonts w:ascii="TimesNewRoman" w:hAnsi="TimesNewRoman" w:cs="TimesNewRoman"/>
          <w:noProof w:val="0"/>
        </w:rPr>
        <w:t xml:space="preserve"> </w:t>
      </w:r>
      <w:r w:rsidR="0095696F" w:rsidRPr="0095696F">
        <w:rPr>
          <w:rFonts w:ascii="TimesNewRoman" w:hAnsi="TimesNewRoman" w:cs="TimesNewRoman"/>
          <w:noProof w:val="0"/>
        </w:rPr>
        <w:t>and</w:t>
      </w:r>
      <w:r w:rsidR="00C545DA">
        <w:rPr>
          <w:rFonts w:ascii="TimesNewRoman" w:hAnsi="TimesNewRoman" w:cs="TimesNewRoman"/>
          <w:noProof w:val="0"/>
        </w:rPr>
        <w:t xml:space="preserve"> </w:t>
      </w:r>
      <w:r w:rsidR="0095696F" w:rsidRPr="0095696F">
        <w:rPr>
          <w:rFonts w:ascii="TimesNewRoman" w:hAnsi="TimesNewRoman" w:cs="TimesNewRoman"/>
          <w:noProof w:val="0"/>
        </w:rPr>
        <w:t>ventral rami of cervical</w:t>
      </w:r>
      <w:r w:rsidR="00C545DA">
        <w:rPr>
          <w:rFonts w:ascii="TimesNewRoman" w:hAnsi="TimesNewRoman" w:cs="TimesNewRoman"/>
          <w:noProof w:val="0"/>
        </w:rPr>
        <w:t xml:space="preserve"> </w:t>
      </w:r>
      <w:r w:rsidR="0095696F" w:rsidRPr="0095696F">
        <w:rPr>
          <w:rFonts w:ascii="TimesNewRoman" w:hAnsi="TimesNewRoman" w:cs="TimesNewRoman"/>
          <w:noProof w:val="0"/>
        </w:rPr>
        <w:t>roots.</w:t>
      </w:r>
      <w:r w:rsidR="00C545DA">
        <w:rPr>
          <w:rFonts w:ascii="TimesNewRoman" w:hAnsi="TimesNewRoman" w:cs="TimesNewRoman"/>
          <w:noProof w:val="0"/>
        </w:rPr>
        <w:t xml:space="preserve"> </w:t>
      </w:r>
      <w:r w:rsidR="007D7D34">
        <w:t xml:space="preserve">MRI finding was particularly significant in </w:t>
      </w:r>
      <w:r w:rsidR="00B619ED">
        <w:t xml:space="preserve">our three </w:t>
      </w:r>
      <w:r w:rsidR="007D7D34">
        <w:t>patients with clinical signs of right median ne</w:t>
      </w:r>
      <w:r w:rsidR="00B619ED">
        <w:t>rve affection without CB.</w:t>
      </w:r>
      <w:r w:rsidR="00C545DA">
        <w:t xml:space="preserve"> </w:t>
      </w:r>
      <w:r w:rsidR="00B619ED">
        <w:t>In all of them MRI showed</w:t>
      </w:r>
      <w:r w:rsidR="007D7D34">
        <w:t xml:space="preserve"> high signal intensity in the right plexus brachialis corresponding with the distribution of symptom</w:t>
      </w:r>
      <w:r w:rsidR="007A1B22">
        <w:t>s and proximal CBs</w:t>
      </w:r>
      <w:r w:rsidR="007D7D34">
        <w:t xml:space="preserve"> detected by magnetic paravertebral stimulation</w:t>
      </w:r>
      <w:r w:rsidR="0098371B">
        <w:t>.</w:t>
      </w:r>
      <w:r w:rsidR="00A254A0">
        <w:t xml:space="preserve"> Similar finding</w:t>
      </w:r>
      <w:r w:rsidR="00C545DA">
        <w:t xml:space="preserve"> </w:t>
      </w:r>
      <w:r w:rsidR="00A254A0">
        <w:t xml:space="preserve">was </w:t>
      </w:r>
      <w:r w:rsidR="009B0564">
        <w:t xml:space="preserve">reported </w:t>
      </w:r>
      <w:r w:rsidR="00797DC3">
        <w:t xml:space="preserve">by </w:t>
      </w:r>
      <w:r w:rsidR="009B0564">
        <w:t>Attarian et al</w:t>
      </w:r>
      <w:r w:rsidR="00DC2785">
        <w:t xml:space="preserve"> (</w:t>
      </w:r>
      <w:r w:rsidR="00423A09" w:rsidRPr="00DC2785">
        <w:t>5</w:t>
      </w:r>
      <w:r w:rsidR="00DC2785">
        <w:t>)</w:t>
      </w:r>
      <w:r w:rsidR="00797DC3">
        <w:t>.</w:t>
      </w:r>
      <w:r w:rsidR="00C545DA">
        <w:t xml:space="preserve"> </w:t>
      </w:r>
      <w:r w:rsidR="00A254A0">
        <w:t xml:space="preserve">Using triple stimulation technique, he found the presence of proximal CBs in </w:t>
      </w:r>
      <w:r w:rsidR="009B0564">
        <w:t xml:space="preserve">7 out of 10 </w:t>
      </w:r>
      <w:r w:rsidR="00797DC3">
        <w:t>analyz</w:t>
      </w:r>
      <w:r w:rsidR="004820D3">
        <w:t xml:space="preserve">ed MMN patients </w:t>
      </w:r>
      <w:r w:rsidR="00D160D5">
        <w:t>indicating proximal dem</w:t>
      </w:r>
      <w:r w:rsidR="00423A09">
        <w:t>yelination</w:t>
      </w:r>
      <w:r w:rsidR="00DC2785">
        <w:t xml:space="preserve"> (</w:t>
      </w:r>
      <w:r w:rsidR="00423A09" w:rsidRPr="00DC2785">
        <w:t>5</w:t>
      </w:r>
      <w:r w:rsidR="00DC2785">
        <w:t>)</w:t>
      </w:r>
      <w:r w:rsidR="00D160D5">
        <w:t>.</w:t>
      </w:r>
    </w:p>
    <w:p w:rsidR="00AB756B" w:rsidRDefault="00AB756B" w:rsidP="002E7077">
      <w:pPr>
        <w:autoSpaceDE w:val="0"/>
        <w:autoSpaceDN w:val="0"/>
        <w:adjustRightInd w:val="0"/>
        <w:spacing w:line="360" w:lineRule="auto"/>
        <w:jc w:val="both"/>
      </w:pPr>
    </w:p>
    <w:p w:rsidR="003B39E1" w:rsidRDefault="004D1C31" w:rsidP="002E7077">
      <w:pPr>
        <w:autoSpaceDE w:val="0"/>
        <w:autoSpaceDN w:val="0"/>
        <w:adjustRightInd w:val="0"/>
        <w:spacing w:line="360" w:lineRule="auto"/>
        <w:ind w:firstLine="708"/>
        <w:jc w:val="both"/>
      </w:pPr>
      <w:r w:rsidRPr="00A254A0">
        <w:t xml:space="preserve">In conclusion, </w:t>
      </w:r>
      <w:r w:rsidR="00A254A0" w:rsidRPr="00A254A0">
        <w:t>path</w:t>
      </w:r>
      <w:r w:rsidR="00A254A0">
        <w:t>ological MRI</w:t>
      </w:r>
      <w:r w:rsidR="00FC197C">
        <w:t xml:space="preserve"> plexus brachialis finding</w:t>
      </w:r>
      <w:r w:rsidR="00743F59">
        <w:t xml:space="preserve"> </w:t>
      </w:r>
      <w:r w:rsidR="00053216" w:rsidRPr="00743F59">
        <w:t xml:space="preserve">along with prolonged motor root conduction time </w:t>
      </w:r>
      <w:bookmarkStart w:id="0" w:name="_GoBack"/>
      <w:bookmarkEnd w:id="0"/>
      <w:r w:rsidR="00053216" w:rsidRPr="00743F59">
        <w:t>detected by magnetic paravertebral stimulation</w:t>
      </w:r>
      <w:r w:rsidR="00743F59" w:rsidRPr="00743F59">
        <w:t xml:space="preserve"> </w:t>
      </w:r>
      <w:r w:rsidR="00FA4785" w:rsidRPr="00743F59">
        <w:t xml:space="preserve">in patients with </w:t>
      </w:r>
      <w:r w:rsidR="00A254A0" w:rsidRPr="00743F59">
        <w:t>clinically</w:t>
      </w:r>
      <w:r w:rsidR="00A254A0">
        <w:t xml:space="preserve"> highly suspect</w:t>
      </w:r>
      <w:r w:rsidR="00FA4785">
        <w:t xml:space="preserve">ed </w:t>
      </w:r>
      <w:r w:rsidR="00EC7F74">
        <w:t>MMN without CB</w:t>
      </w:r>
      <w:r w:rsidR="00A254A0">
        <w:t xml:space="preserve"> could be equivavalent of  proximal</w:t>
      </w:r>
      <w:r w:rsidR="00EC7F74">
        <w:t>ly localized CB</w:t>
      </w:r>
      <w:r w:rsidR="00FC197C">
        <w:t xml:space="preserve">. This finding can </w:t>
      </w:r>
      <w:r w:rsidR="00AE0781">
        <w:t xml:space="preserve">be </w:t>
      </w:r>
      <w:r w:rsidR="00FC197C">
        <w:t>help</w:t>
      </w:r>
      <w:r w:rsidR="00AE0781">
        <w:t>ful</w:t>
      </w:r>
      <w:r w:rsidR="00FC197C">
        <w:t xml:space="preserve"> in </w:t>
      </w:r>
      <w:r w:rsidR="00AE0781">
        <w:t xml:space="preserve">early </w:t>
      </w:r>
      <w:r w:rsidR="00FA4785">
        <w:t xml:space="preserve">confirmation of MMN diagnosis and </w:t>
      </w:r>
      <w:r w:rsidR="00F67F06" w:rsidRPr="00F67F06">
        <w:rPr>
          <w:color w:val="000000"/>
        </w:rPr>
        <w:t xml:space="preserve">allows </w:t>
      </w:r>
      <w:r w:rsidR="00F67F06">
        <w:rPr>
          <w:color w:val="000000"/>
        </w:rPr>
        <w:t>an early start of</w:t>
      </w:r>
      <w:r w:rsidR="00AE0781">
        <w:rPr>
          <w:color w:val="000000"/>
        </w:rPr>
        <w:t xml:space="preserve"> the</w:t>
      </w:r>
      <w:r w:rsidR="00F67F06">
        <w:rPr>
          <w:color w:val="000000"/>
        </w:rPr>
        <w:t xml:space="preserve"> tretment</w:t>
      </w:r>
      <w:r w:rsidR="00EC7F74" w:rsidRPr="00F67F06">
        <w:t>. In that way MRI could be</w:t>
      </w:r>
      <w:r w:rsidR="00412FA5" w:rsidRPr="00F67F06">
        <w:t xml:space="preserve"> an elegant and</w:t>
      </w:r>
      <w:r w:rsidR="00412FA5">
        <w:t xml:space="preserve"> noni</w:t>
      </w:r>
      <w:r w:rsidR="00FA4785">
        <w:t>n</w:t>
      </w:r>
      <w:r w:rsidR="00412FA5">
        <w:t xml:space="preserve">vasive tool to assess the integrity of proximal nerve segments </w:t>
      </w:r>
      <w:r w:rsidR="002E7077">
        <w:t>in patients with MMN without CB.</w:t>
      </w:r>
    </w:p>
    <w:p w:rsidR="003B39E1" w:rsidRDefault="003B39E1" w:rsidP="002E7077">
      <w:pPr>
        <w:spacing w:line="360" w:lineRule="auto"/>
      </w:pPr>
    </w:p>
    <w:p w:rsidR="006F55D8" w:rsidRDefault="006F55D8" w:rsidP="002E7077">
      <w:pPr>
        <w:spacing w:line="360" w:lineRule="auto"/>
        <w:rPr>
          <w:b/>
          <w:sz w:val="28"/>
          <w:szCs w:val="28"/>
        </w:rPr>
      </w:pPr>
      <w:r>
        <w:rPr>
          <w:b/>
          <w:sz w:val="28"/>
          <w:szCs w:val="28"/>
        </w:rPr>
        <w:t>References</w:t>
      </w:r>
    </w:p>
    <w:p w:rsidR="006F55D8" w:rsidRDefault="006F55D8" w:rsidP="002D1132">
      <w:pPr>
        <w:numPr>
          <w:ilvl w:val="0"/>
          <w:numId w:val="2"/>
        </w:numPr>
        <w:ind w:left="714" w:hanging="357"/>
      </w:pPr>
      <w:r w:rsidRPr="00A300EF">
        <w:rPr>
          <w:i/>
        </w:rPr>
        <w:t>Parry</w:t>
      </w:r>
      <w:r w:rsidR="001539AB" w:rsidRPr="00A300EF">
        <w:rPr>
          <w:i/>
        </w:rPr>
        <w:t xml:space="preserve"> GJ</w:t>
      </w:r>
      <w:r w:rsidRPr="00A300EF">
        <w:rPr>
          <w:i/>
        </w:rPr>
        <w:t>, Sumner</w:t>
      </w:r>
      <w:r w:rsidR="001539AB" w:rsidRPr="00A300EF">
        <w:rPr>
          <w:i/>
        </w:rPr>
        <w:t xml:space="preserve"> AJ</w:t>
      </w:r>
      <w:r w:rsidRPr="00D82F3E">
        <w:t>.Multifocal motor neuropathy. Neurol Clin</w:t>
      </w:r>
      <w:r w:rsidR="003C7043">
        <w:t xml:space="preserve"> 1992;</w:t>
      </w:r>
      <w:r w:rsidRPr="00D82F3E">
        <w:t>10</w:t>
      </w:r>
      <w:r w:rsidR="003C7043">
        <w:t>(</w:t>
      </w:r>
      <w:r w:rsidRPr="00D82F3E">
        <w:t>3</w:t>
      </w:r>
      <w:r w:rsidR="003C7043">
        <w:t>):</w:t>
      </w:r>
      <w:r w:rsidR="00D9788A" w:rsidRPr="00D82F3E">
        <w:t>671-684.</w:t>
      </w:r>
    </w:p>
    <w:p w:rsidR="00D546D8" w:rsidRPr="00D82F3E" w:rsidRDefault="00D546D8" w:rsidP="00D546D8">
      <w:pPr>
        <w:ind w:left="714"/>
      </w:pPr>
    </w:p>
    <w:p w:rsidR="002338F5" w:rsidRPr="00D546D8" w:rsidRDefault="002338F5" w:rsidP="002D1132">
      <w:pPr>
        <w:numPr>
          <w:ilvl w:val="0"/>
          <w:numId w:val="2"/>
        </w:numPr>
        <w:ind w:left="714" w:hanging="357"/>
      </w:pPr>
      <w:r w:rsidRPr="00A300EF">
        <w:rPr>
          <w:i/>
        </w:rPr>
        <w:t>Nobile-Orazio E, Cappelari A, Priori A</w:t>
      </w:r>
      <w:r w:rsidRPr="00D82F3E">
        <w:t>.Multifocal motor neuropathy</w:t>
      </w:r>
      <w:r w:rsidRPr="00D82F3E">
        <w:rPr>
          <w:lang w:val="en-US"/>
        </w:rPr>
        <w:t>: curre</w:t>
      </w:r>
      <w:r>
        <w:rPr>
          <w:lang w:val="en-US"/>
        </w:rPr>
        <w:t>nt concepts and controversie</w:t>
      </w:r>
      <w:r w:rsidRPr="00D82F3E">
        <w:rPr>
          <w:lang w:val="en-US"/>
        </w:rPr>
        <w:t>. Muscle Nerve 20</w:t>
      </w:r>
      <w:r>
        <w:rPr>
          <w:lang w:val="en-US"/>
        </w:rPr>
        <w:t>0</w:t>
      </w:r>
      <w:r w:rsidRPr="00D82F3E">
        <w:rPr>
          <w:lang w:val="en-US"/>
        </w:rPr>
        <w:t>5;31:663-680.</w:t>
      </w:r>
    </w:p>
    <w:p w:rsidR="00D546D8" w:rsidRPr="00D82F3E" w:rsidRDefault="00D546D8" w:rsidP="00D546D8">
      <w:pPr>
        <w:ind w:left="714"/>
      </w:pPr>
    </w:p>
    <w:p w:rsidR="003D3664" w:rsidRDefault="003D3664" w:rsidP="002D1132">
      <w:pPr>
        <w:numPr>
          <w:ilvl w:val="0"/>
          <w:numId w:val="2"/>
        </w:numPr>
        <w:ind w:left="714" w:hanging="357"/>
      </w:pPr>
      <w:r w:rsidRPr="00A300EF">
        <w:rPr>
          <w:i/>
        </w:rPr>
        <w:t>Slee M, Selvan A, Donaghy M</w:t>
      </w:r>
      <w:r w:rsidRPr="00D82F3E">
        <w:t>.</w:t>
      </w:r>
      <w:r>
        <w:t xml:space="preserve"> Multifocal motor neuropathy. </w:t>
      </w:r>
      <w:r w:rsidRPr="00D82F3E">
        <w:t>The diagnostic spectrum and response to treatment.</w:t>
      </w:r>
      <w:r>
        <w:t xml:space="preserve">  Neurology 2007; 69 (</w:t>
      </w:r>
      <w:r w:rsidRPr="00D82F3E">
        <w:t>17</w:t>
      </w:r>
      <w:r>
        <w:t>): 1680-1687.</w:t>
      </w:r>
    </w:p>
    <w:p w:rsidR="00D546D8" w:rsidRPr="00D82F3E" w:rsidRDefault="00D546D8" w:rsidP="00D546D8">
      <w:pPr>
        <w:ind w:left="714"/>
      </w:pPr>
    </w:p>
    <w:p w:rsidR="002338F5" w:rsidRDefault="002338F5" w:rsidP="002D1132">
      <w:pPr>
        <w:numPr>
          <w:ilvl w:val="0"/>
          <w:numId w:val="2"/>
        </w:numPr>
        <w:ind w:left="714" w:hanging="357"/>
      </w:pPr>
      <w:r w:rsidRPr="00A300EF">
        <w:rPr>
          <w:i/>
        </w:rPr>
        <w:t>Olney RK</w:t>
      </w:r>
      <w:r>
        <w:t>.</w:t>
      </w:r>
      <w:r w:rsidRPr="00D82F3E">
        <w:t>Consensus criteria for the diagno</w:t>
      </w:r>
      <w:r>
        <w:t>sis of partial conduction block.</w:t>
      </w:r>
      <w:r w:rsidRPr="00D82F3E">
        <w:t xml:space="preserve"> Muscle Nerve</w:t>
      </w:r>
      <w:r>
        <w:t xml:space="preserve"> 1999; 22(8): </w:t>
      </w:r>
      <w:r w:rsidRPr="00D82F3E">
        <w:t>225-229.</w:t>
      </w:r>
    </w:p>
    <w:p w:rsidR="00D546D8" w:rsidRPr="00D82F3E" w:rsidRDefault="00D546D8" w:rsidP="00D546D8">
      <w:pPr>
        <w:ind w:left="714"/>
      </w:pPr>
    </w:p>
    <w:p w:rsidR="002338F5" w:rsidRPr="00D546D8" w:rsidRDefault="002338F5" w:rsidP="002D1132">
      <w:pPr>
        <w:numPr>
          <w:ilvl w:val="0"/>
          <w:numId w:val="2"/>
        </w:numPr>
        <w:ind w:left="714" w:hanging="357"/>
      </w:pPr>
      <w:r w:rsidRPr="00A300EF">
        <w:rPr>
          <w:i/>
          <w:color w:val="000000"/>
          <w:shd w:val="clear" w:color="auto" w:fill="FFFFFF"/>
        </w:rPr>
        <w:t>Attarian S, Azulay JP, Verschueren A, Poget J</w:t>
      </w:r>
      <w:r>
        <w:rPr>
          <w:color w:val="000000"/>
          <w:shd w:val="clear" w:color="auto" w:fill="FFFFFF"/>
        </w:rPr>
        <w:t>. Magnetic stimulation using a triple-stimulation technique in patients with multifocal neuropathy without conduction block. Muscle Nerve 2005; 32(6): 710-714.</w:t>
      </w:r>
    </w:p>
    <w:p w:rsidR="00D546D8" w:rsidRPr="00845E88" w:rsidRDefault="00D546D8" w:rsidP="00D546D8">
      <w:pPr>
        <w:ind w:left="714"/>
      </w:pPr>
    </w:p>
    <w:p w:rsidR="002338F5" w:rsidRDefault="002338F5" w:rsidP="002D1132">
      <w:pPr>
        <w:numPr>
          <w:ilvl w:val="0"/>
          <w:numId w:val="2"/>
        </w:numPr>
        <w:ind w:left="714" w:hanging="357"/>
      </w:pPr>
      <w:r w:rsidRPr="00A300EF">
        <w:rPr>
          <w:i/>
        </w:rPr>
        <w:t>Van Es HW, Van den Berg LH, Franssesen H, Witkamp TD, Ramos LMP, Notermans NC,</w:t>
      </w:r>
      <w:r>
        <w:t xml:space="preserve"> et al. Magnetic resonance imaging of the brachial plexus in patients with multifocal motor neuropathy. Neurology 1997; 48: 1218-1224.</w:t>
      </w:r>
    </w:p>
    <w:p w:rsidR="00D546D8" w:rsidRDefault="00D546D8" w:rsidP="00D546D8">
      <w:pPr>
        <w:ind w:left="714"/>
      </w:pPr>
    </w:p>
    <w:p w:rsidR="002338F5" w:rsidRDefault="002338F5" w:rsidP="002D1132">
      <w:pPr>
        <w:numPr>
          <w:ilvl w:val="0"/>
          <w:numId w:val="2"/>
        </w:numPr>
        <w:ind w:left="714" w:hanging="357"/>
      </w:pPr>
      <w:r w:rsidRPr="00A300EF">
        <w:rPr>
          <w:i/>
        </w:rPr>
        <w:t>Cats EA, Jacobs BC, Yuki N, Tio-Gillen AP, Piepers S, Franssen H,</w:t>
      </w:r>
      <w:r>
        <w:t xml:space="preserve"> et al.Multifocal motor neuropathy: association of anti-GM1 IgM antibodies with clinical features. Neurology 2010; 75(22): 1961-1967.</w:t>
      </w:r>
    </w:p>
    <w:p w:rsidR="00D546D8" w:rsidRDefault="00D546D8" w:rsidP="00D546D8">
      <w:pPr>
        <w:ind w:left="714"/>
      </w:pPr>
    </w:p>
    <w:p w:rsidR="002338F5" w:rsidRDefault="002338F5" w:rsidP="002D1132">
      <w:pPr>
        <w:numPr>
          <w:ilvl w:val="0"/>
          <w:numId w:val="2"/>
        </w:numPr>
        <w:ind w:left="714" w:hanging="357"/>
      </w:pPr>
      <w:r w:rsidRPr="00A300EF">
        <w:rPr>
          <w:i/>
        </w:rPr>
        <w:t>Van Schaik I, Bouche P, Illa I, L</w:t>
      </w:r>
      <w:r w:rsidRPr="00A300EF">
        <w:rPr>
          <w:i/>
          <w:noProof w:val="0"/>
        </w:rPr>
        <w:t>éger</w:t>
      </w:r>
      <w:r w:rsidRPr="00A300EF">
        <w:rPr>
          <w:i/>
        </w:rPr>
        <w:t xml:space="preserve"> J-M,</w:t>
      </w:r>
      <w:r w:rsidRPr="00A300EF">
        <w:rPr>
          <w:i/>
          <w:noProof w:val="0"/>
        </w:rPr>
        <w:t xml:space="preserve"> Van denBergh P, Cornblath D</w:t>
      </w:r>
      <w:r>
        <w:rPr>
          <w:noProof w:val="0"/>
        </w:rPr>
        <w:t xml:space="preserve">, et al. </w:t>
      </w:r>
      <w:r w:rsidRPr="00D82F3E">
        <w:rPr>
          <w:noProof w:val="0"/>
        </w:rPr>
        <w:t>EuropeanFederation of NeurologicalSocieties/Peripheral Nerve Societyguideline on management</w:t>
      </w:r>
      <w:r>
        <w:rPr>
          <w:noProof w:val="0"/>
        </w:rPr>
        <w:t xml:space="preserve"> of multifocal motor neuropathy</w:t>
      </w:r>
      <w:r w:rsidRPr="00D82F3E">
        <w:rPr>
          <w:noProof w:val="0"/>
        </w:rPr>
        <w:t>.</w:t>
      </w:r>
      <w:r w:rsidR="00D546D8">
        <w:rPr>
          <w:noProof w:val="0"/>
        </w:rPr>
        <w:t xml:space="preserve"> </w:t>
      </w:r>
      <w:r w:rsidRPr="00D82F3E">
        <w:rPr>
          <w:noProof w:val="0"/>
        </w:rPr>
        <w:t>Eur J Neurol</w:t>
      </w:r>
      <w:r>
        <w:rPr>
          <w:noProof w:val="0"/>
        </w:rPr>
        <w:t xml:space="preserve"> 2006;</w:t>
      </w:r>
      <w:r w:rsidRPr="00D82F3E">
        <w:rPr>
          <w:noProof w:val="0"/>
        </w:rPr>
        <w:t xml:space="preserve"> 13</w:t>
      </w:r>
      <w:r>
        <w:rPr>
          <w:noProof w:val="0"/>
        </w:rPr>
        <w:t xml:space="preserve"> (</w:t>
      </w:r>
      <w:r w:rsidRPr="00D82F3E">
        <w:rPr>
          <w:noProof w:val="0"/>
        </w:rPr>
        <w:t>8</w:t>
      </w:r>
      <w:r>
        <w:rPr>
          <w:noProof w:val="0"/>
        </w:rPr>
        <w:t>):</w:t>
      </w:r>
      <w:r w:rsidRPr="00D82F3E">
        <w:rPr>
          <w:noProof w:val="0"/>
        </w:rPr>
        <w:t xml:space="preserve"> 802-808.</w:t>
      </w:r>
    </w:p>
    <w:p w:rsidR="00D546D8" w:rsidRPr="00D82F3E" w:rsidRDefault="00D546D8" w:rsidP="00D546D8">
      <w:pPr>
        <w:ind w:left="714"/>
      </w:pPr>
    </w:p>
    <w:p w:rsidR="00AD615B" w:rsidRDefault="003B28AF" w:rsidP="002D1132">
      <w:pPr>
        <w:numPr>
          <w:ilvl w:val="0"/>
          <w:numId w:val="2"/>
        </w:numPr>
        <w:ind w:left="714" w:hanging="357"/>
      </w:pPr>
      <w:r>
        <w:rPr>
          <w:i/>
        </w:rPr>
        <w:t xml:space="preserve">Meuth SG, Kleinschnitz </w:t>
      </w:r>
      <w:r w:rsidR="00AD615B" w:rsidRPr="00A300EF">
        <w:rPr>
          <w:i/>
        </w:rPr>
        <w:t>C</w:t>
      </w:r>
      <w:r w:rsidR="00AD615B">
        <w:t>. Multifocal motor neuropathy: update on cl</w:t>
      </w:r>
      <w:r w:rsidR="003A283D">
        <w:t>inical characteristics, pathophy</w:t>
      </w:r>
      <w:r w:rsidR="00AD615B">
        <w:t>siological concepts and therapeutic options. Eur Neurol 2010; 63: 193-204.</w:t>
      </w:r>
    </w:p>
    <w:p w:rsidR="00D546D8" w:rsidRDefault="00D546D8" w:rsidP="00D546D8">
      <w:pPr>
        <w:ind w:left="714"/>
      </w:pPr>
    </w:p>
    <w:p w:rsidR="003A283D" w:rsidRDefault="003A283D" w:rsidP="002D1132">
      <w:pPr>
        <w:numPr>
          <w:ilvl w:val="0"/>
          <w:numId w:val="2"/>
        </w:numPr>
        <w:ind w:left="714" w:hanging="357"/>
      </w:pPr>
      <w:r w:rsidRPr="00A300EF">
        <w:rPr>
          <w:i/>
        </w:rPr>
        <w:t>Joint Task Force of the EFNS and the PNS</w:t>
      </w:r>
      <w:r w:rsidRPr="00D82F3E">
        <w:t>. European Federation of Neurological Societies/Peripheral Nerve Society guideline on management of multifocal motor neuropathy. Report of a joint task force of the European Federation of Neurological Societies and the Peripheral Nerve Soc</w:t>
      </w:r>
      <w:r w:rsidR="003B28AF">
        <w:t xml:space="preserve">iety-first revision. J Peripher </w:t>
      </w:r>
      <w:r w:rsidRPr="00D82F3E">
        <w:t>Nerv Syst 2010;15:295-301.</w:t>
      </w:r>
    </w:p>
    <w:p w:rsidR="00D546D8" w:rsidRPr="00D82F3E" w:rsidRDefault="00D546D8" w:rsidP="00D546D8">
      <w:pPr>
        <w:ind w:left="714"/>
      </w:pPr>
    </w:p>
    <w:p w:rsidR="003A283D" w:rsidRDefault="003A283D" w:rsidP="002D1132">
      <w:pPr>
        <w:numPr>
          <w:ilvl w:val="0"/>
          <w:numId w:val="2"/>
        </w:numPr>
        <w:ind w:left="714" w:hanging="357"/>
      </w:pPr>
      <w:r w:rsidRPr="00A300EF">
        <w:rPr>
          <w:i/>
        </w:rPr>
        <w:t>Humm AM, Z’Graggen WJ, von Hornstein NE, Magistris MR, Rosler KM.</w:t>
      </w:r>
      <w:r w:rsidRPr="00D82F3E">
        <w:t>Assessment of central motor conduction to intrinsic han</w:t>
      </w:r>
      <w:r>
        <w:t>d</w:t>
      </w:r>
      <w:r w:rsidRPr="00D82F3E">
        <w:t xml:space="preserve"> muscles using the triple stimulation technique: </w:t>
      </w:r>
      <w:r>
        <w:t>normal values and repeatability</w:t>
      </w:r>
      <w:r w:rsidRPr="00D82F3E">
        <w:t>. Clin Neurophys</w:t>
      </w:r>
      <w:r>
        <w:t xml:space="preserve">iol 2004; </w:t>
      </w:r>
      <w:r w:rsidRPr="00D82F3E">
        <w:t>115</w:t>
      </w:r>
      <w:r>
        <w:t>(</w:t>
      </w:r>
      <w:r w:rsidRPr="00D82F3E">
        <w:t>11</w:t>
      </w:r>
      <w:r>
        <w:t xml:space="preserve">): </w:t>
      </w:r>
      <w:r w:rsidRPr="00D82F3E">
        <w:t>2558-2566.</w:t>
      </w:r>
    </w:p>
    <w:p w:rsidR="00D546D8" w:rsidRPr="00D82F3E" w:rsidRDefault="00D546D8" w:rsidP="00D546D8">
      <w:pPr>
        <w:ind w:left="714"/>
      </w:pPr>
    </w:p>
    <w:p w:rsidR="003A283D" w:rsidRDefault="003A283D" w:rsidP="002D1132">
      <w:pPr>
        <w:numPr>
          <w:ilvl w:val="0"/>
          <w:numId w:val="2"/>
        </w:numPr>
        <w:ind w:left="714" w:hanging="357"/>
      </w:pPr>
      <w:r w:rsidRPr="00A300EF">
        <w:rPr>
          <w:i/>
        </w:rPr>
        <w:t>Taylor BV, Gross L, Windebank AJ</w:t>
      </w:r>
      <w:r>
        <w:t>. The sensitivity and specificity of anti-GM1 antibody testing. Neurology 1996; 47: 951-955.</w:t>
      </w:r>
    </w:p>
    <w:p w:rsidR="003A283D" w:rsidRPr="00D546D8" w:rsidRDefault="003A283D" w:rsidP="002D1132">
      <w:pPr>
        <w:pStyle w:val="BodyText"/>
        <w:numPr>
          <w:ilvl w:val="0"/>
          <w:numId w:val="2"/>
        </w:numPr>
        <w:tabs>
          <w:tab w:val="num" w:pos="990"/>
        </w:tabs>
        <w:spacing w:line="240" w:lineRule="auto"/>
        <w:ind w:left="714" w:hanging="357"/>
        <w:rPr>
          <w:rFonts w:ascii="Times New Roman" w:eastAsia="MS Mincho" w:hAnsi="Times New Roman"/>
        </w:rPr>
      </w:pPr>
      <w:r w:rsidRPr="00A300EF">
        <w:rPr>
          <w:rFonts w:ascii="Times New Roman" w:hAnsi="Times New Roman"/>
          <w:i/>
          <w:szCs w:val="24"/>
          <w:lang w:val="sr-Latn-CS"/>
        </w:rPr>
        <w:t>Poceva-Panovska A, Brezovska K, Grozdanova A, Apostolski S, ŠuturkovaLj.</w:t>
      </w:r>
      <w:r w:rsidRPr="00D82F3E">
        <w:rPr>
          <w:rFonts w:ascii="Times New Roman" w:hAnsi="Times New Roman"/>
          <w:szCs w:val="24"/>
        </w:rPr>
        <w:t>Optimization of ELISA method  for determinati</w:t>
      </w:r>
      <w:r>
        <w:rPr>
          <w:rFonts w:ascii="Times New Roman" w:hAnsi="Times New Roman"/>
          <w:szCs w:val="24"/>
        </w:rPr>
        <w:t>on of serum anti-GM1 antibodies</w:t>
      </w:r>
      <w:r w:rsidRPr="00D82F3E">
        <w:rPr>
          <w:rFonts w:ascii="Times New Roman" w:hAnsi="Times New Roman"/>
          <w:szCs w:val="24"/>
        </w:rPr>
        <w:t>. Macedpharm bull</w:t>
      </w:r>
      <w:r w:rsidR="00D546D8">
        <w:rPr>
          <w:rFonts w:ascii="Times New Roman" w:hAnsi="Times New Roman"/>
          <w:szCs w:val="24"/>
        </w:rPr>
        <w:t xml:space="preserve"> </w:t>
      </w:r>
      <w:r w:rsidRPr="00D82F3E">
        <w:rPr>
          <w:rFonts w:ascii="Times New Roman" w:hAnsi="Times New Roman"/>
          <w:szCs w:val="24"/>
        </w:rPr>
        <w:t>2011</w:t>
      </w:r>
      <w:r>
        <w:rPr>
          <w:rFonts w:ascii="Times New Roman" w:hAnsi="Times New Roman"/>
          <w:szCs w:val="24"/>
        </w:rPr>
        <w:t>;</w:t>
      </w:r>
      <w:r w:rsidRPr="00D82F3E">
        <w:rPr>
          <w:rFonts w:ascii="Times New Roman" w:hAnsi="Times New Roman"/>
          <w:szCs w:val="24"/>
        </w:rPr>
        <w:t xml:space="preserve"> 57</w:t>
      </w:r>
      <w:r>
        <w:rPr>
          <w:rFonts w:ascii="Times New Roman" w:hAnsi="Times New Roman"/>
          <w:szCs w:val="24"/>
        </w:rPr>
        <w:t>:</w:t>
      </w:r>
      <w:r w:rsidRPr="00D82F3E">
        <w:rPr>
          <w:rFonts w:ascii="Times New Roman" w:hAnsi="Times New Roman"/>
          <w:szCs w:val="24"/>
        </w:rPr>
        <w:t xml:space="preserve"> 318-320.</w:t>
      </w:r>
    </w:p>
    <w:p w:rsidR="00D546D8" w:rsidRPr="00D82F3E" w:rsidRDefault="00D546D8" w:rsidP="00D546D8">
      <w:pPr>
        <w:pStyle w:val="BodyText"/>
        <w:tabs>
          <w:tab w:val="num" w:pos="990"/>
        </w:tabs>
        <w:spacing w:line="240" w:lineRule="auto"/>
        <w:ind w:left="714"/>
        <w:rPr>
          <w:rFonts w:ascii="Times New Roman" w:eastAsia="MS Mincho" w:hAnsi="Times New Roman"/>
        </w:rPr>
      </w:pPr>
    </w:p>
    <w:p w:rsidR="003A283D" w:rsidRDefault="003A283D" w:rsidP="002D1132">
      <w:pPr>
        <w:numPr>
          <w:ilvl w:val="0"/>
          <w:numId w:val="2"/>
        </w:numPr>
        <w:ind w:left="714" w:hanging="357"/>
      </w:pPr>
      <w:r w:rsidRPr="00A300EF">
        <w:rPr>
          <w:i/>
        </w:rPr>
        <w:t>Perić S, Lavrnić S, Basta I, Damjanović D, Stošić-Opinćal T, Lavrnić D.</w:t>
      </w:r>
      <w:r>
        <w:t xml:space="preserve"> Significance of magnetic resonance imaging in differential diagnosis of nontraumatic brachial plexopathy. Vojnosanit Pregl 2011; 68(4): 327-331.</w:t>
      </w:r>
    </w:p>
    <w:p w:rsidR="00D546D8" w:rsidRDefault="00D546D8" w:rsidP="00D546D8">
      <w:pPr>
        <w:ind w:left="714"/>
      </w:pPr>
    </w:p>
    <w:p w:rsidR="003A283D" w:rsidRPr="00D546D8" w:rsidRDefault="003A283D" w:rsidP="002D1132">
      <w:pPr>
        <w:numPr>
          <w:ilvl w:val="0"/>
          <w:numId w:val="2"/>
        </w:numPr>
        <w:ind w:left="714" w:hanging="357"/>
      </w:pPr>
      <w:r w:rsidRPr="00A300EF">
        <w:rPr>
          <w:i/>
          <w:lang w:val="en-US"/>
        </w:rPr>
        <w:t>Van Asseldonk JTH, Franssen H, Van den Berg-Vos RM, Wokke JHJ, Van den Berg LH</w:t>
      </w:r>
      <w:r>
        <w:rPr>
          <w:lang w:val="en-US"/>
        </w:rPr>
        <w:t>. Multifocal motor neuropathy. Lancet Neurol 2005; 4: 309-319.</w:t>
      </w:r>
    </w:p>
    <w:p w:rsidR="00D546D8" w:rsidRPr="00845E88" w:rsidRDefault="00D546D8" w:rsidP="00D546D8">
      <w:pPr>
        <w:ind w:left="714"/>
      </w:pPr>
    </w:p>
    <w:p w:rsidR="003A283D" w:rsidRDefault="003A283D" w:rsidP="002D1132">
      <w:pPr>
        <w:numPr>
          <w:ilvl w:val="0"/>
          <w:numId w:val="2"/>
        </w:numPr>
        <w:ind w:left="714" w:hanging="357"/>
      </w:pPr>
      <w:r w:rsidRPr="00A300EF">
        <w:rPr>
          <w:i/>
        </w:rPr>
        <w:t xml:space="preserve">Bouche P, Moulonguet A, Younes-Chennoufi AB, </w:t>
      </w:r>
      <w:hyperlink r:id="rId9" w:history="1">
        <w:r w:rsidRPr="00A300EF">
          <w:rPr>
            <w:rStyle w:val="Hyperlink"/>
            <w:i/>
            <w:color w:val="auto"/>
            <w:u w:val="none"/>
          </w:rPr>
          <w:t>Adams</w:t>
        </w:r>
      </w:hyperlink>
      <w:r w:rsidRPr="00A300EF">
        <w:rPr>
          <w:i/>
        </w:rPr>
        <w:t xml:space="preserve"> D, </w:t>
      </w:r>
      <w:hyperlink r:id="rId10" w:history="1">
        <w:r w:rsidRPr="00A300EF">
          <w:rPr>
            <w:rStyle w:val="Hyperlink"/>
            <w:i/>
            <w:color w:val="auto"/>
            <w:u w:val="none"/>
          </w:rPr>
          <w:t>Baumann</w:t>
        </w:r>
      </w:hyperlink>
      <w:r w:rsidRPr="00A300EF">
        <w:rPr>
          <w:i/>
        </w:rPr>
        <w:t xml:space="preserve"> N, </w:t>
      </w:r>
      <w:hyperlink r:id="rId11" w:history="1">
        <w:r w:rsidRPr="00A300EF">
          <w:rPr>
            <w:rStyle w:val="Hyperlink"/>
            <w:i/>
            <w:color w:val="auto"/>
            <w:u w:val="none"/>
          </w:rPr>
          <w:t>Meininger</w:t>
        </w:r>
      </w:hyperlink>
      <w:r w:rsidRPr="00A300EF">
        <w:rPr>
          <w:i/>
        </w:rPr>
        <w:t xml:space="preserve"> V,</w:t>
      </w:r>
      <w:r>
        <w:t xml:space="preserve"> et al. M</w:t>
      </w:r>
      <w:r w:rsidRPr="00D82F3E">
        <w:t>ultifocal motor neuropathy with conduction block</w:t>
      </w:r>
      <w:r>
        <w:t>; a study of 24 patients</w:t>
      </w:r>
      <w:r w:rsidRPr="00D82F3E">
        <w:t>.J</w:t>
      </w:r>
      <w:r>
        <w:t xml:space="preserve"> Neurol</w:t>
      </w:r>
      <w:r w:rsidRPr="00D82F3E">
        <w:t>, Neurosurg Psychiatry 1995</w:t>
      </w:r>
      <w:r>
        <w:t xml:space="preserve">; </w:t>
      </w:r>
      <w:r w:rsidRPr="00D82F3E">
        <w:t>59.</w:t>
      </w:r>
      <w:r>
        <w:t>(</w:t>
      </w:r>
      <w:r w:rsidRPr="00D82F3E">
        <w:t>1</w:t>
      </w:r>
      <w:r>
        <w:t xml:space="preserve">); </w:t>
      </w:r>
      <w:r w:rsidRPr="00D82F3E">
        <w:t>38-44.</w:t>
      </w:r>
    </w:p>
    <w:p w:rsidR="00D546D8" w:rsidRPr="00D82F3E" w:rsidRDefault="00D546D8" w:rsidP="00D546D8">
      <w:pPr>
        <w:ind w:left="714"/>
      </w:pPr>
    </w:p>
    <w:p w:rsidR="003A283D" w:rsidRPr="00D546D8" w:rsidRDefault="003A283D" w:rsidP="002D1132">
      <w:pPr>
        <w:numPr>
          <w:ilvl w:val="0"/>
          <w:numId w:val="2"/>
        </w:numPr>
        <w:ind w:left="714" w:hanging="357"/>
      </w:pPr>
      <w:r w:rsidRPr="00A300EF">
        <w:rPr>
          <w:i/>
          <w:lang w:val="en-US"/>
        </w:rPr>
        <w:t>Nguyen TP, Chaudhry V</w:t>
      </w:r>
      <w:r>
        <w:rPr>
          <w:lang w:val="en-US"/>
        </w:rPr>
        <w:t>. Multifocal motor neuropathy. Neurol India 2011; 59: 700-706.</w:t>
      </w:r>
    </w:p>
    <w:p w:rsidR="00D546D8" w:rsidRPr="00845E88" w:rsidRDefault="00D546D8" w:rsidP="00D546D8">
      <w:pPr>
        <w:ind w:left="714"/>
      </w:pPr>
    </w:p>
    <w:p w:rsidR="003A283D" w:rsidRDefault="003A283D" w:rsidP="002D1132">
      <w:pPr>
        <w:numPr>
          <w:ilvl w:val="0"/>
          <w:numId w:val="2"/>
        </w:numPr>
        <w:ind w:left="714" w:hanging="357"/>
      </w:pPr>
      <w:r w:rsidRPr="00A300EF">
        <w:rPr>
          <w:i/>
        </w:rPr>
        <w:t>Katz JS, Saperstein DS</w:t>
      </w:r>
      <w:r>
        <w:t>. Asymmetric acquired demyelinating polyneuropathies: MMN and MADSAM. Curr Treat Options Neurol 2001; 3: 119-125.</w:t>
      </w:r>
    </w:p>
    <w:p w:rsidR="00D546D8" w:rsidRDefault="00D546D8" w:rsidP="00D546D8">
      <w:pPr>
        <w:ind w:left="714"/>
      </w:pPr>
    </w:p>
    <w:p w:rsidR="003A283D" w:rsidRDefault="003A283D" w:rsidP="002D1132">
      <w:pPr>
        <w:numPr>
          <w:ilvl w:val="0"/>
          <w:numId w:val="2"/>
        </w:numPr>
        <w:ind w:left="714" w:hanging="357"/>
      </w:pPr>
      <w:r w:rsidRPr="00A300EF">
        <w:rPr>
          <w:i/>
        </w:rPr>
        <w:t>Azulay JP, Blin O, Poget J, Boucraut J, Bille-Turc F, Carles G,</w:t>
      </w:r>
      <w:r>
        <w:t xml:space="preserve"> et al. Intravenous immunoglobulin treatment in patients with motor neuron syndromes associated with anti-GM1 antibodies: a double-blind, placebo-controlled study. Neurology 1994; 44: 429-432.</w:t>
      </w:r>
    </w:p>
    <w:p w:rsidR="00D546D8" w:rsidRPr="00D82F3E" w:rsidRDefault="00D546D8" w:rsidP="00D546D8">
      <w:pPr>
        <w:ind w:left="714"/>
      </w:pPr>
    </w:p>
    <w:p w:rsidR="003A283D" w:rsidRDefault="003A283D" w:rsidP="002D1132">
      <w:pPr>
        <w:numPr>
          <w:ilvl w:val="0"/>
          <w:numId w:val="2"/>
        </w:numPr>
        <w:ind w:left="714" w:hanging="357"/>
      </w:pPr>
      <w:r w:rsidRPr="00A300EF">
        <w:rPr>
          <w:i/>
        </w:rPr>
        <w:t>O’Ferrall EK, White CM, Zochodne DW</w:t>
      </w:r>
      <w:r>
        <w:t>. Demyelinating symmetric motor polyneuropathy with high titers of anti-GM1 antibodies. Muscle Nerve 2010; 42(4): 604-608.</w:t>
      </w:r>
    </w:p>
    <w:p w:rsidR="00D546D8" w:rsidRDefault="00D546D8" w:rsidP="00D546D8">
      <w:pPr>
        <w:ind w:left="714"/>
      </w:pPr>
    </w:p>
    <w:p w:rsidR="003A283D" w:rsidRDefault="003A283D" w:rsidP="002D1132">
      <w:pPr>
        <w:numPr>
          <w:ilvl w:val="0"/>
          <w:numId w:val="2"/>
        </w:numPr>
        <w:ind w:left="714" w:hanging="357"/>
      </w:pPr>
      <w:r w:rsidRPr="00A300EF">
        <w:rPr>
          <w:i/>
        </w:rPr>
        <w:t>Kuwabara S, Cappelen-Smith C, Lin CS, Mogyoros I, Bostock H, Burke D</w:t>
      </w:r>
      <w:r>
        <w:t>. Excitability properties of median and peroneal motor axons. Muscle Nerve 2000; 23: 1365-1373.</w:t>
      </w:r>
    </w:p>
    <w:p w:rsidR="00D546D8" w:rsidRDefault="00D546D8" w:rsidP="00D546D8">
      <w:pPr>
        <w:ind w:left="714"/>
      </w:pPr>
    </w:p>
    <w:p w:rsidR="003A283D" w:rsidRDefault="003A283D" w:rsidP="002D1132">
      <w:pPr>
        <w:numPr>
          <w:ilvl w:val="0"/>
          <w:numId w:val="2"/>
        </w:numPr>
        <w:ind w:left="714" w:hanging="357"/>
      </w:pPr>
      <w:r w:rsidRPr="00A300EF">
        <w:rPr>
          <w:i/>
        </w:rPr>
        <w:t>Burke D, Kiernan MC, Bostock H</w:t>
      </w:r>
      <w:r>
        <w:t>. Excitability of human axons. Clin Neurophysiol 2001; 112: 1575-1585.</w:t>
      </w:r>
    </w:p>
    <w:p w:rsidR="00D546D8" w:rsidRPr="00D82F3E" w:rsidRDefault="00D546D8" w:rsidP="00D546D8">
      <w:pPr>
        <w:ind w:left="714"/>
      </w:pPr>
    </w:p>
    <w:p w:rsidR="003A283D" w:rsidRDefault="003A283D" w:rsidP="002D1132">
      <w:pPr>
        <w:numPr>
          <w:ilvl w:val="0"/>
          <w:numId w:val="2"/>
        </w:numPr>
        <w:ind w:left="714" w:hanging="357"/>
      </w:pPr>
      <w:r w:rsidRPr="00A300EF">
        <w:rPr>
          <w:i/>
        </w:rPr>
        <w:t>Van den Berg-Vos RM, Franssen H, Wokke JH, Van Es HW, Van den Berg LH</w:t>
      </w:r>
      <w:r w:rsidRPr="00D82F3E">
        <w:t>.</w:t>
      </w:r>
      <w:r w:rsidR="00D546D8">
        <w:t xml:space="preserve"> </w:t>
      </w:r>
      <w:r w:rsidRPr="00D82F3E">
        <w:t>Multifocal motor neuropathy:diagnostic criteria that predict the respo</w:t>
      </w:r>
      <w:r>
        <w:t>nse to immunoglobulin treatment</w:t>
      </w:r>
      <w:r w:rsidRPr="00D82F3E">
        <w:t>. Ann Neurol</w:t>
      </w:r>
      <w:r>
        <w:t xml:space="preserve"> 2000; 48:</w:t>
      </w:r>
      <w:r w:rsidRPr="00D82F3E">
        <w:t xml:space="preserve"> 919-92</w:t>
      </w:r>
      <w:r>
        <w:t>6.</w:t>
      </w:r>
    </w:p>
    <w:p w:rsidR="00D546D8" w:rsidRPr="00D82F3E" w:rsidRDefault="00D546D8" w:rsidP="00D546D8"/>
    <w:p w:rsidR="00D546D8" w:rsidRDefault="00C8162E" w:rsidP="002D1132">
      <w:pPr>
        <w:numPr>
          <w:ilvl w:val="0"/>
          <w:numId w:val="2"/>
        </w:numPr>
        <w:ind w:left="714" w:hanging="357"/>
      </w:pPr>
      <w:r w:rsidRPr="00A300EF">
        <w:rPr>
          <w:i/>
        </w:rPr>
        <w:t>Katz JS, Barohn RJ, Kojan S, Wolfe GI, Nations SP, Saperstein DS,</w:t>
      </w:r>
      <w:r>
        <w:t xml:space="preserve"> et al. Axonal multifocal motor neuropahy without conduction block or other features of demyelination. Neurology 2002; 58: 615-620.</w:t>
      </w:r>
    </w:p>
    <w:p w:rsidR="00C8162E" w:rsidRDefault="00C8162E" w:rsidP="00D546D8">
      <w:r>
        <w:t xml:space="preserve"> </w:t>
      </w:r>
    </w:p>
    <w:p w:rsidR="00951984" w:rsidRDefault="00EC21EA" w:rsidP="002D1132">
      <w:pPr>
        <w:numPr>
          <w:ilvl w:val="0"/>
          <w:numId w:val="2"/>
        </w:numPr>
        <w:ind w:left="714" w:hanging="357"/>
      </w:pPr>
      <w:r w:rsidRPr="00A300EF">
        <w:rPr>
          <w:i/>
        </w:rPr>
        <w:t>V</w:t>
      </w:r>
      <w:r w:rsidR="00E06F37" w:rsidRPr="00A300EF">
        <w:rPr>
          <w:i/>
        </w:rPr>
        <w:t>an Es HW</w:t>
      </w:r>
      <w:r w:rsidR="00E06F37" w:rsidRPr="00D82F3E">
        <w:t xml:space="preserve">. </w:t>
      </w:r>
      <w:r w:rsidR="00B863B4" w:rsidRPr="00D82F3E">
        <w:t>MR of the brachial plexus. Eur Radiol</w:t>
      </w:r>
      <w:r w:rsidR="003B28AF">
        <w:t xml:space="preserve"> 2001</w:t>
      </w:r>
      <w:r w:rsidR="00D00231">
        <w:t>; 11 (2):</w:t>
      </w:r>
      <w:r w:rsidR="00B863B4" w:rsidRPr="00D82F3E">
        <w:t xml:space="preserve"> 325-336</w:t>
      </w:r>
      <w:r w:rsidR="00D00231">
        <w:t>.</w:t>
      </w:r>
    </w:p>
    <w:p w:rsidR="00D546D8" w:rsidRDefault="00D546D8" w:rsidP="00D546D8">
      <w:pPr>
        <w:pStyle w:val="ListParagraph"/>
      </w:pPr>
    </w:p>
    <w:p w:rsidR="00D546D8" w:rsidRPr="00D82F3E" w:rsidRDefault="00D546D8" w:rsidP="00D546D8">
      <w:pPr>
        <w:ind w:left="714"/>
      </w:pPr>
    </w:p>
    <w:p w:rsidR="00845E88" w:rsidRPr="005064D4" w:rsidRDefault="00845E88" w:rsidP="002D1132">
      <w:pPr>
        <w:numPr>
          <w:ilvl w:val="0"/>
          <w:numId w:val="2"/>
        </w:numPr>
        <w:ind w:left="714" w:hanging="357"/>
      </w:pPr>
      <w:r w:rsidRPr="00A300EF">
        <w:rPr>
          <w:i/>
          <w:lang w:val="en-US"/>
        </w:rPr>
        <w:t>Wittenberg K, Adkins MC.</w:t>
      </w:r>
      <w:r>
        <w:rPr>
          <w:lang w:val="en-US"/>
        </w:rPr>
        <w:t xml:space="preserve"> MR imaging of nontraumatic brachial plexopathies: frequency and spectrum of findings.</w:t>
      </w:r>
      <w:r w:rsidR="002E7077">
        <w:rPr>
          <w:lang w:val="en-US"/>
        </w:rPr>
        <w:t xml:space="preserve"> </w:t>
      </w:r>
      <w:r w:rsidRPr="00845E88">
        <w:rPr>
          <w:rStyle w:val="jrnl"/>
          <w:color w:val="000000"/>
          <w:shd w:val="clear" w:color="auto" w:fill="FFFFFF"/>
        </w:rPr>
        <w:t>Radiographics</w:t>
      </w:r>
      <w:r w:rsidRPr="00845E88">
        <w:rPr>
          <w:rStyle w:val="apple-converted-space"/>
          <w:color w:val="000000"/>
          <w:shd w:val="clear" w:color="auto" w:fill="FFFFFF"/>
        </w:rPr>
        <w:t> </w:t>
      </w:r>
      <w:r w:rsidRPr="00845E88">
        <w:rPr>
          <w:bCs/>
          <w:color w:val="000000"/>
          <w:shd w:val="clear" w:color="auto" w:fill="FFFFFF"/>
        </w:rPr>
        <w:t>2000</w:t>
      </w:r>
      <w:r>
        <w:rPr>
          <w:bCs/>
          <w:color w:val="000000"/>
          <w:shd w:val="clear" w:color="auto" w:fill="FFFFFF"/>
        </w:rPr>
        <w:t>;</w:t>
      </w:r>
      <w:r w:rsidRPr="00845E88">
        <w:rPr>
          <w:color w:val="000000"/>
          <w:shd w:val="clear" w:color="auto" w:fill="FFFFFF"/>
        </w:rPr>
        <w:t>20(4):1023-</w:t>
      </w:r>
      <w:r w:rsidR="00375070">
        <w:rPr>
          <w:color w:val="000000"/>
          <w:shd w:val="clear" w:color="auto" w:fill="FFFFFF"/>
        </w:rPr>
        <w:t>10</w:t>
      </w:r>
      <w:r w:rsidRPr="00845E88">
        <w:rPr>
          <w:color w:val="000000"/>
          <w:shd w:val="clear" w:color="auto" w:fill="FFFFFF"/>
        </w:rPr>
        <w:t>32.</w:t>
      </w:r>
    </w:p>
    <w:p w:rsidR="00441478" w:rsidRDefault="00441478" w:rsidP="00D113E9">
      <w:pPr>
        <w:spacing w:line="480" w:lineRule="auto"/>
        <w:rPr>
          <w:b/>
        </w:rPr>
      </w:pPr>
    </w:p>
    <w:p w:rsidR="00D113E9" w:rsidRDefault="00D113E9" w:rsidP="00D113E9">
      <w:pPr>
        <w:spacing w:line="480" w:lineRule="auto"/>
        <w:rPr>
          <w:b/>
        </w:rPr>
        <w:sectPr w:rsidR="00D113E9" w:rsidSect="004705D2">
          <w:pgSz w:w="11906" w:h="16838"/>
          <w:pgMar w:top="1417" w:right="1134" w:bottom="1417" w:left="1701" w:header="708" w:footer="708" w:gutter="0"/>
          <w:cols w:space="708"/>
          <w:docGrid w:linePitch="360"/>
        </w:sectPr>
      </w:pPr>
      <w:r>
        <w:rPr>
          <w:b/>
        </w:rPr>
        <w:t>Prilozi</w:t>
      </w:r>
    </w:p>
    <w:p w:rsidR="00441478" w:rsidRPr="00A147A0" w:rsidRDefault="00441478" w:rsidP="00441478">
      <w:pPr>
        <w:spacing w:line="480" w:lineRule="auto"/>
        <w:ind w:left="720"/>
        <w:jc w:val="right"/>
      </w:pPr>
      <w:r>
        <w:rPr>
          <w:b/>
        </w:rPr>
        <w:t>Table 1</w:t>
      </w:r>
      <w:r w:rsidRPr="00F45905">
        <w:rPr>
          <w:b/>
        </w:rPr>
        <w:t>.</w:t>
      </w:r>
      <w:r>
        <w:t xml:space="preserve"> Clinical, electrophysiological and MRI </w:t>
      </w:r>
      <w:r w:rsidRPr="00E90FBE">
        <w:t xml:space="preserve">features </w:t>
      </w:r>
      <w:r>
        <w:t>of patients with MMN (No=</w:t>
      </w:r>
      <w:r w:rsidRPr="00F45905">
        <w:t>9)</w:t>
      </w:r>
    </w:p>
    <w:tbl>
      <w:tblPr>
        <w:tblW w:w="14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56"/>
        <w:gridCol w:w="1416"/>
        <w:gridCol w:w="1417"/>
        <w:gridCol w:w="1417"/>
        <w:gridCol w:w="1417"/>
        <w:gridCol w:w="1417"/>
        <w:gridCol w:w="1417"/>
        <w:gridCol w:w="1417"/>
        <w:gridCol w:w="1417"/>
        <w:gridCol w:w="1417"/>
      </w:tblGrid>
      <w:tr w:rsidR="00441478" w:rsidRPr="00374E12" w:rsidTr="00710A21">
        <w:trPr>
          <w:trHeight w:val="360"/>
        </w:trPr>
        <w:tc>
          <w:tcPr>
            <w:tcW w:w="1656" w:type="dxa"/>
          </w:tcPr>
          <w:p w:rsidR="00441478" w:rsidRPr="003A5159" w:rsidRDefault="00441478" w:rsidP="00710A21">
            <w:pPr>
              <w:spacing w:line="480" w:lineRule="auto"/>
              <w:rPr>
                <w:b/>
                <w:sz w:val="20"/>
                <w:szCs w:val="20"/>
              </w:rPr>
            </w:pPr>
            <w:r w:rsidRPr="003A5159">
              <w:rPr>
                <w:b/>
                <w:sz w:val="20"/>
                <w:szCs w:val="20"/>
              </w:rPr>
              <w:t>Patients</w:t>
            </w:r>
          </w:p>
        </w:tc>
        <w:tc>
          <w:tcPr>
            <w:tcW w:w="1416" w:type="dxa"/>
          </w:tcPr>
          <w:p w:rsidR="00441478" w:rsidRPr="00374E12" w:rsidRDefault="00441478" w:rsidP="00710A21">
            <w:pPr>
              <w:spacing w:line="480" w:lineRule="auto"/>
              <w:jc w:val="center"/>
              <w:rPr>
                <w:sz w:val="20"/>
                <w:szCs w:val="20"/>
              </w:rPr>
            </w:pPr>
            <w:r w:rsidRPr="00374E12">
              <w:rPr>
                <w:sz w:val="20"/>
                <w:szCs w:val="20"/>
              </w:rPr>
              <w:t>1</w:t>
            </w:r>
          </w:p>
        </w:tc>
        <w:tc>
          <w:tcPr>
            <w:tcW w:w="1417" w:type="dxa"/>
          </w:tcPr>
          <w:p w:rsidR="00441478" w:rsidRPr="00374E12" w:rsidRDefault="00441478" w:rsidP="00710A21">
            <w:pPr>
              <w:spacing w:line="480" w:lineRule="auto"/>
              <w:jc w:val="center"/>
              <w:rPr>
                <w:sz w:val="20"/>
                <w:szCs w:val="20"/>
              </w:rPr>
            </w:pPr>
            <w:r w:rsidRPr="00374E12">
              <w:rPr>
                <w:sz w:val="20"/>
                <w:szCs w:val="20"/>
              </w:rPr>
              <w:t>2</w:t>
            </w:r>
          </w:p>
        </w:tc>
        <w:tc>
          <w:tcPr>
            <w:tcW w:w="1417" w:type="dxa"/>
          </w:tcPr>
          <w:p w:rsidR="00441478" w:rsidRPr="00374E12" w:rsidRDefault="00441478" w:rsidP="00710A21">
            <w:pPr>
              <w:spacing w:line="480" w:lineRule="auto"/>
              <w:jc w:val="center"/>
              <w:rPr>
                <w:sz w:val="20"/>
                <w:szCs w:val="20"/>
              </w:rPr>
            </w:pPr>
            <w:r w:rsidRPr="00374E12">
              <w:rPr>
                <w:sz w:val="20"/>
                <w:szCs w:val="20"/>
              </w:rPr>
              <w:t>3</w:t>
            </w:r>
          </w:p>
        </w:tc>
        <w:tc>
          <w:tcPr>
            <w:tcW w:w="1417" w:type="dxa"/>
          </w:tcPr>
          <w:p w:rsidR="00441478" w:rsidRPr="00374E12" w:rsidRDefault="00441478" w:rsidP="00710A21">
            <w:pPr>
              <w:spacing w:line="480" w:lineRule="auto"/>
              <w:jc w:val="center"/>
              <w:rPr>
                <w:sz w:val="20"/>
                <w:szCs w:val="20"/>
              </w:rPr>
            </w:pPr>
            <w:r w:rsidRPr="00374E12">
              <w:rPr>
                <w:sz w:val="20"/>
                <w:szCs w:val="20"/>
              </w:rPr>
              <w:t>4</w:t>
            </w:r>
          </w:p>
        </w:tc>
        <w:tc>
          <w:tcPr>
            <w:tcW w:w="1417" w:type="dxa"/>
          </w:tcPr>
          <w:p w:rsidR="00441478" w:rsidRPr="00374E12" w:rsidRDefault="00441478" w:rsidP="00710A21">
            <w:pPr>
              <w:spacing w:line="480" w:lineRule="auto"/>
              <w:jc w:val="center"/>
              <w:rPr>
                <w:sz w:val="20"/>
                <w:szCs w:val="20"/>
              </w:rPr>
            </w:pPr>
            <w:r w:rsidRPr="00374E12">
              <w:rPr>
                <w:sz w:val="20"/>
                <w:szCs w:val="20"/>
              </w:rPr>
              <w:t>5</w:t>
            </w:r>
          </w:p>
        </w:tc>
        <w:tc>
          <w:tcPr>
            <w:tcW w:w="1417" w:type="dxa"/>
          </w:tcPr>
          <w:p w:rsidR="00441478" w:rsidRPr="00374E12" w:rsidRDefault="00441478" w:rsidP="00710A21">
            <w:pPr>
              <w:spacing w:line="480" w:lineRule="auto"/>
              <w:jc w:val="center"/>
              <w:rPr>
                <w:sz w:val="20"/>
                <w:szCs w:val="20"/>
              </w:rPr>
            </w:pPr>
            <w:r w:rsidRPr="00374E12">
              <w:rPr>
                <w:sz w:val="20"/>
                <w:szCs w:val="20"/>
              </w:rPr>
              <w:t>6</w:t>
            </w:r>
          </w:p>
        </w:tc>
        <w:tc>
          <w:tcPr>
            <w:tcW w:w="1417" w:type="dxa"/>
          </w:tcPr>
          <w:p w:rsidR="00441478" w:rsidRPr="00374E12" w:rsidRDefault="00441478" w:rsidP="00710A21">
            <w:pPr>
              <w:spacing w:line="480" w:lineRule="auto"/>
              <w:jc w:val="center"/>
              <w:rPr>
                <w:sz w:val="20"/>
                <w:szCs w:val="20"/>
              </w:rPr>
            </w:pPr>
            <w:r w:rsidRPr="00374E12">
              <w:rPr>
                <w:sz w:val="20"/>
                <w:szCs w:val="20"/>
              </w:rPr>
              <w:t>7</w:t>
            </w:r>
          </w:p>
        </w:tc>
        <w:tc>
          <w:tcPr>
            <w:tcW w:w="1417" w:type="dxa"/>
          </w:tcPr>
          <w:p w:rsidR="00441478" w:rsidRPr="00374E12" w:rsidRDefault="00441478" w:rsidP="00710A21">
            <w:pPr>
              <w:spacing w:line="480" w:lineRule="auto"/>
              <w:jc w:val="center"/>
              <w:rPr>
                <w:sz w:val="20"/>
                <w:szCs w:val="20"/>
              </w:rPr>
            </w:pPr>
            <w:r w:rsidRPr="00374E12">
              <w:rPr>
                <w:sz w:val="20"/>
                <w:szCs w:val="20"/>
              </w:rPr>
              <w:t>8</w:t>
            </w:r>
          </w:p>
        </w:tc>
        <w:tc>
          <w:tcPr>
            <w:tcW w:w="1417" w:type="dxa"/>
          </w:tcPr>
          <w:p w:rsidR="00441478" w:rsidRPr="00374E12" w:rsidRDefault="00441478" w:rsidP="00710A21">
            <w:pPr>
              <w:spacing w:line="480" w:lineRule="auto"/>
              <w:jc w:val="center"/>
              <w:rPr>
                <w:sz w:val="20"/>
                <w:szCs w:val="20"/>
              </w:rPr>
            </w:pPr>
            <w:r w:rsidRPr="00374E12">
              <w:rPr>
                <w:sz w:val="20"/>
                <w:szCs w:val="20"/>
              </w:rPr>
              <w:t>9</w:t>
            </w:r>
          </w:p>
        </w:tc>
      </w:tr>
      <w:tr w:rsidR="00441478" w:rsidRPr="00374E12" w:rsidTr="00710A21">
        <w:trPr>
          <w:trHeight w:val="692"/>
        </w:trPr>
        <w:tc>
          <w:tcPr>
            <w:tcW w:w="1656" w:type="dxa"/>
          </w:tcPr>
          <w:p w:rsidR="00441478" w:rsidRPr="003A5159" w:rsidRDefault="00441478" w:rsidP="00710A21">
            <w:pPr>
              <w:spacing w:line="480" w:lineRule="auto"/>
              <w:rPr>
                <w:b/>
                <w:sz w:val="20"/>
                <w:szCs w:val="20"/>
              </w:rPr>
            </w:pPr>
            <w:r w:rsidRPr="003A5159">
              <w:rPr>
                <w:b/>
                <w:sz w:val="20"/>
                <w:szCs w:val="20"/>
              </w:rPr>
              <w:t>Sex / age at onset</w:t>
            </w:r>
          </w:p>
        </w:tc>
        <w:tc>
          <w:tcPr>
            <w:tcW w:w="1416" w:type="dxa"/>
          </w:tcPr>
          <w:p w:rsidR="00441478" w:rsidRPr="00374E12" w:rsidRDefault="00441478" w:rsidP="00710A21">
            <w:pPr>
              <w:spacing w:line="480" w:lineRule="auto"/>
              <w:rPr>
                <w:sz w:val="20"/>
                <w:szCs w:val="20"/>
              </w:rPr>
            </w:pPr>
            <w:r w:rsidRPr="00374E12">
              <w:rPr>
                <w:sz w:val="20"/>
                <w:szCs w:val="20"/>
              </w:rPr>
              <w:t>Male / 49</w:t>
            </w:r>
          </w:p>
        </w:tc>
        <w:tc>
          <w:tcPr>
            <w:tcW w:w="1417" w:type="dxa"/>
          </w:tcPr>
          <w:p w:rsidR="00441478" w:rsidRPr="00374E12" w:rsidRDefault="00441478" w:rsidP="00710A21">
            <w:pPr>
              <w:spacing w:line="480" w:lineRule="auto"/>
              <w:rPr>
                <w:sz w:val="20"/>
                <w:szCs w:val="20"/>
              </w:rPr>
            </w:pPr>
            <w:r w:rsidRPr="00374E12">
              <w:rPr>
                <w:sz w:val="20"/>
                <w:szCs w:val="20"/>
              </w:rPr>
              <w:t>Male / 25</w:t>
            </w:r>
          </w:p>
        </w:tc>
        <w:tc>
          <w:tcPr>
            <w:tcW w:w="1417" w:type="dxa"/>
          </w:tcPr>
          <w:p w:rsidR="00441478" w:rsidRPr="00374E12" w:rsidRDefault="00441478" w:rsidP="00710A21">
            <w:pPr>
              <w:spacing w:line="480" w:lineRule="auto"/>
              <w:rPr>
                <w:sz w:val="20"/>
                <w:szCs w:val="20"/>
              </w:rPr>
            </w:pPr>
            <w:r w:rsidRPr="00374E12">
              <w:rPr>
                <w:sz w:val="20"/>
                <w:szCs w:val="20"/>
              </w:rPr>
              <w:t>Male / 30</w:t>
            </w:r>
          </w:p>
        </w:tc>
        <w:tc>
          <w:tcPr>
            <w:tcW w:w="1417" w:type="dxa"/>
          </w:tcPr>
          <w:p w:rsidR="00441478" w:rsidRPr="00374E12" w:rsidRDefault="00441478" w:rsidP="00710A21">
            <w:pPr>
              <w:spacing w:line="480" w:lineRule="auto"/>
              <w:rPr>
                <w:sz w:val="20"/>
                <w:szCs w:val="20"/>
              </w:rPr>
            </w:pPr>
            <w:r w:rsidRPr="00374E12">
              <w:rPr>
                <w:sz w:val="20"/>
                <w:szCs w:val="20"/>
              </w:rPr>
              <w:t xml:space="preserve">Male / 45 </w:t>
            </w:r>
          </w:p>
        </w:tc>
        <w:tc>
          <w:tcPr>
            <w:tcW w:w="1417" w:type="dxa"/>
          </w:tcPr>
          <w:p w:rsidR="00441478" w:rsidRPr="00374E12" w:rsidRDefault="00441478" w:rsidP="00710A21">
            <w:pPr>
              <w:spacing w:line="480" w:lineRule="auto"/>
              <w:rPr>
                <w:sz w:val="20"/>
                <w:szCs w:val="20"/>
              </w:rPr>
            </w:pPr>
            <w:r w:rsidRPr="00374E12">
              <w:rPr>
                <w:sz w:val="20"/>
                <w:szCs w:val="20"/>
              </w:rPr>
              <w:t>Male / 53</w:t>
            </w:r>
          </w:p>
        </w:tc>
        <w:tc>
          <w:tcPr>
            <w:tcW w:w="1417" w:type="dxa"/>
          </w:tcPr>
          <w:p w:rsidR="00441478" w:rsidRPr="00374E12" w:rsidRDefault="00441478" w:rsidP="00710A21">
            <w:pPr>
              <w:spacing w:line="480" w:lineRule="auto"/>
              <w:rPr>
                <w:sz w:val="20"/>
                <w:szCs w:val="20"/>
              </w:rPr>
            </w:pPr>
            <w:r w:rsidRPr="00374E12">
              <w:rPr>
                <w:sz w:val="20"/>
                <w:szCs w:val="20"/>
              </w:rPr>
              <w:t>Female/ 37</w:t>
            </w:r>
          </w:p>
        </w:tc>
        <w:tc>
          <w:tcPr>
            <w:tcW w:w="1417" w:type="dxa"/>
          </w:tcPr>
          <w:p w:rsidR="00441478" w:rsidRPr="00374E12" w:rsidRDefault="00441478" w:rsidP="00710A21">
            <w:pPr>
              <w:spacing w:line="480" w:lineRule="auto"/>
              <w:rPr>
                <w:sz w:val="20"/>
                <w:szCs w:val="20"/>
              </w:rPr>
            </w:pPr>
            <w:r w:rsidRPr="00374E12">
              <w:rPr>
                <w:sz w:val="20"/>
                <w:szCs w:val="20"/>
              </w:rPr>
              <w:t>Female / 52</w:t>
            </w:r>
          </w:p>
        </w:tc>
        <w:tc>
          <w:tcPr>
            <w:tcW w:w="1417" w:type="dxa"/>
          </w:tcPr>
          <w:p w:rsidR="00441478" w:rsidRPr="00374E12" w:rsidRDefault="00441478" w:rsidP="00710A21">
            <w:pPr>
              <w:spacing w:line="480" w:lineRule="auto"/>
              <w:rPr>
                <w:sz w:val="20"/>
                <w:szCs w:val="20"/>
              </w:rPr>
            </w:pPr>
            <w:r w:rsidRPr="00374E12">
              <w:rPr>
                <w:sz w:val="20"/>
                <w:szCs w:val="20"/>
              </w:rPr>
              <w:t>Female / 26</w:t>
            </w:r>
          </w:p>
        </w:tc>
        <w:tc>
          <w:tcPr>
            <w:tcW w:w="1417" w:type="dxa"/>
          </w:tcPr>
          <w:p w:rsidR="00441478" w:rsidRPr="00374E12" w:rsidRDefault="00441478" w:rsidP="00710A21">
            <w:pPr>
              <w:spacing w:line="480" w:lineRule="auto"/>
              <w:rPr>
                <w:sz w:val="20"/>
                <w:szCs w:val="20"/>
              </w:rPr>
            </w:pPr>
            <w:r w:rsidRPr="00374E12">
              <w:rPr>
                <w:sz w:val="20"/>
                <w:szCs w:val="20"/>
              </w:rPr>
              <w:t>Female / 22</w:t>
            </w:r>
          </w:p>
        </w:tc>
      </w:tr>
      <w:tr w:rsidR="00441478" w:rsidRPr="00374E12" w:rsidTr="00710A21">
        <w:trPr>
          <w:trHeight w:val="710"/>
        </w:trPr>
        <w:tc>
          <w:tcPr>
            <w:tcW w:w="1656" w:type="dxa"/>
          </w:tcPr>
          <w:p w:rsidR="00441478" w:rsidRPr="003A5159" w:rsidRDefault="00441478" w:rsidP="00710A21">
            <w:pPr>
              <w:spacing w:line="480" w:lineRule="auto"/>
              <w:rPr>
                <w:b/>
                <w:sz w:val="20"/>
                <w:szCs w:val="20"/>
              </w:rPr>
            </w:pPr>
            <w:r w:rsidRPr="003A5159">
              <w:rPr>
                <w:b/>
                <w:sz w:val="20"/>
                <w:szCs w:val="20"/>
              </w:rPr>
              <w:t>Duration of the disease (yrs)</w:t>
            </w:r>
          </w:p>
        </w:tc>
        <w:tc>
          <w:tcPr>
            <w:tcW w:w="1416" w:type="dxa"/>
          </w:tcPr>
          <w:p w:rsidR="00441478" w:rsidRPr="00374E12" w:rsidRDefault="00441478" w:rsidP="00710A21">
            <w:pPr>
              <w:spacing w:line="480" w:lineRule="auto"/>
              <w:jc w:val="center"/>
              <w:rPr>
                <w:sz w:val="20"/>
                <w:szCs w:val="20"/>
              </w:rPr>
            </w:pPr>
            <w:r w:rsidRPr="00374E12">
              <w:rPr>
                <w:sz w:val="20"/>
                <w:szCs w:val="20"/>
              </w:rPr>
              <w:t>9</w:t>
            </w:r>
          </w:p>
        </w:tc>
        <w:tc>
          <w:tcPr>
            <w:tcW w:w="1417" w:type="dxa"/>
          </w:tcPr>
          <w:p w:rsidR="00441478" w:rsidRPr="00374E12" w:rsidRDefault="00441478" w:rsidP="00710A21">
            <w:pPr>
              <w:spacing w:line="480" w:lineRule="auto"/>
              <w:jc w:val="center"/>
              <w:rPr>
                <w:sz w:val="20"/>
                <w:szCs w:val="20"/>
              </w:rPr>
            </w:pPr>
            <w:r w:rsidRPr="00374E12">
              <w:rPr>
                <w:sz w:val="20"/>
                <w:szCs w:val="20"/>
              </w:rPr>
              <w:t>6</w:t>
            </w:r>
          </w:p>
        </w:tc>
        <w:tc>
          <w:tcPr>
            <w:tcW w:w="1417" w:type="dxa"/>
          </w:tcPr>
          <w:p w:rsidR="00441478" w:rsidRPr="00374E12" w:rsidRDefault="00441478" w:rsidP="00710A21">
            <w:pPr>
              <w:spacing w:line="480" w:lineRule="auto"/>
              <w:jc w:val="center"/>
              <w:rPr>
                <w:sz w:val="20"/>
                <w:szCs w:val="20"/>
              </w:rPr>
            </w:pPr>
            <w:r w:rsidRPr="00374E12">
              <w:rPr>
                <w:sz w:val="20"/>
                <w:szCs w:val="20"/>
              </w:rPr>
              <w:t>4</w:t>
            </w:r>
          </w:p>
        </w:tc>
        <w:tc>
          <w:tcPr>
            <w:tcW w:w="1417" w:type="dxa"/>
          </w:tcPr>
          <w:p w:rsidR="00441478" w:rsidRPr="00374E12" w:rsidRDefault="00441478" w:rsidP="00710A21">
            <w:pPr>
              <w:spacing w:line="480" w:lineRule="auto"/>
              <w:jc w:val="center"/>
              <w:rPr>
                <w:sz w:val="20"/>
                <w:szCs w:val="20"/>
              </w:rPr>
            </w:pPr>
            <w:r w:rsidRPr="00374E12">
              <w:rPr>
                <w:sz w:val="20"/>
                <w:szCs w:val="20"/>
              </w:rPr>
              <w:t>5</w:t>
            </w:r>
          </w:p>
        </w:tc>
        <w:tc>
          <w:tcPr>
            <w:tcW w:w="1417" w:type="dxa"/>
          </w:tcPr>
          <w:p w:rsidR="00441478" w:rsidRPr="00374E12" w:rsidRDefault="00441478" w:rsidP="00710A21">
            <w:pPr>
              <w:spacing w:line="480" w:lineRule="auto"/>
              <w:jc w:val="center"/>
              <w:rPr>
                <w:sz w:val="20"/>
                <w:szCs w:val="20"/>
              </w:rPr>
            </w:pPr>
            <w:r w:rsidRPr="00374E12">
              <w:rPr>
                <w:sz w:val="20"/>
                <w:szCs w:val="20"/>
              </w:rPr>
              <w:t>5</w:t>
            </w:r>
          </w:p>
        </w:tc>
        <w:tc>
          <w:tcPr>
            <w:tcW w:w="1417" w:type="dxa"/>
          </w:tcPr>
          <w:p w:rsidR="00441478" w:rsidRPr="00374E12" w:rsidRDefault="00441478" w:rsidP="00710A21">
            <w:pPr>
              <w:spacing w:line="480" w:lineRule="auto"/>
              <w:jc w:val="center"/>
              <w:rPr>
                <w:sz w:val="20"/>
                <w:szCs w:val="20"/>
              </w:rPr>
            </w:pPr>
            <w:r w:rsidRPr="00374E12">
              <w:rPr>
                <w:sz w:val="20"/>
                <w:szCs w:val="20"/>
              </w:rPr>
              <w:t>3</w:t>
            </w:r>
          </w:p>
        </w:tc>
        <w:tc>
          <w:tcPr>
            <w:tcW w:w="1417" w:type="dxa"/>
          </w:tcPr>
          <w:p w:rsidR="00441478" w:rsidRPr="00374E12" w:rsidRDefault="00441478" w:rsidP="00710A21">
            <w:pPr>
              <w:spacing w:line="480" w:lineRule="auto"/>
              <w:jc w:val="center"/>
              <w:rPr>
                <w:sz w:val="20"/>
                <w:szCs w:val="20"/>
              </w:rPr>
            </w:pPr>
            <w:r w:rsidRPr="00374E12">
              <w:rPr>
                <w:sz w:val="20"/>
                <w:szCs w:val="20"/>
              </w:rPr>
              <w:t>5</w:t>
            </w:r>
          </w:p>
        </w:tc>
        <w:tc>
          <w:tcPr>
            <w:tcW w:w="1417" w:type="dxa"/>
          </w:tcPr>
          <w:p w:rsidR="00441478" w:rsidRPr="00374E12" w:rsidRDefault="00441478" w:rsidP="00710A21">
            <w:pPr>
              <w:spacing w:line="480" w:lineRule="auto"/>
              <w:jc w:val="center"/>
              <w:rPr>
                <w:sz w:val="20"/>
                <w:szCs w:val="20"/>
              </w:rPr>
            </w:pPr>
            <w:r w:rsidRPr="00374E12">
              <w:rPr>
                <w:sz w:val="20"/>
                <w:szCs w:val="20"/>
              </w:rPr>
              <w:t>12</w:t>
            </w:r>
          </w:p>
        </w:tc>
        <w:tc>
          <w:tcPr>
            <w:tcW w:w="1417" w:type="dxa"/>
          </w:tcPr>
          <w:p w:rsidR="00441478" w:rsidRPr="00374E12" w:rsidRDefault="00441478" w:rsidP="00710A21">
            <w:pPr>
              <w:spacing w:line="480" w:lineRule="auto"/>
              <w:jc w:val="center"/>
              <w:rPr>
                <w:sz w:val="20"/>
                <w:szCs w:val="20"/>
              </w:rPr>
            </w:pPr>
            <w:r w:rsidRPr="00374E12">
              <w:rPr>
                <w:sz w:val="20"/>
                <w:szCs w:val="20"/>
              </w:rPr>
              <w:t>8</w:t>
            </w:r>
          </w:p>
        </w:tc>
      </w:tr>
      <w:tr w:rsidR="00441478" w:rsidRPr="00374E12" w:rsidTr="00710A21">
        <w:trPr>
          <w:trHeight w:val="340"/>
        </w:trPr>
        <w:tc>
          <w:tcPr>
            <w:tcW w:w="1656" w:type="dxa"/>
          </w:tcPr>
          <w:p w:rsidR="00441478" w:rsidRPr="003A5159" w:rsidRDefault="00441478" w:rsidP="00710A21">
            <w:pPr>
              <w:spacing w:line="480" w:lineRule="auto"/>
              <w:rPr>
                <w:b/>
                <w:sz w:val="20"/>
                <w:szCs w:val="20"/>
              </w:rPr>
            </w:pPr>
            <w:r w:rsidRPr="003A5159">
              <w:rPr>
                <w:b/>
                <w:sz w:val="20"/>
                <w:szCs w:val="20"/>
              </w:rPr>
              <w:t>Muscle weakness related to the distribution of individual nerve</w:t>
            </w:r>
          </w:p>
        </w:tc>
        <w:tc>
          <w:tcPr>
            <w:tcW w:w="1416" w:type="dxa"/>
          </w:tcPr>
          <w:p w:rsidR="00441478" w:rsidRDefault="00441478" w:rsidP="00710A21">
            <w:pPr>
              <w:spacing w:line="480" w:lineRule="auto"/>
              <w:rPr>
                <w:sz w:val="20"/>
                <w:szCs w:val="20"/>
              </w:rPr>
            </w:pPr>
            <w:r w:rsidRPr="00374E12">
              <w:rPr>
                <w:sz w:val="20"/>
                <w:szCs w:val="20"/>
              </w:rPr>
              <w:t xml:space="preserve">Bilateral radial, Bilateral ulnar, Bilateral median, </w:t>
            </w:r>
          </w:p>
          <w:p w:rsidR="00441478" w:rsidRPr="00374E12" w:rsidRDefault="00441478" w:rsidP="00710A21">
            <w:pPr>
              <w:spacing w:line="480" w:lineRule="auto"/>
              <w:rPr>
                <w:sz w:val="20"/>
                <w:szCs w:val="20"/>
              </w:rPr>
            </w:pPr>
            <w:r w:rsidRPr="00374E12">
              <w:rPr>
                <w:sz w:val="20"/>
                <w:szCs w:val="20"/>
              </w:rPr>
              <w:t>Left peroneal</w:t>
            </w:r>
          </w:p>
          <w:p w:rsidR="00441478" w:rsidRPr="00374E12" w:rsidRDefault="00441478" w:rsidP="00710A21">
            <w:pPr>
              <w:spacing w:line="480" w:lineRule="auto"/>
              <w:rPr>
                <w:sz w:val="20"/>
                <w:szCs w:val="20"/>
              </w:rPr>
            </w:pPr>
          </w:p>
        </w:tc>
        <w:tc>
          <w:tcPr>
            <w:tcW w:w="1417" w:type="dxa"/>
          </w:tcPr>
          <w:p w:rsidR="00441478" w:rsidRDefault="00441478" w:rsidP="00710A21">
            <w:pPr>
              <w:spacing w:line="480" w:lineRule="auto"/>
              <w:rPr>
                <w:sz w:val="20"/>
                <w:szCs w:val="20"/>
              </w:rPr>
            </w:pPr>
            <w:r w:rsidRPr="00374E12">
              <w:rPr>
                <w:sz w:val="20"/>
                <w:szCs w:val="20"/>
              </w:rPr>
              <w:t xml:space="preserve">Bilateral radial, </w:t>
            </w:r>
          </w:p>
          <w:p w:rsidR="00441478" w:rsidRPr="00374E12" w:rsidRDefault="00441478" w:rsidP="00710A21">
            <w:pPr>
              <w:spacing w:line="480" w:lineRule="auto"/>
              <w:rPr>
                <w:sz w:val="20"/>
                <w:szCs w:val="20"/>
              </w:rPr>
            </w:pPr>
            <w:r w:rsidRPr="00374E12">
              <w:rPr>
                <w:sz w:val="20"/>
                <w:szCs w:val="20"/>
              </w:rPr>
              <w:t>Right median, Bilateral peroneal, Right tibial</w:t>
            </w:r>
          </w:p>
        </w:tc>
        <w:tc>
          <w:tcPr>
            <w:tcW w:w="1417" w:type="dxa"/>
          </w:tcPr>
          <w:p w:rsidR="00441478" w:rsidRPr="00374E12" w:rsidRDefault="00441478" w:rsidP="00710A21">
            <w:pPr>
              <w:spacing w:line="480" w:lineRule="auto"/>
              <w:rPr>
                <w:sz w:val="20"/>
                <w:szCs w:val="20"/>
              </w:rPr>
            </w:pPr>
            <w:r w:rsidRPr="00374E12">
              <w:rPr>
                <w:sz w:val="20"/>
                <w:szCs w:val="20"/>
              </w:rPr>
              <w:t>Bilateral radial, Bilateral ulnar</w:t>
            </w:r>
          </w:p>
        </w:tc>
        <w:tc>
          <w:tcPr>
            <w:tcW w:w="1417" w:type="dxa"/>
          </w:tcPr>
          <w:p w:rsidR="00441478" w:rsidRPr="00374E12" w:rsidRDefault="00441478" w:rsidP="00710A21">
            <w:pPr>
              <w:spacing w:line="480" w:lineRule="auto"/>
              <w:rPr>
                <w:sz w:val="20"/>
                <w:szCs w:val="20"/>
              </w:rPr>
            </w:pPr>
            <w:r w:rsidRPr="00374E12">
              <w:rPr>
                <w:sz w:val="20"/>
                <w:szCs w:val="20"/>
              </w:rPr>
              <w:t>Left median, Bilateral radial</w:t>
            </w:r>
          </w:p>
        </w:tc>
        <w:tc>
          <w:tcPr>
            <w:tcW w:w="1417" w:type="dxa"/>
          </w:tcPr>
          <w:p w:rsidR="00441478" w:rsidRDefault="00441478" w:rsidP="00710A21">
            <w:pPr>
              <w:spacing w:line="480" w:lineRule="auto"/>
              <w:rPr>
                <w:sz w:val="20"/>
                <w:szCs w:val="20"/>
              </w:rPr>
            </w:pPr>
            <w:r w:rsidRPr="00374E12">
              <w:rPr>
                <w:sz w:val="20"/>
                <w:szCs w:val="20"/>
              </w:rPr>
              <w:t xml:space="preserve">Bilateral median, </w:t>
            </w:r>
          </w:p>
          <w:p w:rsidR="00441478" w:rsidRDefault="00441478" w:rsidP="00710A21">
            <w:pPr>
              <w:spacing w:line="480" w:lineRule="auto"/>
              <w:rPr>
                <w:sz w:val="20"/>
                <w:szCs w:val="20"/>
              </w:rPr>
            </w:pPr>
            <w:r w:rsidRPr="00374E12">
              <w:rPr>
                <w:sz w:val="20"/>
                <w:szCs w:val="20"/>
              </w:rPr>
              <w:t xml:space="preserve">Left ulnar, Bilateral radial,    </w:t>
            </w:r>
          </w:p>
          <w:p w:rsidR="00441478" w:rsidRPr="00374E12" w:rsidRDefault="00441478" w:rsidP="00710A21">
            <w:pPr>
              <w:spacing w:line="480" w:lineRule="auto"/>
              <w:rPr>
                <w:sz w:val="20"/>
                <w:szCs w:val="20"/>
              </w:rPr>
            </w:pPr>
            <w:r w:rsidRPr="00374E12">
              <w:rPr>
                <w:sz w:val="20"/>
                <w:szCs w:val="20"/>
              </w:rPr>
              <w:t>Left axilar</w:t>
            </w:r>
          </w:p>
        </w:tc>
        <w:tc>
          <w:tcPr>
            <w:tcW w:w="1417" w:type="dxa"/>
          </w:tcPr>
          <w:p w:rsidR="00441478" w:rsidRDefault="00441478" w:rsidP="00710A21">
            <w:pPr>
              <w:spacing w:line="480" w:lineRule="auto"/>
              <w:rPr>
                <w:sz w:val="20"/>
                <w:szCs w:val="20"/>
              </w:rPr>
            </w:pPr>
            <w:r w:rsidRPr="00374E12">
              <w:rPr>
                <w:sz w:val="20"/>
                <w:szCs w:val="20"/>
              </w:rPr>
              <w:t xml:space="preserve">Bilateral radial, Bilateral median, </w:t>
            </w:r>
          </w:p>
          <w:p w:rsidR="00441478" w:rsidRPr="00374E12" w:rsidRDefault="00441478" w:rsidP="00710A21">
            <w:pPr>
              <w:spacing w:line="480" w:lineRule="auto"/>
              <w:rPr>
                <w:sz w:val="20"/>
                <w:szCs w:val="20"/>
              </w:rPr>
            </w:pPr>
            <w:r w:rsidRPr="00374E12">
              <w:rPr>
                <w:sz w:val="20"/>
                <w:szCs w:val="20"/>
              </w:rPr>
              <w:t>Left ulnar</w:t>
            </w:r>
          </w:p>
        </w:tc>
        <w:tc>
          <w:tcPr>
            <w:tcW w:w="1417" w:type="dxa"/>
          </w:tcPr>
          <w:p w:rsidR="00441478" w:rsidRPr="00374E12" w:rsidRDefault="00441478" w:rsidP="00710A21">
            <w:pPr>
              <w:spacing w:line="480" w:lineRule="auto"/>
              <w:rPr>
                <w:sz w:val="20"/>
                <w:szCs w:val="20"/>
              </w:rPr>
            </w:pPr>
            <w:r w:rsidRPr="00374E12">
              <w:rPr>
                <w:sz w:val="20"/>
                <w:szCs w:val="20"/>
              </w:rPr>
              <w:t>Right axillar, Left radial, Right median, Right peroneal</w:t>
            </w:r>
          </w:p>
        </w:tc>
        <w:tc>
          <w:tcPr>
            <w:tcW w:w="1417" w:type="dxa"/>
          </w:tcPr>
          <w:p w:rsidR="00441478" w:rsidRDefault="00441478" w:rsidP="00710A21">
            <w:pPr>
              <w:spacing w:line="480" w:lineRule="auto"/>
              <w:rPr>
                <w:sz w:val="20"/>
                <w:szCs w:val="20"/>
              </w:rPr>
            </w:pPr>
            <w:r w:rsidRPr="00374E12">
              <w:rPr>
                <w:sz w:val="20"/>
                <w:szCs w:val="20"/>
              </w:rPr>
              <w:t xml:space="preserve">Bilateral radial, Bilateral peroneal, </w:t>
            </w:r>
          </w:p>
          <w:p w:rsidR="00441478" w:rsidRPr="00374E12" w:rsidRDefault="00441478" w:rsidP="00710A21">
            <w:pPr>
              <w:spacing w:line="480" w:lineRule="auto"/>
              <w:rPr>
                <w:sz w:val="20"/>
                <w:szCs w:val="20"/>
              </w:rPr>
            </w:pPr>
            <w:r w:rsidRPr="00374E12">
              <w:rPr>
                <w:sz w:val="20"/>
                <w:szCs w:val="20"/>
              </w:rPr>
              <w:t>Left femoral</w:t>
            </w:r>
          </w:p>
        </w:tc>
        <w:tc>
          <w:tcPr>
            <w:tcW w:w="1417" w:type="dxa"/>
          </w:tcPr>
          <w:p w:rsidR="00441478" w:rsidRDefault="00441478" w:rsidP="00710A21">
            <w:pPr>
              <w:spacing w:line="480" w:lineRule="auto"/>
              <w:rPr>
                <w:sz w:val="20"/>
                <w:szCs w:val="20"/>
              </w:rPr>
            </w:pPr>
            <w:r w:rsidRPr="00374E12">
              <w:rPr>
                <w:sz w:val="20"/>
                <w:szCs w:val="20"/>
              </w:rPr>
              <w:t xml:space="preserve">Bilateral radial, </w:t>
            </w:r>
          </w:p>
          <w:p w:rsidR="00441478" w:rsidRDefault="00441478" w:rsidP="00710A21">
            <w:pPr>
              <w:spacing w:line="480" w:lineRule="auto"/>
              <w:rPr>
                <w:sz w:val="20"/>
                <w:szCs w:val="20"/>
              </w:rPr>
            </w:pPr>
            <w:r>
              <w:rPr>
                <w:sz w:val="20"/>
                <w:szCs w:val="20"/>
              </w:rPr>
              <w:t xml:space="preserve">Left </w:t>
            </w:r>
            <w:r w:rsidRPr="00374E12">
              <w:rPr>
                <w:sz w:val="20"/>
                <w:szCs w:val="20"/>
              </w:rPr>
              <w:t>ulnar,</w:t>
            </w:r>
          </w:p>
          <w:p w:rsidR="00441478" w:rsidRPr="00374E12" w:rsidRDefault="00441478" w:rsidP="00710A21">
            <w:pPr>
              <w:spacing w:line="480" w:lineRule="auto"/>
              <w:rPr>
                <w:sz w:val="20"/>
                <w:szCs w:val="20"/>
              </w:rPr>
            </w:pPr>
            <w:r w:rsidRPr="00374E12">
              <w:rPr>
                <w:sz w:val="20"/>
                <w:szCs w:val="20"/>
              </w:rPr>
              <w:t>Right median</w:t>
            </w:r>
          </w:p>
        </w:tc>
      </w:tr>
      <w:tr w:rsidR="00441478" w:rsidRPr="00374E12" w:rsidTr="00710A21">
        <w:trPr>
          <w:trHeight w:val="360"/>
        </w:trPr>
        <w:tc>
          <w:tcPr>
            <w:tcW w:w="1656" w:type="dxa"/>
          </w:tcPr>
          <w:p w:rsidR="00441478" w:rsidRPr="003A5159" w:rsidRDefault="00441478" w:rsidP="00710A21">
            <w:pPr>
              <w:spacing w:line="480" w:lineRule="auto"/>
              <w:rPr>
                <w:b/>
                <w:sz w:val="20"/>
                <w:szCs w:val="20"/>
              </w:rPr>
            </w:pPr>
            <w:r w:rsidRPr="003A5159">
              <w:rPr>
                <w:b/>
                <w:sz w:val="20"/>
                <w:szCs w:val="20"/>
              </w:rPr>
              <w:t>Anti-GM1 antibodies</w:t>
            </w:r>
          </w:p>
        </w:tc>
        <w:tc>
          <w:tcPr>
            <w:tcW w:w="1416" w:type="dxa"/>
          </w:tcPr>
          <w:p w:rsidR="00441478" w:rsidRPr="00374E12" w:rsidRDefault="00441478" w:rsidP="00710A21">
            <w:pPr>
              <w:spacing w:line="480" w:lineRule="auto"/>
              <w:rPr>
                <w:sz w:val="20"/>
                <w:szCs w:val="20"/>
              </w:rPr>
            </w:pPr>
            <w:r w:rsidRPr="00374E12">
              <w:rPr>
                <w:sz w:val="20"/>
                <w:szCs w:val="20"/>
              </w:rPr>
              <w:t>Polyclonal IgM</w:t>
            </w:r>
          </w:p>
        </w:tc>
        <w:tc>
          <w:tcPr>
            <w:tcW w:w="1417" w:type="dxa"/>
          </w:tcPr>
          <w:p w:rsidR="00441478" w:rsidRPr="00374E12" w:rsidRDefault="00441478" w:rsidP="00710A21">
            <w:pPr>
              <w:spacing w:line="480" w:lineRule="auto"/>
              <w:rPr>
                <w:sz w:val="20"/>
                <w:szCs w:val="20"/>
              </w:rPr>
            </w:pPr>
            <w:r w:rsidRPr="00374E12">
              <w:rPr>
                <w:sz w:val="20"/>
                <w:szCs w:val="20"/>
              </w:rPr>
              <w:t>Polyclonal IgM</w:t>
            </w:r>
          </w:p>
        </w:tc>
        <w:tc>
          <w:tcPr>
            <w:tcW w:w="1417" w:type="dxa"/>
          </w:tcPr>
          <w:p w:rsidR="00441478" w:rsidRPr="00374E12" w:rsidRDefault="00441478" w:rsidP="00710A21">
            <w:pPr>
              <w:spacing w:line="480" w:lineRule="auto"/>
              <w:rPr>
                <w:sz w:val="20"/>
                <w:szCs w:val="20"/>
              </w:rPr>
            </w:pPr>
            <w:r w:rsidRPr="00374E12">
              <w:rPr>
                <w:sz w:val="20"/>
                <w:szCs w:val="20"/>
              </w:rPr>
              <w:t>N.D.</w:t>
            </w:r>
          </w:p>
        </w:tc>
        <w:tc>
          <w:tcPr>
            <w:tcW w:w="1417" w:type="dxa"/>
          </w:tcPr>
          <w:p w:rsidR="00441478" w:rsidRPr="00374E12" w:rsidRDefault="00441478" w:rsidP="00710A21">
            <w:pPr>
              <w:spacing w:line="480" w:lineRule="auto"/>
              <w:rPr>
                <w:sz w:val="20"/>
                <w:szCs w:val="20"/>
              </w:rPr>
            </w:pPr>
            <w:r w:rsidRPr="00374E12">
              <w:rPr>
                <w:sz w:val="20"/>
                <w:szCs w:val="20"/>
              </w:rPr>
              <w:t>N.D.</w:t>
            </w:r>
          </w:p>
        </w:tc>
        <w:tc>
          <w:tcPr>
            <w:tcW w:w="1417" w:type="dxa"/>
          </w:tcPr>
          <w:p w:rsidR="00441478" w:rsidRPr="00374E12" w:rsidRDefault="00441478" w:rsidP="00710A21">
            <w:pPr>
              <w:spacing w:line="480" w:lineRule="auto"/>
              <w:rPr>
                <w:sz w:val="20"/>
                <w:szCs w:val="20"/>
              </w:rPr>
            </w:pPr>
            <w:r w:rsidRPr="00374E12">
              <w:rPr>
                <w:sz w:val="20"/>
                <w:szCs w:val="20"/>
              </w:rPr>
              <w:t>Polyclonal IgM</w:t>
            </w:r>
          </w:p>
        </w:tc>
        <w:tc>
          <w:tcPr>
            <w:tcW w:w="1417" w:type="dxa"/>
          </w:tcPr>
          <w:p w:rsidR="00441478" w:rsidRPr="00374E12" w:rsidRDefault="00441478" w:rsidP="00710A21">
            <w:pPr>
              <w:spacing w:line="480" w:lineRule="auto"/>
              <w:rPr>
                <w:sz w:val="20"/>
                <w:szCs w:val="20"/>
              </w:rPr>
            </w:pPr>
            <w:r w:rsidRPr="00374E12">
              <w:rPr>
                <w:sz w:val="20"/>
                <w:szCs w:val="20"/>
              </w:rPr>
              <w:t>Polyclonal IgM</w:t>
            </w:r>
          </w:p>
        </w:tc>
        <w:tc>
          <w:tcPr>
            <w:tcW w:w="1417" w:type="dxa"/>
          </w:tcPr>
          <w:p w:rsidR="00441478" w:rsidRPr="00374E12" w:rsidRDefault="00441478" w:rsidP="00710A21">
            <w:pPr>
              <w:spacing w:line="480" w:lineRule="auto"/>
              <w:rPr>
                <w:sz w:val="20"/>
                <w:szCs w:val="20"/>
              </w:rPr>
            </w:pPr>
            <w:r w:rsidRPr="00374E12">
              <w:rPr>
                <w:sz w:val="20"/>
                <w:szCs w:val="20"/>
              </w:rPr>
              <w:t>Polyclonal IgM</w:t>
            </w:r>
          </w:p>
        </w:tc>
        <w:tc>
          <w:tcPr>
            <w:tcW w:w="1417" w:type="dxa"/>
          </w:tcPr>
          <w:p w:rsidR="00441478" w:rsidRPr="00374E12" w:rsidRDefault="00441478" w:rsidP="00710A21">
            <w:pPr>
              <w:spacing w:line="480" w:lineRule="auto"/>
              <w:rPr>
                <w:sz w:val="20"/>
                <w:szCs w:val="20"/>
              </w:rPr>
            </w:pPr>
            <w:r w:rsidRPr="00374E12">
              <w:rPr>
                <w:sz w:val="20"/>
                <w:szCs w:val="20"/>
              </w:rPr>
              <w:t>Polyclonal IgM</w:t>
            </w:r>
          </w:p>
        </w:tc>
        <w:tc>
          <w:tcPr>
            <w:tcW w:w="1417" w:type="dxa"/>
          </w:tcPr>
          <w:p w:rsidR="00441478" w:rsidRPr="00374E12" w:rsidRDefault="00441478" w:rsidP="00710A21">
            <w:pPr>
              <w:spacing w:line="480" w:lineRule="auto"/>
              <w:rPr>
                <w:sz w:val="20"/>
                <w:szCs w:val="20"/>
              </w:rPr>
            </w:pPr>
            <w:r w:rsidRPr="00374E12">
              <w:rPr>
                <w:sz w:val="20"/>
                <w:szCs w:val="20"/>
              </w:rPr>
              <w:t>N.D.</w:t>
            </w:r>
          </w:p>
        </w:tc>
      </w:tr>
      <w:tr w:rsidR="00441478" w:rsidRPr="00374E12" w:rsidTr="00710A21">
        <w:trPr>
          <w:trHeight w:val="340"/>
        </w:trPr>
        <w:tc>
          <w:tcPr>
            <w:tcW w:w="1656" w:type="dxa"/>
          </w:tcPr>
          <w:p w:rsidR="00441478" w:rsidRPr="003A5159" w:rsidRDefault="00441478" w:rsidP="00710A21">
            <w:pPr>
              <w:spacing w:line="480" w:lineRule="auto"/>
              <w:rPr>
                <w:b/>
                <w:sz w:val="20"/>
                <w:szCs w:val="20"/>
              </w:rPr>
            </w:pPr>
            <w:r w:rsidRPr="003A5159">
              <w:rPr>
                <w:b/>
                <w:sz w:val="20"/>
                <w:szCs w:val="20"/>
              </w:rPr>
              <w:t>CSF protein content (g/L)</w:t>
            </w:r>
          </w:p>
        </w:tc>
        <w:tc>
          <w:tcPr>
            <w:tcW w:w="1416" w:type="dxa"/>
          </w:tcPr>
          <w:p w:rsidR="00441478" w:rsidRPr="00374E12" w:rsidRDefault="00441478" w:rsidP="00710A21">
            <w:pPr>
              <w:spacing w:line="480" w:lineRule="auto"/>
              <w:jc w:val="center"/>
              <w:rPr>
                <w:sz w:val="20"/>
                <w:szCs w:val="20"/>
              </w:rPr>
            </w:pPr>
            <w:r w:rsidRPr="00374E12">
              <w:rPr>
                <w:sz w:val="20"/>
                <w:szCs w:val="20"/>
              </w:rPr>
              <w:t>0.69</w:t>
            </w:r>
          </w:p>
        </w:tc>
        <w:tc>
          <w:tcPr>
            <w:tcW w:w="1417" w:type="dxa"/>
          </w:tcPr>
          <w:p w:rsidR="00441478" w:rsidRPr="00374E12" w:rsidRDefault="00441478" w:rsidP="00710A21">
            <w:pPr>
              <w:spacing w:line="480" w:lineRule="auto"/>
              <w:jc w:val="center"/>
              <w:rPr>
                <w:sz w:val="20"/>
                <w:szCs w:val="20"/>
              </w:rPr>
            </w:pPr>
            <w:r w:rsidRPr="00374E12">
              <w:rPr>
                <w:sz w:val="20"/>
                <w:szCs w:val="20"/>
              </w:rPr>
              <w:t>0.53</w:t>
            </w:r>
          </w:p>
        </w:tc>
        <w:tc>
          <w:tcPr>
            <w:tcW w:w="1417" w:type="dxa"/>
          </w:tcPr>
          <w:p w:rsidR="00441478" w:rsidRPr="00374E12" w:rsidRDefault="00441478" w:rsidP="00710A21">
            <w:pPr>
              <w:spacing w:line="480" w:lineRule="auto"/>
              <w:jc w:val="center"/>
              <w:rPr>
                <w:sz w:val="20"/>
                <w:szCs w:val="20"/>
              </w:rPr>
            </w:pPr>
            <w:r w:rsidRPr="00374E12">
              <w:rPr>
                <w:sz w:val="20"/>
                <w:szCs w:val="20"/>
              </w:rPr>
              <w:t>0.84</w:t>
            </w:r>
          </w:p>
        </w:tc>
        <w:tc>
          <w:tcPr>
            <w:tcW w:w="1417" w:type="dxa"/>
          </w:tcPr>
          <w:p w:rsidR="00441478" w:rsidRPr="00374E12" w:rsidRDefault="00441478" w:rsidP="00710A21">
            <w:pPr>
              <w:spacing w:line="480" w:lineRule="auto"/>
              <w:jc w:val="center"/>
              <w:rPr>
                <w:sz w:val="20"/>
                <w:szCs w:val="20"/>
              </w:rPr>
            </w:pPr>
            <w:r w:rsidRPr="00374E12">
              <w:rPr>
                <w:sz w:val="20"/>
                <w:szCs w:val="20"/>
              </w:rPr>
              <w:t>0.54</w:t>
            </w:r>
          </w:p>
        </w:tc>
        <w:tc>
          <w:tcPr>
            <w:tcW w:w="1417" w:type="dxa"/>
          </w:tcPr>
          <w:p w:rsidR="00441478" w:rsidRPr="00374E12" w:rsidRDefault="00441478" w:rsidP="00710A21">
            <w:pPr>
              <w:spacing w:line="480" w:lineRule="auto"/>
              <w:jc w:val="center"/>
              <w:rPr>
                <w:sz w:val="20"/>
                <w:szCs w:val="20"/>
              </w:rPr>
            </w:pPr>
            <w:r w:rsidRPr="00374E12">
              <w:rPr>
                <w:sz w:val="20"/>
                <w:szCs w:val="20"/>
              </w:rPr>
              <w:t>0.43</w:t>
            </w:r>
          </w:p>
        </w:tc>
        <w:tc>
          <w:tcPr>
            <w:tcW w:w="1417" w:type="dxa"/>
          </w:tcPr>
          <w:p w:rsidR="00441478" w:rsidRPr="00374E12" w:rsidRDefault="00441478" w:rsidP="00710A21">
            <w:pPr>
              <w:spacing w:line="480" w:lineRule="auto"/>
              <w:jc w:val="center"/>
              <w:rPr>
                <w:sz w:val="20"/>
                <w:szCs w:val="20"/>
              </w:rPr>
            </w:pPr>
            <w:r w:rsidRPr="00374E12">
              <w:rPr>
                <w:sz w:val="20"/>
                <w:szCs w:val="20"/>
              </w:rPr>
              <w:t>0.48</w:t>
            </w:r>
          </w:p>
        </w:tc>
        <w:tc>
          <w:tcPr>
            <w:tcW w:w="1417" w:type="dxa"/>
          </w:tcPr>
          <w:p w:rsidR="00441478" w:rsidRPr="00374E12" w:rsidRDefault="00441478" w:rsidP="00710A21">
            <w:pPr>
              <w:spacing w:line="480" w:lineRule="auto"/>
              <w:jc w:val="center"/>
              <w:rPr>
                <w:sz w:val="20"/>
                <w:szCs w:val="20"/>
              </w:rPr>
            </w:pPr>
            <w:r w:rsidRPr="00374E12">
              <w:rPr>
                <w:sz w:val="20"/>
                <w:szCs w:val="20"/>
              </w:rPr>
              <w:t>0.65</w:t>
            </w:r>
          </w:p>
        </w:tc>
        <w:tc>
          <w:tcPr>
            <w:tcW w:w="1417" w:type="dxa"/>
          </w:tcPr>
          <w:p w:rsidR="00441478" w:rsidRPr="00374E12" w:rsidRDefault="00441478" w:rsidP="00710A21">
            <w:pPr>
              <w:spacing w:line="480" w:lineRule="auto"/>
              <w:jc w:val="center"/>
              <w:rPr>
                <w:sz w:val="20"/>
                <w:szCs w:val="20"/>
              </w:rPr>
            </w:pPr>
            <w:r w:rsidRPr="00374E12">
              <w:rPr>
                <w:sz w:val="20"/>
                <w:szCs w:val="20"/>
              </w:rPr>
              <w:t>0.54</w:t>
            </w:r>
          </w:p>
        </w:tc>
        <w:tc>
          <w:tcPr>
            <w:tcW w:w="1417" w:type="dxa"/>
          </w:tcPr>
          <w:p w:rsidR="00441478" w:rsidRPr="00374E12" w:rsidRDefault="00441478" w:rsidP="00710A21">
            <w:pPr>
              <w:spacing w:line="480" w:lineRule="auto"/>
              <w:jc w:val="center"/>
              <w:rPr>
                <w:sz w:val="20"/>
                <w:szCs w:val="20"/>
              </w:rPr>
            </w:pPr>
            <w:r w:rsidRPr="00374E12">
              <w:rPr>
                <w:sz w:val="20"/>
                <w:szCs w:val="20"/>
              </w:rPr>
              <w:t>0.46</w:t>
            </w:r>
          </w:p>
        </w:tc>
      </w:tr>
      <w:tr w:rsidR="00441478" w:rsidRPr="00374E12" w:rsidTr="00710A21">
        <w:trPr>
          <w:trHeight w:val="360"/>
        </w:trPr>
        <w:tc>
          <w:tcPr>
            <w:tcW w:w="1656" w:type="dxa"/>
          </w:tcPr>
          <w:p w:rsidR="00441478" w:rsidRPr="003A5159" w:rsidRDefault="00441478" w:rsidP="00710A21">
            <w:pPr>
              <w:spacing w:line="480" w:lineRule="auto"/>
              <w:rPr>
                <w:b/>
                <w:sz w:val="20"/>
                <w:szCs w:val="20"/>
              </w:rPr>
            </w:pPr>
            <w:r w:rsidRPr="003A5159">
              <w:rPr>
                <w:b/>
                <w:sz w:val="20"/>
                <w:szCs w:val="20"/>
              </w:rPr>
              <w:t>CSF agarose gel electrophoresis</w:t>
            </w:r>
          </w:p>
        </w:tc>
        <w:tc>
          <w:tcPr>
            <w:tcW w:w="1416" w:type="dxa"/>
          </w:tcPr>
          <w:p w:rsidR="00441478" w:rsidRPr="00374E12" w:rsidRDefault="00441478" w:rsidP="00710A21">
            <w:pPr>
              <w:spacing w:line="480" w:lineRule="auto"/>
              <w:jc w:val="center"/>
              <w:rPr>
                <w:sz w:val="20"/>
                <w:szCs w:val="20"/>
              </w:rPr>
            </w:pPr>
            <w:r w:rsidRPr="00374E12">
              <w:rPr>
                <w:sz w:val="20"/>
                <w:szCs w:val="20"/>
              </w:rPr>
              <w:t>normal</w:t>
            </w:r>
          </w:p>
        </w:tc>
        <w:tc>
          <w:tcPr>
            <w:tcW w:w="1417" w:type="dxa"/>
          </w:tcPr>
          <w:p w:rsidR="00441478" w:rsidRPr="00374E12" w:rsidRDefault="00441478" w:rsidP="00710A21">
            <w:pPr>
              <w:spacing w:line="480" w:lineRule="auto"/>
              <w:jc w:val="center"/>
              <w:rPr>
                <w:sz w:val="20"/>
                <w:szCs w:val="20"/>
              </w:rPr>
            </w:pPr>
            <w:r w:rsidRPr="00374E12">
              <w:rPr>
                <w:sz w:val="20"/>
                <w:szCs w:val="20"/>
              </w:rPr>
              <w:t>normal</w:t>
            </w:r>
          </w:p>
        </w:tc>
        <w:tc>
          <w:tcPr>
            <w:tcW w:w="1417" w:type="dxa"/>
          </w:tcPr>
          <w:p w:rsidR="00441478" w:rsidRPr="00374E12" w:rsidRDefault="00441478" w:rsidP="00710A21">
            <w:pPr>
              <w:spacing w:line="480" w:lineRule="auto"/>
              <w:jc w:val="center"/>
              <w:rPr>
                <w:sz w:val="20"/>
                <w:szCs w:val="20"/>
              </w:rPr>
            </w:pPr>
            <w:r w:rsidRPr="00374E12">
              <w:rPr>
                <w:sz w:val="20"/>
                <w:szCs w:val="20"/>
              </w:rPr>
              <w:t>normal</w:t>
            </w:r>
          </w:p>
        </w:tc>
        <w:tc>
          <w:tcPr>
            <w:tcW w:w="1417" w:type="dxa"/>
          </w:tcPr>
          <w:p w:rsidR="00441478" w:rsidRPr="00374E12" w:rsidRDefault="00441478" w:rsidP="00710A21">
            <w:pPr>
              <w:spacing w:line="480" w:lineRule="auto"/>
              <w:jc w:val="center"/>
              <w:rPr>
                <w:sz w:val="20"/>
                <w:szCs w:val="20"/>
              </w:rPr>
            </w:pPr>
            <w:r w:rsidRPr="00374E12">
              <w:rPr>
                <w:sz w:val="20"/>
                <w:szCs w:val="20"/>
              </w:rPr>
              <w:t>normal</w:t>
            </w:r>
          </w:p>
        </w:tc>
        <w:tc>
          <w:tcPr>
            <w:tcW w:w="1417" w:type="dxa"/>
          </w:tcPr>
          <w:p w:rsidR="00441478" w:rsidRPr="00374E12" w:rsidRDefault="00441478" w:rsidP="00710A21">
            <w:pPr>
              <w:spacing w:line="480" w:lineRule="auto"/>
              <w:jc w:val="center"/>
              <w:rPr>
                <w:sz w:val="20"/>
                <w:szCs w:val="20"/>
              </w:rPr>
            </w:pPr>
            <w:r w:rsidRPr="00374E12">
              <w:rPr>
                <w:sz w:val="20"/>
                <w:szCs w:val="20"/>
              </w:rPr>
              <w:t>Oligoclonal IgG bands</w:t>
            </w:r>
          </w:p>
        </w:tc>
        <w:tc>
          <w:tcPr>
            <w:tcW w:w="1417" w:type="dxa"/>
          </w:tcPr>
          <w:p w:rsidR="00441478" w:rsidRPr="00374E12" w:rsidRDefault="00441478" w:rsidP="00710A21">
            <w:pPr>
              <w:spacing w:line="480" w:lineRule="auto"/>
              <w:jc w:val="center"/>
              <w:rPr>
                <w:sz w:val="20"/>
                <w:szCs w:val="20"/>
              </w:rPr>
            </w:pPr>
            <w:r w:rsidRPr="00374E12">
              <w:rPr>
                <w:sz w:val="20"/>
                <w:szCs w:val="20"/>
              </w:rPr>
              <w:t>normal</w:t>
            </w:r>
          </w:p>
        </w:tc>
        <w:tc>
          <w:tcPr>
            <w:tcW w:w="1417" w:type="dxa"/>
          </w:tcPr>
          <w:p w:rsidR="00441478" w:rsidRPr="00374E12" w:rsidRDefault="00441478" w:rsidP="00710A21">
            <w:pPr>
              <w:spacing w:line="480" w:lineRule="auto"/>
              <w:jc w:val="center"/>
              <w:rPr>
                <w:sz w:val="20"/>
                <w:szCs w:val="20"/>
              </w:rPr>
            </w:pPr>
            <w:r w:rsidRPr="00374E12">
              <w:rPr>
                <w:sz w:val="20"/>
                <w:szCs w:val="20"/>
              </w:rPr>
              <w:t>normal</w:t>
            </w:r>
          </w:p>
        </w:tc>
        <w:tc>
          <w:tcPr>
            <w:tcW w:w="1417" w:type="dxa"/>
          </w:tcPr>
          <w:p w:rsidR="00441478" w:rsidRPr="00374E12" w:rsidRDefault="00441478" w:rsidP="00710A21">
            <w:pPr>
              <w:spacing w:line="480" w:lineRule="auto"/>
              <w:jc w:val="center"/>
              <w:rPr>
                <w:sz w:val="20"/>
                <w:szCs w:val="20"/>
              </w:rPr>
            </w:pPr>
            <w:r w:rsidRPr="00374E12">
              <w:rPr>
                <w:sz w:val="20"/>
                <w:szCs w:val="20"/>
              </w:rPr>
              <w:t>normal</w:t>
            </w:r>
          </w:p>
        </w:tc>
        <w:tc>
          <w:tcPr>
            <w:tcW w:w="1417" w:type="dxa"/>
          </w:tcPr>
          <w:p w:rsidR="00441478" w:rsidRPr="00374E12" w:rsidRDefault="00441478" w:rsidP="00710A21">
            <w:pPr>
              <w:spacing w:line="480" w:lineRule="auto"/>
              <w:jc w:val="center"/>
              <w:rPr>
                <w:sz w:val="20"/>
                <w:szCs w:val="20"/>
              </w:rPr>
            </w:pPr>
            <w:r w:rsidRPr="00374E12">
              <w:rPr>
                <w:sz w:val="20"/>
                <w:szCs w:val="20"/>
              </w:rPr>
              <w:t>normal</w:t>
            </w:r>
          </w:p>
        </w:tc>
      </w:tr>
      <w:tr w:rsidR="00441478" w:rsidRPr="00374E12" w:rsidTr="00710A21">
        <w:trPr>
          <w:trHeight w:val="360"/>
        </w:trPr>
        <w:tc>
          <w:tcPr>
            <w:tcW w:w="1656" w:type="dxa"/>
          </w:tcPr>
          <w:p w:rsidR="00441478" w:rsidRPr="003A5159" w:rsidRDefault="00441478" w:rsidP="00710A21">
            <w:pPr>
              <w:spacing w:line="480" w:lineRule="auto"/>
              <w:rPr>
                <w:b/>
                <w:sz w:val="20"/>
                <w:szCs w:val="20"/>
              </w:rPr>
            </w:pPr>
            <w:r w:rsidRPr="003A5159">
              <w:rPr>
                <w:b/>
                <w:sz w:val="20"/>
                <w:szCs w:val="20"/>
              </w:rPr>
              <w:t>Motor nerves with CB (% of CMAP amplitude reduction)</w:t>
            </w:r>
          </w:p>
        </w:tc>
        <w:tc>
          <w:tcPr>
            <w:tcW w:w="1416" w:type="dxa"/>
          </w:tcPr>
          <w:p w:rsidR="00441478" w:rsidRDefault="00441478" w:rsidP="00710A21">
            <w:pPr>
              <w:spacing w:line="480" w:lineRule="auto"/>
              <w:rPr>
                <w:sz w:val="20"/>
                <w:szCs w:val="20"/>
              </w:rPr>
            </w:pPr>
            <w:r w:rsidRPr="00374E12">
              <w:rPr>
                <w:sz w:val="20"/>
                <w:szCs w:val="20"/>
              </w:rPr>
              <w:t>Right ulnar (53%)</w:t>
            </w:r>
            <w:r>
              <w:rPr>
                <w:sz w:val="20"/>
                <w:szCs w:val="20"/>
              </w:rPr>
              <w:t>,</w:t>
            </w:r>
            <w:r w:rsidRPr="00374E12">
              <w:rPr>
                <w:sz w:val="20"/>
                <w:szCs w:val="20"/>
              </w:rPr>
              <w:t xml:space="preserve"> </w:t>
            </w:r>
          </w:p>
          <w:p w:rsidR="00441478" w:rsidRDefault="00441478" w:rsidP="00710A21">
            <w:pPr>
              <w:spacing w:line="480" w:lineRule="auto"/>
              <w:rPr>
                <w:sz w:val="20"/>
                <w:szCs w:val="20"/>
              </w:rPr>
            </w:pPr>
            <w:r w:rsidRPr="00374E12">
              <w:rPr>
                <w:sz w:val="20"/>
                <w:szCs w:val="20"/>
              </w:rPr>
              <w:t xml:space="preserve">Left radial (90%), </w:t>
            </w:r>
          </w:p>
          <w:p w:rsidR="00441478" w:rsidRPr="00374E12" w:rsidRDefault="00441478" w:rsidP="00710A21">
            <w:pPr>
              <w:spacing w:line="480" w:lineRule="auto"/>
              <w:rPr>
                <w:sz w:val="20"/>
                <w:szCs w:val="20"/>
              </w:rPr>
            </w:pPr>
            <w:r w:rsidRPr="00374E12">
              <w:rPr>
                <w:sz w:val="20"/>
                <w:szCs w:val="20"/>
              </w:rPr>
              <w:t>Left peroneal (53%)</w:t>
            </w:r>
          </w:p>
        </w:tc>
        <w:tc>
          <w:tcPr>
            <w:tcW w:w="1417" w:type="dxa"/>
          </w:tcPr>
          <w:p w:rsidR="00441478" w:rsidRDefault="00441478" w:rsidP="00710A21">
            <w:pPr>
              <w:spacing w:line="480" w:lineRule="auto"/>
              <w:rPr>
                <w:sz w:val="20"/>
                <w:szCs w:val="20"/>
              </w:rPr>
            </w:pPr>
            <w:r w:rsidRPr="00374E12">
              <w:rPr>
                <w:sz w:val="20"/>
                <w:szCs w:val="20"/>
              </w:rPr>
              <w:t xml:space="preserve">Right peroneal (66%), </w:t>
            </w:r>
          </w:p>
          <w:p w:rsidR="00441478" w:rsidRDefault="00441478" w:rsidP="00710A21">
            <w:pPr>
              <w:spacing w:line="480" w:lineRule="auto"/>
              <w:rPr>
                <w:sz w:val="20"/>
                <w:szCs w:val="20"/>
              </w:rPr>
            </w:pPr>
            <w:r w:rsidRPr="00374E12">
              <w:rPr>
                <w:sz w:val="20"/>
                <w:szCs w:val="20"/>
              </w:rPr>
              <w:t xml:space="preserve">Left peroneal (69%), </w:t>
            </w:r>
          </w:p>
          <w:p w:rsidR="00441478" w:rsidRPr="00374E12" w:rsidRDefault="00441478" w:rsidP="00710A21">
            <w:pPr>
              <w:spacing w:line="480" w:lineRule="auto"/>
              <w:rPr>
                <w:sz w:val="20"/>
                <w:szCs w:val="20"/>
              </w:rPr>
            </w:pPr>
            <w:r w:rsidRPr="00374E12">
              <w:rPr>
                <w:sz w:val="20"/>
                <w:szCs w:val="20"/>
              </w:rPr>
              <w:t>Right tibial (50%)</w:t>
            </w:r>
          </w:p>
        </w:tc>
        <w:tc>
          <w:tcPr>
            <w:tcW w:w="1417" w:type="dxa"/>
          </w:tcPr>
          <w:p w:rsidR="00441478" w:rsidRDefault="00441478" w:rsidP="00710A21">
            <w:pPr>
              <w:spacing w:line="480" w:lineRule="auto"/>
              <w:rPr>
                <w:sz w:val="20"/>
                <w:szCs w:val="20"/>
              </w:rPr>
            </w:pPr>
            <w:r w:rsidRPr="00374E12">
              <w:rPr>
                <w:sz w:val="20"/>
                <w:szCs w:val="20"/>
              </w:rPr>
              <w:t xml:space="preserve">Right radial (70%), </w:t>
            </w:r>
          </w:p>
          <w:p w:rsidR="00441478" w:rsidRPr="00374E12" w:rsidRDefault="00441478" w:rsidP="00710A21">
            <w:pPr>
              <w:spacing w:line="480" w:lineRule="auto"/>
              <w:rPr>
                <w:sz w:val="20"/>
                <w:szCs w:val="20"/>
              </w:rPr>
            </w:pPr>
            <w:r w:rsidRPr="00374E12">
              <w:rPr>
                <w:sz w:val="20"/>
                <w:szCs w:val="20"/>
              </w:rPr>
              <w:t>Right median (50%)</w:t>
            </w:r>
          </w:p>
        </w:tc>
        <w:tc>
          <w:tcPr>
            <w:tcW w:w="1417" w:type="dxa"/>
          </w:tcPr>
          <w:p w:rsidR="00441478" w:rsidRPr="00374E12" w:rsidRDefault="00441478" w:rsidP="00710A21">
            <w:pPr>
              <w:spacing w:line="480" w:lineRule="auto"/>
              <w:rPr>
                <w:sz w:val="20"/>
                <w:szCs w:val="20"/>
              </w:rPr>
            </w:pPr>
            <w:r w:rsidRPr="00374E12">
              <w:rPr>
                <w:sz w:val="20"/>
                <w:szCs w:val="20"/>
              </w:rPr>
              <w:t>Left ulnar (80%)</w:t>
            </w:r>
          </w:p>
          <w:p w:rsidR="00441478" w:rsidRPr="00374E12" w:rsidRDefault="00441478" w:rsidP="00710A21">
            <w:pPr>
              <w:spacing w:line="480" w:lineRule="auto"/>
              <w:rPr>
                <w:sz w:val="20"/>
                <w:szCs w:val="20"/>
              </w:rPr>
            </w:pPr>
            <w:r w:rsidRPr="00374E12">
              <w:rPr>
                <w:sz w:val="20"/>
                <w:szCs w:val="20"/>
              </w:rPr>
              <w:t>Left median (50%)</w:t>
            </w:r>
          </w:p>
          <w:p w:rsidR="00441478" w:rsidRPr="00374E12" w:rsidRDefault="00441478" w:rsidP="00710A21">
            <w:pPr>
              <w:spacing w:line="480" w:lineRule="auto"/>
              <w:rPr>
                <w:sz w:val="20"/>
                <w:szCs w:val="20"/>
              </w:rPr>
            </w:pPr>
            <w:r w:rsidRPr="00374E12">
              <w:rPr>
                <w:sz w:val="20"/>
                <w:szCs w:val="20"/>
              </w:rPr>
              <w:t>Rigt radial (60%)</w:t>
            </w:r>
          </w:p>
        </w:tc>
        <w:tc>
          <w:tcPr>
            <w:tcW w:w="1417" w:type="dxa"/>
          </w:tcPr>
          <w:p w:rsidR="00441478" w:rsidRPr="00374E12" w:rsidRDefault="00441478" w:rsidP="00710A21">
            <w:pPr>
              <w:spacing w:line="480" w:lineRule="auto"/>
              <w:rPr>
                <w:sz w:val="20"/>
                <w:szCs w:val="20"/>
              </w:rPr>
            </w:pPr>
            <w:r w:rsidRPr="00374E12">
              <w:rPr>
                <w:sz w:val="20"/>
                <w:szCs w:val="20"/>
              </w:rPr>
              <w:t>Right radial (75%)</w:t>
            </w:r>
          </w:p>
          <w:p w:rsidR="00441478" w:rsidRPr="00374E12" w:rsidRDefault="00441478" w:rsidP="00710A21">
            <w:pPr>
              <w:spacing w:line="480" w:lineRule="auto"/>
              <w:rPr>
                <w:sz w:val="20"/>
                <w:szCs w:val="20"/>
              </w:rPr>
            </w:pPr>
            <w:r w:rsidRPr="00374E12">
              <w:rPr>
                <w:sz w:val="20"/>
                <w:szCs w:val="20"/>
              </w:rPr>
              <w:t>Left radial (80%)</w:t>
            </w:r>
          </w:p>
          <w:p w:rsidR="00441478" w:rsidRPr="00374E12" w:rsidRDefault="00441478" w:rsidP="00710A21">
            <w:pPr>
              <w:spacing w:line="480" w:lineRule="auto"/>
              <w:rPr>
                <w:sz w:val="20"/>
                <w:szCs w:val="20"/>
              </w:rPr>
            </w:pPr>
            <w:r w:rsidRPr="00374E12">
              <w:rPr>
                <w:sz w:val="20"/>
                <w:szCs w:val="20"/>
              </w:rPr>
              <w:t>Left median (60%)</w:t>
            </w:r>
          </w:p>
        </w:tc>
        <w:tc>
          <w:tcPr>
            <w:tcW w:w="1417" w:type="dxa"/>
          </w:tcPr>
          <w:p w:rsidR="00441478" w:rsidRDefault="00441478" w:rsidP="00710A21">
            <w:pPr>
              <w:spacing w:line="480" w:lineRule="auto"/>
              <w:rPr>
                <w:sz w:val="20"/>
                <w:szCs w:val="20"/>
              </w:rPr>
            </w:pPr>
            <w:r w:rsidRPr="00374E12">
              <w:rPr>
                <w:sz w:val="20"/>
                <w:szCs w:val="20"/>
              </w:rPr>
              <w:t xml:space="preserve">Left radial (80%), </w:t>
            </w:r>
          </w:p>
          <w:p w:rsidR="00441478" w:rsidRDefault="00441478" w:rsidP="00710A21">
            <w:pPr>
              <w:spacing w:line="480" w:lineRule="auto"/>
              <w:rPr>
                <w:sz w:val="20"/>
                <w:szCs w:val="20"/>
              </w:rPr>
            </w:pPr>
            <w:r w:rsidRPr="00374E12">
              <w:rPr>
                <w:sz w:val="20"/>
                <w:szCs w:val="20"/>
              </w:rPr>
              <w:t xml:space="preserve">Right radial, (40%), </w:t>
            </w:r>
          </w:p>
          <w:p w:rsidR="00441478" w:rsidRPr="00374E12" w:rsidRDefault="00441478" w:rsidP="00710A21">
            <w:pPr>
              <w:spacing w:line="480" w:lineRule="auto"/>
              <w:rPr>
                <w:sz w:val="20"/>
                <w:szCs w:val="20"/>
              </w:rPr>
            </w:pPr>
            <w:r w:rsidRPr="00374E12">
              <w:rPr>
                <w:sz w:val="20"/>
                <w:szCs w:val="20"/>
              </w:rPr>
              <w:t>Left ulnar (45%)</w:t>
            </w:r>
          </w:p>
        </w:tc>
        <w:tc>
          <w:tcPr>
            <w:tcW w:w="1417" w:type="dxa"/>
          </w:tcPr>
          <w:p w:rsidR="00441478" w:rsidRDefault="00441478" w:rsidP="00710A21">
            <w:pPr>
              <w:spacing w:line="480" w:lineRule="auto"/>
              <w:rPr>
                <w:sz w:val="20"/>
                <w:szCs w:val="20"/>
              </w:rPr>
            </w:pPr>
            <w:r w:rsidRPr="00374E12">
              <w:rPr>
                <w:sz w:val="20"/>
                <w:szCs w:val="20"/>
              </w:rPr>
              <w:t xml:space="preserve">Left radial (45%), </w:t>
            </w:r>
          </w:p>
          <w:p w:rsidR="00441478" w:rsidRPr="00374E12" w:rsidRDefault="00441478" w:rsidP="00710A21">
            <w:pPr>
              <w:spacing w:line="480" w:lineRule="auto"/>
              <w:rPr>
                <w:sz w:val="20"/>
                <w:szCs w:val="20"/>
              </w:rPr>
            </w:pPr>
            <w:r w:rsidRPr="00374E12">
              <w:rPr>
                <w:sz w:val="20"/>
                <w:szCs w:val="20"/>
              </w:rPr>
              <w:t>Left ulnar (56%)</w:t>
            </w:r>
          </w:p>
        </w:tc>
        <w:tc>
          <w:tcPr>
            <w:tcW w:w="1417" w:type="dxa"/>
          </w:tcPr>
          <w:p w:rsidR="00441478" w:rsidRPr="00374E12" w:rsidRDefault="00441478" w:rsidP="00710A21">
            <w:pPr>
              <w:spacing w:line="480" w:lineRule="auto"/>
              <w:rPr>
                <w:sz w:val="20"/>
                <w:szCs w:val="20"/>
              </w:rPr>
            </w:pPr>
            <w:r w:rsidRPr="00374E12">
              <w:rPr>
                <w:sz w:val="20"/>
                <w:szCs w:val="20"/>
              </w:rPr>
              <w:t>Left radial (70%)</w:t>
            </w:r>
          </w:p>
        </w:tc>
        <w:tc>
          <w:tcPr>
            <w:tcW w:w="1417" w:type="dxa"/>
          </w:tcPr>
          <w:p w:rsidR="00441478" w:rsidRPr="00374E12" w:rsidRDefault="00441478" w:rsidP="00710A21">
            <w:pPr>
              <w:spacing w:line="480" w:lineRule="auto"/>
              <w:rPr>
                <w:sz w:val="20"/>
                <w:szCs w:val="20"/>
              </w:rPr>
            </w:pPr>
            <w:r w:rsidRPr="00374E12">
              <w:rPr>
                <w:sz w:val="20"/>
                <w:szCs w:val="20"/>
              </w:rPr>
              <w:t>Left radial (45%)</w:t>
            </w:r>
          </w:p>
        </w:tc>
      </w:tr>
      <w:tr w:rsidR="00441478" w:rsidRPr="00374E12" w:rsidTr="00710A21">
        <w:trPr>
          <w:trHeight w:val="360"/>
        </w:trPr>
        <w:tc>
          <w:tcPr>
            <w:tcW w:w="1656" w:type="dxa"/>
          </w:tcPr>
          <w:p w:rsidR="00441478" w:rsidRPr="003A5159" w:rsidRDefault="00441478" w:rsidP="00710A21">
            <w:pPr>
              <w:spacing w:line="480" w:lineRule="auto"/>
              <w:rPr>
                <w:b/>
                <w:sz w:val="20"/>
                <w:szCs w:val="20"/>
              </w:rPr>
            </w:pPr>
            <w:r w:rsidRPr="003A5159">
              <w:rPr>
                <w:b/>
                <w:sz w:val="20"/>
                <w:szCs w:val="20"/>
              </w:rPr>
              <w:t>TMS</w:t>
            </w:r>
          </w:p>
        </w:tc>
        <w:tc>
          <w:tcPr>
            <w:tcW w:w="1416" w:type="dxa"/>
          </w:tcPr>
          <w:p w:rsidR="00441478" w:rsidRPr="00374E12" w:rsidRDefault="00441478" w:rsidP="00710A21">
            <w:pPr>
              <w:spacing w:line="480" w:lineRule="auto"/>
              <w:rPr>
                <w:sz w:val="20"/>
                <w:szCs w:val="20"/>
              </w:rPr>
            </w:pPr>
            <w:r w:rsidRPr="00374E12">
              <w:rPr>
                <w:sz w:val="20"/>
                <w:szCs w:val="20"/>
              </w:rPr>
              <w:t>Prolonged MRCT*</w:t>
            </w:r>
          </w:p>
        </w:tc>
        <w:tc>
          <w:tcPr>
            <w:tcW w:w="1417" w:type="dxa"/>
          </w:tcPr>
          <w:p w:rsidR="00441478" w:rsidRPr="00374E12" w:rsidRDefault="00441478" w:rsidP="00710A21">
            <w:pPr>
              <w:spacing w:line="480" w:lineRule="auto"/>
              <w:rPr>
                <w:sz w:val="20"/>
                <w:szCs w:val="20"/>
              </w:rPr>
            </w:pPr>
            <w:r w:rsidRPr="00374E12">
              <w:rPr>
                <w:sz w:val="20"/>
                <w:szCs w:val="20"/>
              </w:rPr>
              <w:t>Extremely prolonged MRCT*</w:t>
            </w:r>
          </w:p>
        </w:tc>
        <w:tc>
          <w:tcPr>
            <w:tcW w:w="1417" w:type="dxa"/>
          </w:tcPr>
          <w:p w:rsidR="00441478" w:rsidRPr="00374E12" w:rsidRDefault="00441478" w:rsidP="00710A21">
            <w:pPr>
              <w:spacing w:line="480" w:lineRule="auto"/>
              <w:rPr>
                <w:sz w:val="20"/>
                <w:szCs w:val="20"/>
              </w:rPr>
            </w:pPr>
          </w:p>
        </w:tc>
        <w:tc>
          <w:tcPr>
            <w:tcW w:w="1417" w:type="dxa"/>
          </w:tcPr>
          <w:p w:rsidR="00441478" w:rsidRPr="00374E12" w:rsidRDefault="00441478" w:rsidP="00710A21">
            <w:pPr>
              <w:spacing w:line="480" w:lineRule="auto"/>
              <w:rPr>
                <w:sz w:val="20"/>
                <w:szCs w:val="20"/>
              </w:rPr>
            </w:pPr>
          </w:p>
        </w:tc>
        <w:tc>
          <w:tcPr>
            <w:tcW w:w="1417" w:type="dxa"/>
          </w:tcPr>
          <w:p w:rsidR="00441478" w:rsidRPr="00374E12" w:rsidRDefault="00441478" w:rsidP="00710A21">
            <w:pPr>
              <w:spacing w:line="480" w:lineRule="auto"/>
              <w:rPr>
                <w:sz w:val="20"/>
                <w:szCs w:val="20"/>
              </w:rPr>
            </w:pPr>
          </w:p>
        </w:tc>
        <w:tc>
          <w:tcPr>
            <w:tcW w:w="1417" w:type="dxa"/>
          </w:tcPr>
          <w:p w:rsidR="00441478" w:rsidRPr="00374E12" w:rsidRDefault="00441478" w:rsidP="00710A21">
            <w:pPr>
              <w:spacing w:line="480" w:lineRule="auto"/>
              <w:rPr>
                <w:sz w:val="20"/>
                <w:szCs w:val="20"/>
              </w:rPr>
            </w:pPr>
          </w:p>
        </w:tc>
        <w:tc>
          <w:tcPr>
            <w:tcW w:w="1417" w:type="dxa"/>
          </w:tcPr>
          <w:p w:rsidR="00441478" w:rsidRPr="00374E12" w:rsidRDefault="00441478" w:rsidP="00710A21">
            <w:pPr>
              <w:spacing w:line="480" w:lineRule="auto"/>
              <w:rPr>
                <w:sz w:val="20"/>
                <w:szCs w:val="20"/>
              </w:rPr>
            </w:pPr>
            <w:r w:rsidRPr="00374E12">
              <w:rPr>
                <w:sz w:val="20"/>
                <w:szCs w:val="20"/>
              </w:rPr>
              <w:t>Prolonged MRCT*</w:t>
            </w:r>
          </w:p>
        </w:tc>
        <w:tc>
          <w:tcPr>
            <w:tcW w:w="1417" w:type="dxa"/>
          </w:tcPr>
          <w:p w:rsidR="00441478" w:rsidRPr="00374E12" w:rsidRDefault="00441478" w:rsidP="00710A21">
            <w:pPr>
              <w:spacing w:line="480" w:lineRule="auto"/>
              <w:rPr>
                <w:sz w:val="20"/>
                <w:szCs w:val="20"/>
              </w:rPr>
            </w:pPr>
          </w:p>
        </w:tc>
        <w:tc>
          <w:tcPr>
            <w:tcW w:w="1417" w:type="dxa"/>
          </w:tcPr>
          <w:p w:rsidR="00441478" w:rsidRPr="00374E12" w:rsidRDefault="00441478" w:rsidP="00710A21">
            <w:pPr>
              <w:spacing w:line="480" w:lineRule="auto"/>
              <w:rPr>
                <w:sz w:val="20"/>
                <w:szCs w:val="20"/>
              </w:rPr>
            </w:pPr>
          </w:p>
        </w:tc>
      </w:tr>
      <w:tr w:rsidR="00441478" w:rsidRPr="00374E12" w:rsidTr="00710A21">
        <w:trPr>
          <w:trHeight w:val="340"/>
        </w:trPr>
        <w:tc>
          <w:tcPr>
            <w:tcW w:w="1656" w:type="dxa"/>
          </w:tcPr>
          <w:p w:rsidR="00441478" w:rsidRPr="003A5159" w:rsidRDefault="00441478" w:rsidP="00710A21">
            <w:pPr>
              <w:spacing w:line="480" w:lineRule="auto"/>
              <w:rPr>
                <w:b/>
                <w:sz w:val="20"/>
                <w:szCs w:val="20"/>
              </w:rPr>
            </w:pPr>
            <w:r w:rsidRPr="003A5159">
              <w:rPr>
                <w:b/>
                <w:sz w:val="20"/>
                <w:szCs w:val="20"/>
              </w:rPr>
              <w:t>MRI of the cervical spine and brachial plexus</w:t>
            </w:r>
          </w:p>
        </w:tc>
        <w:tc>
          <w:tcPr>
            <w:tcW w:w="1416" w:type="dxa"/>
          </w:tcPr>
          <w:p w:rsidR="00441478" w:rsidRPr="00374E12" w:rsidRDefault="00441478" w:rsidP="00710A21">
            <w:pPr>
              <w:spacing w:line="480" w:lineRule="auto"/>
              <w:rPr>
                <w:sz w:val="20"/>
                <w:szCs w:val="20"/>
              </w:rPr>
            </w:pPr>
            <w:r w:rsidRPr="00374E12">
              <w:rPr>
                <w:sz w:val="20"/>
                <w:szCs w:val="20"/>
              </w:rPr>
              <w:t>Increased signal intensities in the cervical roots and proxi</w:t>
            </w:r>
            <w:r>
              <w:rPr>
                <w:sz w:val="20"/>
                <w:szCs w:val="20"/>
              </w:rPr>
              <w:t>mal segments of brachial plexus</w:t>
            </w:r>
          </w:p>
          <w:p w:rsidR="00441478" w:rsidRPr="00374E12" w:rsidRDefault="00441478" w:rsidP="00710A21">
            <w:pPr>
              <w:spacing w:line="480" w:lineRule="auto"/>
              <w:rPr>
                <w:sz w:val="20"/>
                <w:szCs w:val="20"/>
              </w:rPr>
            </w:pPr>
          </w:p>
        </w:tc>
        <w:tc>
          <w:tcPr>
            <w:tcW w:w="1417" w:type="dxa"/>
          </w:tcPr>
          <w:p w:rsidR="00441478" w:rsidRPr="00374E12" w:rsidRDefault="00441478" w:rsidP="00710A21">
            <w:pPr>
              <w:spacing w:line="480" w:lineRule="auto"/>
              <w:rPr>
                <w:sz w:val="20"/>
                <w:szCs w:val="20"/>
              </w:rPr>
            </w:pPr>
            <w:r w:rsidRPr="00374E12">
              <w:rPr>
                <w:sz w:val="20"/>
                <w:szCs w:val="20"/>
              </w:rPr>
              <w:t>Increased signal intensities in the cervical roots and proxi</w:t>
            </w:r>
            <w:r>
              <w:rPr>
                <w:sz w:val="20"/>
                <w:szCs w:val="20"/>
              </w:rPr>
              <w:t>mal segments of brachial plexus</w:t>
            </w:r>
          </w:p>
        </w:tc>
        <w:tc>
          <w:tcPr>
            <w:tcW w:w="1417" w:type="dxa"/>
          </w:tcPr>
          <w:p w:rsidR="00441478" w:rsidRPr="00374E12" w:rsidRDefault="00441478" w:rsidP="00710A21">
            <w:pPr>
              <w:spacing w:line="480" w:lineRule="auto"/>
              <w:rPr>
                <w:sz w:val="20"/>
                <w:szCs w:val="20"/>
              </w:rPr>
            </w:pPr>
            <w:r w:rsidRPr="00374E12">
              <w:rPr>
                <w:sz w:val="20"/>
                <w:szCs w:val="20"/>
              </w:rPr>
              <w:t>Increased signal intensities in the cervical roots and proximal segments of brachial plexus</w:t>
            </w:r>
          </w:p>
        </w:tc>
        <w:tc>
          <w:tcPr>
            <w:tcW w:w="1417" w:type="dxa"/>
          </w:tcPr>
          <w:p w:rsidR="00441478" w:rsidRPr="00374E12" w:rsidRDefault="00441478" w:rsidP="00710A21">
            <w:pPr>
              <w:spacing w:line="480" w:lineRule="auto"/>
              <w:rPr>
                <w:sz w:val="20"/>
                <w:szCs w:val="20"/>
              </w:rPr>
            </w:pPr>
            <w:r w:rsidRPr="00374E12">
              <w:rPr>
                <w:sz w:val="20"/>
                <w:szCs w:val="20"/>
              </w:rPr>
              <w:t>Increased signal intensities in the cervical roots and proxi</w:t>
            </w:r>
            <w:r>
              <w:rPr>
                <w:sz w:val="20"/>
                <w:szCs w:val="20"/>
              </w:rPr>
              <w:t>mal segments of brachial plexus</w:t>
            </w:r>
          </w:p>
          <w:p w:rsidR="00441478" w:rsidRPr="00374E12" w:rsidRDefault="00441478" w:rsidP="00710A21">
            <w:pPr>
              <w:spacing w:line="480" w:lineRule="auto"/>
              <w:rPr>
                <w:sz w:val="20"/>
                <w:szCs w:val="20"/>
              </w:rPr>
            </w:pPr>
          </w:p>
        </w:tc>
        <w:tc>
          <w:tcPr>
            <w:tcW w:w="1417" w:type="dxa"/>
          </w:tcPr>
          <w:p w:rsidR="00441478" w:rsidRPr="00374E12" w:rsidRDefault="00441478" w:rsidP="00710A21">
            <w:pPr>
              <w:spacing w:line="480" w:lineRule="auto"/>
              <w:rPr>
                <w:sz w:val="20"/>
                <w:szCs w:val="20"/>
              </w:rPr>
            </w:pPr>
            <w:r w:rsidRPr="00374E12">
              <w:rPr>
                <w:sz w:val="20"/>
                <w:szCs w:val="20"/>
              </w:rPr>
              <w:t>Increased signal intensities in the cervical roots and proximal segme</w:t>
            </w:r>
            <w:r>
              <w:rPr>
                <w:sz w:val="20"/>
                <w:szCs w:val="20"/>
              </w:rPr>
              <w:t>nts of brachial plexus</w:t>
            </w:r>
          </w:p>
          <w:p w:rsidR="00441478" w:rsidRPr="00374E12" w:rsidRDefault="00441478" w:rsidP="00710A21">
            <w:pPr>
              <w:spacing w:line="480" w:lineRule="auto"/>
              <w:rPr>
                <w:sz w:val="20"/>
                <w:szCs w:val="20"/>
              </w:rPr>
            </w:pPr>
          </w:p>
        </w:tc>
        <w:tc>
          <w:tcPr>
            <w:tcW w:w="1417" w:type="dxa"/>
          </w:tcPr>
          <w:p w:rsidR="00441478" w:rsidRPr="00374E12" w:rsidRDefault="00441478" w:rsidP="00710A21">
            <w:pPr>
              <w:spacing w:line="480" w:lineRule="auto"/>
              <w:rPr>
                <w:sz w:val="20"/>
                <w:szCs w:val="20"/>
              </w:rPr>
            </w:pPr>
            <w:r w:rsidRPr="00374E12">
              <w:rPr>
                <w:sz w:val="20"/>
                <w:szCs w:val="20"/>
              </w:rPr>
              <w:t>Increased signal intensities in the cervical roots and prox</w:t>
            </w:r>
            <w:r>
              <w:rPr>
                <w:sz w:val="20"/>
                <w:szCs w:val="20"/>
              </w:rPr>
              <w:t>imal segments of brachial plexus</w:t>
            </w:r>
          </w:p>
          <w:p w:rsidR="00441478" w:rsidRPr="00374E12" w:rsidRDefault="00441478" w:rsidP="00710A21">
            <w:pPr>
              <w:spacing w:line="480" w:lineRule="auto"/>
              <w:rPr>
                <w:sz w:val="20"/>
                <w:szCs w:val="20"/>
              </w:rPr>
            </w:pPr>
          </w:p>
        </w:tc>
        <w:tc>
          <w:tcPr>
            <w:tcW w:w="1417" w:type="dxa"/>
          </w:tcPr>
          <w:p w:rsidR="00441478" w:rsidRPr="00374E12" w:rsidRDefault="00441478" w:rsidP="00710A21">
            <w:pPr>
              <w:spacing w:line="480" w:lineRule="auto"/>
              <w:rPr>
                <w:sz w:val="20"/>
                <w:szCs w:val="20"/>
              </w:rPr>
            </w:pPr>
            <w:r w:rsidRPr="00374E12">
              <w:rPr>
                <w:sz w:val="20"/>
                <w:szCs w:val="20"/>
              </w:rPr>
              <w:t>Increased signal intensities in the cervical roots and proximal segments of brachial plexus</w:t>
            </w:r>
          </w:p>
          <w:p w:rsidR="00441478" w:rsidRPr="00374E12" w:rsidRDefault="00441478" w:rsidP="00710A21">
            <w:pPr>
              <w:spacing w:line="480" w:lineRule="auto"/>
              <w:rPr>
                <w:sz w:val="20"/>
                <w:szCs w:val="20"/>
              </w:rPr>
            </w:pPr>
          </w:p>
        </w:tc>
        <w:tc>
          <w:tcPr>
            <w:tcW w:w="1417" w:type="dxa"/>
          </w:tcPr>
          <w:p w:rsidR="00441478" w:rsidRPr="00374E12" w:rsidRDefault="00441478" w:rsidP="00710A21">
            <w:pPr>
              <w:spacing w:line="480" w:lineRule="auto"/>
              <w:rPr>
                <w:sz w:val="20"/>
                <w:szCs w:val="20"/>
              </w:rPr>
            </w:pPr>
            <w:r w:rsidRPr="00374E12">
              <w:rPr>
                <w:sz w:val="20"/>
                <w:szCs w:val="20"/>
              </w:rPr>
              <w:t>Increased signal intensities in the cervical roots and proxi</w:t>
            </w:r>
            <w:r>
              <w:rPr>
                <w:sz w:val="20"/>
                <w:szCs w:val="20"/>
              </w:rPr>
              <w:t>mal segments of brachial plexus</w:t>
            </w:r>
          </w:p>
          <w:p w:rsidR="00441478" w:rsidRPr="00374E12" w:rsidRDefault="00441478" w:rsidP="00710A21">
            <w:pPr>
              <w:spacing w:line="480" w:lineRule="auto"/>
              <w:rPr>
                <w:sz w:val="20"/>
                <w:szCs w:val="20"/>
              </w:rPr>
            </w:pPr>
          </w:p>
        </w:tc>
        <w:tc>
          <w:tcPr>
            <w:tcW w:w="1417" w:type="dxa"/>
          </w:tcPr>
          <w:p w:rsidR="00441478" w:rsidRPr="00374E12" w:rsidRDefault="00441478" w:rsidP="00710A21">
            <w:pPr>
              <w:spacing w:line="480" w:lineRule="auto"/>
              <w:rPr>
                <w:sz w:val="20"/>
                <w:szCs w:val="20"/>
              </w:rPr>
            </w:pPr>
            <w:r w:rsidRPr="00374E12">
              <w:rPr>
                <w:sz w:val="20"/>
                <w:szCs w:val="20"/>
              </w:rPr>
              <w:t>Increased signal intensities in the cervical roots and proxi</w:t>
            </w:r>
            <w:r>
              <w:rPr>
                <w:sz w:val="20"/>
                <w:szCs w:val="20"/>
              </w:rPr>
              <w:t>mal segments of brachial plexus</w:t>
            </w:r>
          </w:p>
          <w:p w:rsidR="00441478" w:rsidRPr="00374E12" w:rsidRDefault="00441478" w:rsidP="00710A21">
            <w:pPr>
              <w:spacing w:line="480" w:lineRule="auto"/>
              <w:rPr>
                <w:sz w:val="20"/>
                <w:szCs w:val="20"/>
              </w:rPr>
            </w:pPr>
          </w:p>
        </w:tc>
      </w:tr>
    </w:tbl>
    <w:p w:rsidR="00441478" w:rsidRDefault="00441478" w:rsidP="00441478">
      <w:pPr>
        <w:tabs>
          <w:tab w:val="left" w:pos="12870"/>
        </w:tabs>
        <w:spacing w:line="480" w:lineRule="auto"/>
        <w:ind w:left="720" w:right="-10"/>
        <w:rPr>
          <w:sz w:val="20"/>
          <w:szCs w:val="20"/>
        </w:rPr>
      </w:pPr>
      <w:r w:rsidRPr="00374E12">
        <w:rPr>
          <w:sz w:val="20"/>
          <w:szCs w:val="20"/>
        </w:rPr>
        <w:t>*N.D. – not detected       **MRCT – Motor root conduction time</w:t>
      </w:r>
    </w:p>
    <w:p w:rsidR="00441478" w:rsidRDefault="00441478" w:rsidP="005064D4">
      <w:pPr>
        <w:ind w:left="714"/>
        <w:sectPr w:rsidR="00441478" w:rsidSect="00441478">
          <w:pgSz w:w="16838" w:h="11906" w:orient="landscape"/>
          <w:pgMar w:top="1701" w:right="1418" w:bottom="1134" w:left="1418" w:header="709" w:footer="709" w:gutter="0"/>
          <w:cols w:space="708"/>
          <w:docGrid w:linePitch="360"/>
        </w:sectPr>
      </w:pPr>
    </w:p>
    <w:p w:rsidR="005064D4" w:rsidRDefault="005064D4" w:rsidP="005064D4">
      <w:pPr>
        <w:ind w:left="714"/>
      </w:pPr>
    </w:p>
    <w:p w:rsidR="00441478" w:rsidRDefault="00441478" w:rsidP="00441478">
      <w:pPr>
        <w:spacing w:line="360" w:lineRule="auto"/>
        <w:jc w:val="right"/>
      </w:pPr>
      <w:r w:rsidRPr="00450CBB">
        <w:rPr>
          <w:b/>
        </w:rPr>
        <w:t>Table 2.</w:t>
      </w:r>
      <w:r>
        <w:t xml:space="preserve"> The results od magnetic paravertebral stimulation in patients with MMN (No=9)</w:t>
      </w:r>
    </w:p>
    <w:p w:rsidR="00441478" w:rsidRDefault="00441478" w:rsidP="00441478">
      <w:pPr>
        <w:spacing w:line="360" w:lineRule="auto"/>
        <w:jc w:val="right"/>
      </w:pPr>
    </w:p>
    <w:p w:rsidR="00441478" w:rsidRDefault="00441478" w:rsidP="00441478">
      <w:pPr>
        <w:spacing w:line="360" w:lineRule="auto"/>
        <w:jc w:val="right"/>
      </w:pPr>
    </w:p>
    <w:p w:rsidR="00441478" w:rsidRPr="00CB11EC" w:rsidRDefault="00441478" w:rsidP="00441478">
      <w:pPr>
        <w:rPr>
          <w:b/>
          <w:color w:val="000000"/>
          <w:szCs w:val="28"/>
          <w:shd w:val="clear" w:color="auto" w:fill="FFFFFF"/>
          <w:lang w:val="en-US"/>
        </w:rPr>
      </w:pPr>
    </w:p>
    <w:tbl>
      <w:tblPr>
        <w:tblW w:w="908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
        <w:gridCol w:w="1548"/>
        <w:gridCol w:w="1272"/>
        <w:gridCol w:w="1134"/>
        <w:gridCol w:w="1417"/>
        <w:gridCol w:w="1418"/>
        <w:gridCol w:w="1275"/>
      </w:tblGrid>
      <w:tr w:rsidR="00441478" w:rsidRPr="004F1271" w:rsidTr="00710A21">
        <w:trPr>
          <w:trHeight w:val="260"/>
        </w:trPr>
        <w:tc>
          <w:tcPr>
            <w:tcW w:w="1020" w:type="dxa"/>
            <w:vMerge w:val="restart"/>
            <w:shd w:val="clear" w:color="auto" w:fill="auto"/>
            <w:noWrap/>
            <w:vAlign w:val="bottom"/>
          </w:tcPr>
          <w:p w:rsidR="00441478" w:rsidRPr="004F1271" w:rsidRDefault="00441478" w:rsidP="00710A21">
            <w:pPr>
              <w:spacing w:line="480" w:lineRule="auto"/>
              <w:rPr>
                <w:sz w:val="20"/>
                <w:szCs w:val="20"/>
                <w:lang w:val="en-US"/>
              </w:rPr>
            </w:pPr>
            <w:r w:rsidRPr="004F1271">
              <w:rPr>
                <w:sz w:val="20"/>
                <w:szCs w:val="20"/>
                <w:lang w:val="en-US"/>
              </w:rPr>
              <w:t>Patients</w:t>
            </w:r>
          </w:p>
          <w:p w:rsidR="00441478" w:rsidRPr="004F1271" w:rsidRDefault="00441478" w:rsidP="00710A21">
            <w:pPr>
              <w:spacing w:line="480" w:lineRule="auto"/>
              <w:rPr>
                <w:sz w:val="20"/>
                <w:szCs w:val="20"/>
                <w:lang w:val="en-US"/>
              </w:rPr>
            </w:pPr>
          </w:p>
        </w:tc>
        <w:tc>
          <w:tcPr>
            <w:tcW w:w="1548" w:type="dxa"/>
            <w:vMerge w:val="restart"/>
            <w:shd w:val="clear" w:color="auto" w:fill="auto"/>
            <w:noWrap/>
            <w:vAlign w:val="bottom"/>
          </w:tcPr>
          <w:p w:rsidR="00441478" w:rsidRPr="004F1271" w:rsidRDefault="00441478" w:rsidP="00710A21">
            <w:pPr>
              <w:spacing w:line="480" w:lineRule="auto"/>
              <w:rPr>
                <w:sz w:val="20"/>
                <w:szCs w:val="20"/>
                <w:lang w:val="en-US"/>
              </w:rPr>
            </w:pPr>
            <w:r w:rsidRPr="004F1271">
              <w:rPr>
                <w:sz w:val="20"/>
                <w:szCs w:val="20"/>
                <w:lang w:val="en-US"/>
              </w:rPr>
              <w:t>registration site</w:t>
            </w:r>
          </w:p>
        </w:tc>
        <w:tc>
          <w:tcPr>
            <w:tcW w:w="2406" w:type="dxa"/>
            <w:gridSpan w:val="2"/>
            <w:shd w:val="clear" w:color="auto" w:fill="auto"/>
            <w:noWrap/>
            <w:vAlign w:val="bottom"/>
          </w:tcPr>
          <w:p w:rsidR="00441478" w:rsidRPr="004F1271" w:rsidRDefault="00441478" w:rsidP="00710A21">
            <w:pPr>
              <w:spacing w:line="480" w:lineRule="auto"/>
              <w:jc w:val="center"/>
              <w:rPr>
                <w:sz w:val="20"/>
                <w:szCs w:val="20"/>
                <w:lang w:val="en-US"/>
              </w:rPr>
            </w:pPr>
            <w:r w:rsidRPr="004F1271">
              <w:rPr>
                <w:sz w:val="20"/>
                <w:szCs w:val="20"/>
                <w:lang w:val="en-US"/>
              </w:rPr>
              <w:t>MEP latency</w:t>
            </w:r>
          </w:p>
        </w:tc>
        <w:tc>
          <w:tcPr>
            <w:tcW w:w="1417" w:type="dxa"/>
            <w:shd w:val="clear" w:color="auto" w:fill="auto"/>
            <w:noWrap/>
            <w:vAlign w:val="bottom"/>
          </w:tcPr>
          <w:p w:rsidR="00441478" w:rsidRPr="004F1271" w:rsidRDefault="00441478" w:rsidP="00710A21">
            <w:pPr>
              <w:spacing w:line="480" w:lineRule="auto"/>
              <w:rPr>
                <w:sz w:val="20"/>
                <w:szCs w:val="20"/>
                <w:lang w:val="en-US"/>
              </w:rPr>
            </w:pPr>
          </w:p>
        </w:tc>
        <w:tc>
          <w:tcPr>
            <w:tcW w:w="1418" w:type="dxa"/>
            <w:shd w:val="clear" w:color="auto" w:fill="auto"/>
            <w:noWrap/>
            <w:vAlign w:val="bottom"/>
          </w:tcPr>
          <w:p w:rsidR="00441478" w:rsidRPr="004F1271" w:rsidRDefault="00441478" w:rsidP="00710A21">
            <w:pPr>
              <w:spacing w:line="480" w:lineRule="auto"/>
              <w:rPr>
                <w:sz w:val="20"/>
                <w:szCs w:val="20"/>
                <w:lang w:val="en-US"/>
              </w:rPr>
            </w:pPr>
          </w:p>
        </w:tc>
        <w:tc>
          <w:tcPr>
            <w:tcW w:w="1275" w:type="dxa"/>
            <w:shd w:val="clear" w:color="auto" w:fill="auto"/>
            <w:noWrap/>
            <w:vAlign w:val="bottom"/>
          </w:tcPr>
          <w:p w:rsidR="00441478" w:rsidRPr="004F1271" w:rsidRDefault="00441478" w:rsidP="00710A21">
            <w:pPr>
              <w:spacing w:line="480" w:lineRule="auto"/>
              <w:rPr>
                <w:sz w:val="20"/>
                <w:szCs w:val="20"/>
                <w:lang w:val="en-US"/>
              </w:rPr>
            </w:pPr>
          </w:p>
        </w:tc>
      </w:tr>
      <w:tr w:rsidR="00441478" w:rsidRPr="004F1271" w:rsidTr="00710A21">
        <w:trPr>
          <w:trHeight w:val="260"/>
        </w:trPr>
        <w:tc>
          <w:tcPr>
            <w:tcW w:w="1020" w:type="dxa"/>
            <w:vMerge/>
            <w:shd w:val="clear" w:color="auto" w:fill="auto"/>
            <w:noWrap/>
            <w:vAlign w:val="bottom"/>
          </w:tcPr>
          <w:p w:rsidR="00441478" w:rsidRPr="004F1271" w:rsidRDefault="00441478" w:rsidP="00710A21">
            <w:pPr>
              <w:spacing w:line="480" w:lineRule="auto"/>
              <w:rPr>
                <w:sz w:val="20"/>
                <w:szCs w:val="20"/>
                <w:lang w:val="en-US"/>
              </w:rPr>
            </w:pPr>
          </w:p>
        </w:tc>
        <w:tc>
          <w:tcPr>
            <w:tcW w:w="1548" w:type="dxa"/>
            <w:vMerge/>
            <w:shd w:val="clear" w:color="auto" w:fill="auto"/>
            <w:noWrap/>
            <w:vAlign w:val="bottom"/>
          </w:tcPr>
          <w:p w:rsidR="00441478" w:rsidRPr="004F1271" w:rsidRDefault="00441478" w:rsidP="00710A21">
            <w:pPr>
              <w:spacing w:line="480" w:lineRule="auto"/>
              <w:rPr>
                <w:sz w:val="20"/>
                <w:szCs w:val="20"/>
                <w:lang w:val="en-US"/>
              </w:rPr>
            </w:pPr>
          </w:p>
        </w:tc>
        <w:tc>
          <w:tcPr>
            <w:tcW w:w="1272" w:type="dxa"/>
            <w:shd w:val="clear" w:color="auto" w:fill="auto"/>
            <w:noWrap/>
            <w:vAlign w:val="center"/>
          </w:tcPr>
          <w:p w:rsidR="00441478" w:rsidRPr="004F1271" w:rsidRDefault="00441478" w:rsidP="00710A21">
            <w:pPr>
              <w:spacing w:line="480" w:lineRule="auto"/>
              <w:jc w:val="center"/>
              <w:rPr>
                <w:sz w:val="20"/>
                <w:szCs w:val="20"/>
                <w:lang w:val="en-US"/>
              </w:rPr>
            </w:pPr>
            <w:r>
              <w:rPr>
                <w:sz w:val="20"/>
                <w:szCs w:val="20"/>
                <w:lang w:val="en-US"/>
              </w:rPr>
              <w:t>c</w:t>
            </w:r>
            <w:r w:rsidRPr="004F1271">
              <w:rPr>
                <w:sz w:val="20"/>
                <w:szCs w:val="20"/>
                <w:lang w:val="en-US"/>
              </w:rPr>
              <w:t>ortical</w:t>
            </w:r>
          </w:p>
        </w:tc>
        <w:tc>
          <w:tcPr>
            <w:tcW w:w="1134"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spinal</w:t>
            </w:r>
          </w:p>
        </w:tc>
        <w:tc>
          <w:tcPr>
            <w:tcW w:w="1417"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w:t>
            </w:r>
            <w:r w:rsidRPr="004F1271">
              <w:rPr>
                <w:sz w:val="20"/>
                <w:szCs w:val="20"/>
              </w:rPr>
              <w:t>CMCT</w:t>
            </w:r>
            <w:r>
              <w:rPr>
                <w:sz w:val="20"/>
                <w:szCs w:val="20"/>
              </w:rPr>
              <w:t>-M</w:t>
            </w:r>
          </w:p>
        </w:tc>
        <w:tc>
          <w:tcPr>
            <w:tcW w:w="1418"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CMCT-F</w:t>
            </w:r>
          </w:p>
        </w:tc>
        <w:tc>
          <w:tcPr>
            <w:tcW w:w="1275"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††MRCT</w:t>
            </w:r>
          </w:p>
        </w:tc>
      </w:tr>
      <w:tr w:rsidR="00441478" w:rsidRPr="004F1271" w:rsidTr="00710A21">
        <w:trPr>
          <w:trHeight w:val="260"/>
        </w:trPr>
        <w:tc>
          <w:tcPr>
            <w:tcW w:w="1020" w:type="dxa"/>
            <w:shd w:val="clear" w:color="auto" w:fill="auto"/>
            <w:noWrap/>
            <w:vAlign w:val="bottom"/>
          </w:tcPr>
          <w:p w:rsidR="00441478" w:rsidRPr="004F1271" w:rsidRDefault="00441478" w:rsidP="00710A21">
            <w:pPr>
              <w:spacing w:line="480" w:lineRule="auto"/>
              <w:rPr>
                <w:sz w:val="20"/>
                <w:szCs w:val="20"/>
                <w:lang w:val="en-US"/>
              </w:rPr>
            </w:pPr>
            <w:r w:rsidRPr="004F1271">
              <w:rPr>
                <w:sz w:val="20"/>
                <w:szCs w:val="20"/>
                <w:lang w:val="en-US"/>
              </w:rPr>
              <w:t>No. 1</w:t>
            </w:r>
          </w:p>
        </w:tc>
        <w:tc>
          <w:tcPr>
            <w:tcW w:w="1548" w:type="dxa"/>
            <w:shd w:val="clear" w:color="auto" w:fill="auto"/>
            <w:noWrap/>
            <w:vAlign w:val="bottom"/>
          </w:tcPr>
          <w:p w:rsidR="00441478" w:rsidRPr="004F1271" w:rsidRDefault="00441478" w:rsidP="00710A21">
            <w:pPr>
              <w:spacing w:line="480" w:lineRule="auto"/>
              <w:rPr>
                <w:sz w:val="20"/>
                <w:szCs w:val="20"/>
                <w:lang w:val="en-US"/>
              </w:rPr>
            </w:pPr>
            <w:r w:rsidRPr="004F1271">
              <w:rPr>
                <w:sz w:val="20"/>
                <w:szCs w:val="20"/>
                <w:lang w:val="en-US"/>
              </w:rPr>
              <w:t>median right</w:t>
            </w:r>
          </w:p>
        </w:tc>
        <w:tc>
          <w:tcPr>
            <w:tcW w:w="1272"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30.75</w:t>
            </w:r>
          </w:p>
        </w:tc>
        <w:tc>
          <w:tcPr>
            <w:tcW w:w="1134"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19.03</w:t>
            </w:r>
          </w:p>
        </w:tc>
        <w:tc>
          <w:tcPr>
            <w:tcW w:w="1417"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9.64</w:t>
            </w:r>
          </w:p>
        </w:tc>
        <w:tc>
          <w:tcPr>
            <w:tcW w:w="1418"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4.74</w:t>
            </w:r>
          </w:p>
        </w:tc>
        <w:tc>
          <w:tcPr>
            <w:tcW w:w="1275"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4.73*</w:t>
            </w:r>
          </w:p>
        </w:tc>
      </w:tr>
      <w:tr w:rsidR="00441478" w:rsidRPr="004F1271" w:rsidTr="00710A21">
        <w:trPr>
          <w:trHeight w:val="260"/>
        </w:trPr>
        <w:tc>
          <w:tcPr>
            <w:tcW w:w="1020" w:type="dxa"/>
            <w:shd w:val="clear" w:color="auto" w:fill="auto"/>
            <w:noWrap/>
            <w:vAlign w:val="bottom"/>
          </w:tcPr>
          <w:p w:rsidR="00441478" w:rsidRPr="004F1271" w:rsidRDefault="00441478" w:rsidP="00710A21">
            <w:pPr>
              <w:spacing w:line="480" w:lineRule="auto"/>
              <w:rPr>
                <w:sz w:val="20"/>
                <w:szCs w:val="20"/>
                <w:lang w:val="en-US"/>
              </w:rPr>
            </w:pPr>
          </w:p>
        </w:tc>
        <w:tc>
          <w:tcPr>
            <w:tcW w:w="1548" w:type="dxa"/>
            <w:shd w:val="clear" w:color="auto" w:fill="auto"/>
            <w:noWrap/>
            <w:vAlign w:val="bottom"/>
          </w:tcPr>
          <w:p w:rsidR="00441478" w:rsidRPr="004F1271" w:rsidRDefault="00441478" w:rsidP="00710A21">
            <w:pPr>
              <w:spacing w:line="480" w:lineRule="auto"/>
              <w:rPr>
                <w:sz w:val="20"/>
                <w:szCs w:val="20"/>
                <w:lang w:val="en-US"/>
              </w:rPr>
            </w:pPr>
            <w:r w:rsidRPr="004F1271">
              <w:rPr>
                <w:sz w:val="20"/>
                <w:szCs w:val="20"/>
                <w:lang w:val="en-US"/>
              </w:rPr>
              <w:t>ulnar right</w:t>
            </w:r>
          </w:p>
        </w:tc>
        <w:tc>
          <w:tcPr>
            <w:tcW w:w="1272"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27.63</w:t>
            </w:r>
          </w:p>
        </w:tc>
        <w:tc>
          <w:tcPr>
            <w:tcW w:w="1134"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20.64</w:t>
            </w:r>
          </w:p>
        </w:tc>
        <w:tc>
          <w:tcPr>
            <w:tcW w:w="1417"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6.99</w:t>
            </w:r>
          </w:p>
        </w:tc>
        <w:tc>
          <w:tcPr>
            <w:tcW w:w="1418"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5.57</w:t>
            </w:r>
          </w:p>
        </w:tc>
        <w:tc>
          <w:tcPr>
            <w:tcW w:w="1275"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1.42</w:t>
            </w:r>
          </w:p>
        </w:tc>
      </w:tr>
      <w:tr w:rsidR="00441478" w:rsidRPr="004F1271" w:rsidTr="00710A21">
        <w:trPr>
          <w:trHeight w:val="260"/>
        </w:trPr>
        <w:tc>
          <w:tcPr>
            <w:tcW w:w="1020" w:type="dxa"/>
            <w:shd w:val="clear" w:color="auto" w:fill="auto"/>
            <w:noWrap/>
            <w:vAlign w:val="bottom"/>
          </w:tcPr>
          <w:p w:rsidR="00441478" w:rsidRPr="004F1271" w:rsidRDefault="00441478" w:rsidP="00710A21">
            <w:pPr>
              <w:spacing w:line="480" w:lineRule="auto"/>
              <w:rPr>
                <w:sz w:val="20"/>
                <w:szCs w:val="20"/>
                <w:lang w:val="en-US"/>
              </w:rPr>
            </w:pPr>
            <w:r w:rsidRPr="004F1271">
              <w:rPr>
                <w:sz w:val="20"/>
                <w:szCs w:val="20"/>
                <w:lang w:val="en-US"/>
              </w:rPr>
              <w:t>No. 2</w:t>
            </w:r>
          </w:p>
        </w:tc>
        <w:tc>
          <w:tcPr>
            <w:tcW w:w="1548" w:type="dxa"/>
            <w:shd w:val="clear" w:color="auto" w:fill="auto"/>
            <w:noWrap/>
            <w:vAlign w:val="bottom"/>
          </w:tcPr>
          <w:p w:rsidR="00441478" w:rsidRPr="004F1271" w:rsidRDefault="00441478" w:rsidP="00710A21">
            <w:pPr>
              <w:spacing w:line="480" w:lineRule="auto"/>
              <w:rPr>
                <w:sz w:val="20"/>
                <w:szCs w:val="20"/>
                <w:lang w:val="en-US"/>
              </w:rPr>
            </w:pPr>
            <w:r w:rsidRPr="004F1271">
              <w:rPr>
                <w:sz w:val="20"/>
                <w:szCs w:val="20"/>
                <w:lang w:val="en-US"/>
              </w:rPr>
              <w:t>median right</w:t>
            </w:r>
          </w:p>
        </w:tc>
        <w:tc>
          <w:tcPr>
            <w:tcW w:w="1272"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32.3</w:t>
            </w:r>
          </w:p>
        </w:tc>
        <w:tc>
          <w:tcPr>
            <w:tcW w:w="1134"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17.02</w:t>
            </w:r>
          </w:p>
        </w:tc>
        <w:tc>
          <w:tcPr>
            <w:tcW w:w="1417"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15.28</w:t>
            </w:r>
          </w:p>
        </w:tc>
        <w:tc>
          <w:tcPr>
            <w:tcW w:w="1418"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7.54</w:t>
            </w:r>
          </w:p>
        </w:tc>
        <w:tc>
          <w:tcPr>
            <w:tcW w:w="1275"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7.74*</w:t>
            </w:r>
          </w:p>
        </w:tc>
      </w:tr>
      <w:tr w:rsidR="00441478" w:rsidRPr="004F1271" w:rsidTr="00710A21">
        <w:trPr>
          <w:trHeight w:val="260"/>
        </w:trPr>
        <w:tc>
          <w:tcPr>
            <w:tcW w:w="1020" w:type="dxa"/>
            <w:shd w:val="clear" w:color="auto" w:fill="auto"/>
            <w:noWrap/>
            <w:vAlign w:val="bottom"/>
          </w:tcPr>
          <w:p w:rsidR="00441478" w:rsidRPr="004F1271" w:rsidRDefault="00441478" w:rsidP="00710A21">
            <w:pPr>
              <w:spacing w:line="480" w:lineRule="auto"/>
              <w:rPr>
                <w:sz w:val="20"/>
                <w:szCs w:val="20"/>
                <w:lang w:val="en-US"/>
              </w:rPr>
            </w:pPr>
          </w:p>
        </w:tc>
        <w:tc>
          <w:tcPr>
            <w:tcW w:w="1548" w:type="dxa"/>
            <w:shd w:val="clear" w:color="auto" w:fill="auto"/>
            <w:noWrap/>
            <w:vAlign w:val="bottom"/>
          </w:tcPr>
          <w:p w:rsidR="00441478" w:rsidRPr="004F1271" w:rsidRDefault="00441478" w:rsidP="00710A21">
            <w:pPr>
              <w:spacing w:line="480" w:lineRule="auto"/>
              <w:rPr>
                <w:sz w:val="20"/>
                <w:szCs w:val="20"/>
                <w:lang w:val="en-US"/>
              </w:rPr>
            </w:pPr>
            <w:r w:rsidRPr="004F1271">
              <w:rPr>
                <w:sz w:val="20"/>
                <w:szCs w:val="20"/>
                <w:lang w:val="en-US"/>
              </w:rPr>
              <w:t>ulnar right</w:t>
            </w:r>
          </w:p>
        </w:tc>
        <w:tc>
          <w:tcPr>
            <w:tcW w:w="1272"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31.02</w:t>
            </w:r>
          </w:p>
        </w:tc>
        <w:tc>
          <w:tcPr>
            <w:tcW w:w="1134"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21.51</w:t>
            </w:r>
          </w:p>
        </w:tc>
        <w:tc>
          <w:tcPr>
            <w:tcW w:w="1417"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9.51</w:t>
            </w:r>
          </w:p>
        </w:tc>
        <w:tc>
          <w:tcPr>
            <w:tcW w:w="1418"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7.82</w:t>
            </w:r>
          </w:p>
        </w:tc>
        <w:tc>
          <w:tcPr>
            <w:tcW w:w="1275"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1.69</w:t>
            </w:r>
          </w:p>
        </w:tc>
      </w:tr>
      <w:tr w:rsidR="00441478" w:rsidRPr="004F1271" w:rsidTr="00710A21">
        <w:trPr>
          <w:trHeight w:val="260"/>
        </w:trPr>
        <w:tc>
          <w:tcPr>
            <w:tcW w:w="1020" w:type="dxa"/>
            <w:shd w:val="clear" w:color="auto" w:fill="auto"/>
            <w:noWrap/>
            <w:vAlign w:val="bottom"/>
          </w:tcPr>
          <w:p w:rsidR="00441478" w:rsidRPr="004F1271" w:rsidRDefault="00441478" w:rsidP="00710A21">
            <w:pPr>
              <w:spacing w:line="480" w:lineRule="auto"/>
              <w:rPr>
                <w:sz w:val="20"/>
                <w:szCs w:val="20"/>
                <w:lang w:val="en-US"/>
              </w:rPr>
            </w:pPr>
          </w:p>
        </w:tc>
        <w:tc>
          <w:tcPr>
            <w:tcW w:w="1548" w:type="dxa"/>
            <w:shd w:val="clear" w:color="auto" w:fill="auto"/>
            <w:noWrap/>
            <w:vAlign w:val="bottom"/>
          </w:tcPr>
          <w:p w:rsidR="00441478" w:rsidRPr="004F1271" w:rsidRDefault="00441478" w:rsidP="00710A21">
            <w:pPr>
              <w:spacing w:line="480" w:lineRule="auto"/>
              <w:rPr>
                <w:sz w:val="20"/>
                <w:szCs w:val="20"/>
                <w:lang w:val="en-US"/>
              </w:rPr>
            </w:pPr>
            <w:r w:rsidRPr="004F1271">
              <w:rPr>
                <w:sz w:val="20"/>
                <w:szCs w:val="20"/>
                <w:lang w:val="en-US"/>
              </w:rPr>
              <w:t>median left</w:t>
            </w:r>
          </w:p>
        </w:tc>
        <w:tc>
          <w:tcPr>
            <w:tcW w:w="1272"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25.05</w:t>
            </w:r>
          </w:p>
        </w:tc>
        <w:tc>
          <w:tcPr>
            <w:tcW w:w="1134"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17.39</w:t>
            </w:r>
          </w:p>
        </w:tc>
        <w:tc>
          <w:tcPr>
            <w:tcW w:w="1417"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7.66</w:t>
            </w:r>
          </w:p>
        </w:tc>
        <w:tc>
          <w:tcPr>
            <w:tcW w:w="1418"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5.82</w:t>
            </w:r>
          </w:p>
        </w:tc>
        <w:tc>
          <w:tcPr>
            <w:tcW w:w="1275"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1.84</w:t>
            </w:r>
          </w:p>
        </w:tc>
      </w:tr>
      <w:tr w:rsidR="00441478" w:rsidRPr="004F1271" w:rsidTr="00710A21">
        <w:trPr>
          <w:trHeight w:val="260"/>
        </w:trPr>
        <w:tc>
          <w:tcPr>
            <w:tcW w:w="1020" w:type="dxa"/>
            <w:shd w:val="clear" w:color="auto" w:fill="auto"/>
            <w:noWrap/>
            <w:vAlign w:val="bottom"/>
          </w:tcPr>
          <w:p w:rsidR="00441478" w:rsidRPr="004F1271" w:rsidRDefault="00441478" w:rsidP="00710A21">
            <w:pPr>
              <w:spacing w:line="480" w:lineRule="auto"/>
              <w:rPr>
                <w:sz w:val="20"/>
                <w:szCs w:val="20"/>
                <w:lang w:val="en-US"/>
              </w:rPr>
            </w:pPr>
          </w:p>
        </w:tc>
        <w:tc>
          <w:tcPr>
            <w:tcW w:w="1548" w:type="dxa"/>
            <w:shd w:val="clear" w:color="auto" w:fill="auto"/>
            <w:noWrap/>
            <w:vAlign w:val="bottom"/>
          </w:tcPr>
          <w:p w:rsidR="00441478" w:rsidRPr="004F1271" w:rsidRDefault="00441478" w:rsidP="00710A21">
            <w:pPr>
              <w:spacing w:line="480" w:lineRule="auto"/>
              <w:rPr>
                <w:sz w:val="20"/>
                <w:szCs w:val="20"/>
                <w:lang w:val="en-US"/>
              </w:rPr>
            </w:pPr>
            <w:r w:rsidRPr="004F1271">
              <w:rPr>
                <w:sz w:val="20"/>
                <w:szCs w:val="20"/>
                <w:lang w:val="en-US"/>
              </w:rPr>
              <w:t>ulnar left</w:t>
            </w:r>
          </w:p>
        </w:tc>
        <w:tc>
          <w:tcPr>
            <w:tcW w:w="1272"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28.07</w:t>
            </w:r>
          </w:p>
        </w:tc>
        <w:tc>
          <w:tcPr>
            <w:tcW w:w="1134"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20.16</w:t>
            </w:r>
          </w:p>
        </w:tc>
        <w:tc>
          <w:tcPr>
            <w:tcW w:w="1417"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7.91</w:t>
            </w:r>
          </w:p>
        </w:tc>
        <w:tc>
          <w:tcPr>
            <w:tcW w:w="1418"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5.87</w:t>
            </w:r>
          </w:p>
        </w:tc>
        <w:tc>
          <w:tcPr>
            <w:tcW w:w="1275" w:type="dxa"/>
            <w:shd w:val="clear" w:color="auto" w:fill="auto"/>
            <w:noWrap/>
            <w:vAlign w:val="center"/>
          </w:tcPr>
          <w:p w:rsidR="00441478" w:rsidRPr="004F1271" w:rsidRDefault="00441478" w:rsidP="00710A21">
            <w:pPr>
              <w:spacing w:line="480" w:lineRule="auto"/>
              <w:jc w:val="center"/>
              <w:rPr>
                <w:sz w:val="20"/>
                <w:szCs w:val="20"/>
                <w:lang w:val="en-US"/>
              </w:rPr>
            </w:pPr>
            <w:r w:rsidRPr="004F1271">
              <w:rPr>
                <w:sz w:val="20"/>
                <w:szCs w:val="20"/>
                <w:lang w:val="en-US"/>
              </w:rPr>
              <w:t>2.04</w:t>
            </w:r>
          </w:p>
        </w:tc>
      </w:tr>
      <w:tr w:rsidR="00441478" w:rsidRPr="004F1271" w:rsidTr="00710A21">
        <w:trPr>
          <w:trHeight w:val="260"/>
        </w:trPr>
        <w:tc>
          <w:tcPr>
            <w:tcW w:w="1020" w:type="dxa"/>
            <w:shd w:val="clear" w:color="auto" w:fill="auto"/>
            <w:noWrap/>
            <w:vAlign w:val="bottom"/>
          </w:tcPr>
          <w:p w:rsidR="00441478" w:rsidRPr="004F1271" w:rsidRDefault="00441478" w:rsidP="00710A21">
            <w:pPr>
              <w:spacing w:line="480" w:lineRule="auto"/>
              <w:rPr>
                <w:sz w:val="20"/>
                <w:szCs w:val="20"/>
                <w:lang w:val="en-US"/>
              </w:rPr>
            </w:pPr>
            <w:r w:rsidRPr="004F1271">
              <w:rPr>
                <w:sz w:val="20"/>
                <w:szCs w:val="20"/>
                <w:lang w:val="en-US"/>
              </w:rPr>
              <w:t>No. 7</w:t>
            </w:r>
          </w:p>
        </w:tc>
        <w:tc>
          <w:tcPr>
            <w:tcW w:w="1548" w:type="dxa"/>
            <w:shd w:val="clear" w:color="auto" w:fill="auto"/>
            <w:noWrap/>
            <w:vAlign w:val="bottom"/>
          </w:tcPr>
          <w:p w:rsidR="00441478" w:rsidRPr="004F1271" w:rsidRDefault="00441478" w:rsidP="00710A21">
            <w:pPr>
              <w:spacing w:line="480" w:lineRule="auto"/>
              <w:rPr>
                <w:sz w:val="20"/>
                <w:szCs w:val="20"/>
                <w:lang w:val="en-US"/>
              </w:rPr>
            </w:pPr>
            <w:r w:rsidRPr="004F1271">
              <w:rPr>
                <w:sz w:val="20"/>
                <w:szCs w:val="20"/>
                <w:lang w:val="en-US"/>
              </w:rPr>
              <w:t>median right</w:t>
            </w:r>
          </w:p>
        </w:tc>
        <w:tc>
          <w:tcPr>
            <w:tcW w:w="1272" w:type="dxa"/>
            <w:shd w:val="clear" w:color="auto" w:fill="auto"/>
            <w:vAlign w:val="center"/>
          </w:tcPr>
          <w:p w:rsidR="00441478" w:rsidRPr="004F1271" w:rsidRDefault="00441478" w:rsidP="00710A21">
            <w:pPr>
              <w:spacing w:line="480" w:lineRule="auto"/>
              <w:jc w:val="center"/>
              <w:rPr>
                <w:sz w:val="20"/>
                <w:szCs w:val="20"/>
                <w:lang w:val="en-US"/>
              </w:rPr>
            </w:pPr>
            <w:r w:rsidRPr="004F1271">
              <w:rPr>
                <w:sz w:val="20"/>
                <w:szCs w:val="20"/>
                <w:lang w:val="en-US"/>
              </w:rPr>
              <w:t>23.41</w:t>
            </w:r>
          </w:p>
        </w:tc>
        <w:tc>
          <w:tcPr>
            <w:tcW w:w="1134" w:type="dxa"/>
            <w:shd w:val="clear" w:color="auto" w:fill="auto"/>
            <w:vAlign w:val="center"/>
          </w:tcPr>
          <w:p w:rsidR="00441478" w:rsidRPr="004F1271" w:rsidRDefault="00441478" w:rsidP="00710A21">
            <w:pPr>
              <w:spacing w:line="480" w:lineRule="auto"/>
              <w:jc w:val="center"/>
              <w:rPr>
                <w:sz w:val="20"/>
                <w:szCs w:val="20"/>
                <w:lang w:val="en-US"/>
              </w:rPr>
            </w:pPr>
            <w:r w:rsidRPr="004F1271">
              <w:rPr>
                <w:sz w:val="20"/>
                <w:szCs w:val="20"/>
                <w:lang w:val="en-US"/>
              </w:rPr>
              <w:t>15.08</w:t>
            </w:r>
          </w:p>
        </w:tc>
        <w:tc>
          <w:tcPr>
            <w:tcW w:w="1417" w:type="dxa"/>
            <w:shd w:val="clear" w:color="auto" w:fill="auto"/>
            <w:vAlign w:val="center"/>
          </w:tcPr>
          <w:p w:rsidR="00441478" w:rsidRPr="004F1271" w:rsidRDefault="00441478" w:rsidP="00710A21">
            <w:pPr>
              <w:spacing w:line="480" w:lineRule="auto"/>
              <w:jc w:val="center"/>
              <w:rPr>
                <w:sz w:val="20"/>
                <w:szCs w:val="20"/>
                <w:lang w:val="en-US"/>
              </w:rPr>
            </w:pPr>
            <w:r w:rsidRPr="004F1271">
              <w:rPr>
                <w:sz w:val="20"/>
                <w:szCs w:val="20"/>
                <w:lang w:val="en-US"/>
              </w:rPr>
              <w:t>8.33</w:t>
            </w:r>
          </w:p>
        </w:tc>
        <w:tc>
          <w:tcPr>
            <w:tcW w:w="1418" w:type="dxa"/>
            <w:shd w:val="clear" w:color="auto" w:fill="auto"/>
            <w:vAlign w:val="center"/>
          </w:tcPr>
          <w:p w:rsidR="00441478" w:rsidRPr="004F1271" w:rsidRDefault="00441478" w:rsidP="00710A21">
            <w:pPr>
              <w:spacing w:line="480" w:lineRule="auto"/>
              <w:jc w:val="center"/>
              <w:rPr>
                <w:sz w:val="20"/>
                <w:szCs w:val="20"/>
                <w:lang w:val="en-US"/>
              </w:rPr>
            </w:pPr>
            <w:r w:rsidRPr="004F1271">
              <w:rPr>
                <w:sz w:val="20"/>
                <w:szCs w:val="20"/>
                <w:lang w:val="en-US"/>
              </w:rPr>
              <w:t>5.29</w:t>
            </w:r>
          </w:p>
        </w:tc>
        <w:tc>
          <w:tcPr>
            <w:tcW w:w="1275" w:type="dxa"/>
            <w:shd w:val="clear" w:color="auto" w:fill="auto"/>
            <w:vAlign w:val="center"/>
          </w:tcPr>
          <w:p w:rsidR="00441478" w:rsidRPr="004F1271" w:rsidRDefault="00441478" w:rsidP="00710A21">
            <w:pPr>
              <w:spacing w:line="480" w:lineRule="auto"/>
              <w:jc w:val="center"/>
              <w:rPr>
                <w:sz w:val="20"/>
                <w:szCs w:val="20"/>
                <w:lang w:val="en-US"/>
              </w:rPr>
            </w:pPr>
            <w:r w:rsidRPr="004F1271">
              <w:rPr>
                <w:sz w:val="20"/>
                <w:szCs w:val="20"/>
                <w:lang w:val="en-US"/>
              </w:rPr>
              <w:t>3.05*</w:t>
            </w:r>
          </w:p>
        </w:tc>
      </w:tr>
    </w:tbl>
    <w:p w:rsidR="00441478" w:rsidRPr="00794A30" w:rsidRDefault="00441478" w:rsidP="00441478">
      <w:pPr>
        <w:spacing w:line="480" w:lineRule="auto"/>
        <w:rPr>
          <w:color w:val="000000"/>
          <w:szCs w:val="28"/>
          <w:shd w:val="clear" w:color="auto" w:fill="FFFFFF"/>
          <w:lang w:val="en-US"/>
        </w:rPr>
      </w:pPr>
    </w:p>
    <w:p w:rsidR="00441478" w:rsidRDefault="00441478" w:rsidP="00441478">
      <w:r w:rsidRPr="00CB11EC">
        <w:t xml:space="preserve">All values represent the absolute/relative latences of evoked responses expressed in msec. </w:t>
      </w:r>
    </w:p>
    <w:p w:rsidR="00441478" w:rsidRDefault="00441478" w:rsidP="00441478"/>
    <w:p w:rsidR="00441478" w:rsidRDefault="00441478" w:rsidP="00441478">
      <w:r>
        <w:rPr>
          <w:sz w:val="22"/>
          <w:szCs w:val="22"/>
          <w:lang w:val="en-US"/>
        </w:rPr>
        <w:t>‡</w:t>
      </w:r>
      <w:r w:rsidRPr="00CB11EC">
        <w:t xml:space="preserve">CMCT=central motor conduction time, </w:t>
      </w:r>
    </w:p>
    <w:p w:rsidR="00441478" w:rsidRPr="00CB11EC" w:rsidRDefault="00441478" w:rsidP="00441478">
      <w:r>
        <w:rPr>
          <w:sz w:val="20"/>
          <w:lang w:val="en-US"/>
        </w:rPr>
        <w:t>††</w:t>
      </w:r>
      <w:r w:rsidRPr="00CB11EC">
        <w:t>MRCT= motor root conduction time. Prolonged MRCT indicates by asterixes.</w:t>
      </w:r>
    </w:p>
    <w:p w:rsidR="005064D4" w:rsidRDefault="005064D4" w:rsidP="00441478"/>
    <w:p w:rsidR="005064D4" w:rsidRDefault="005064D4" w:rsidP="005064D4">
      <w:pPr>
        <w:spacing w:line="480" w:lineRule="auto"/>
        <w:rPr>
          <w:lang w:val="en-US"/>
        </w:rPr>
      </w:pPr>
    </w:p>
    <w:p w:rsidR="005064D4" w:rsidRDefault="005064D4" w:rsidP="005064D4">
      <w:pPr>
        <w:spacing w:line="480" w:lineRule="auto"/>
        <w:rPr>
          <w:lang w:val="en-US"/>
        </w:rPr>
      </w:pPr>
    </w:p>
    <w:p w:rsidR="005064D4" w:rsidRDefault="005064D4" w:rsidP="005064D4">
      <w:pPr>
        <w:spacing w:line="480" w:lineRule="auto"/>
        <w:rPr>
          <w:lang w:val="en-US"/>
        </w:rPr>
      </w:pPr>
    </w:p>
    <w:p w:rsidR="005064D4" w:rsidRDefault="005064D4" w:rsidP="005064D4">
      <w:pPr>
        <w:spacing w:line="480" w:lineRule="auto"/>
        <w:rPr>
          <w:lang w:val="en-US"/>
        </w:rPr>
      </w:pPr>
    </w:p>
    <w:p w:rsidR="005064D4" w:rsidRDefault="005064D4" w:rsidP="005064D4">
      <w:pPr>
        <w:spacing w:line="480" w:lineRule="auto"/>
        <w:rPr>
          <w:lang w:val="en-US"/>
        </w:rPr>
      </w:pPr>
    </w:p>
    <w:p w:rsidR="005064D4" w:rsidRDefault="005064D4" w:rsidP="005064D4">
      <w:pPr>
        <w:spacing w:line="480" w:lineRule="auto"/>
        <w:rPr>
          <w:lang w:val="en-US"/>
        </w:rPr>
      </w:pPr>
    </w:p>
    <w:p w:rsidR="005064D4" w:rsidRDefault="005064D4" w:rsidP="005064D4">
      <w:pPr>
        <w:spacing w:line="480" w:lineRule="auto"/>
        <w:rPr>
          <w:lang w:val="en-US"/>
        </w:rPr>
      </w:pPr>
    </w:p>
    <w:p w:rsidR="005064D4" w:rsidRDefault="005064D4" w:rsidP="005064D4">
      <w:pPr>
        <w:spacing w:line="480" w:lineRule="auto"/>
        <w:rPr>
          <w:lang w:val="en-US"/>
        </w:rPr>
      </w:pPr>
    </w:p>
    <w:p w:rsidR="005064D4" w:rsidRDefault="005064D4" w:rsidP="005064D4">
      <w:pPr>
        <w:spacing w:line="480" w:lineRule="auto"/>
        <w:rPr>
          <w:lang w:val="en-US"/>
        </w:rPr>
      </w:pPr>
    </w:p>
    <w:p w:rsidR="005064D4" w:rsidRDefault="005064D4" w:rsidP="005064D4">
      <w:pPr>
        <w:spacing w:line="480" w:lineRule="auto"/>
        <w:rPr>
          <w:lang w:val="en-US"/>
        </w:rPr>
      </w:pPr>
    </w:p>
    <w:p w:rsidR="005064D4" w:rsidRDefault="005064D4" w:rsidP="005064D4">
      <w:pPr>
        <w:spacing w:line="480" w:lineRule="auto"/>
        <w:rPr>
          <w:lang w:val="en-US"/>
        </w:rPr>
      </w:pPr>
    </w:p>
    <w:p w:rsidR="005064D4" w:rsidRPr="007A4649" w:rsidRDefault="005064D4" w:rsidP="005064D4">
      <w:pPr>
        <w:spacing w:line="480" w:lineRule="auto"/>
      </w:pPr>
      <w:r w:rsidRPr="007A4649">
        <w:rPr>
          <w:lang w:val="en-US"/>
        </w:rPr>
        <w:t>Fig. 1 - Typical presentation at the onset of the disease with asymmetric finger extensor weakness (Patient No 8). Different degree of finger drop (III and IV finger) implies differential conduction block in the terminal motor branches of the posterior interosseous nerve.</w:t>
      </w:r>
    </w:p>
    <w:p w:rsidR="005064D4" w:rsidRDefault="005064D4" w:rsidP="005064D4">
      <w:pPr>
        <w:ind w:left="714"/>
      </w:pPr>
    </w:p>
    <w:p w:rsidR="005064D4" w:rsidRDefault="005064D4" w:rsidP="005064D4">
      <w:pPr>
        <w:ind w:left="714"/>
      </w:pPr>
      <w:r w:rsidRPr="005064D4">
        <w:object w:dxaOrig="9101" w:dyaOrig="5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288.75pt" o:ole="">
            <v:imagedata r:id="rId12" o:title=""/>
          </v:shape>
          <o:OLEObject Type="Embed" ProgID="Word.Document.12" ShapeID="_x0000_i1025" DrawAspect="Content" ObjectID="_1425141649" r:id="rId13"/>
        </w:object>
      </w:r>
    </w:p>
    <w:p w:rsidR="005064D4" w:rsidRDefault="005064D4" w:rsidP="005064D4">
      <w:pPr>
        <w:ind w:left="714"/>
      </w:pPr>
    </w:p>
    <w:p w:rsidR="005064D4" w:rsidRDefault="005064D4" w:rsidP="005064D4">
      <w:pPr>
        <w:spacing w:line="480" w:lineRule="auto"/>
      </w:pPr>
      <w:r>
        <w:t>Fig. 2</w:t>
      </w:r>
      <w:r w:rsidRPr="00741BF9">
        <w:t xml:space="preserve"> </w:t>
      </w:r>
      <w:r>
        <w:t>-</w:t>
      </w:r>
      <w:r w:rsidRPr="00741BF9">
        <w:t xml:space="preserve"> </w:t>
      </w:r>
      <w:r>
        <w:t xml:space="preserve">T2 FS </w:t>
      </w:r>
      <w:r w:rsidRPr="00754BF8">
        <w:t>sequence MRI</w:t>
      </w:r>
      <w:r>
        <w:t xml:space="preserve"> </w:t>
      </w:r>
      <w:r w:rsidRPr="00754BF8">
        <w:t>show focal increased</w:t>
      </w:r>
      <w:r w:rsidRPr="00741BF9">
        <w:t xml:space="preserve"> signal intensity lesions of plexus brachialis in patient with MMN (</w:t>
      </w:r>
      <w:r>
        <w:t xml:space="preserve">Patient </w:t>
      </w:r>
      <w:r w:rsidRPr="00741BF9">
        <w:t>No 2)</w:t>
      </w:r>
      <w:r>
        <w:t xml:space="preserve"> </w:t>
      </w:r>
    </w:p>
    <w:p w:rsidR="005064D4" w:rsidRDefault="005064D4" w:rsidP="005064D4">
      <w:pPr>
        <w:ind w:left="714"/>
      </w:pPr>
    </w:p>
    <w:p w:rsidR="005064D4" w:rsidRDefault="005064D4" w:rsidP="005064D4">
      <w:pPr>
        <w:ind w:left="714"/>
      </w:pPr>
    </w:p>
    <w:p w:rsidR="005064D4" w:rsidRDefault="005064D4" w:rsidP="005064D4">
      <w:pPr>
        <w:ind w:left="714"/>
      </w:pPr>
    </w:p>
    <w:p w:rsidR="005064D4" w:rsidRDefault="005064D4" w:rsidP="005064D4">
      <w:pPr>
        <w:ind w:left="714"/>
        <w:rPr>
          <w:snapToGrid w:val="0"/>
          <w:color w:val="000000"/>
          <w:w w:val="0"/>
          <w:sz w:val="0"/>
          <w:szCs w:val="0"/>
          <w:u w:color="000000"/>
          <w:bdr w:val="none" w:sz="0" w:space="0" w:color="000000"/>
          <w:shd w:val="clear" w:color="000000" w:fill="000000"/>
        </w:rPr>
      </w:pPr>
    </w:p>
    <w:p w:rsidR="005064D4" w:rsidRDefault="005064D4" w:rsidP="005064D4">
      <w:pPr>
        <w:ind w:left="714"/>
      </w:pPr>
      <w:r>
        <w:drawing>
          <wp:inline distT="0" distB="0" distL="0" distR="0">
            <wp:extent cx="2266950" cy="1838325"/>
            <wp:effectExtent l="19050" t="0" r="0" b="0"/>
            <wp:docPr id="11" name="Picture 11" descr="J:\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Fig. 2.jpg"/>
                    <pic:cNvPicPr>
                      <a:picLocks noChangeAspect="1" noChangeArrowheads="1"/>
                    </pic:cNvPicPr>
                  </pic:nvPicPr>
                  <pic:blipFill>
                    <a:blip r:embed="rId14"/>
                    <a:srcRect/>
                    <a:stretch>
                      <a:fillRect/>
                    </a:stretch>
                  </pic:blipFill>
                  <pic:spPr bwMode="auto">
                    <a:xfrm>
                      <a:off x="0" y="0"/>
                      <a:ext cx="2266950" cy="1838325"/>
                    </a:xfrm>
                    <a:prstGeom prst="rect">
                      <a:avLst/>
                    </a:prstGeom>
                    <a:noFill/>
                    <a:ln w="9525">
                      <a:noFill/>
                      <a:miter lim="800000"/>
                      <a:headEnd/>
                      <a:tailEnd/>
                    </a:ln>
                  </pic:spPr>
                </pic:pic>
              </a:graphicData>
            </a:graphic>
          </wp:inline>
        </w:drawing>
      </w:r>
    </w:p>
    <w:p w:rsidR="005064D4" w:rsidRDefault="005064D4" w:rsidP="005064D4">
      <w:pPr>
        <w:ind w:left="714"/>
      </w:pPr>
    </w:p>
    <w:p w:rsidR="005064D4" w:rsidRPr="000A07CE" w:rsidRDefault="005064D4" w:rsidP="005064D4">
      <w:pPr>
        <w:spacing w:line="480" w:lineRule="auto"/>
        <w:rPr>
          <w:lang w:val="en-US"/>
        </w:rPr>
      </w:pPr>
      <w:r>
        <w:t xml:space="preserve">Fig. 3 - T2 FS sequence </w:t>
      </w:r>
      <w:r w:rsidRPr="00754BF8">
        <w:t>MRI</w:t>
      </w:r>
      <w:r w:rsidRPr="00AD390C">
        <w:rPr>
          <w:color w:val="C00000"/>
        </w:rPr>
        <w:t xml:space="preserve"> </w:t>
      </w:r>
      <w:r>
        <w:t xml:space="preserve">show </w:t>
      </w:r>
      <w:r w:rsidRPr="00754BF8">
        <w:t>focal increased signal</w:t>
      </w:r>
      <w:r>
        <w:t xml:space="preserve"> intensity lesions of plexus brachialis in patient with MMN (Patient No 7)  (A - without contrast;  B - with contrast)</w:t>
      </w:r>
    </w:p>
    <w:p w:rsidR="005064D4" w:rsidRDefault="005064D4" w:rsidP="005064D4"/>
    <w:p w:rsidR="005064D4" w:rsidRDefault="005064D4" w:rsidP="005064D4">
      <w:pPr>
        <w:ind w:left="714"/>
      </w:pPr>
    </w:p>
    <w:p w:rsidR="005064D4" w:rsidRPr="00375070" w:rsidRDefault="005064D4" w:rsidP="005064D4">
      <w:r>
        <w:drawing>
          <wp:inline distT="0" distB="0" distL="0" distR="0">
            <wp:extent cx="5760085" cy="2850428"/>
            <wp:effectExtent l="19050" t="0" r="0" b="0"/>
            <wp:docPr id="12" name="Picture 12" descr="J:\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Fig. 3.jpg"/>
                    <pic:cNvPicPr>
                      <a:picLocks noChangeAspect="1" noChangeArrowheads="1"/>
                    </pic:cNvPicPr>
                  </pic:nvPicPr>
                  <pic:blipFill>
                    <a:blip r:embed="rId15"/>
                    <a:srcRect/>
                    <a:stretch>
                      <a:fillRect/>
                    </a:stretch>
                  </pic:blipFill>
                  <pic:spPr bwMode="auto">
                    <a:xfrm>
                      <a:off x="0" y="0"/>
                      <a:ext cx="5760085" cy="2850428"/>
                    </a:xfrm>
                    <a:prstGeom prst="rect">
                      <a:avLst/>
                    </a:prstGeom>
                    <a:noFill/>
                    <a:ln w="9525">
                      <a:noFill/>
                      <a:miter lim="800000"/>
                      <a:headEnd/>
                      <a:tailEnd/>
                    </a:ln>
                  </pic:spPr>
                </pic:pic>
              </a:graphicData>
            </a:graphic>
          </wp:inline>
        </w:drawing>
      </w:r>
    </w:p>
    <w:sectPr w:rsidR="005064D4" w:rsidRPr="00375070" w:rsidSect="004705D2">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813" w:rsidRDefault="00F07813" w:rsidP="00F07813">
      <w:r>
        <w:separator/>
      </w:r>
    </w:p>
  </w:endnote>
  <w:endnote w:type="continuationSeparator" w:id="1">
    <w:p w:rsidR="00F07813" w:rsidRDefault="00F07813" w:rsidP="00F07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YUDutchR">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813" w:rsidRDefault="00F07813" w:rsidP="00F07813">
      <w:r>
        <w:separator/>
      </w:r>
    </w:p>
  </w:footnote>
  <w:footnote w:type="continuationSeparator" w:id="1">
    <w:p w:rsidR="00F07813" w:rsidRDefault="00F07813" w:rsidP="00F078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827CD"/>
    <w:multiLevelType w:val="hybridMultilevel"/>
    <w:tmpl w:val="01185A5C"/>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
    <w:nsid w:val="10246C05"/>
    <w:multiLevelType w:val="singleLevel"/>
    <w:tmpl w:val="0409000F"/>
    <w:lvl w:ilvl="0">
      <w:start w:val="1"/>
      <w:numFmt w:val="decimal"/>
      <w:lvlText w:val="%1."/>
      <w:lvlJc w:val="left"/>
      <w:pPr>
        <w:tabs>
          <w:tab w:val="num" w:pos="720"/>
        </w:tabs>
        <w:ind w:left="720" w:hanging="360"/>
      </w:pPr>
    </w:lvl>
  </w:abstractNum>
  <w:abstractNum w:abstractNumId="2">
    <w:nsid w:val="2D2B0F61"/>
    <w:multiLevelType w:val="hybridMultilevel"/>
    <w:tmpl w:val="5B64680E"/>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nsid w:val="3C6665F0"/>
    <w:multiLevelType w:val="hybridMultilevel"/>
    <w:tmpl w:val="0E0E6E82"/>
    <w:lvl w:ilvl="0" w:tplc="D5C47928">
      <w:start w:val="1"/>
      <w:numFmt w:val="bullet"/>
      <w:lvlText w:val="•"/>
      <w:lvlJc w:val="left"/>
      <w:pPr>
        <w:tabs>
          <w:tab w:val="num" w:pos="720"/>
        </w:tabs>
        <w:ind w:left="720" w:hanging="360"/>
      </w:pPr>
      <w:rPr>
        <w:rFonts w:ascii="Times New Roman" w:hAnsi="Times New Roman" w:hint="default"/>
      </w:rPr>
    </w:lvl>
    <w:lvl w:ilvl="1" w:tplc="87D8DCCE" w:tentative="1">
      <w:start w:val="1"/>
      <w:numFmt w:val="bullet"/>
      <w:lvlText w:val="•"/>
      <w:lvlJc w:val="left"/>
      <w:pPr>
        <w:tabs>
          <w:tab w:val="num" w:pos="1440"/>
        </w:tabs>
        <w:ind w:left="1440" w:hanging="360"/>
      </w:pPr>
      <w:rPr>
        <w:rFonts w:ascii="Times New Roman" w:hAnsi="Times New Roman" w:hint="default"/>
      </w:rPr>
    </w:lvl>
    <w:lvl w:ilvl="2" w:tplc="4A6A32E4" w:tentative="1">
      <w:start w:val="1"/>
      <w:numFmt w:val="bullet"/>
      <w:lvlText w:val="•"/>
      <w:lvlJc w:val="left"/>
      <w:pPr>
        <w:tabs>
          <w:tab w:val="num" w:pos="2160"/>
        </w:tabs>
        <w:ind w:left="2160" w:hanging="360"/>
      </w:pPr>
      <w:rPr>
        <w:rFonts w:ascii="Times New Roman" w:hAnsi="Times New Roman" w:hint="default"/>
      </w:rPr>
    </w:lvl>
    <w:lvl w:ilvl="3" w:tplc="B9CEA8EA" w:tentative="1">
      <w:start w:val="1"/>
      <w:numFmt w:val="bullet"/>
      <w:lvlText w:val="•"/>
      <w:lvlJc w:val="left"/>
      <w:pPr>
        <w:tabs>
          <w:tab w:val="num" w:pos="2880"/>
        </w:tabs>
        <w:ind w:left="2880" w:hanging="360"/>
      </w:pPr>
      <w:rPr>
        <w:rFonts w:ascii="Times New Roman" w:hAnsi="Times New Roman" w:hint="default"/>
      </w:rPr>
    </w:lvl>
    <w:lvl w:ilvl="4" w:tplc="9292548E" w:tentative="1">
      <w:start w:val="1"/>
      <w:numFmt w:val="bullet"/>
      <w:lvlText w:val="•"/>
      <w:lvlJc w:val="left"/>
      <w:pPr>
        <w:tabs>
          <w:tab w:val="num" w:pos="3600"/>
        </w:tabs>
        <w:ind w:left="3600" w:hanging="360"/>
      </w:pPr>
      <w:rPr>
        <w:rFonts w:ascii="Times New Roman" w:hAnsi="Times New Roman" w:hint="default"/>
      </w:rPr>
    </w:lvl>
    <w:lvl w:ilvl="5" w:tplc="309C55F4" w:tentative="1">
      <w:start w:val="1"/>
      <w:numFmt w:val="bullet"/>
      <w:lvlText w:val="•"/>
      <w:lvlJc w:val="left"/>
      <w:pPr>
        <w:tabs>
          <w:tab w:val="num" w:pos="4320"/>
        </w:tabs>
        <w:ind w:left="4320" w:hanging="360"/>
      </w:pPr>
      <w:rPr>
        <w:rFonts w:ascii="Times New Roman" w:hAnsi="Times New Roman" w:hint="default"/>
      </w:rPr>
    </w:lvl>
    <w:lvl w:ilvl="6" w:tplc="C4CC48AC" w:tentative="1">
      <w:start w:val="1"/>
      <w:numFmt w:val="bullet"/>
      <w:lvlText w:val="•"/>
      <w:lvlJc w:val="left"/>
      <w:pPr>
        <w:tabs>
          <w:tab w:val="num" w:pos="5040"/>
        </w:tabs>
        <w:ind w:left="5040" w:hanging="360"/>
      </w:pPr>
      <w:rPr>
        <w:rFonts w:ascii="Times New Roman" w:hAnsi="Times New Roman" w:hint="default"/>
      </w:rPr>
    </w:lvl>
    <w:lvl w:ilvl="7" w:tplc="4E1AC6E8" w:tentative="1">
      <w:start w:val="1"/>
      <w:numFmt w:val="bullet"/>
      <w:lvlText w:val="•"/>
      <w:lvlJc w:val="left"/>
      <w:pPr>
        <w:tabs>
          <w:tab w:val="num" w:pos="5760"/>
        </w:tabs>
        <w:ind w:left="5760" w:hanging="360"/>
      </w:pPr>
      <w:rPr>
        <w:rFonts w:ascii="Times New Roman" w:hAnsi="Times New Roman" w:hint="default"/>
      </w:rPr>
    </w:lvl>
    <w:lvl w:ilvl="8" w:tplc="3EF494E4"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D566E3"/>
    <w:rsid w:val="00004D08"/>
    <w:rsid w:val="00020DB9"/>
    <w:rsid w:val="00033A6E"/>
    <w:rsid w:val="0003477E"/>
    <w:rsid w:val="00053216"/>
    <w:rsid w:val="00053A2A"/>
    <w:rsid w:val="00057DCB"/>
    <w:rsid w:val="00067ACE"/>
    <w:rsid w:val="0007599D"/>
    <w:rsid w:val="00090581"/>
    <w:rsid w:val="000A4DF8"/>
    <w:rsid w:val="000B69F9"/>
    <w:rsid w:val="000C00C1"/>
    <w:rsid w:val="000C1A62"/>
    <w:rsid w:val="000D5469"/>
    <w:rsid w:val="000E79D9"/>
    <w:rsid w:val="000F60E5"/>
    <w:rsid w:val="001256A1"/>
    <w:rsid w:val="00133DC4"/>
    <w:rsid w:val="00135279"/>
    <w:rsid w:val="00141F91"/>
    <w:rsid w:val="00142E3A"/>
    <w:rsid w:val="001539AB"/>
    <w:rsid w:val="00161D30"/>
    <w:rsid w:val="00175D5F"/>
    <w:rsid w:val="00175E51"/>
    <w:rsid w:val="001A1BC3"/>
    <w:rsid w:val="001A2DEE"/>
    <w:rsid w:val="001A45EF"/>
    <w:rsid w:val="001D06D2"/>
    <w:rsid w:val="001D175F"/>
    <w:rsid w:val="001D503C"/>
    <w:rsid w:val="001F1A11"/>
    <w:rsid w:val="0021160C"/>
    <w:rsid w:val="002225BB"/>
    <w:rsid w:val="00225A44"/>
    <w:rsid w:val="002338F5"/>
    <w:rsid w:val="00252DA8"/>
    <w:rsid w:val="00254DCB"/>
    <w:rsid w:val="00262FE4"/>
    <w:rsid w:val="00267177"/>
    <w:rsid w:val="00270CBA"/>
    <w:rsid w:val="00282625"/>
    <w:rsid w:val="00282A58"/>
    <w:rsid w:val="0029487A"/>
    <w:rsid w:val="00296BEA"/>
    <w:rsid w:val="002A249C"/>
    <w:rsid w:val="002A654D"/>
    <w:rsid w:val="002C2868"/>
    <w:rsid w:val="002D1132"/>
    <w:rsid w:val="002E48CD"/>
    <w:rsid w:val="002E5432"/>
    <w:rsid w:val="002E697E"/>
    <w:rsid w:val="002E7077"/>
    <w:rsid w:val="002F7C23"/>
    <w:rsid w:val="00315DAF"/>
    <w:rsid w:val="00320988"/>
    <w:rsid w:val="00322B53"/>
    <w:rsid w:val="00326E2D"/>
    <w:rsid w:val="00345E80"/>
    <w:rsid w:val="003468A7"/>
    <w:rsid w:val="00355DFD"/>
    <w:rsid w:val="00362A8F"/>
    <w:rsid w:val="003665D8"/>
    <w:rsid w:val="0037265C"/>
    <w:rsid w:val="00375070"/>
    <w:rsid w:val="00381BA0"/>
    <w:rsid w:val="003A283D"/>
    <w:rsid w:val="003A3D55"/>
    <w:rsid w:val="003B28AF"/>
    <w:rsid w:val="003B39E1"/>
    <w:rsid w:val="003C7043"/>
    <w:rsid w:val="003D323F"/>
    <w:rsid w:val="003D3664"/>
    <w:rsid w:val="003E09E9"/>
    <w:rsid w:val="003F1FA5"/>
    <w:rsid w:val="003F6282"/>
    <w:rsid w:val="004017B2"/>
    <w:rsid w:val="00412FA5"/>
    <w:rsid w:val="00416E13"/>
    <w:rsid w:val="00423A09"/>
    <w:rsid w:val="00441478"/>
    <w:rsid w:val="004472A2"/>
    <w:rsid w:val="00447A95"/>
    <w:rsid w:val="00454E55"/>
    <w:rsid w:val="004705D2"/>
    <w:rsid w:val="004709C8"/>
    <w:rsid w:val="00476513"/>
    <w:rsid w:val="004812F7"/>
    <w:rsid w:val="004820D3"/>
    <w:rsid w:val="004823D3"/>
    <w:rsid w:val="00493718"/>
    <w:rsid w:val="00496D28"/>
    <w:rsid w:val="004A2F66"/>
    <w:rsid w:val="004C0D94"/>
    <w:rsid w:val="004C1596"/>
    <w:rsid w:val="004C3CD1"/>
    <w:rsid w:val="004C3F55"/>
    <w:rsid w:val="004C4E0A"/>
    <w:rsid w:val="004D1C31"/>
    <w:rsid w:val="004E20D8"/>
    <w:rsid w:val="004F7871"/>
    <w:rsid w:val="00500717"/>
    <w:rsid w:val="005064D4"/>
    <w:rsid w:val="005133E2"/>
    <w:rsid w:val="00513561"/>
    <w:rsid w:val="0052323B"/>
    <w:rsid w:val="0052462C"/>
    <w:rsid w:val="00527752"/>
    <w:rsid w:val="0055118F"/>
    <w:rsid w:val="00551882"/>
    <w:rsid w:val="00551E69"/>
    <w:rsid w:val="005562B2"/>
    <w:rsid w:val="00565627"/>
    <w:rsid w:val="00573DB7"/>
    <w:rsid w:val="00573FEE"/>
    <w:rsid w:val="00575AB4"/>
    <w:rsid w:val="00595FDD"/>
    <w:rsid w:val="00597E6B"/>
    <w:rsid w:val="005A097C"/>
    <w:rsid w:val="005A257A"/>
    <w:rsid w:val="005B1F0A"/>
    <w:rsid w:val="005D273E"/>
    <w:rsid w:val="005E0830"/>
    <w:rsid w:val="005E5F17"/>
    <w:rsid w:val="005F6936"/>
    <w:rsid w:val="00601FC5"/>
    <w:rsid w:val="006076F2"/>
    <w:rsid w:val="0062167B"/>
    <w:rsid w:val="00622888"/>
    <w:rsid w:val="0062416C"/>
    <w:rsid w:val="00626EEB"/>
    <w:rsid w:val="00632F1E"/>
    <w:rsid w:val="00636DA6"/>
    <w:rsid w:val="0063735A"/>
    <w:rsid w:val="0064656D"/>
    <w:rsid w:val="006645BF"/>
    <w:rsid w:val="006B1765"/>
    <w:rsid w:val="006B4BAF"/>
    <w:rsid w:val="006D2788"/>
    <w:rsid w:val="006E0074"/>
    <w:rsid w:val="006F1CAB"/>
    <w:rsid w:val="006F55D8"/>
    <w:rsid w:val="007217B3"/>
    <w:rsid w:val="007427ED"/>
    <w:rsid w:val="00743F59"/>
    <w:rsid w:val="007628C3"/>
    <w:rsid w:val="00765455"/>
    <w:rsid w:val="007772BC"/>
    <w:rsid w:val="00792EC8"/>
    <w:rsid w:val="00793E8D"/>
    <w:rsid w:val="0079676A"/>
    <w:rsid w:val="00797DC3"/>
    <w:rsid w:val="007A1B22"/>
    <w:rsid w:val="007B4567"/>
    <w:rsid w:val="007D7D34"/>
    <w:rsid w:val="008002A9"/>
    <w:rsid w:val="00804CB5"/>
    <w:rsid w:val="00815EFF"/>
    <w:rsid w:val="00845E88"/>
    <w:rsid w:val="00851804"/>
    <w:rsid w:val="00852305"/>
    <w:rsid w:val="008524FF"/>
    <w:rsid w:val="00855FAF"/>
    <w:rsid w:val="008613A4"/>
    <w:rsid w:val="00866474"/>
    <w:rsid w:val="00867B70"/>
    <w:rsid w:val="00872762"/>
    <w:rsid w:val="008750AD"/>
    <w:rsid w:val="008833CF"/>
    <w:rsid w:val="00886A8D"/>
    <w:rsid w:val="00886FB3"/>
    <w:rsid w:val="00892308"/>
    <w:rsid w:val="00897116"/>
    <w:rsid w:val="008B0B34"/>
    <w:rsid w:val="008F463D"/>
    <w:rsid w:val="008F5DB4"/>
    <w:rsid w:val="00911609"/>
    <w:rsid w:val="009201CE"/>
    <w:rsid w:val="0092606E"/>
    <w:rsid w:val="009321A1"/>
    <w:rsid w:val="00951984"/>
    <w:rsid w:val="0095696F"/>
    <w:rsid w:val="0098371B"/>
    <w:rsid w:val="009844F1"/>
    <w:rsid w:val="009966ED"/>
    <w:rsid w:val="009B0564"/>
    <w:rsid w:val="009B2904"/>
    <w:rsid w:val="009C3B8B"/>
    <w:rsid w:val="009C4210"/>
    <w:rsid w:val="009D0887"/>
    <w:rsid w:val="009E4BDB"/>
    <w:rsid w:val="009E56C1"/>
    <w:rsid w:val="009E7D85"/>
    <w:rsid w:val="009F0CC8"/>
    <w:rsid w:val="009F43A8"/>
    <w:rsid w:val="009F4EEA"/>
    <w:rsid w:val="00A03BBF"/>
    <w:rsid w:val="00A13052"/>
    <w:rsid w:val="00A1670D"/>
    <w:rsid w:val="00A224D2"/>
    <w:rsid w:val="00A254A0"/>
    <w:rsid w:val="00A300EF"/>
    <w:rsid w:val="00A32915"/>
    <w:rsid w:val="00A50067"/>
    <w:rsid w:val="00A51181"/>
    <w:rsid w:val="00A819E2"/>
    <w:rsid w:val="00A837F7"/>
    <w:rsid w:val="00A90E23"/>
    <w:rsid w:val="00A92EAC"/>
    <w:rsid w:val="00A93237"/>
    <w:rsid w:val="00AA0119"/>
    <w:rsid w:val="00AA430F"/>
    <w:rsid w:val="00AA64EA"/>
    <w:rsid w:val="00AB756B"/>
    <w:rsid w:val="00AC49F6"/>
    <w:rsid w:val="00AD615B"/>
    <w:rsid w:val="00AE0781"/>
    <w:rsid w:val="00AE6E95"/>
    <w:rsid w:val="00AE78D6"/>
    <w:rsid w:val="00AE7F0C"/>
    <w:rsid w:val="00AF457E"/>
    <w:rsid w:val="00B119EE"/>
    <w:rsid w:val="00B24629"/>
    <w:rsid w:val="00B27AE7"/>
    <w:rsid w:val="00B3112F"/>
    <w:rsid w:val="00B31AD4"/>
    <w:rsid w:val="00B42135"/>
    <w:rsid w:val="00B5650B"/>
    <w:rsid w:val="00B619ED"/>
    <w:rsid w:val="00B769BB"/>
    <w:rsid w:val="00B863B4"/>
    <w:rsid w:val="00BA473D"/>
    <w:rsid w:val="00BB76C8"/>
    <w:rsid w:val="00BC5752"/>
    <w:rsid w:val="00BD1EE3"/>
    <w:rsid w:val="00BD6534"/>
    <w:rsid w:val="00BE092E"/>
    <w:rsid w:val="00BE7D8D"/>
    <w:rsid w:val="00BF31B8"/>
    <w:rsid w:val="00C06325"/>
    <w:rsid w:val="00C153AD"/>
    <w:rsid w:val="00C254E9"/>
    <w:rsid w:val="00C418DE"/>
    <w:rsid w:val="00C466D3"/>
    <w:rsid w:val="00C545DA"/>
    <w:rsid w:val="00C564C4"/>
    <w:rsid w:val="00C75C7E"/>
    <w:rsid w:val="00C765C5"/>
    <w:rsid w:val="00C8162E"/>
    <w:rsid w:val="00C85784"/>
    <w:rsid w:val="00C96AC4"/>
    <w:rsid w:val="00CA5725"/>
    <w:rsid w:val="00CB5201"/>
    <w:rsid w:val="00CC05F9"/>
    <w:rsid w:val="00CC53BE"/>
    <w:rsid w:val="00CC7557"/>
    <w:rsid w:val="00CD2363"/>
    <w:rsid w:val="00CE0677"/>
    <w:rsid w:val="00CE4054"/>
    <w:rsid w:val="00CE5B28"/>
    <w:rsid w:val="00CF495E"/>
    <w:rsid w:val="00D00231"/>
    <w:rsid w:val="00D0374C"/>
    <w:rsid w:val="00D10F58"/>
    <w:rsid w:val="00D113E9"/>
    <w:rsid w:val="00D11F49"/>
    <w:rsid w:val="00D12A9E"/>
    <w:rsid w:val="00D160D5"/>
    <w:rsid w:val="00D2128F"/>
    <w:rsid w:val="00D3650B"/>
    <w:rsid w:val="00D4046B"/>
    <w:rsid w:val="00D46BB4"/>
    <w:rsid w:val="00D546D8"/>
    <w:rsid w:val="00D566E3"/>
    <w:rsid w:val="00D73761"/>
    <w:rsid w:val="00D82F3E"/>
    <w:rsid w:val="00D92754"/>
    <w:rsid w:val="00D9788A"/>
    <w:rsid w:val="00DA5202"/>
    <w:rsid w:val="00DA5F59"/>
    <w:rsid w:val="00DC1895"/>
    <w:rsid w:val="00DC257A"/>
    <w:rsid w:val="00DC2785"/>
    <w:rsid w:val="00DD086D"/>
    <w:rsid w:val="00DD5D4D"/>
    <w:rsid w:val="00E06F37"/>
    <w:rsid w:val="00E10B2A"/>
    <w:rsid w:val="00E14A5C"/>
    <w:rsid w:val="00E14EDB"/>
    <w:rsid w:val="00E16022"/>
    <w:rsid w:val="00E16B54"/>
    <w:rsid w:val="00E2060C"/>
    <w:rsid w:val="00E25FB8"/>
    <w:rsid w:val="00E27A9A"/>
    <w:rsid w:val="00E30781"/>
    <w:rsid w:val="00E32630"/>
    <w:rsid w:val="00E37E21"/>
    <w:rsid w:val="00E40DD1"/>
    <w:rsid w:val="00E426A8"/>
    <w:rsid w:val="00E44311"/>
    <w:rsid w:val="00E55D16"/>
    <w:rsid w:val="00E772D4"/>
    <w:rsid w:val="00E84021"/>
    <w:rsid w:val="00E97FCC"/>
    <w:rsid w:val="00EB0650"/>
    <w:rsid w:val="00EB682D"/>
    <w:rsid w:val="00EC21EA"/>
    <w:rsid w:val="00EC5A35"/>
    <w:rsid w:val="00EC7F74"/>
    <w:rsid w:val="00ED0341"/>
    <w:rsid w:val="00EF1042"/>
    <w:rsid w:val="00F07813"/>
    <w:rsid w:val="00F337D4"/>
    <w:rsid w:val="00F356AC"/>
    <w:rsid w:val="00F426FB"/>
    <w:rsid w:val="00F444AB"/>
    <w:rsid w:val="00F44F46"/>
    <w:rsid w:val="00F67F06"/>
    <w:rsid w:val="00F70895"/>
    <w:rsid w:val="00F71E4B"/>
    <w:rsid w:val="00F7322B"/>
    <w:rsid w:val="00F8129F"/>
    <w:rsid w:val="00F81D07"/>
    <w:rsid w:val="00F87867"/>
    <w:rsid w:val="00F910B9"/>
    <w:rsid w:val="00FA4785"/>
    <w:rsid w:val="00FC197C"/>
    <w:rsid w:val="00FD17E6"/>
    <w:rsid w:val="00FE5CC4"/>
    <w:rsid w:val="00FF7311"/>
    <w:rsid w:val="00FF7B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5D2"/>
    <w:rPr>
      <w:noProof/>
      <w:sz w:val="24"/>
      <w:szCs w:val="24"/>
    </w:rPr>
  </w:style>
  <w:style w:type="paragraph" w:styleId="Heading1">
    <w:name w:val="heading 1"/>
    <w:basedOn w:val="Normal"/>
    <w:link w:val="Heading1Char"/>
    <w:uiPriority w:val="9"/>
    <w:qFormat/>
    <w:rsid w:val="00765455"/>
    <w:pPr>
      <w:spacing w:before="100" w:beforeAutospacing="1" w:after="100" w:afterAutospacing="1"/>
      <w:outlineLvl w:val="0"/>
    </w:pPr>
    <w:rPr>
      <w:b/>
      <w:bCs/>
      <w:noProof w:val="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128F"/>
    <w:rPr>
      <w:color w:val="0000FF"/>
      <w:u w:val="single"/>
    </w:rPr>
  </w:style>
  <w:style w:type="paragraph" w:styleId="BodyText">
    <w:name w:val="Body Text"/>
    <w:basedOn w:val="Normal"/>
    <w:semiHidden/>
    <w:rsid w:val="00262FE4"/>
    <w:pPr>
      <w:widowControl w:val="0"/>
      <w:tabs>
        <w:tab w:val="left" w:pos="-720"/>
      </w:tabs>
      <w:suppressAutoHyphens/>
      <w:spacing w:line="360" w:lineRule="auto"/>
      <w:jc w:val="both"/>
    </w:pPr>
    <w:rPr>
      <w:rFonts w:ascii="YUDutchR" w:hAnsi="YUDutchR"/>
      <w:noProof w:val="0"/>
      <w:spacing w:val="-3"/>
      <w:szCs w:val="20"/>
      <w:lang w:val="en-US" w:eastAsia="en-US"/>
    </w:rPr>
  </w:style>
  <w:style w:type="paragraph" w:styleId="ListParagraph">
    <w:name w:val="List Paragraph"/>
    <w:basedOn w:val="Normal"/>
    <w:uiPriority w:val="34"/>
    <w:qFormat/>
    <w:rsid w:val="00AB756B"/>
    <w:pPr>
      <w:ind w:left="720"/>
      <w:contextualSpacing/>
    </w:pPr>
  </w:style>
  <w:style w:type="character" w:customStyle="1" w:styleId="Heading1Char">
    <w:name w:val="Heading 1 Char"/>
    <w:basedOn w:val="DefaultParagraphFont"/>
    <w:link w:val="Heading1"/>
    <w:uiPriority w:val="9"/>
    <w:rsid w:val="00765455"/>
    <w:rPr>
      <w:b/>
      <w:bCs/>
      <w:kern w:val="36"/>
      <w:sz w:val="48"/>
      <w:szCs w:val="48"/>
    </w:rPr>
  </w:style>
  <w:style w:type="character" w:customStyle="1" w:styleId="highlight">
    <w:name w:val="highlight"/>
    <w:basedOn w:val="DefaultParagraphFont"/>
    <w:rsid w:val="00765455"/>
  </w:style>
  <w:style w:type="character" w:customStyle="1" w:styleId="apple-converted-space">
    <w:name w:val="apple-converted-space"/>
    <w:basedOn w:val="DefaultParagraphFont"/>
    <w:rsid w:val="00765455"/>
  </w:style>
  <w:style w:type="character" w:customStyle="1" w:styleId="jrnl">
    <w:name w:val="jrnl"/>
    <w:basedOn w:val="DefaultParagraphFont"/>
    <w:rsid w:val="00845E88"/>
  </w:style>
  <w:style w:type="paragraph" w:styleId="Header">
    <w:name w:val="header"/>
    <w:basedOn w:val="Normal"/>
    <w:link w:val="HeaderChar"/>
    <w:rsid w:val="00F07813"/>
    <w:pPr>
      <w:tabs>
        <w:tab w:val="center" w:pos="4535"/>
        <w:tab w:val="right" w:pos="9071"/>
      </w:tabs>
    </w:pPr>
  </w:style>
  <w:style w:type="character" w:customStyle="1" w:styleId="HeaderChar">
    <w:name w:val="Header Char"/>
    <w:basedOn w:val="DefaultParagraphFont"/>
    <w:link w:val="Header"/>
    <w:rsid w:val="00F07813"/>
    <w:rPr>
      <w:noProof/>
      <w:sz w:val="24"/>
      <w:szCs w:val="24"/>
    </w:rPr>
  </w:style>
  <w:style w:type="paragraph" w:styleId="Footer">
    <w:name w:val="footer"/>
    <w:basedOn w:val="Normal"/>
    <w:link w:val="FooterChar"/>
    <w:rsid w:val="00F07813"/>
    <w:pPr>
      <w:tabs>
        <w:tab w:val="center" w:pos="4535"/>
        <w:tab w:val="right" w:pos="9071"/>
      </w:tabs>
    </w:pPr>
  </w:style>
  <w:style w:type="character" w:customStyle="1" w:styleId="FooterChar">
    <w:name w:val="Footer Char"/>
    <w:basedOn w:val="DefaultParagraphFont"/>
    <w:link w:val="Footer"/>
    <w:rsid w:val="00F07813"/>
    <w:rPr>
      <w:noProof/>
      <w:sz w:val="24"/>
      <w:szCs w:val="24"/>
    </w:rPr>
  </w:style>
  <w:style w:type="paragraph" w:styleId="BalloonText">
    <w:name w:val="Balloon Text"/>
    <w:basedOn w:val="Normal"/>
    <w:link w:val="BalloonTextChar"/>
    <w:rsid w:val="005064D4"/>
    <w:rPr>
      <w:rFonts w:ascii="Tahoma" w:hAnsi="Tahoma" w:cs="Tahoma"/>
      <w:sz w:val="16"/>
      <w:szCs w:val="16"/>
    </w:rPr>
  </w:style>
  <w:style w:type="character" w:customStyle="1" w:styleId="BalloonTextChar">
    <w:name w:val="Balloon Text Char"/>
    <w:basedOn w:val="DefaultParagraphFont"/>
    <w:link w:val="BalloonText"/>
    <w:rsid w:val="005064D4"/>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9303069">
      <w:bodyDiv w:val="1"/>
      <w:marLeft w:val="0"/>
      <w:marRight w:val="0"/>
      <w:marTop w:val="0"/>
      <w:marBottom w:val="0"/>
      <w:divBdr>
        <w:top w:val="none" w:sz="0" w:space="0" w:color="auto"/>
        <w:left w:val="none" w:sz="0" w:space="0" w:color="auto"/>
        <w:bottom w:val="none" w:sz="0" w:space="0" w:color="auto"/>
        <w:right w:val="none" w:sz="0" w:space="0" w:color="auto"/>
      </w:divBdr>
    </w:div>
    <w:div w:id="769395479">
      <w:bodyDiv w:val="1"/>
      <w:marLeft w:val="0"/>
      <w:marRight w:val="0"/>
      <w:marTop w:val="0"/>
      <w:marBottom w:val="0"/>
      <w:divBdr>
        <w:top w:val="none" w:sz="0" w:space="0" w:color="auto"/>
        <w:left w:val="none" w:sz="0" w:space="0" w:color="auto"/>
        <w:bottom w:val="none" w:sz="0" w:space="0" w:color="auto"/>
        <w:right w:val="none" w:sz="0" w:space="0" w:color="auto"/>
      </w:divBdr>
    </w:div>
    <w:div w:id="2107188766">
      <w:bodyDiv w:val="1"/>
      <w:marLeft w:val="0"/>
      <w:marRight w:val="0"/>
      <w:marTop w:val="0"/>
      <w:marBottom w:val="0"/>
      <w:divBdr>
        <w:top w:val="none" w:sz="0" w:space="0" w:color="auto"/>
        <w:left w:val="none" w:sz="0" w:space="0" w:color="auto"/>
        <w:bottom w:val="none" w:sz="0" w:space="0" w:color="auto"/>
        <w:right w:val="none" w:sz="0" w:space="0" w:color="auto"/>
      </w:divBdr>
      <w:divsChild>
        <w:div w:id="48844131">
          <w:marLeft w:val="0"/>
          <w:marRight w:val="0"/>
          <w:marTop w:val="0"/>
          <w:marBottom w:val="0"/>
          <w:divBdr>
            <w:top w:val="none" w:sz="0" w:space="0" w:color="auto"/>
            <w:left w:val="none" w:sz="0" w:space="0" w:color="auto"/>
            <w:bottom w:val="none" w:sz="0" w:space="0" w:color="auto"/>
            <w:right w:val="none" w:sz="0" w:space="0" w:color="auto"/>
          </w:divBdr>
          <w:divsChild>
            <w:div w:id="669602144">
              <w:marLeft w:val="0"/>
              <w:marRight w:val="0"/>
              <w:marTop w:val="0"/>
              <w:marBottom w:val="0"/>
              <w:divBdr>
                <w:top w:val="none" w:sz="0" w:space="0" w:color="auto"/>
                <w:left w:val="none" w:sz="0" w:space="0" w:color="auto"/>
                <w:bottom w:val="none" w:sz="0" w:space="0" w:color="auto"/>
                <w:right w:val="none" w:sz="0" w:space="0" w:color="auto"/>
              </w:divBdr>
            </w:div>
            <w:div w:id="1185438322">
              <w:marLeft w:val="0"/>
              <w:marRight w:val="0"/>
              <w:marTop w:val="0"/>
              <w:marBottom w:val="0"/>
              <w:divBdr>
                <w:top w:val="none" w:sz="0" w:space="0" w:color="auto"/>
                <w:left w:val="none" w:sz="0" w:space="0" w:color="auto"/>
                <w:bottom w:val="none" w:sz="0" w:space="0" w:color="auto"/>
                <w:right w:val="none" w:sz="0" w:space="0" w:color="auto"/>
              </w:divBdr>
            </w:div>
            <w:div w:id="15414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agana.lavrnic@gmail.com" TargetMode="External"/><Relationship Id="rId13" Type="http://schemas.openxmlformats.org/officeDocument/2006/relationships/package" Target="embeddings/Microsoft_Office_Word_Document1.docx"/><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Meininger%20V%5BAuthor%5D&amp;cauthor=true&amp;cauthor_uid=7608707"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ncbi.nlm.nih.gov/pubmed?term=Baumann%20N%5BAuthor%5D&amp;cauthor=true&amp;cauthor_uid=7608707" TargetMode="External"/><Relationship Id="rId4" Type="http://schemas.openxmlformats.org/officeDocument/2006/relationships/settings" Target="settings.xml"/><Relationship Id="rId9" Type="http://schemas.openxmlformats.org/officeDocument/2006/relationships/hyperlink" Target="http://www.ncbi.nlm.nih.gov/pubmed?term=Adams%20D%5BAuthor%5D&amp;cauthor=true&amp;cauthor_uid=7608707" TargetMode="External"/><Relationship Id="rId14" Type="http://schemas.openxmlformats.org/officeDocument/2006/relationships/image" Target="media/image2.jpeg"/></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404F7-FD2A-4559-84DE-8F629346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3958</Words>
  <Characters>23188</Characters>
  <Application>Microsoft Office Word</Application>
  <DocSecurity>0</DocSecurity>
  <Lines>193</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Magnetic resonance imaging of the brachial plexus and proximal condction blocks in patients with multifocal motor neuropathy</vt:lpstr>
      <vt:lpstr>Magnetic resonance imaging of the brachial plexus and proximal condction blocks in patients with multifocal motor neuropathy</vt:lpstr>
    </vt:vector>
  </TitlesOfParts>
  <Company>Neurologija</Company>
  <LinksUpToDate>false</LinksUpToDate>
  <CharactersWithSpaces>27092</CharactersWithSpaces>
  <SharedDoc>false</SharedDoc>
  <HLinks>
    <vt:vector size="36" baseType="variant">
      <vt:variant>
        <vt:i4>3211335</vt:i4>
      </vt:variant>
      <vt:variant>
        <vt:i4>15</vt:i4>
      </vt:variant>
      <vt:variant>
        <vt:i4>0</vt:i4>
      </vt:variant>
      <vt:variant>
        <vt:i4>5</vt:i4>
      </vt:variant>
      <vt:variant>
        <vt:lpwstr>http://www.ncbi.nlm.nih.gov/pubmed?term=Said%20G%5BAuthor%5D&amp;cauthor=true&amp;cauthor_uid=7608707</vt:lpwstr>
      </vt:variant>
      <vt:variant>
        <vt:lpwstr/>
      </vt:variant>
      <vt:variant>
        <vt:i4>4194410</vt:i4>
      </vt:variant>
      <vt:variant>
        <vt:i4>12</vt:i4>
      </vt:variant>
      <vt:variant>
        <vt:i4>0</vt:i4>
      </vt:variant>
      <vt:variant>
        <vt:i4>5</vt:i4>
      </vt:variant>
      <vt:variant>
        <vt:lpwstr>http://www.ncbi.nlm.nih.gov/pubmed?term=L%C3%A9ger%20JM%5BAuthor%5D&amp;cauthor=true&amp;cauthor_uid=7608707</vt:lpwstr>
      </vt:variant>
      <vt:variant>
        <vt:lpwstr/>
      </vt:variant>
      <vt:variant>
        <vt:i4>7274584</vt:i4>
      </vt:variant>
      <vt:variant>
        <vt:i4>9</vt:i4>
      </vt:variant>
      <vt:variant>
        <vt:i4>0</vt:i4>
      </vt:variant>
      <vt:variant>
        <vt:i4>5</vt:i4>
      </vt:variant>
      <vt:variant>
        <vt:lpwstr>http://www.ncbi.nlm.nih.gov/pubmed?term=Meininger%20V%5BAuthor%5D&amp;cauthor=true&amp;cauthor_uid=7608707</vt:lpwstr>
      </vt:variant>
      <vt:variant>
        <vt:lpwstr/>
      </vt:variant>
      <vt:variant>
        <vt:i4>852000</vt:i4>
      </vt:variant>
      <vt:variant>
        <vt:i4>6</vt:i4>
      </vt:variant>
      <vt:variant>
        <vt:i4>0</vt:i4>
      </vt:variant>
      <vt:variant>
        <vt:i4>5</vt:i4>
      </vt:variant>
      <vt:variant>
        <vt:lpwstr>http://www.ncbi.nlm.nih.gov/pubmed?term=Baumann%20N%5BAuthor%5D&amp;cauthor=true&amp;cauthor_uid=7608707</vt:lpwstr>
      </vt:variant>
      <vt:variant>
        <vt:lpwstr/>
      </vt:variant>
      <vt:variant>
        <vt:i4>6684737</vt:i4>
      </vt:variant>
      <vt:variant>
        <vt:i4>3</vt:i4>
      </vt:variant>
      <vt:variant>
        <vt:i4>0</vt:i4>
      </vt:variant>
      <vt:variant>
        <vt:i4>5</vt:i4>
      </vt:variant>
      <vt:variant>
        <vt:lpwstr>http://www.ncbi.nlm.nih.gov/pubmed?term=Adams%20D%5BAuthor%5D&amp;cauthor=true&amp;cauthor_uid=7608707</vt:lpwstr>
      </vt:variant>
      <vt:variant>
        <vt:lpwstr/>
      </vt:variant>
      <vt:variant>
        <vt:i4>1114175</vt:i4>
      </vt:variant>
      <vt:variant>
        <vt:i4>0</vt:i4>
      </vt:variant>
      <vt:variant>
        <vt:i4>0</vt:i4>
      </vt:variant>
      <vt:variant>
        <vt:i4>5</vt:i4>
      </vt:variant>
      <vt:variant>
        <vt:lpwstr>mailto:ivanabasta@yahoo.com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Magnetic resonance imaging of the brachial plexus and proximal condction blocks in patients with multifocal motor neuropathy</dc:title>
  <dc:creator>Slobodan Apostolski</dc:creator>
  <cp:lastModifiedBy>darko</cp:lastModifiedBy>
  <cp:revision>2</cp:revision>
  <cp:lastPrinted>2013-03-15T07:47:00Z</cp:lastPrinted>
  <dcterms:created xsi:type="dcterms:W3CDTF">2013-03-18T18:54:00Z</dcterms:created>
  <dcterms:modified xsi:type="dcterms:W3CDTF">2013-03-18T18:54:00Z</dcterms:modified>
</cp:coreProperties>
</file>