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61CB" w:rsidP="00CD61CB">
      <w:pPr>
        <w:spacing w:line="48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Table 1</w:t>
      </w:r>
      <w:r w:rsidRPr="00FB3E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B3E81">
        <w:rPr>
          <w:rFonts w:ascii="Times New Roman" w:hAnsi="Times New Roman" w:cs="Times New Roman"/>
          <w:sz w:val="24"/>
          <w:szCs w:val="24"/>
        </w:rPr>
        <w:t>Demographic data, injured arm, level of injury, mechanism and etiology of injury, associate injuries</w:t>
      </w:r>
      <w:r>
        <w:rPr>
          <w:rFonts w:ascii="Times New Roman" w:hAnsi="Times New Roman" w:cs="Times New Roman"/>
          <w:sz w:val="24"/>
          <w:szCs w:val="24"/>
        </w:rPr>
        <w:t xml:space="preserve"> and period between injury and surgery </w:t>
      </w:r>
      <w:r w:rsidRPr="00FB3E81">
        <w:rPr>
          <w:rFonts w:ascii="Times New Roman" w:hAnsi="Times New Roman" w:cs="Times New Roman"/>
          <w:sz w:val="24"/>
          <w:szCs w:val="24"/>
        </w:rPr>
        <w:t>of the patients included in the study, shown by groups of injured nerve</w:t>
      </w:r>
    </w:p>
    <w:tbl>
      <w:tblPr>
        <w:tblStyle w:val="TableGrid"/>
        <w:tblpPr w:leftFromText="180" w:rightFromText="180" w:vertAnchor="page" w:horzAnchor="margin" w:tblpY="367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2"/>
        <w:gridCol w:w="1312"/>
        <w:gridCol w:w="1124"/>
        <w:gridCol w:w="1344"/>
        <w:gridCol w:w="1354"/>
      </w:tblGrid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0DDB">
              <w:rPr>
                <w:rFonts w:ascii="Calibri" w:eastAsia="Times New Roman" w:hAnsi="Calibri" w:cs="Calibri"/>
                <w:b/>
                <w:bCs/>
                <w:color w:val="000000"/>
              </w:rPr>
              <w:t>Group M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0DDB">
              <w:rPr>
                <w:rFonts w:ascii="Calibri" w:eastAsia="Times New Roman" w:hAnsi="Calibri" w:cs="Calibri"/>
                <w:b/>
                <w:bCs/>
                <w:color w:val="000000"/>
              </w:rPr>
              <w:t>Group U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0DDB">
              <w:rPr>
                <w:rFonts w:ascii="Calibri" w:eastAsia="Times New Roman" w:hAnsi="Calibri" w:cs="Calibri"/>
                <w:b/>
                <w:bCs/>
                <w:color w:val="000000"/>
              </w:rPr>
              <w:t>Group MU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0DDB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gramStart"/>
            <w:r w:rsidRPr="00D60DDB">
              <w:rPr>
                <w:rFonts w:ascii="Calibri" w:eastAsia="Times New Roman" w:hAnsi="Calibri" w:cs="Calibri"/>
                <w:i/>
                <w:iCs/>
                <w:color w:val="000000"/>
              </w:rPr>
              <w:t>n</w:t>
            </w:r>
            <w:r w:rsidRPr="00D60DDB">
              <w:rPr>
                <w:rFonts w:ascii="Calibri" w:eastAsia="Times New Roman" w:hAnsi="Calibri" w:cs="Calibri"/>
                <w:color w:val="000000"/>
              </w:rPr>
              <w:t>(</w:t>
            </w:r>
            <w:proofErr w:type="gramEnd"/>
            <w:r w:rsidRPr="00D60DDB">
              <w:rPr>
                <w:rFonts w:ascii="Calibri" w:eastAsia="Times New Roman" w:hAnsi="Calibri" w:cs="Calibri"/>
                <w:color w:val="000000"/>
              </w:rPr>
              <w:t>%)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30 (30.3)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46 (46.5)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23 (23.2)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C8094F" w:rsidRDefault="00CD61CB" w:rsidP="00AA65E2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C8094F">
              <w:rPr>
                <w:rFonts w:ascii="Calibri" w:eastAsia="Times New Roman" w:hAnsi="Calibri" w:cs="Calibri"/>
                <w:b/>
                <w:color w:val="000000"/>
              </w:rPr>
              <w:t>Gender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C8094F" w:rsidRDefault="00CD61CB" w:rsidP="00AA65E2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C8094F">
              <w:rPr>
                <w:rFonts w:ascii="Calibri" w:eastAsia="Times New Roman" w:hAnsi="Calibri" w:cs="Calibri"/>
                <w:b/>
                <w:color w:val="000000"/>
              </w:rPr>
              <w:t>Age (years) (mean, range)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33 (10 - 55)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33 (8 - 56)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36 (17 - 53)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33 (8 - 56)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C8094F" w:rsidRDefault="00CD61CB" w:rsidP="00AA65E2">
            <w:pPr>
              <w:spacing w:line="480" w:lineRule="auto"/>
              <w:rPr>
                <w:rFonts w:ascii="Calibri" w:eastAsia="Times New Roman" w:hAnsi="Calibri" w:cs="Calibri"/>
                <w:b/>
              </w:rPr>
            </w:pPr>
            <w:r w:rsidRPr="00C8094F">
              <w:rPr>
                <w:rFonts w:ascii="Calibri" w:eastAsia="Times New Roman" w:hAnsi="Calibri" w:cs="Calibri"/>
                <w:b/>
              </w:rPr>
              <w:t>Forearm affected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 xml:space="preserve">Left 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Right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C8094F" w:rsidRDefault="00CD61CB" w:rsidP="00AA65E2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C8094F">
              <w:rPr>
                <w:rFonts w:ascii="Calibri" w:eastAsia="Times New Roman" w:hAnsi="Calibri" w:cs="Calibri"/>
                <w:b/>
                <w:color w:val="000000"/>
              </w:rPr>
              <w:t>Level of injury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Proximal forearm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Distal forearm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C8094F" w:rsidRDefault="00CD61CB" w:rsidP="00AA65E2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C8094F">
              <w:rPr>
                <w:rFonts w:ascii="Calibri" w:eastAsia="Times New Roman" w:hAnsi="Calibri" w:cs="Calibri"/>
                <w:b/>
                <w:color w:val="000000"/>
              </w:rPr>
              <w:t>Mechanism  of injury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60DDB">
              <w:rPr>
                <w:rFonts w:ascii="Calibri" w:eastAsia="Times New Roman" w:hAnsi="Calibri" w:cs="Calibri"/>
                <w:color w:val="000000"/>
              </w:rPr>
              <w:t>Transection</w:t>
            </w:r>
            <w:proofErr w:type="spellEnd"/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Traction and contusion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C8094F" w:rsidRDefault="00CD61CB" w:rsidP="00AA65E2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C8094F">
              <w:rPr>
                <w:rFonts w:ascii="Calibri" w:eastAsia="Times New Roman" w:hAnsi="Calibri" w:cs="Calibri"/>
                <w:b/>
                <w:color w:val="000000"/>
              </w:rPr>
              <w:t>Etiology of injury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4B5513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</w:rPr>
            </w:pPr>
            <w:r w:rsidRPr="004B5513">
              <w:rPr>
                <w:rFonts w:ascii="Calibri" w:eastAsia="Times New Roman" w:hAnsi="Calibri" w:cs="Calibri"/>
              </w:rPr>
              <w:t>Cutting by knife, axe, glass or ceramic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4B5513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</w:rPr>
            </w:pPr>
            <w:r w:rsidRPr="004B5513">
              <w:rPr>
                <w:rFonts w:ascii="Calibri" w:eastAsia="Times New Roman" w:hAnsi="Calibri" w:cs="Calibri"/>
              </w:rPr>
              <w:t xml:space="preserve">Injury by circular saw, motor saw or grinder 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Fall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4B5513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</w:rPr>
            </w:pPr>
            <w:r w:rsidRPr="004B5513">
              <w:rPr>
                <w:rFonts w:ascii="Calibri" w:eastAsia="Times New Roman" w:hAnsi="Calibri" w:cs="Calibri"/>
              </w:rPr>
              <w:t>Gunshot injury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4B5513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</w:rPr>
            </w:pPr>
            <w:r w:rsidRPr="004B5513">
              <w:rPr>
                <w:rFonts w:ascii="Calibri" w:eastAsia="Times New Roman" w:hAnsi="Calibri" w:cs="Calibri"/>
              </w:rPr>
              <w:lastRenderedPageBreak/>
              <w:t>Car accident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4B5513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</w:rPr>
            </w:pPr>
            <w:r w:rsidRPr="004B5513">
              <w:rPr>
                <w:rFonts w:ascii="Calibri" w:eastAsia="Times New Roman" w:hAnsi="Calibri" w:cs="Calibri"/>
              </w:rPr>
              <w:t>Unknown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C8094F" w:rsidRDefault="00CD61CB" w:rsidP="00AA65E2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C8094F">
              <w:rPr>
                <w:rFonts w:ascii="Calibri" w:eastAsia="Times New Roman" w:hAnsi="Calibri" w:cs="Calibri"/>
                <w:b/>
                <w:color w:val="000000"/>
              </w:rPr>
              <w:t>Associated injuries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C8094F" w:rsidRDefault="00CD61CB" w:rsidP="00AA65E2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C8094F">
              <w:rPr>
                <w:rFonts w:ascii="Calibri" w:eastAsia="Times New Roman" w:hAnsi="Calibri" w:cs="Calibri"/>
                <w:b/>
                <w:color w:val="000000"/>
              </w:rPr>
              <w:t xml:space="preserve">Time between injury and surgery 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 weeks to 3 months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 months to 6 months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6 months to 12 months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CD61CB" w:rsidRPr="00D60DDB" w:rsidTr="00AA65E2">
        <w:trPr>
          <w:trHeight w:val="300"/>
        </w:trPr>
        <w:tc>
          <w:tcPr>
            <w:tcW w:w="2319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ind w:left="333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mor</w:t>
            </w:r>
            <w:r w:rsidRPr="00D60DDB">
              <w:rPr>
                <w:rFonts w:ascii="Calibri" w:eastAsia="Times New Roman" w:hAnsi="Calibri" w:cs="Calibri"/>
                <w:color w:val="000000"/>
              </w:rPr>
              <w:t>e than 12 months</w:t>
            </w:r>
          </w:p>
        </w:tc>
        <w:tc>
          <w:tcPr>
            <w:tcW w:w="685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2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CD61CB" w:rsidRPr="00D60DDB" w:rsidRDefault="00CD61CB" w:rsidP="00AA65E2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0D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CD61CB" w:rsidRDefault="00CD61CB"/>
    <w:sectPr w:rsidR="00CD61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61CB"/>
    <w:rsid w:val="00CD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2014-08-18T07:16:00Z</dcterms:created>
  <dcterms:modified xsi:type="dcterms:W3CDTF">2014-08-18T07:17:00Z</dcterms:modified>
</cp:coreProperties>
</file>