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C67" w:rsidRPr="0076631D" w:rsidRDefault="00833636" w:rsidP="00AE4F1D">
      <w:pPr>
        <w:autoSpaceDE w:val="0"/>
        <w:autoSpaceDN w:val="0"/>
        <w:adjustRightInd w:val="0"/>
        <w:ind w:firstLine="0"/>
        <w:jc w:val="left"/>
        <w:outlineLvl w:val="0"/>
      </w:pPr>
      <w:r>
        <w:t>REVIEW PAPER</w:t>
      </w:r>
    </w:p>
    <w:p w:rsidR="005B27E9" w:rsidRDefault="00833636" w:rsidP="00AE4F1D">
      <w:pPr>
        <w:autoSpaceDE w:val="0"/>
        <w:autoSpaceDN w:val="0"/>
        <w:adjustRightInd w:val="0"/>
        <w:ind w:firstLine="0"/>
        <w:jc w:val="left"/>
        <w:outlineLvl w:val="0"/>
      </w:pPr>
      <w:r>
        <w:t xml:space="preserve">Miroslava R. </w:t>
      </w:r>
      <w:proofErr w:type="spellStart"/>
      <w:r>
        <w:t>Ristić</w:t>
      </w:r>
      <w:proofErr w:type="spellEnd"/>
      <w:r w:rsidR="005B27E9">
        <w:rPr>
          <w:rStyle w:val="FootnoteReference"/>
        </w:rPr>
        <w:footnoteReference w:id="1"/>
      </w:r>
    </w:p>
    <w:p w:rsidR="005B27E9" w:rsidRDefault="00833636" w:rsidP="005B27E9">
      <w:pPr>
        <w:autoSpaceDE w:val="0"/>
        <w:autoSpaceDN w:val="0"/>
        <w:adjustRightInd w:val="0"/>
        <w:ind w:firstLine="0"/>
        <w:jc w:val="left"/>
      </w:pPr>
      <w:proofErr w:type="spellStart"/>
      <w:r>
        <w:t>Danimir</w:t>
      </w:r>
      <w:proofErr w:type="spellEnd"/>
      <w:r>
        <w:t xml:space="preserve"> P. </w:t>
      </w:r>
      <w:proofErr w:type="spellStart"/>
      <w:r>
        <w:t>Mandić</w:t>
      </w:r>
      <w:proofErr w:type="spellEnd"/>
      <w:r w:rsidR="0076631D">
        <w:rPr>
          <w:rStyle w:val="FootnoteReference"/>
        </w:rPr>
        <w:footnoteReference w:id="2"/>
      </w:r>
    </w:p>
    <w:p w:rsidR="005B27E9" w:rsidRDefault="00833636" w:rsidP="005B27E9">
      <w:pPr>
        <w:autoSpaceDE w:val="0"/>
        <w:autoSpaceDN w:val="0"/>
        <w:adjustRightInd w:val="0"/>
        <w:ind w:firstLine="0"/>
        <w:jc w:val="left"/>
      </w:pPr>
      <w:r>
        <w:t>University of Belgrade</w:t>
      </w:r>
    </w:p>
    <w:p w:rsidR="005B27E9" w:rsidRDefault="00833636" w:rsidP="005B27E9">
      <w:pPr>
        <w:autoSpaceDE w:val="0"/>
        <w:autoSpaceDN w:val="0"/>
        <w:adjustRightInd w:val="0"/>
        <w:ind w:firstLine="0"/>
        <w:jc w:val="left"/>
      </w:pPr>
      <w:r>
        <w:t>Teacher Education Faculty</w:t>
      </w:r>
    </w:p>
    <w:p w:rsidR="005B27E9" w:rsidRPr="005B27E9" w:rsidRDefault="00833636" w:rsidP="005B27E9">
      <w:pPr>
        <w:autoSpaceDE w:val="0"/>
        <w:autoSpaceDN w:val="0"/>
        <w:adjustRightInd w:val="0"/>
        <w:ind w:firstLine="0"/>
        <w:jc w:val="left"/>
      </w:pPr>
      <w:r>
        <w:t>Belgrade</w:t>
      </w:r>
      <w:r w:rsidR="005B27E9">
        <w:t xml:space="preserve"> (</w:t>
      </w:r>
      <w:r>
        <w:t>Serbia</w:t>
      </w:r>
      <w:r w:rsidR="005B27E9">
        <w:t>)</w:t>
      </w:r>
    </w:p>
    <w:p w:rsidR="005B27E9" w:rsidRDefault="005B27E9" w:rsidP="00FF1062">
      <w:pPr>
        <w:autoSpaceDE w:val="0"/>
        <w:autoSpaceDN w:val="0"/>
        <w:adjustRightInd w:val="0"/>
        <w:ind w:firstLine="0"/>
        <w:jc w:val="center"/>
        <w:rPr>
          <w:b/>
        </w:rPr>
      </w:pPr>
    </w:p>
    <w:p w:rsidR="005B27E9" w:rsidRDefault="005B27E9" w:rsidP="003565A7">
      <w:pPr>
        <w:autoSpaceDE w:val="0"/>
        <w:autoSpaceDN w:val="0"/>
        <w:adjustRightInd w:val="0"/>
        <w:ind w:firstLine="0"/>
        <w:jc w:val="center"/>
        <w:rPr>
          <w:b/>
        </w:rPr>
      </w:pPr>
    </w:p>
    <w:p w:rsidR="00FF1062" w:rsidRPr="00833636" w:rsidRDefault="00833636" w:rsidP="00833636">
      <w:pPr>
        <w:ind w:firstLine="0"/>
        <w:jc w:val="center"/>
        <w:rPr>
          <w:b/>
          <w:bCs/>
        </w:rPr>
      </w:pPr>
      <w:r w:rsidRPr="0064153A">
        <w:rPr>
          <w:b/>
          <w:color w:val="auto"/>
        </w:rPr>
        <w:t xml:space="preserve">READINESS </w:t>
      </w:r>
      <w:r w:rsidRPr="0064153A">
        <w:rPr>
          <w:b/>
          <w:bCs/>
          <w:color w:val="auto"/>
        </w:rPr>
        <w:t>O</w:t>
      </w:r>
      <w:r>
        <w:rPr>
          <w:b/>
          <w:bCs/>
        </w:rPr>
        <w:t xml:space="preserve">F THE EDUCATION SYSTEM FOR MOBILE </w:t>
      </w:r>
      <w:r w:rsidRPr="00860799">
        <w:rPr>
          <w:b/>
          <w:bCs/>
        </w:rPr>
        <w:t>LEARNING</w:t>
      </w:r>
      <w:r w:rsidR="005B27E9">
        <w:rPr>
          <w:rStyle w:val="FootnoteReference"/>
          <w:b/>
        </w:rPr>
        <w:footnoteReference w:id="3"/>
      </w:r>
    </w:p>
    <w:p w:rsidR="005266F6" w:rsidRDefault="005266F6" w:rsidP="003565A7">
      <w:pPr>
        <w:ind w:firstLine="0"/>
      </w:pPr>
    </w:p>
    <w:p w:rsidR="003565A7" w:rsidRDefault="003565A7"/>
    <w:p w:rsidR="003565A7" w:rsidRDefault="003565A7"/>
    <w:p w:rsidR="003565A7" w:rsidRDefault="003565A7">
      <w:bookmarkStart w:id="0" w:name="_GoBack"/>
      <w:bookmarkEnd w:id="0"/>
    </w:p>
    <w:p w:rsidR="003565A7" w:rsidRDefault="003565A7"/>
    <w:p w:rsidR="003565A7" w:rsidRDefault="003565A7"/>
    <w:p w:rsidR="003565A7" w:rsidRDefault="003565A7"/>
    <w:p w:rsidR="003565A7" w:rsidRDefault="003565A7"/>
    <w:p w:rsidR="003565A7" w:rsidRDefault="003565A7"/>
    <w:p w:rsidR="003565A7" w:rsidRDefault="003565A7"/>
    <w:p w:rsidR="003565A7" w:rsidRDefault="003565A7"/>
    <w:p w:rsidR="003565A7" w:rsidRDefault="003565A7"/>
    <w:p w:rsidR="003565A7" w:rsidRDefault="003565A7"/>
    <w:p w:rsidR="003565A7" w:rsidRDefault="003565A7"/>
    <w:p w:rsidR="003565A7" w:rsidRDefault="003565A7"/>
    <w:p w:rsidR="003565A7" w:rsidRDefault="003565A7"/>
    <w:p w:rsidR="003565A7" w:rsidRDefault="003565A7"/>
    <w:p w:rsidR="003565A7" w:rsidRDefault="003565A7"/>
    <w:p w:rsidR="00355BB3" w:rsidRDefault="00355BB3"/>
    <w:p w:rsidR="003565A7" w:rsidRDefault="003565A7"/>
    <w:p w:rsidR="003565A7" w:rsidRPr="0031574E" w:rsidRDefault="003565A7" w:rsidP="003565A7">
      <w:pPr>
        <w:spacing w:line="240" w:lineRule="auto"/>
      </w:pPr>
      <w:r w:rsidRPr="002473AF">
        <w:rPr>
          <w:i/>
        </w:rPr>
        <w:lastRenderedPageBreak/>
        <w:t>Summary:</w:t>
      </w:r>
      <w:r>
        <w:t xml:space="preserve"> Many internationa</w:t>
      </w:r>
      <w:r w:rsidR="007735FC">
        <w:t>l educational systems worldwide</w:t>
      </w:r>
      <w:r>
        <w:t xml:space="preserve"> have recognized the potentials of mobile learning, such as efficiency increase, use of digital resources, cost reduction, overcoming shortcomings of traditional teaching and achieving educational outcomes</w:t>
      </w:r>
      <w:r w:rsidR="009F1A3B" w:rsidRPr="00D74C67">
        <w:rPr>
          <w:color w:val="auto"/>
        </w:rPr>
        <w:t>.</w:t>
      </w:r>
      <w:r w:rsidR="00373B37">
        <w:rPr>
          <w:color w:val="auto"/>
        </w:rPr>
        <w:t xml:space="preserve"> </w:t>
      </w:r>
      <w:r>
        <w:rPr>
          <w:color w:val="auto"/>
        </w:rPr>
        <w:t xml:space="preserve">The aim of the paper is to analyze </w:t>
      </w:r>
      <w:r w:rsidRPr="0064153A">
        <w:rPr>
          <w:color w:val="auto"/>
        </w:rPr>
        <w:t xml:space="preserve">the </w:t>
      </w:r>
      <w:r w:rsidRPr="0064153A">
        <w:t xml:space="preserve">readiness of the Serbian education system for </w:t>
      </w:r>
      <w:r w:rsidR="007735FC">
        <w:t xml:space="preserve">mobile learning </w:t>
      </w:r>
      <w:r>
        <w:t xml:space="preserve">using the </w:t>
      </w:r>
      <w:r w:rsidRPr="0031574E">
        <w:t xml:space="preserve">4C </w:t>
      </w:r>
      <w:r>
        <w:t>m</w:t>
      </w:r>
      <w:r w:rsidRPr="0031574E">
        <w:t>ethod</w:t>
      </w:r>
      <w:r>
        <w:t xml:space="preserve">. Key results indicate that </w:t>
      </w:r>
      <w:r w:rsidR="007735FC">
        <w:t xml:space="preserve">mobile learning </w:t>
      </w:r>
      <w:r>
        <w:t xml:space="preserve">can be significantly improved by: raising the digital competencies level of teachers and </w:t>
      </w:r>
      <w:r w:rsidR="007B469E">
        <w:t xml:space="preserve">professional </w:t>
      </w:r>
      <w:r>
        <w:t xml:space="preserve">associates; system integration of </w:t>
      </w:r>
      <w:r w:rsidR="007735FC">
        <w:t>mobile learning</w:t>
      </w:r>
      <w:r>
        <w:t xml:space="preserve">; </w:t>
      </w:r>
      <w:r w:rsidRPr="0031574E">
        <w:t xml:space="preserve">institutional support; promoting the </w:t>
      </w:r>
      <w:r w:rsidR="007735FC">
        <w:t xml:space="preserve">mobile learning </w:t>
      </w:r>
      <w:r>
        <w:t>concept</w:t>
      </w:r>
      <w:r w:rsidRPr="0031574E">
        <w:t xml:space="preserve"> as well as increasing investment</w:t>
      </w:r>
      <w:r>
        <w:t>s</w:t>
      </w:r>
      <w:r w:rsidRPr="0031574E">
        <w:t xml:space="preserve"> in sustainable progress in terms of education quality and equity.</w:t>
      </w:r>
    </w:p>
    <w:p w:rsidR="003565A7" w:rsidRPr="0031574E" w:rsidRDefault="003565A7" w:rsidP="003565A7">
      <w:pPr>
        <w:spacing w:line="240" w:lineRule="auto"/>
      </w:pPr>
      <w:r w:rsidRPr="002473AF">
        <w:rPr>
          <w:i/>
        </w:rPr>
        <w:t>Keywords:</w:t>
      </w:r>
      <w:r w:rsidR="00373B37">
        <w:t xml:space="preserve"> education</w:t>
      </w:r>
      <w:r w:rsidRPr="0031574E">
        <w:t xml:space="preserve"> system, cloud computing, mobile learning, digital competencies</w:t>
      </w:r>
      <w:r w:rsidR="00373B37">
        <w:t>, teacher</w:t>
      </w:r>
    </w:p>
    <w:p w:rsidR="003565A7" w:rsidRDefault="003565A7"/>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29271A" w:rsidRDefault="0029271A"/>
    <w:p w:rsidR="00355BB3" w:rsidRPr="009F1A3B" w:rsidRDefault="00373B37" w:rsidP="00AE4F1D">
      <w:pPr>
        <w:ind w:firstLine="0"/>
        <w:jc w:val="center"/>
        <w:outlineLvl w:val="0"/>
        <w:rPr>
          <w:b/>
        </w:rPr>
      </w:pPr>
      <w:r>
        <w:rPr>
          <w:b/>
        </w:rPr>
        <w:lastRenderedPageBreak/>
        <w:t>Introduction</w:t>
      </w:r>
      <w:r w:rsidR="00084298" w:rsidRPr="009F1A3B">
        <w:rPr>
          <w:b/>
        </w:rPr>
        <w:t xml:space="preserve"> </w:t>
      </w:r>
    </w:p>
    <w:p w:rsidR="00DF02B4" w:rsidRDefault="00373B37" w:rsidP="00DF02B4">
      <w:r>
        <w:t>The process of integration of modern information-communication technologies (ICT) into the education system, and thus into the teaching of individual su</w:t>
      </w:r>
      <w:r w:rsidR="00143C22">
        <w:t>bjects as well, has been studied intensively from various points of view in the latest educational and sociological literature for two decades at least.</w:t>
      </w:r>
      <w:r w:rsidR="00F54CBE">
        <w:rPr>
          <w:rStyle w:val="FootnoteReference"/>
        </w:rPr>
        <w:footnoteReference w:id="4"/>
      </w:r>
      <w:r w:rsidR="00143C22">
        <w:t xml:space="preserve"> Various forms of applica</w:t>
      </w:r>
      <w:r w:rsidR="007C3C6E">
        <w:t xml:space="preserve">tion of modern technology have </w:t>
      </w:r>
      <w:r w:rsidR="00DF02B4">
        <w:t xml:space="preserve">already </w:t>
      </w:r>
      <w:r w:rsidR="00143C22">
        <w:t>been identified, and are still being studied</w:t>
      </w:r>
      <w:r w:rsidR="00DF02B4">
        <w:t xml:space="preserve">, which contribute to the development of models of </w:t>
      </w:r>
      <w:r w:rsidR="00DF02B4" w:rsidRPr="00DF02B4">
        <w:rPr>
          <w:i/>
        </w:rPr>
        <w:t>blended learning</w:t>
      </w:r>
      <w:r w:rsidR="00DF02B4">
        <w:t>, which represents an environment for learning based on different variants of classic (face to face)</w:t>
      </w:r>
      <w:r w:rsidR="00DF02B4" w:rsidRPr="00DF02B4">
        <w:t xml:space="preserve"> </w:t>
      </w:r>
      <w:r w:rsidR="00DF02B4">
        <w:t>lectures and electronic learning</w:t>
      </w:r>
      <w:r w:rsidR="00A176F2">
        <w:rPr>
          <w:rStyle w:val="FootnoteReference"/>
        </w:rPr>
        <w:footnoteReference w:id="5"/>
      </w:r>
      <w:r w:rsidR="003A0042" w:rsidRPr="00C16D2C">
        <w:t xml:space="preserve"> </w:t>
      </w:r>
      <w:r w:rsidR="00DF02B4">
        <w:t>with the aim to shape an environment</w:t>
      </w:r>
      <w:r w:rsidR="00DF02B4" w:rsidRPr="00DF02B4">
        <w:t xml:space="preserve"> </w:t>
      </w:r>
      <w:r w:rsidR="00DF02B4">
        <w:t xml:space="preserve">for students’ learning and development that will be as effective and stimulating (rich) as possible. </w:t>
      </w:r>
    </w:p>
    <w:p w:rsidR="003A0042" w:rsidRDefault="004675FA" w:rsidP="004675FA">
      <w:r>
        <w:t xml:space="preserve">Blended learning is seen in literature (Garrison &amp; </w:t>
      </w:r>
      <w:proofErr w:type="spellStart"/>
      <w:r>
        <w:t>Kanuka</w:t>
      </w:r>
      <w:proofErr w:type="spellEnd"/>
      <w:r>
        <w:t>, 2004)</w:t>
      </w:r>
      <w:r w:rsidRPr="00C16D2C">
        <w:t xml:space="preserve"> </w:t>
      </w:r>
      <w:r>
        <w:t>as a combination of different didactic, methodological,</w:t>
      </w:r>
      <w:r w:rsidR="003A0042" w:rsidRPr="00C16D2C">
        <w:t xml:space="preserve"> </w:t>
      </w:r>
      <w:r>
        <w:t xml:space="preserve">and pedagogical approaches, various teaching methods, media and tools that can be used in the teaching process. It is important to emphasize that models of blended learning require a teacher’s comprehensive methodological preparation </w:t>
      </w:r>
      <w:r w:rsidR="003A0042" w:rsidRPr="00C16D2C">
        <w:t>(</w:t>
      </w:r>
      <w:proofErr w:type="spellStart"/>
      <w:r w:rsidR="003A0042" w:rsidRPr="00C16D2C">
        <w:t>Vujović</w:t>
      </w:r>
      <w:proofErr w:type="spellEnd"/>
      <w:r w:rsidR="008F24C5">
        <w:t xml:space="preserve"> </w:t>
      </w:r>
      <w:r w:rsidR="00D33953">
        <w:t>and</w:t>
      </w:r>
      <w:r w:rsidR="008F24C5">
        <w:t xml:space="preserve"> </w:t>
      </w:r>
      <w:proofErr w:type="spellStart"/>
      <w:r w:rsidR="008F24C5">
        <w:t>Ristić</w:t>
      </w:r>
      <w:proofErr w:type="spellEnd"/>
      <w:r w:rsidR="00562627">
        <w:t>,</w:t>
      </w:r>
      <w:r w:rsidR="003A0042">
        <w:t xml:space="preserve"> 2015</w:t>
      </w:r>
      <w:r w:rsidR="00562627">
        <w:t>)</w:t>
      </w:r>
      <w:r w:rsidR="0046281F">
        <w:t xml:space="preserve">, </w:t>
      </w:r>
      <w:r>
        <w:t xml:space="preserve">possession of digital competencies, as well as availability of necessary equipment, computer </w:t>
      </w:r>
      <w:proofErr w:type="spellStart"/>
      <w:r>
        <w:t>programmes</w:t>
      </w:r>
      <w:proofErr w:type="spellEnd"/>
      <w:r>
        <w:t xml:space="preserve"> and digital teaching materials. </w:t>
      </w:r>
    </w:p>
    <w:p w:rsidR="009C04A8" w:rsidRPr="009C04A8" w:rsidRDefault="00671938" w:rsidP="00671938">
      <w:r>
        <w:t xml:space="preserve">Research results on the use of ICT in Serbian schools </w:t>
      </w:r>
      <w:r w:rsidR="00BA0398">
        <w:t xml:space="preserve"> </w:t>
      </w:r>
      <w:r w:rsidR="00BA0398" w:rsidRPr="00D3629E">
        <w:rPr>
          <w:szCs w:val="24"/>
        </w:rPr>
        <w:t>(</w:t>
      </w:r>
      <w:proofErr w:type="spellStart"/>
      <w:r w:rsidR="00BA0398">
        <w:rPr>
          <w:szCs w:val="24"/>
        </w:rPr>
        <w:t>Džigurski</w:t>
      </w:r>
      <w:proofErr w:type="spellEnd"/>
      <w:r w:rsidR="00BA0398">
        <w:rPr>
          <w:szCs w:val="24"/>
        </w:rPr>
        <w:t xml:space="preserve"> </w:t>
      </w:r>
      <w:r>
        <w:rPr>
          <w:szCs w:val="24"/>
        </w:rPr>
        <w:t>et al</w:t>
      </w:r>
      <w:r w:rsidR="00BA0398" w:rsidRPr="00D3629E">
        <w:rPr>
          <w:szCs w:val="24"/>
        </w:rPr>
        <w:t>., 2013</w:t>
      </w:r>
      <w:r w:rsidR="00BA0398">
        <w:rPr>
          <w:szCs w:val="24"/>
        </w:rPr>
        <w:t>)</w:t>
      </w:r>
      <w:r w:rsidR="00BA0398">
        <w:t xml:space="preserve"> </w:t>
      </w:r>
      <w:r>
        <w:t xml:space="preserve">show that the current level of </w:t>
      </w:r>
      <w:proofErr w:type="spellStart"/>
      <w:r>
        <w:t>equipedness</w:t>
      </w:r>
      <w:proofErr w:type="spellEnd"/>
      <w:r>
        <w:t xml:space="preserve"> only partly meets the needs, with </w:t>
      </w:r>
      <w:r w:rsidRPr="00671938">
        <w:rPr>
          <w:i/>
        </w:rPr>
        <w:t xml:space="preserve">Microsoft </w:t>
      </w:r>
      <w:r>
        <w:t xml:space="preserve">package </w:t>
      </w:r>
      <w:proofErr w:type="spellStart"/>
      <w:r>
        <w:t>programmes</w:t>
      </w:r>
      <w:proofErr w:type="spellEnd"/>
      <w:r>
        <w:t xml:space="preserve"> being the most commonly used ones in the teaching preparation and instruction processes. Students are often not taught by teachers who do not feel self-confident in the use</w:t>
      </w:r>
      <w:r w:rsidRPr="00671938">
        <w:t xml:space="preserve"> </w:t>
      </w:r>
      <w:r>
        <w:t>of ICT. They most commonly use ICT to prepare lessons, but not during the lesson itself in interactive work with students</w:t>
      </w:r>
      <w:r w:rsidR="00C8125C">
        <w:t xml:space="preserve"> (</w:t>
      </w:r>
      <w:proofErr w:type="spellStart"/>
      <w:r w:rsidR="00C8125C">
        <w:t>Ristić</w:t>
      </w:r>
      <w:proofErr w:type="spellEnd"/>
      <w:r w:rsidR="00C8125C">
        <w:t xml:space="preserve"> </w:t>
      </w:r>
      <w:r>
        <w:t>and</w:t>
      </w:r>
      <w:r w:rsidR="00C8125C">
        <w:t xml:space="preserve"> </w:t>
      </w:r>
      <w:proofErr w:type="spellStart"/>
      <w:r w:rsidR="00C8125C">
        <w:t>Mandić</w:t>
      </w:r>
      <w:proofErr w:type="spellEnd"/>
      <w:r w:rsidR="00C8125C">
        <w:t xml:space="preserve">, 2017). </w:t>
      </w:r>
      <w:r>
        <w:t xml:space="preserve">What sounds encouraging is the information that teachers have a positive attitude towards the key markers of efficient school, including the application of ICT </w:t>
      </w:r>
      <w:r w:rsidR="00D33953">
        <w:rPr>
          <w:color w:val="222222"/>
          <w:szCs w:val="16"/>
          <w:shd w:val="clear" w:color="auto" w:fill="FFFFFF"/>
        </w:rPr>
        <w:t>(</w:t>
      </w:r>
      <w:proofErr w:type="spellStart"/>
      <w:r w:rsidR="00D33953">
        <w:rPr>
          <w:color w:val="222222"/>
          <w:szCs w:val="16"/>
          <w:shd w:val="clear" w:color="auto" w:fill="FFFFFF"/>
        </w:rPr>
        <w:t>Nikolić</w:t>
      </w:r>
      <w:proofErr w:type="spellEnd"/>
      <w:r w:rsidR="00D33953">
        <w:rPr>
          <w:color w:val="222222"/>
          <w:szCs w:val="16"/>
          <w:shd w:val="clear" w:color="auto" w:fill="FFFFFF"/>
        </w:rPr>
        <w:t xml:space="preserve">, </w:t>
      </w:r>
      <w:proofErr w:type="spellStart"/>
      <w:r w:rsidR="00D33953">
        <w:rPr>
          <w:color w:val="222222"/>
          <w:szCs w:val="16"/>
          <w:shd w:val="clear" w:color="auto" w:fill="FFFFFF"/>
        </w:rPr>
        <w:t>Mandić</w:t>
      </w:r>
      <w:proofErr w:type="spellEnd"/>
      <w:r w:rsidR="00D33953">
        <w:rPr>
          <w:color w:val="222222"/>
          <w:szCs w:val="16"/>
          <w:shd w:val="clear" w:color="auto" w:fill="FFFFFF"/>
        </w:rPr>
        <w:t xml:space="preserve"> and </w:t>
      </w:r>
      <w:proofErr w:type="spellStart"/>
      <w:r w:rsidR="00D33953">
        <w:rPr>
          <w:color w:val="222222"/>
          <w:szCs w:val="16"/>
          <w:shd w:val="clear" w:color="auto" w:fill="FFFFFF"/>
        </w:rPr>
        <w:t>Kostadinović</w:t>
      </w:r>
      <w:proofErr w:type="spellEnd"/>
      <w:r w:rsidR="00D33953">
        <w:rPr>
          <w:color w:val="222222"/>
          <w:szCs w:val="16"/>
          <w:shd w:val="clear" w:color="auto" w:fill="FFFFFF"/>
        </w:rPr>
        <w:t>,</w:t>
      </w:r>
      <w:r w:rsidR="009C04A8">
        <w:rPr>
          <w:color w:val="222222"/>
          <w:szCs w:val="16"/>
          <w:shd w:val="clear" w:color="auto" w:fill="FFFFFF"/>
        </w:rPr>
        <w:t xml:space="preserve"> 2017</w:t>
      </w:r>
      <w:r w:rsidR="009C04A8" w:rsidRPr="00C03F4D">
        <w:rPr>
          <w:color w:val="222222"/>
          <w:szCs w:val="16"/>
          <w:shd w:val="clear" w:color="auto" w:fill="FFFFFF"/>
        </w:rPr>
        <w:t>)</w:t>
      </w:r>
      <w:r w:rsidR="009C04A8">
        <w:rPr>
          <w:color w:val="222222"/>
          <w:szCs w:val="16"/>
          <w:shd w:val="clear" w:color="auto" w:fill="FFFFFF"/>
        </w:rPr>
        <w:t>.</w:t>
      </w:r>
    </w:p>
    <w:p w:rsidR="00BA0398" w:rsidRPr="00DF70EA" w:rsidRDefault="00671938" w:rsidP="00DF70EA">
      <w:pPr>
        <w:rPr>
          <w:color w:val="auto"/>
        </w:rPr>
      </w:pPr>
      <w:r>
        <w:t xml:space="preserve">The long-term problem with the availability of computer equipment can be overcome by the use of </w:t>
      </w:r>
      <w:r w:rsidRPr="00671938">
        <w:rPr>
          <w:i/>
        </w:rPr>
        <w:t>cloud computing</w:t>
      </w:r>
      <w:r>
        <w:t>, i.e. computer architecture in which the complete information-communication infrastructure</w:t>
      </w:r>
      <w:r w:rsidR="00500AEF">
        <w:t>, including hardware and network</w:t>
      </w:r>
      <w:r>
        <w:t xml:space="preserve"> resources, </w:t>
      </w:r>
      <w:r w:rsidR="00500AEF">
        <w:t xml:space="preserve">data and software </w:t>
      </w:r>
      <w:r>
        <w:t>storage capacities</w:t>
      </w:r>
      <w:r w:rsidR="00500AEF">
        <w:t xml:space="preserve"> and their security, is offered to the users in the form of an internet service</w:t>
      </w:r>
      <w:r w:rsidR="00BA0398" w:rsidRPr="00B4653C">
        <w:rPr>
          <w:color w:val="auto"/>
          <w:lang w:val="sr-Cyrl-CS"/>
        </w:rPr>
        <w:t xml:space="preserve"> (Vujin</w:t>
      </w:r>
      <w:r w:rsidR="00AD4D56">
        <w:rPr>
          <w:color w:val="auto"/>
          <w:lang w:val="sr-Cyrl-CS"/>
        </w:rPr>
        <w:t xml:space="preserve">,  2013 </w:t>
      </w:r>
      <w:r w:rsidR="00500AEF">
        <w:rPr>
          <w:color w:val="auto"/>
          <w:lang w:val="sr-Latn-CS"/>
        </w:rPr>
        <w:t>p</w:t>
      </w:r>
      <w:r w:rsidR="00AD4D56" w:rsidRPr="00AD4D56">
        <w:rPr>
          <w:color w:val="auto"/>
          <w:lang w:val="sr-Latn-CS"/>
        </w:rPr>
        <w:t>.</w:t>
      </w:r>
      <w:r w:rsidR="00BA0398" w:rsidRPr="00AD4D56">
        <w:rPr>
          <w:color w:val="auto"/>
          <w:lang w:val="sr-Latn-CS"/>
        </w:rPr>
        <w:t xml:space="preserve"> </w:t>
      </w:r>
      <w:r w:rsidR="00500AEF">
        <w:rPr>
          <w:color w:val="auto"/>
          <w:lang w:val="sr-Cyrl-CS"/>
        </w:rPr>
        <w:t>13).</w:t>
      </w:r>
      <w:r w:rsidR="00500AEF">
        <w:rPr>
          <w:color w:val="auto"/>
        </w:rPr>
        <w:t xml:space="preserve"> For the purpose of economic </w:t>
      </w:r>
      <w:r w:rsidR="00A911C5">
        <w:rPr>
          <w:color w:val="auto"/>
        </w:rPr>
        <w:t xml:space="preserve">effectiveness, i.e. reduced costs of new </w:t>
      </w:r>
      <w:proofErr w:type="spellStart"/>
      <w:r w:rsidR="00A911C5">
        <w:rPr>
          <w:color w:val="auto"/>
        </w:rPr>
        <w:t>programme</w:t>
      </w:r>
      <w:proofErr w:type="spellEnd"/>
      <w:r w:rsidR="00A911C5">
        <w:rPr>
          <w:color w:val="auto"/>
        </w:rPr>
        <w:t xml:space="preserve"> version purchase and maintenance, licensing, upgrading and availability</w:t>
      </w:r>
      <w:r w:rsidR="00DF70EA">
        <w:rPr>
          <w:color w:val="auto"/>
        </w:rPr>
        <w:t xml:space="preserve">, many </w:t>
      </w:r>
      <w:r w:rsidR="00DF70EA">
        <w:rPr>
          <w:color w:val="auto"/>
        </w:rPr>
        <w:lastRenderedPageBreak/>
        <w:t>business and education systems have started using this model. It is surely one of the reasons for an increase in the use of mobile technologies</w:t>
      </w:r>
      <w:r w:rsidR="00BA0398" w:rsidRPr="00B4653C">
        <w:rPr>
          <w:color w:val="auto"/>
          <w:lang w:val="sr-Cyrl-CS"/>
        </w:rPr>
        <w:t xml:space="preserve"> </w:t>
      </w:r>
      <w:r w:rsidR="00BA0398" w:rsidRPr="00B4653C">
        <w:rPr>
          <w:color w:val="auto"/>
          <w:highlight w:val="white"/>
          <w:lang w:val="sr-Cyrl-CS"/>
        </w:rPr>
        <w:t>(Caldwell &amp; Bird</w:t>
      </w:r>
      <w:r w:rsidR="00AD4D56">
        <w:rPr>
          <w:color w:val="auto"/>
          <w:highlight w:val="white"/>
          <w:lang w:val="sr-Cyrl-CS"/>
        </w:rPr>
        <w:t>,</w:t>
      </w:r>
      <w:r w:rsidR="00BA0398" w:rsidRPr="00B4653C">
        <w:rPr>
          <w:color w:val="auto"/>
          <w:highlight w:val="white"/>
          <w:lang w:val="sr-Cyrl-CS"/>
        </w:rPr>
        <w:t xml:space="preserve"> 2015)</w:t>
      </w:r>
      <w:r w:rsidR="00BA0398" w:rsidRPr="00B4653C">
        <w:rPr>
          <w:color w:val="auto"/>
          <w:lang w:val="sr-Cyrl-CS"/>
        </w:rPr>
        <w:t xml:space="preserve"> </w:t>
      </w:r>
      <w:r w:rsidR="00DF70EA">
        <w:rPr>
          <w:color w:val="auto"/>
        </w:rPr>
        <w:t xml:space="preserve">in the education systems in Europe. </w:t>
      </w:r>
      <w:r w:rsidR="00BA0398" w:rsidRPr="00B4653C">
        <w:rPr>
          <w:color w:val="auto"/>
          <w:lang w:val="sr-Cyrl-CS"/>
        </w:rPr>
        <w:t xml:space="preserve"> </w:t>
      </w:r>
    </w:p>
    <w:p w:rsidR="00DF70EA" w:rsidRDefault="00DF70EA" w:rsidP="00AD4D56">
      <w:r>
        <w:t xml:space="preserve">According to </w:t>
      </w:r>
      <w:r w:rsidRPr="00E0081F">
        <w:rPr>
          <w:lang w:val="sr-Cyrl-CS"/>
        </w:rPr>
        <w:t>Dumančić</w:t>
      </w:r>
      <w:r>
        <w:rPr>
          <w:lang w:val="sr-Cyrl-CS"/>
        </w:rPr>
        <w:t>,</w:t>
      </w:r>
      <w:r w:rsidR="00AD4D56" w:rsidRPr="00E0081F">
        <w:rPr>
          <w:lang w:val="sr-Cyrl-CS"/>
        </w:rPr>
        <w:t xml:space="preserve"> (Dumančić</w:t>
      </w:r>
      <w:r w:rsidR="00AD4D56">
        <w:rPr>
          <w:lang w:val="sr-Cyrl-CS"/>
        </w:rPr>
        <w:t>,</w:t>
      </w:r>
      <w:r w:rsidR="008F24C5">
        <w:t xml:space="preserve"> </w:t>
      </w:r>
      <w:r w:rsidR="00AD4D56">
        <w:rPr>
          <w:lang w:val="sr-Cyrl-CS"/>
        </w:rPr>
        <w:t xml:space="preserve">2017, </w:t>
      </w:r>
      <w:r>
        <w:rPr>
          <w:shd w:val="clear" w:color="auto" w:fill="FFFFFF"/>
        </w:rPr>
        <w:t>p</w:t>
      </w:r>
      <w:r w:rsidR="00AD4D56">
        <w:rPr>
          <w:shd w:val="clear" w:color="auto" w:fill="FFFFFF"/>
        </w:rPr>
        <w:t xml:space="preserve">. </w:t>
      </w:r>
      <w:r w:rsidR="00AD4D56" w:rsidRPr="00E0081F">
        <w:rPr>
          <w:lang w:val="sr-Cyrl-CS"/>
        </w:rPr>
        <w:t xml:space="preserve">126), </w:t>
      </w:r>
      <w:r>
        <w:t xml:space="preserve">the advantages of the use of cloud computing in education systems are: 1) </w:t>
      </w:r>
      <w:r w:rsidR="00631F1A">
        <w:t xml:space="preserve">personalized </w:t>
      </w:r>
      <w:r>
        <w:t xml:space="preserve">learning environment (learner/student can access various resources and applications that suit his/her learning style, regardless of the characteristics of the </w:t>
      </w:r>
      <w:r w:rsidR="00052295">
        <w:t xml:space="preserve">device </w:t>
      </w:r>
      <w:r w:rsidR="00D33953">
        <w:t>they are</w:t>
      </w:r>
      <w:r w:rsidR="00052295">
        <w:t xml:space="preserve"> using for access; 2) accessible services from any place and at any time; 3) cost reduction (learners and students do not have to buy the applications); 4) development without additional infrastructure (schools and faculties can be guided to their teaching and research goals without any work related to the development of software infrastructure) and 5) simplicity of the use of cloud computing (all services in the cloud are simple to use). It can be said that cloud computing has enabled an alternative, that is, we do not need classic hardware and software any more. It is enough to possess a portable (mobile) </w:t>
      </w:r>
      <w:r w:rsidR="00B62C2D">
        <w:t>device</w:t>
      </w:r>
      <w:r w:rsidR="00052295">
        <w:t>. All applications that we use are already make part of the cloud computing</w:t>
      </w:r>
      <w:r w:rsidR="00B62C2D">
        <w:t xml:space="preserve">, while we, as users, access it by means of an </w:t>
      </w:r>
      <w:proofErr w:type="spellStart"/>
      <w:r w:rsidR="00B62C2D">
        <w:t>Iternet</w:t>
      </w:r>
      <w:proofErr w:type="spellEnd"/>
      <w:r w:rsidR="00B62C2D">
        <w:t xml:space="preserve"> browser. </w:t>
      </w:r>
      <w:r w:rsidR="00052295">
        <w:t xml:space="preserve">  </w:t>
      </w:r>
    </w:p>
    <w:p w:rsidR="00B62C2D" w:rsidRPr="00D33953" w:rsidRDefault="00B62C2D" w:rsidP="00D33953">
      <w:r>
        <w:t>Mobile learning can be defined as a kind of blended learning which is supported by mobile devices</w:t>
      </w:r>
      <w:r w:rsidR="00A176F2">
        <w:rPr>
          <w:rStyle w:val="FootnoteReference"/>
          <w:shd w:val="clear" w:color="auto" w:fill="FFFFFF"/>
        </w:rPr>
        <w:footnoteReference w:id="6"/>
      </w:r>
      <w:r w:rsidR="009F2360">
        <w:rPr>
          <w:shd w:val="clear" w:color="auto" w:fill="FFFFFF"/>
        </w:rPr>
        <w:t xml:space="preserve">, </w:t>
      </w:r>
      <w:r>
        <w:rPr>
          <w:shd w:val="clear" w:color="auto" w:fill="FFFFFF"/>
        </w:rPr>
        <w:t>applications and web tools</w:t>
      </w:r>
      <w:r w:rsidR="00562627" w:rsidRPr="00B4653C">
        <w:rPr>
          <w:shd w:val="clear" w:color="auto" w:fill="FFFFFF"/>
        </w:rPr>
        <w:t xml:space="preserve">. </w:t>
      </w:r>
    </w:p>
    <w:p w:rsidR="00807BCA" w:rsidRDefault="00B62C2D" w:rsidP="00807BCA">
      <w:pPr>
        <w:rPr>
          <w:szCs w:val="24"/>
        </w:rPr>
      </w:pPr>
      <w:r>
        <w:rPr>
          <w:highlight w:val="white"/>
        </w:rPr>
        <w:t>Research has shown that educational potentials of the use of m-learning</w:t>
      </w:r>
      <w:r w:rsidR="00807BCA">
        <w:rPr>
          <w:highlight w:val="white"/>
        </w:rPr>
        <w:t xml:space="preserve"> are</w:t>
      </w:r>
      <w:r>
        <w:rPr>
          <w:highlight w:val="white"/>
        </w:rPr>
        <w:t>: individualization of learning</w:t>
      </w:r>
      <w:r w:rsidR="00B9766E" w:rsidRPr="00B4653C">
        <w:rPr>
          <w:highlight w:val="white"/>
          <w:lang w:val="sr-Cyrl-CS"/>
        </w:rPr>
        <w:t xml:space="preserve"> (</w:t>
      </w:r>
      <w:r w:rsidR="00B9766E" w:rsidRPr="00B4653C">
        <w:rPr>
          <w:highlight w:val="white"/>
          <w:lang w:val="sr-Latn-CS"/>
        </w:rPr>
        <w:t>Ristić</w:t>
      </w:r>
      <w:r w:rsidR="00B9766E">
        <w:rPr>
          <w:highlight w:val="white"/>
        </w:rPr>
        <w:t xml:space="preserve"> </w:t>
      </w:r>
      <w:proofErr w:type="spellStart"/>
      <w:r w:rsidR="00B9766E">
        <w:t>i</w:t>
      </w:r>
      <w:proofErr w:type="spellEnd"/>
      <w:r w:rsidR="00B9766E" w:rsidRPr="00B4653C">
        <w:rPr>
          <w:highlight w:val="white"/>
          <w:lang w:val="sr-Latn-CS"/>
        </w:rPr>
        <w:t xml:space="preserve"> Mandić</w:t>
      </w:r>
      <w:r w:rsidR="00B04CD5">
        <w:rPr>
          <w:highlight w:val="white"/>
        </w:rPr>
        <w:t>,</w:t>
      </w:r>
      <w:r w:rsidR="00B9766E" w:rsidRPr="00B4653C">
        <w:rPr>
          <w:highlight w:val="white"/>
          <w:lang w:val="sr-Latn-CS"/>
        </w:rPr>
        <w:t xml:space="preserve"> 2017</w:t>
      </w:r>
      <w:r w:rsidR="00B9766E" w:rsidRPr="00B4653C">
        <w:rPr>
          <w:highlight w:val="white"/>
          <w:lang w:val="sr-Cyrl-CS"/>
        </w:rPr>
        <w:t xml:space="preserve">), </w:t>
      </w:r>
      <w:r w:rsidR="00807BCA">
        <w:rPr>
          <w:highlight w:val="white"/>
        </w:rPr>
        <w:t xml:space="preserve">increased learner independence </w:t>
      </w:r>
      <w:r w:rsidR="00B9766E" w:rsidRPr="00B4653C">
        <w:rPr>
          <w:highlight w:val="white"/>
          <w:lang w:val="sr-Cyrl-CS"/>
        </w:rPr>
        <w:t>(</w:t>
      </w:r>
      <w:proofErr w:type="spellStart"/>
      <w:r w:rsidR="00B9766E" w:rsidRPr="00B4653C">
        <w:rPr>
          <w:shd w:val="clear" w:color="auto" w:fill="FFFFFF"/>
        </w:rPr>
        <w:t>Tulodziecki</w:t>
      </w:r>
      <w:proofErr w:type="spellEnd"/>
      <w:r w:rsidR="00CB7692">
        <w:rPr>
          <w:shd w:val="clear" w:color="auto" w:fill="FFFFFF"/>
        </w:rPr>
        <w:t xml:space="preserve"> &amp; </w:t>
      </w:r>
      <w:proofErr w:type="spellStart"/>
      <w:r w:rsidR="00CB7692">
        <w:rPr>
          <w:shd w:val="clear" w:color="auto" w:fill="FFFFFF"/>
        </w:rPr>
        <w:t>Grafe</w:t>
      </w:r>
      <w:proofErr w:type="spellEnd"/>
      <w:r w:rsidR="00CB7692">
        <w:rPr>
          <w:shd w:val="clear" w:color="auto" w:fill="FFFFFF"/>
        </w:rPr>
        <w:t xml:space="preserve">, </w:t>
      </w:r>
      <w:r w:rsidR="00B9766E">
        <w:rPr>
          <w:highlight w:val="white"/>
        </w:rPr>
        <w:t>2012</w:t>
      </w:r>
      <w:r w:rsidR="00B9766E" w:rsidRPr="00B4653C">
        <w:rPr>
          <w:highlight w:val="white"/>
        </w:rPr>
        <w:t>)</w:t>
      </w:r>
      <w:r w:rsidR="00807BCA">
        <w:rPr>
          <w:highlight w:val="white"/>
        </w:rPr>
        <w:t xml:space="preserve">, active cooperation among learners and teachers </w:t>
      </w:r>
      <w:r w:rsidR="00B9766E" w:rsidRPr="00B4653C">
        <w:rPr>
          <w:highlight w:val="white"/>
          <w:lang w:val="sr-Cyrl-CS"/>
        </w:rPr>
        <w:t>(Pegrum</w:t>
      </w:r>
      <w:r w:rsidR="00B9766E">
        <w:rPr>
          <w:highlight w:val="white"/>
          <w:lang w:val="sr-Cyrl-CS"/>
        </w:rPr>
        <w:t>,</w:t>
      </w:r>
      <w:r w:rsidR="00B9766E" w:rsidRPr="00B4653C">
        <w:rPr>
          <w:highlight w:val="white"/>
        </w:rPr>
        <w:t xml:space="preserve"> </w:t>
      </w:r>
      <w:proofErr w:type="spellStart"/>
      <w:r w:rsidR="00B9766E" w:rsidRPr="00B4653C">
        <w:rPr>
          <w:highlight w:val="white"/>
        </w:rPr>
        <w:t>Howitt</w:t>
      </w:r>
      <w:proofErr w:type="spellEnd"/>
      <w:r w:rsidR="00B9766E" w:rsidRPr="00B4653C">
        <w:rPr>
          <w:highlight w:val="white"/>
          <w:lang w:val="sr-Cyrl-CS"/>
        </w:rPr>
        <w:t xml:space="preserve"> &amp; Striepe</w:t>
      </w:r>
      <w:r w:rsidR="00B9766E">
        <w:rPr>
          <w:highlight w:val="white"/>
          <w:lang w:val="sr-Cyrl-CS"/>
        </w:rPr>
        <w:t>,</w:t>
      </w:r>
      <w:r w:rsidR="00B9766E" w:rsidRPr="00B4653C">
        <w:rPr>
          <w:highlight w:val="white"/>
          <w:lang w:val="sr-Cyrl-CS"/>
        </w:rPr>
        <w:t xml:space="preserve"> 2013) </w:t>
      </w:r>
      <w:r w:rsidR="00807BCA">
        <w:rPr>
          <w:highlight w:val="white"/>
        </w:rPr>
        <w:t xml:space="preserve">and improved digital competencies of both learners and teachers </w:t>
      </w:r>
      <w:r w:rsidR="00B9766E" w:rsidRPr="00B4653C">
        <w:rPr>
          <w:highlight w:val="white"/>
          <w:lang w:val="sr-Cyrl-CS"/>
        </w:rPr>
        <w:t>(</w:t>
      </w:r>
      <w:r w:rsidR="00B9766E" w:rsidRPr="00B4653C">
        <w:rPr>
          <w:lang w:val="sr-Cyrl-CS"/>
        </w:rPr>
        <w:t>Balanskat, 2013)</w:t>
      </w:r>
      <w:r w:rsidR="00B9766E" w:rsidRPr="00B4653C">
        <w:rPr>
          <w:highlight w:val="white"/>
          <w:lang w:val="sr-Cyrl-CS"/>
        </w:rPr>
        <w:t>.</w:t>
      </w:r>
      <w:r w:rsidR="00B9766E" w:rsidRPr="00B4653C">
        <w:rPr>
          <w:lang w:val="sr-Cyrl-CS"/>
        </w:rPr>
        <w:t xml:space="preserve"> </w:t>
      </w:r>
      <w:r w:rsidR="00C8125C">
        <w:rPr>
          <w:lang w:val="sr-Cyrl-CS"/>
        </w:rPr>
        <w:t xml:space="preserve"> </w:t>
      </w:r>
      <w:r w:rsidR="00807BCA">
        <w:t>The analysis of a larger number of studies</w:t>
      </w:r>
      <w:r w:rsidR="00B9766E" w:rsidRPr="00B4653C">
        <w:rPr>
          <w:szCs w:val="24"/>
          <w:lang w:val="sr-Cyrl-CS"/>
        </w:rPr>
        <w:t xml:space="preserve"> </w:t>
      </w:r>
      <w:r w:rsidR="009F1A3B" w:rsidRPr="00B4653C">
        <w:rPr>
          <w:szCs w:val="24"/>
          <w:lang w:val="sr-Cyrl-CS"/>
        </w:rPr>
        <w:t>(</w:t>
      </w:r>
      <w:proofErr w:type="spellStart"/>
      <w:r w:rsidR="009F1A3B" w:rsidRPr="00B4653C">
        <w:rPr>
          <w:szCs w:val="24"/>
          <w:shd w:val="clear" w:color="auto" w:fill="FFFFFF"/>
        </w:rPr>
        <w:t>Hockly</w:t>
      </w:r>
      <w:proofErr w:type="spellEnd"/>
      <w:r w:rsidR="009F1A3B">
        <w:rPr>
          <w:szCs w:val="24"/>
          <w:shd w:val="clear" w:color="auto" w:fill="FFFFFF"/>
        </w:rPr>
        <w:t xml:space="preserve">, </w:t>
      </w:r>
      <w:r w:rsidR="009F1A3B" w:rsidRPr="00B4653C">
        <w:rPr>
          <w:szCs w:val="24"/>
          <w:shd w:val="clear" w:color="auto" w:fill="FFFFFF"/>
        </w:rPr>
        <w:t xml:space="preserve">2012; </w:t>
      </w:r>
      <w:proofErr w:type="spellStart"/>
      <w:r w:rsidR="0016181D">
        <w:rPr>
          <w:szCs w:val="24"/>
          <w:shd w:val="clear" w:color="auto" w:fill="FFFFFF"/>
        </w:rPr>
        <w:t>Keengwe</w:t>
      </w:r>
      <w:proofErr w:type="spellEnd"/>
      <w:r w:rsidR="0016181D">
        <w:rPr>
          <w:szCs w:val="24"/>
          <w:shd w:val="clear" w:color="auto" w:fill="FFFFFF"/>
        </w:rPr>
        <w:t xml:space="preserve"> &amp; </w:t>
      </w:r>
      <w:proofErr w:type="spellStart"/>
      <w:r w:rsidR="0016181D">
        <w:rPr>
          <w:szCs w:val="24"/>
          <w:shd w:val="clear" w:color="auto" w:fill="FFFFFF"/>
        </w:rPr>
        <w:t>Bhargava</w:t>
      </w:r>
      <w:proofErr w:type="spellEnd"/>
      <w:r w:rsidR="009F1A3B">
        <w:rPr>
          <w:szCs w:val="24"/>
          <w:shd w:val="clear" w:color="auto" w:fill="FFFFFF"/>
        </w:rPr>
        <w:t>, 2</w:t>
      </w:r>
      <w:r w:rsidR="009F1A3B" w:rsidRPr="00B4653C">
        <w:rPr>
          <w:szCs w:val="24"/>
          <w:shd w:val="clear" w:color="auto" w:fill="FFFFFF"/>
        </w:rPr>
        <w:t>014;</w:t>
      </w:r>
      <w:r w:rsidR="009F1A3B" w:rsidRPr="005633F2">
        <w:t xml:space="preserve"> </w:t>
      </w:r>
      <w:r w:rsidR="009F1A3B" w:rsidRPr="00B4653C">
        <w:rPr>
          <w:szCs w:val="24"/>
        </w:rPr>
        <w:t>Khan</w:t>
      </w:r>
      <w:r w:rsidR="009F1A3B">
        <w:rPr>
          <w:szCs w:val="24"/>
        </w:rPr>
        <w:t>,</w:t>
      </w:r>
      <w:r w:rsidR="009F1A3B" w:rsidRPr="00B4653C">
        <w:rPr>
          <w:szCs w:val="24"/>
        </w:rPr>
        <w:t xml:space="preserve"> 2005</w:t>
      </w:r>
      <w:r w:rsidR="009F1A3B" w:rsidRPr="00B4653C">
        <w:rPr>
          <w:szCs w:val="24"/>
          <w:shd w:val="clear" w:color="auto" w:fill="FFFFFF"/>
        </w:rPr>
        <w:t>)</w:t>
      </w:r>
      <w:r w:rsidR="009F1A3B">
        <w:rPr>
          <w:szCs w:val="24"/>
        </w:rPr>
        <w:t xml:space="preserve"> </w:t>
      </w:r>
      <w:r w:rsidR="00807BCA">
        <w:rPr>
          <w:szCs w:val="24"/>
        </w:rPr>
        <w:t xml:space="preserve">has helped come to the conclusion that mobile learning brings: a new approach to learning that can be independent of time and space, a new role of the teachers and students, new learning </w:t>
      </w:r>
      <w:proofErr w:type="spellStart"/>
      <w:r w:rsidR="00807BCA">
        <w:rPr>
          <w:szCs w:val="24"/>
        </w:rPr>
        <w:t>methodes</w:t>
      </w:r>
      <w:proofErr w:type="spellEnd"/>
      <w:r w:rsidR="00807BCA">
        <w:rPr>
          <w:szCs w:val="24"/>
        </w:rPr>
        <w:t xml:space="preserve">, tools and scenarios, as well as new motivation, monitoring and evaluation methods.  </w:t>
      </w:r>
    </w:p>
    <w:p w:rsidR="00C600FA" w:rsidRDefault="00807BCA" w:rsidP="00C52233">
      <w:pPr>
        <w:rPr>
          <w:szCs w:val="24"/>
        </w:rPr>
      </w:pPr>
      <w:r>
        <w:rPr>
          <w:szCs w:val="24"/>
        </w:rPr>
        <w:t xml:space="preserve">The framework for an </w:t>
      </w:r>
      <w:proofErr w:type="spellStart"/>
      <w:r>
        <w:rPr>
          <w:szCs w:val="24"/>
        </w:rPr>
        <w:t>undesturbed</w:t>
      </w:r>
      <w:proofErr w:type="spellEnd"/>
      <w:r>
        <w:rPr>
          <w:szCs w:val="24"/>
        </w:rPr>
        <w:t xml:space="preserve"> application of mobile learning, as far as Serbia is concerned, can be found not only in the </w:t>
      </w:r>
      <w:r w:rsidRPr="00853D4A">
        <w:rPr>
          <w:i/>
          <w:szCs w:val="24"/>
        </w:rPr>
        <w:t>Law on Primary education</w:t>
      </w:r>
      <w:r>
        <w:rPr>
          <w:szCs w:val="24"/>
        </w:rPr>
        <w:t xml:space="preserve"> (2013), but also in national strategic documents such as the </w:t>
      </w:r>
      <w:r w:rsidR="00853D4A">
        <w:rPr>
          <w:i/>
          <w:szCs w:val="24"/>
        </w:rPr>
        <w:t>Strategy on</w:t>
      </w:r>
      <w:r w:rsidRPr="00853D4A">
        <w:rPr>
          <w:i/>
          <w:szCs w:val="24"/>
        </w:rPr>
        <w:t xml:space="preserve"> </w:t>
      </w:r>
      <w:r w:rsidR="00853D4A">
        <w:rPr>
          <w:i/>
          <w:szCs w:val="24"/>
        </w:rPr>
        <w:t>Education D</w:t>
      </w:r>
      <w:r w:rsidRPr="00853D4A">
        <w:rPr>
          <w:i/>
          <w:szCs w:val="24"/>
        </w:rPr>
        <w:t xml:space="preserve">evelopment in </w:t>
      </w:r>
      <w:r w:rsidR="00853D4A">
        <w:rPr>
          <w:i/>
          <w:szCs w:val="24"/>
        </w:rPr>
        <w:t xml:space="preserve">the Republic of </w:t>
      </w:r>
      <w:r w:rsidRPr="00853D4A">
        <w:rPr>
          <w:i/>
          <w:szCs w:val="24"/>
        </w:rPr>
        <w:t>Serbia until 2020</w:t>
      </w:r>
      <w:r>
        <w:rPr>
          <w:szCs w:val="24"/>
        </w:rPr>
        <w:t xml:space="preserve"> and </w:t>
      </w:r>
      <w:r w:rsidR="00C600FA">
        <w:rPr>
          <w:szCs w:val="24"/>
        </w:rPr>
        <w:t xml:space="preserve">the </w:t>
      </w:r>
      <w:r w:rsidRPr="00853D4A">
        <w:rPr>
          <w:i/>
          <w:szCs w:val="24"/>
        </w:rPr>
        <w:t xml:space="preserve">Standards </w:t>
      </w:r>
      <w:r w:rsidR="00853D4A">
        <w:rPr>
          <w:i/>
          <w:szCs w:val="24"/>
        </w:rPr>
        <w:t>for</w:t>
      </w:r>
      <w:r w:rsidRPr="00853D4A">
        <w:rPr>
          <w:i/>
          <w:szCs w:val="24"/>
        </w:rPr>
        <w:t xml:space="preserve"> general </w:t>
      </w:r>
      <w:r w:rsidR="00853D4A" w:rsidRPr="00853D4A">
        <w:rPr>
          <w:i/>
          <w:szCs w:val="24"/>
        </w:rPr>
        <w:t xml:space="preserve">cross-curricular competencies for the end </w:t>
      </w:r>
      <w:r w:rsidR="00853D4A" w:rsidRPr="00853D4A">
        <w:rPr>
          <w:i/>
          <w:szCs w:val="24"/>
        </w:rPr>
        <w:lastRenderedPageBreak/>
        <w:t>of secondary education</w:t>
      </w:r>
      <w:r w:rsidR="00853D4A">
        <w:rPr>
          <w:szCs w:val="24"/>
        </w:rPr>
        <w:t xml:space="preserve">. </w:t>
      </w:r>
      <w:r w:rsidR="00C600FA">
        <w:rPr>
          <w:szCs w:val="24"/>
        </w:rPr>
        <w:t xml:space="preserve">The </w:t>
      </w:r>
      <w:r w:rsidR="00C600FA">
        <w:rPr>
          <w:i/>
          <w:szCs w:val="24"/>
        </w:rPr>
        <w:t>Strategy on</w:t>
      </w:r>
      <w:r w:rsidR="00C600FA" w:rsidRPr="00853D4A">
        <w:rPr>
          <w:i/>
          <w:szCs w:val="24"/>
        </w:rPr>
        <w:t xml:space="preserve"> </w:t>
      </w:r>
      <w:r w:rsidR="00C600FA">
        <w:rPr>
          <w:i/>
          <w:szCs w:val="24"/>
        </w:rPr>
        <w:t>Education D</w:t>
      </w:r>
      <w:r w:rsidR="00C600FA" w:rsidRPr="00853D4A">
        <w:rPr>
          <w:i/>
          <w:szCs w:val="24"/>
        </w:rPr>
        <w:t xml:space="preserve">evelopment in </w:t>
      </w:r>
      <w:r w:rsidR="00C600FA">
        <w:rPr>
          <w:i/>
          <w:szCs w:val="24"/>
        </w:rPr>
        <w:t xml:space="preserve">the Republic of </w:t>
      </w:r>
      <w:r w:rsidR="00C600FA" w:rsidRPr="00853D4A">
        <w:rPr>
          <w:i/>
          <w:szCs w:val="24"/>
        </w:rPr>
        <w:t>Serbia until 2020</w:t>
      </w:r>
      <w:r w:rsidR="00C600FA">
        <w:rPr>
          <w:i/>
          <w:szCs w:val="24"/>
        </w:rPr>
        <w:t xml:space="preserve"> </w:t>
      </w:r>
      <w:r w:rsidR="00C600FA">
        <w:rPr>
          <w:szCs w:val="24"/>
        </w:rPr>
        <w:t xml:space="preserve">emphasizes the advantages of ICT and various forms of learning in an on-line environment. On the other hand, similar tendencies can be found in the </w:t>
      </w:r>
      <w:r w:rsidR="00C600FA" w:rsidRPr="00853D4A">
        <w:rPr>
          <w:i/>
          <w:szCs w:val="24"/>
        </w:rPr>
        <w:t xml:space="preserve">Standards </w:t>
      </w:r>
      <w:r w:rsidR="00C600FA">
        <w:rPr>
          <w:i/>
          <w:szCs w:val="24"/>
        </w:rPr>
        <w:t>for</w:t>
      </w:r>
      <w:r w:rsidR="00C600FA" w:rsidRPr="00853D4A">
        <w:rPr>
          <w:i/>
          <w:szCs w:val="24"/>
        </w:rPr>
        <w:t xml:space="preserve"> general cross-curricular competencies for the end of secondary education</w:t>
      </w:r>
      <w:r w:rsidR="00C600FA">
        <w:rPr>
          <w:szCs w:val="24"/>
        </w:rPr>
        <w:t xml:space="preserve">, especially in the parts related to </w:t>
      </w:r>
      <w:r w:rsidR="00C600FA" w:rsidRPr="00C600FA">
        <w:rPr>
          <w:i/>
          <w:szCs w:val="24"/>
        </w:rPr>
        <w:t>Digital competenc</w:t>
      </w:r>
      <w:r w:rsidR="00C600FA">
        <w:rPr>
          <w:i/>
          <w:szCs w:val="24"/>
        </w:rPr>
        <w:t>y</w:t>
      </w:r>
      <w:r w:rsidR="00C600FA" w:rsidRPr="00C600FA">
        <w:rPr>
          <w:i/>
          <w:szCs w:val="24"/>
        </w:rPr>
        <w:t>, Cooperation competenc</w:t>
      </w:r>
      <w:r w:rsidR="00C600FA">
        <w:rPr>
          <w:i/>
          <w:szCs w:val="24"/>
        </w:rPr>
        <w:t>y</w:t>
      </w:r>
      <w:r w:rsidR="00C600FA" w:rsidRPr="00C600FA">
        <w:rPr>
          <w:i/>
          <w:szCs w:val="24"/>
        </w:rPr>
        <w:t>, Work with data and information</w:t>
      </w:r>
      <w:r w:rsidR="00C600FA">
        <w:rPr>
          <w:szCs w:val="24"/>
        </w:rPr>
        <w:t xml:space="preserve">. </w:t>
      </w:r>
    </w:p>
    <w:p w:rsidR="00C600FA" w:rsidRDefault="00C600FA" w:rsidP="00D6522E">
      <w:pPr>
        <w:rPr>
          <w:szCs w:val="24"/>
        </w:rPr>
      </w:pPr>
      <w:r>
        <w:rPr>
          <w:szCs w:val="24"/>
        </w:rPr>
        <w:t xml:space="preserve">With this paper, that is, by presenting the concept of cloud computing and the readiness of the education system for mobile learning, we have tried to point to the possibilities of overcoming the problem of </w:t>
      </w:r>
      <w:proofErr w:type="spellStart"/>
      <w:r>
        <w:rPr>
          <w:szCs w:val="24"/>
        </w:rPr>
        <w:t>disbalance</w:t>
      </w:r>
      <w:proofErr w:type="spellEnd"/>
      <w:r>
        <w:rPr>
          <w:szCs w:val="24"/>
        </w:rPr>
        <w:t xml:space="preserve"> and </w:t>
      </w:r>
      <w:proofErr w:type="spellStart"/>
      <w:r>
        <w:rPr>
          <w:szCs w:val="24"/>
        </w:rPr>
        <w:t>excludedness</w:t>
      </w:r>
      <w:proofErr w:type="spellEnd"/>
      <w:r>
        <w:rPr>
          <w:szCs w:val="24"/>
        </w:rPr>
        <w:t xml:space="preserve"> of digital teaching environment from certain schools</w:t>
      </w:r>
      <w:r w:rsidR="00E2697E">
        <w:rPr>
          <w:szCs w:val="24"/>
        </w:rPr>
        <w:t xml:space="preserve">, as well as </w:t>
      </w:r>
      <w:r>
        <w:rPr>
          <w:szCs w:val="24"/>
        </w:rPr>
        <w:t xml:space="preserve">faculties </w:t>
      </w:r>
      <w:r w:rsidR="00E2697E">
        <w:rPr>
          <w:szCs w:val="24"/>
        </w:rPr>
        <w:t>in our education system</w:t>
      </w:r>
      <w:r>
        <w:rPr>
          <w:szCs w:val="24"/>
        </w:rPr>
        <w:t>.</w:t>
      </w:r>
    </w:p>
    <w:p w:rsidR="00305705" w:rsidRDefault="00305705" w:rsidP="00AE4F1D">
      <w:pPr>
        <w:autoSpaceDE w:val="0"/>
        <w:autoSpaceDN w:val="0"/>
        <w:adjustRightInd w:val="0"/>
        <w:ind w:firstLine="0"/>
        <w:jc w:val="center"/>
        <w:outlineLvl w:val="0"/>
        <w:rPr>
          <w:b/>
          <w:szCs w:val="24"/>
        </w:rPr>
      </w:pPr>
    </w:p>
    <w:p w:rsidR="00D767FA" w:rsidRPr="009F1A3B" w:rsidRDefault="00E2697E" w:rsidP="00AE4F1D">
      <w:pPr>
        <w:autoSpaceDE w:val="0"/>
        <w:autoSpaceDN w:val="0"/>
        <w:adjustRightInd w:val="0"/>
        <w:ind w:firstLine="0"/>
        <w:jc w:val="center"/>
        <w:outlineLvl w:val="0"/>
        <w:rPr>
          <w:b/>
          <w:szCs w:val="24"/>
        </w:rPr>
      </w:pPr>
      <w:r>
        <w:rPr>
          <w:b/>
          <w:szCs w:val="24"/>
        </w:rPr>
        <w:t>Research method</w:t>
      </w:r>
    </w:p>
    <w:p w:rsidR="00E2697E" w:rsidRDefault="00E2697E" w:rsidP="00E2697E">
      <w:pPr>
        <w:rPr>
          <w:color w:val="auto"/>
        </w:rPr>
      </w:pPr>
      <w:r>
        <w:rPr>
          <w:color w:val="auto"/>
        </w:rPr>
        <w:t xml:space="preserve">It is evident that mobile learning has its potentials regarding both transformation and innovation in the education system. Many education systems worldwide have recognized the potentials of cloud computing and mobile learning, both in terms of cost reduction and increased efficiency and usability of information-communication resources. Mobile digital teaching environment is an efficient resource for overcoming the shortcomings of traditional teaching and educational outcomes </w:t>
      </w:r>
      <w:r w:rsidR="009F1A3B" w:rsidRPr="00D74C67">
        <w:rPr>
          <w:szCs w:val="24"/>
          <w:lang w:val="sr-Cyrl-CS"/>
        </w:rPr>
        <w:t>(</w:t>
      </w:r>
      <w:r w:rsidR="009F1A3B" w:rsidRPr="00D74C67">
        <w:rPr>
          <w:szCs w:val="24"/>
          <w:lang w:val="sr-Latn-CS"/>
        </w:rPr>
        <w:t>Dumančić</w:t>
      </w:r>
      <w:r w:rsidR="009F1A3B">
        <w:rPr>
          <w:szCs w:val="24"/>
        </w:rPr>
        <w:t xml:space="preserve">, </w:t>
      </w:r>
      <w:r w:rsidR="009F1A3B" w:rsidRPr="00D74C67">
        <w:rPr>
          <w:szCs w:val="24"/>
          <w:lang w:val="sr-Latn-CS"/>
        </w:rPr>
        <w:t>2017</w:t>
      </w:r>
      <w:r w:rsidR="009F1A3B">
        <w:rPr>
          <w:szCs w:val="24"/>
        </w:rPr>
        <w:t xml:space="preserve">; </w:t>
      </w:r>
      <w:proofErr w:type="spellStart"/>
      <w:r w:rsidR="009F1A3B" w:rsidRPr="00D74C67">
        <w:rPr>
          <w:szCs w:val="24"/>
          <w:shd w:val="clear" w:color="auto" w:fill="FFFFFF"/>
        </w:rPr>
        <w:t>Vujović</w:t>
      </w:r>
      <w:proofErr w:type="spellEnd"/>
      <w:r w:rsidR="009F1A3B" w:rsidRPr="00D74C67">
        <w:rPr>
          <w:szCs w:val="24"/>
          <w:shd w:val="clear" w:color="auto" w:fill="FFFFFF"/>
        </w:rPr>
        <w:t xml:space="preserve"> </w:t>
      </w:r>
      <w:r w:rsidR="007B469E">
        <w:t>and</w:t>
      </w:r>
      <w:r w:rsidR="007B469E">
        <w:rPr>
          <w:szCs w:val="24"/>
          <w:shd w:val="clear" w:color="auto" w:fill="FFFFFF"/>
        </w:rPr>
        <w:t xml:space="preserve"> </w:t>
      </w:r>
      <w:proofErr w:type="spellStart"/>
      <w:r w:rsidR="007B469E">
        <w:rPr>
          <w:szCs w:val="24"/>
          <w:shd w:val="clear" w:color="auto" w:fill="FFFFFF"/>
        </w:rPr>
        <w:t>Ristić</w:t>
      </w:r>
      <w:proofErr w:type="spellEnd"/>
      <w:r w:rsidR="007B469E">
        <w:rPr>
          <w:szCs w:val="24"/>
          <w:shd w:val="clear" w:color="auto" w:fill="FFFFFF"/>
        </w:rPr>
        <w:t xml:space="preserve">, </w:t>
      </w:r>
      <w:r w:rsidR="009F1A3B" w:rsidRPr="00D74C67">
        <w:rPr>
          <w:szCs w:val="24"/>
          <w:shd w:val="clear" w:color="auto" w:fill="FFFFFF"/>
        </w:rPr>
        <w:t>2015</w:t>
      </w:r>
      <w:r w:rsidR="009F1A3B">
        <w:rPr>
          <w:szCs w:val="24"/>
          <w:shd w:val="clear" w:color="auto" w:fill="FFFFFF"/>
        </w:rPr>
        <w:t>)</w:t>
      </w:r>
      <w:r w:rsidR="00D767FA" w:rsidRPr="0084493C">
        <w:rPr>
          <w:color w:val="auto"/>
        </w:rPr>
        <w:t xml:space="preserve">. </w:t>
      </w:r>
      <w:r>
        <w:rPr>
          <w:color w:val="auto"/>
        </w:rPr>
        <w:t xml:space="preserve">Therefore, a logical question imposes itself: to what extent is the education system in Serbia ready for mobile learning? </w:t>
      </w:r>
    </w:p>
    <w:p w:rsidR="00E2697E" w:rsidRDefault="00E2697E" w:rsidP="00184BCD">
      <w:pPr>
        <w:rPr>
          <w:color w:val="auto"/>
          <w:szCs w:val="24"/>
        </w:rPr>
      </w:pPr>
      <w:r>
        <w:rPr>
          <w:color w:val="auto"/>
          <w:szCs w:val="24"/>
        </w:rPr>
        <w:t xml:space="preserve">To estimate the readiness of the education system for mobile learning we used the 4C method. This method is based on the </w:t>
      </w:r>
      <w:proofErr w:type="spellStart"/>
      <w:r>
        <w:rPr>
          <w:color w:val="auto"/>
          <w:szCs w:val="24"/>
        </w:rPr>
        <w:t>fulfilment</w:t>
      </w:r>
      <w:proofErr w:type="spellEnd"/>
      <w:r>
        <w:rPr>
          <w:color w:val="auto"/>
          <w:szCs w:val="24"/>
        </w:rPr>
        <w:t xml:space="preserve"> of four criteria: 1</w:t>
      </w:r>
      <w:r w:rsidRPr="007C3C6E">
        <w:rPr>
          <w:color w:val="auto"/>
          <w:szCs w:val="24"/>
        </w:rPr>
        <w:t xml:space="preserve">) </w:t>
      </w:r>
      <w:r w:rsidRPr="007C3C6E">
        <w:rPr>
          <w:i/>
          <w:color w:val="auto"/>
          <w:szCs w:val="24"/>
        </w:rPr>
        <w:t>Connectivity</w:t>
      </w:r>
      <w:r w:rsidRPr="007C3C6E">
        <w:rPr>
          <w:color w:val="auto"/>
          <w:szCs w:val="24"/>
        </w:rPr>
        <w:t xml:space="preserve"> – the </w:t>
      </w:r>
      <w:proofErr w:type="spellStart"/>
      <w:r w:rsidRPr="007C3C6E">
        <w:rPr>
          <w:color w:val="auto"/>
          <w:szCs w:val="24"/>
        </w:rPr>
        <w:t>possiblity</w:t>
      </w:r>
      <w:proofErr w:type="spellEnd"/>
      <w:r w:rsidRPr="007C3C6E">
        <w:rPr>
          <w:color w:val="auto"/>
          <w:szCs w:val="24"/>
        </w:rPr>
        <w:t xml:space="preserve"> of integration, access to and use of cloud computing in educational institutions</w:t>
      </w:r>
      <w:r w:rsidR="00463215" w:rsidRPr="007C3C6E">
        <w:rPr>
          <w:color w:val="auto"/>
          <w:szCs w:val="24"/>
        </w:rPr>
        <w:t xml:space="preserve">; 2) </w:t>
      </w:r>
      <w:r w:rsidR="00463215" w:rsidRPr="007C3C6E">
        <w:rPr>
          <w:i/>
          <w:color w:val="auto"/>
          <w:szCs w:val="24"/>
        </w:rPr>
        <w:t xml:space="preserve">Capability </w:t>
      </w:r>
      <w:r w:rsidR="00463215" w:rsidRPr="007C3C6E">
        <w:rPr>
          <w:color w:val="auto"/>
          <w:szCs w:val="24"/>
        </w:rPr>
        <w:t xml:space="preserve">– capability of the state, that is, the education system for integration and the use of mobile learning based on quality, strength and tradition of the education system; 3) </w:t>
      </w:r>
      <w:r w:rsidR="00463215" w:rsidRPr="007C3C6E">
        <w:rPr>
          <w:i/>
          <w:color w:val="auto"/>
          <w:szCs w:val="24"/>
        </w:rPr>
        <w:t>Content</w:t>
      </w:r>
      <w:r w:rsidR="00463215" w:rsidRPr="007C3C6E">
        <w:rPr>
          <w:color w:val="auto"/>
          <w:szCs w:val="24"/>
        </w:rPr>
        <w:t xml:space="preserve"> – the availability of interactive digital teaching materials and applications for mobile learning in blended learning, and 4) </w:t>
      </w:r>
      <w:r w:rsidR="00463215" w:rsidRPr="007C3C6E">
        <w:rPr>
          <w:i/>
          <w:color w:val="auto"/>
          <w:szCs w:val="24"/>
        </w:rPr>
        <w:t>Culture</w:t>
      </w:r>
      <w:r w:rsidR="00463215" w:rsidRPr="007C3C6E">
        <w:rPr>
          <w:color w:val="auto"/>
          <w:szCs w:val="24"/>
        </w:rPr>
        <w:t xml:space="preserve"> – readiness of the society to support changes necessary for</w:t>
      </w:r>
      <w:r w:rsidR="00463215">
        <w:rPr>
          <w:color w:val="auto"/>
          <w:szCs w:val="24"/>
        </w:rPr>
        <w:t xml:space="preserve"> the implementation of mobile learning in education system. </w:t>
      </w:r>
    </w:p>
    <w:p w:rsidR="00C52233" w:rsidRPr="00C52233" w:rsidRDefault="00C52233" w:rsidP="00AE4F1D">
      <w:pPr>
        <w:autoSpaceDE w:val="0"/>
        <w:autoSpaceDN w:val="0"/>
        <w:adjustRightInd w:val="0"/>
        <w:ind w:firstLine="0"/>
        <w:jc w:val="center"/>
        <w:outlineLvl w:val="0"/>
        <w:rPr>
          <w:szCs w:val="24"/>
        </w:rPr>
      </w:pPr>
    </w:p>
    <w:p w:rsidR="00D767FA" w:rsidRPr="009F1A3B" w:rsidRDefault="00BF7794" w:rsidP="00AE4F1D">
      <w:pPr>
        <w:autoSpaceDE w:val="0"/>
        <w:autoSpaceDN w:val="0"/>
        <w:adjustRightInd w:val="0"/>
        <w:ind w:firstLine="0"/>
        <w:jc w:val="center"/>
        <w:outlineLvl w:val="0"/>
        <w:rPr>
          <w:b/>
          <w:szCs w:val="24"/>
        </w:rPr>
      </w:pPr>
      <w:r>
        <w:rPr>
          <w:b/>
          <w:szCs w:val="24"/>
        </w:rPr>
        <w:t>Results</w:t>
      </w:r>
    </w:p>
    <w:p w:rsidR="00D10C1F" w:rsidRDefault="00D10C1F" w:rsidP="00D767FA">
      <w:pPr>
        <w:rPr>
          <w:shd w:val="clear" w:color="auto" w:fill="FFFFFF"/>
        </w:rPr>
      </w:pPr>
      <w:r>
        <w:rPr>
          <w:i/>
        </w:rPr>
        <w:t>Criterion</w:t>
      </w:r>
      <w:r w:rsidR="00305705">
        <w:rPr>
          <w:i/>
        </w:rPr>
        <w:t xml:space="preserve"> 1 </w:t>
      </w:r>
      <w:r>
        <w:rPr>
          <w:i/>
        </w:rPr>
        <w:t>–</w:t>
      </w:r>
      <w:r w:rsidR="00305705">
        <w:rPr>
          <w:i/>
        </w:rPr>
        <w:t xml:space="preserve"> </w:t>
      </w:r>
      <w:r>
        <w:rPr>
          <w:i/>
        </w:rPr>
        <w:t>Connectivity</w:t>
      </w:r>
      <w:r w:rsidR="00D767FA" w:rsidRPr="00F1756E">
        <w:rPr>
          <w:i/>
        </w:rPr>
        <w:t xml:space="preserve"> </w:t>
      </w:r>
      <w:r>
        <w:rPr>
          <w:b/>
          <w:i/>
        </w:rPr>
        <w:t>–</w:t>
      </w:r>
      <w:r w:rsidR="00D767FA" w:rsidRPr="00F1756E">
        <w:rPr>
          <w:b/>
          <w:i/>
        </w:rPr>
        <w:t xml:space="preserve"> </w:t>
      </w:r>
      <w:r>
        <w:rPr>
          <w:i/>
        </w:rPr>
        <w:t xml:space="preserve">the possibility of integration of, access to and use of the information-communication </w:t>
      </w:r>
      <w:r w:rsidR="00BE42A1">
        <w:rPr>
          <w:i/>
        </w:rPr>
        <w:t xml:space="preserve">cloud computing </w:t>
      </w:r>
      <w:r>
        <w:rPr>
          <w:i/>
        </w:rPr>
        <w:t>platform in educational institutions.</w:t>
      </w:r>
      <w:r w:rsidR="00D767FA" w:rsidRPr="00F1756E">
        <w:rPr>
          <w:i/>
        </w:rPr>
        <w:t xml:space="preserve">  </w:t>
      </w:r>
      <w:r>
        <w:t xml:space="preserve">Integration of mobile technologies in the teaching </w:t>
      </w:r>
      <w:proofErr w:type="spellStart"/>
      <w:r>
        <w:t>proces</w:t>
      </w:r>
      <w:proofErr w:type="spellEnd"/>
      <w:r>
        <w:t xml:space="preserve"> can be done by means of </w:t>
      </w:r>
      <w:r w:rsidR="00D767FA" w:rsidRPr="007B13E1">
        <w:rPr>
          <w:color w:val="222222"/>
          <w:szCs w:val="24"/>
          <w:shd w:val="clear" w:color="auto" w:fill="FFFFFF"/>
        </w:rPr>
        <w:t>(</w:t>
      </w:r>
      <w:proofErr w:type="spellStart"/>
      <w:r w:rsidR="00B04CD5">
        <w:rPr>
          <w:color w:val="222222"/>
          <w:szCs w:val="24"/>
          <w:shd w:val="clear" w:color="auto" w:fill="FFFFFF"/>
        </w:rPr>
        <w:t>Keengwe</w:t>
      </w:r>
      <w:proofErr w:type="spellEnd"/>
      <w:r w:rsidR="00B04CD5">
        <w:rPr>
          <w:color w:val="222222"/>
          <w:szCs w:val="24"/>
          <w:shd w:val="clear" w:color="auto" w:fill="FFFFFF"/>
        </w:rPr>
        <w:t xml:space="preserve"> &amp; </w:t>
      </w:r>
      <w:proofErr w:type="spellStart"/>
      <w:r w:rsidR="00D767FA">
        <w:rPr>
          <w:color w:val="222222"/>
          <w:szCs w:val="24"/>
          <w:shd w:val="clear" w:color="auto" w:fill="FFFFFF"/>
        </w:rPr>
        <w:t>Bhargava</w:t>
      </w:r>
      <w:proofErr w:type="spellEnd"/>
      <w:r w:rsidR="00D767FA">
        <w:rPr>
          <w:color w:val="222222"/>
          <w:szCs w:val="24"/>
          <w:shd w:val="clear" w:color="auto" w:fill="FFFFFF"/>
        </w:rPr>
        <w:t xml:space="preserve">, </w:t>
      </w:r>
      <w:r w:rsidR="00D767FA" w:rsidRPr="007B13E1">
        <w:rPr>
          <w:color w:val="222222"/>
          <w:szCs w:val="24"/>
          <w:shd w:val="clear" w:color="auto" w:fill="FFFFFF"/>
        </w:rPr>
        <w:t>2014)</w:t>
      </w:r>
      <w:r w:rsidR="00D767FA" w:rsidRPr="00B4653C">
        <w:rPr>
          <w:shd w:val="clear" w:color="auto" w:fill="FFFFFF"/>
        </w:rPr>
        <w:t xml:space="preserve">: </w:t>
      </w:r>
      <w:r>
        <w:rPr>
          <w:shd w:val="clear" w:color="auto" w:fill="FFFFFF"/>
        </w:rPr>
        <w:t xml:space="preserve">an individual teacher model, an individual student model and multiple model.  </w:t>
      </w:r>
    </w:p>
    <w:p w:rsidR="00D10C1F" w:rsidRPr="00D10C1F" w:rsidRDefault="00D10C1F" w:rsidP="00D767FA">
      <w:pPr>
        <w:rPr>
          <w:shd w:val="clear" w:color="auto" w:fill="FFFFFF"/>
        </w:rPr>
      </w:pPr>
      <w:r>
        <w:rPr>
          <w:i/>
          <w:shd w:val="clear" w:color="auto" w:fill="FFFFFF"/>
        </w:rPr>
        <w:lastRenderedPageBreak/>
        <w:t xml:space="preserve">The individual teacher model </w:t>
      </w:r>
      <w:r w:rsidRPr="00D10C1F">
        <w:rPr>
          <w:shd w:val="clear" w:color="auto" w:fill="FFFFFF"/>
        </w:rPr>
        <w:t>includes</w:t>
      </w:r>
      <w:r>
        <w:rPr>
          <w:shd w:val="clear" w:color="auto" w:fill="FFFFFF"/>
        </w:rPr>
        <w:t xml:space="preserve"> the use of a mobile device by the teacher for the following purposes: their further professional education, creating interactive teaching materials, access to learners’ and students’ papers, interaction with the learners, group activities, managing the teaching process and contacting parents or experts (e.g. in project teaching). </w:t>
      </w:r>
    </w:p>
    <w:p w:rsidR="00BE42A1" w:rsidRDefault="00BE42A1" w:rsidP="00D767FA">
      <w:pPr>
        <w:rPr>
          <w:shd w:val="clear" w:color="auto" w:fill="FFFFFF"/>
        </w:rPr>
      </w:pPr>
      <w:r>
        <w:rPr>
          <w:i/>
          <w:shd w:val="clear" w:color="auto" w:fill="FFFFFF"/>
        </w:rPr>
        <w:t>The individual student model</w:t>
      </w:r>
      <w:r w:rsidR="00D767FA" w:rsidRPr="00B4653C">
        <w:rPr>
          <w:shd w:val="clear" w:color="auto" w:fill="FFFFFF"/>
        </w:rPr>
        <w:t xml:space="preserve"> (</w:t>
      </w:r>
      <w:r>
        <w:rPr>
          <w:shd w:val="clear" w:color="auto" w:fill="FFFFFF"/>
        </w:rPr>
        <w:t xml:space="preserve">one student per one mobile device) can be implemented by equipping the classroom and the students with the same type of device, or based on the </w:t>
      </w:r>
      <w:r w:rsidRPr="00BE42A1">
        <w:rPr>
          <w:i/>
          <w:shd w:val="clear" w:color="auto" w:fill="FFFFFF"/>
        </w:rPr>
        <w:t>BYOD</w:t>
      </w:r>
      <w:r>
        <w:rPr>
          <w:shd w:val="clear" w:color="auto" w:fill="FFFFFF"/>
        </w:rPr>
        <w:t xml:space="preserve"> (</w:t>
      </w:r>
      <w:r w:rsidRPr="00BE42A1">
        <w:rPr>
          <w:i/>
          <w:shd w:val="clear" w:color="auto" w:fill="FFFFFF"/>
        </w:rPr>
        <w:t>bring your own device</w:t>
      </w:r>
      <w:r>
        <w:rPr>
          <w:shd w:val="clear" w:color="auto" w:fill="FFFFFF"/>
        </w:rPr>
        <w:t xml:space="preserve">) principle. </w:t>
      </w:r>
    </w:p>
    <w:p w:rsidR="00BE42A1" w:rsidRDefault="00BE42A1" w:rsidP="00D767FA">
      <w:pPr>
        <w:rPr>
          <w:shd w:val="clear" w:color="auto" w:fill="FFFFFF"/>
        </w:rPr>
      </w:pPr>
      <w:r>
        <w:rPr>
          <w:shd w:val="clear" w:color="auto" w:fill="FFFFFF"/>
        </w:rPr>
        <w:t xml:space="preserve">The most progressive way is the integration of mobile technologies in the teaching process by using the same kind of device. In the last five years, a large </w:t>
      </w:r>
      <w:r w:rsidR="00D33953">
        <w:rPr>
          <w:shd w:val="clear" w:color="auto" w:fill="FFFFFF"/>
        </w:rPr>
        <w:t>number of digital classrooms have</w:t>
      </w:r>
      <w:r>
        <w:rPr>
          <w:shd w:val="clear" w:color="auto" w:fill="FFFFFF"/>
        </w:rPr>
        <w:t xml:space="preserve"> been opened in Serbian schools and faculties, which are equipped with tablets, a smart interactive board and the corresponding software. Classrooms that are equipped like this enable fast exchange of contents, that is, sharing the contents on the screens of the teacher’s and students’ devices. In a combination of good teaching in the first place and quality devices and applications, teaching can be individualized and organized in a variety of ways. For some educational institutions, such a model is still expensive. For this reason, BYOD is an often applied solution to the problem.  </w:t>
      </w:r>
    </w:p>
    <w:p w:rsidR="00D767FA" w:rsidRPr="00B4653C" w:rsidRDefault="004D2755" w:rsidP="004D2755">
      <w:pPr>
        <w:rPr>
          <w:shd w:val="clear" w:color="auto" w:fill="FFFFFF"/>
        </w:rPr>
      </w:pPr>
      <w:r>
        <w:rPr>
          <w:shd w:val="clear" w:color="auto" w:fill="FFFFFF"/>
        </w:rPr>
        <w:t>Among the first schools to introduce t</w:t>
      </w:r>
      <w:r w:rsidR="00BE42A1">
        <w:rPr>
          <w:shd w:val="clear" w:color="auto" w:fill="FFFFFF"/>
        </w:rPr>
        <w:t>he B</w:t>
      </w:r>
      <w:r>
        <w:rPr>
          <w:shd w:val="clear" w:color="auto" w:fill="FFFFFF"/>
        </w:rPr>
        <w:t xml:space="preserve">YOD model in the teaching process were Scandinavian ones (Sweden and Norway). School managing boards who decide to implement the BYOD model must develop a suitable network infrastructure (safety and monitoring </w:t>
      </w:r>
      <w:proofErr w:type="spellStart"/>
      <w:r>
        <w:rPr>
          <w:shd w:val="clear" w:color="auto" w:fill="FFFFFF"/>
        </w:rPr>
        <w:t>intrastructure</w:t>
      </w:r>
      <w:proofErr w:type="spellEnd"/>
      <w:r>
        <w:rPr>
          <w:shd w:val="clear" w:color="auto" w:fill="FFFFFF"/>
        </w:rPr>
        <w:t>) which supports a variety of devices and limits all other possibilities and applications that do not comply with the teaching process. The advantage of this model is that students know the device they are using very well. Apart from indoor classroom teaching, this model is also convenient for outdoor teaching</w:t>
      </w:r>
      <w:r w:rsidR="00D767FA" w:rsidRPr="00B4653C">
        <w:rPr>
          <w:shd w:val="clear" w:color="auto" w:fill="FFFFFF"/>
        </w:rPr>
        <w:t xml:space="preserve"> (</w:t>
      </w:r>
      <w:proofErr w:type="spellStart"/>
      <w:r w:rsidR="00D767FA" w:rsidRPr="00B4653C">
        <w:rPr>
          <w:shd w:val="clear" w:color="auto" w:fill="FFFFFF"/>
        </w:rPr>
        <w:t>Ristić</w:t>
      </w:r>
      <w:proofErr w:type="spellEnd"/>
      <w:r w:rsidR="00D767FA">
        <w:rPr>
          <w:shd w:val="clear" w:color="auto" w:fill="FFFFFF"/>
        </w:rPr>
        <w:t xml:space="preserve"> </w:t>
      </w:r>
      <w:r w:rsidR="00D33953">
        <w:t>and</w:t>
      </w:r>
      <w:r w:rsidR="00D767FA" w:rsidRPr="00B4653C">
        <w:rPr>
          <w:shd w:val="clear" w:color="auto" w:fill="FFFFFF"/>
        </w:rPr>
        <w:t xml:space="preserve"> </w:t>
      </w:r>
      <w:proofErr w:type="spellStart"/>
      <w:r w:rsidR="00D767FA" w:rsidRPr="00B4653C">
        <w:rPr>
          <w:shd w:val="clear" w:color="auto" w:fill="FFFFFF"/>
        </w:rPr>
        <w:t>Blagdanić</w:t>
      </w:r>
      <w:proofErr w:type="spellEnd"/>
      <w:r w:rsidR="00D767FA">
        <w:rPr>
          <w:shd w:val="clear" w:color="auto" w:fill="FFFFFF"/>
        </w:rPr>
        <w:t>,</w:t>
      </w:r>
      <w:r w:rsidR="00D767FA" w:rsidRPr="00B4653C">
        <w:rPr>
          <w:shd w:val="clear" w:color="auto" w:fill="FFFFFF"/>
        </w:rPr>
        <w:t xml:space="preserve"> 2017).</w:t>
      </w:r>
    </w:p>
    <w:p w:rsidR="00B04CD5" w:rsidRPr="00287B35" w:rsidRDefault="00F14DD9" w:rsidP="00287B35">
      <w:pPr>
        <w:autoSpaceDE w:val="0"/>
        <w:autoSpaceDN w:val="0"/>
        <w:adjustRightInd w:val="0"/>
      </w:pPr>
      <w:r>
        <w:t xml:space="preserve">No comprehensive study has been conducted in Serbia related to </w:t>
      </w:r>
      <w:r w:rsidRPr="00287B35">
        <w:rPr>
          <w:i/>
        </w:rPr>
        <w:t>cloud computing</w:t>
      </w:r>
      <w:r>
        <w:t xml:space="preserve"> and the application of the </w:t>
      </w:r>
      <w:r w:rsidR="00287B35">
        <w:t xml:space="preserve">mobile learning </w:t>
      </w:r>
      <w:r>
        <w:t>concept. The reason for that can be found in the fact that until 2014</w:t>
      </w:r>
      <w:r w:rsidR="00287B35">
        <w:t xml:space="preserve">, the Internet in schools was primarily available to teachers, whereas it was very rarely available to students, and even then, only in common rooms and the schoolyard. The most typical argument for such practice was preservation of fast and stable dataflow </w:t>
      </w:r>
      <w:r w:rsidR="00D767FA" w:rsidRPr="00D3629E">
        <w:rPr>
          <w:szCs w:val="24"/>
        </w:rPr>
        <w:t>(</w:t>
      </w:r>
      <w:proofErr w:type="spellStart"/>
      <w:r w:rsidR="00D767FA">
        <w:rPr>
          <w:szCs w:val="24"/>
        </w:rPr>
        <w:t>Džigurski</w:t>
      </w:r>
      <w:proofErr w:type="spellEnd"/>
      <w:r w:rsidR="00D767FA">
        <w:rPr>
          <w:szCs w:val="24"/>
        </w:rPr>
        <w:t xml:space="preserve"> </w:t>
      </w:r>
      <w:r w:rsidR="00D33953">
        <w:rPr>
          <w:szCs w:val="24"/>
        </w:rPr>
        <w:t>et al.,</w:t>
      </w:r>
      <w:r w:rsidR="00F1756E">
        <w:rPr>
          <w:szCs w:val="24"/>
        </w:rPr>
        <w:t xml:space="preserve"> 2013, </w:t>
      </w:r>
      <w:r w:rsidR="00D33953">
        <w:rPr>
          <w:szCs w:val="24"/>
        </w:rPr>
        <w:t>p</w:t>
      </w:r>
      <w:r w:rsidR="00F1756E">
        <w:rPr>
          <w:szCs w:val="24"/>
        </w:rPr>
        <w:t xml:space="preserve">. </w:t>
      </w:r>
      <w:r w:rsidR="00D767FA" w:rsidRPr="00D3629E">
        <w:rPr>
          <w:szCs w:val="24"/>
        </w:rPr>
        <w:t>22).</w:t>
      </w:r>
      <w:r w:rsidR="00B04CD5">
        <w:rPr>
          <w:szCs w:val="24"/>
        </w:rPr>
        <w:t xml:space="preserve"> </w:t>
      </w:r>
    </w:p>
    <w:p w:rsidR="00287B35" w:rsidRPr="00287B35" w:rsidRDefault="00287B35" w:rsidP="00846435">
      <w:pPr>
        <w:autoSpaceDE w:val="0"/>
        <w:autoSpaceDN w:val="0"/>
        <w:adjustRightInd w:val="0"/>
      </w:pPr>
      <w:r>
        <w:t xml:space="preserve">Radical changes were introduced thanks to the project </w:t>
      </w:r>
      <w:r w:rsidRPr="00287B35">
        <w:rPr>
          <w:i/>
        </w:rPr>
        <w:t>The development of ICT infrastructure in educational, scientific and cultural institutions</w:t>
      </w:r>
      <w:r>
        <w:rPr>
          <w:i/>
        </w:rPr>
        <w:t xml:space="preserve"> </w:t>
      </w:r>
      <w:r>
        <w:t xml:space="preserve">which was jointly started in 2016 by the Academic network of Serbia (AMRES), Ministry of education, science and technological development and the Ministry of trade, tourism and telecommunications, and </w:t>
      </w:r>
      <w:r>
        <w:lastRenderedPageBreak/>
        <w:t xml:space="preserve">which is entering its final stage. AMRES connects more than 1500 primary and secondary schools in Serbia. Despite all the obstacles, </w:t>
      </w:r>
      <w:r w:rsidR="0007441A">
        <w:t xml:space="preserve">the AMRES computer network signal has reached almost 90% of Serbian schools. In the forthcoming period, the remaining schools are also expected to be connected. For the first time, all schools are connected through a unique computer network. This practically means that apart from the access to the Internet (which is free for all students), schools can now use the advantages of numerous AMRES services, such as: antivirus and antimalware protection; services of the Internet domain storage and maintenance; traffic filtering; access to a large number of full-text foreign journals, electronic books and bases; domain registration and many others (AMRES, 2018). Due to the aforementioned project, this is the first time that all primary and secondary schools are being networked. </w:t>
      </w:r>
      <w:r w:rsidR="00F35DF1">
        <w:t>Until recently</w:t>
      </w:r>
      <w:r w:rsidR="0007441A">
        <w:t>, only faculties, institutes, university libraries</w:t>
      </w:r>
      <w:r w:rsidR="00F35DF1">
        <w:t xml:space="preserve">, </w:t>
      </w:r>
      <w:r w:rsidR="0007441A">
        <w:t xml:space="preserve">student hostels </w:t>
      </w:r>
      <w:r w:rsidR="00F35DF1">
        <w:t xml:space="preserve">and vocational colleges have been networked. </w:t>
      </w:r>
    </w:p>
    <w:p w:rsidR="00B060C7" w:rsidRPr="006D04CE" w:rsidRDefault="00F35DF1" w:rsidP="006D04CE">
      <w:pPr>
        <w:rPr>
          <w:color w:val="auto"/>
          <w:szCs w:val="24"/>
        </w:rPr>
      </w:pPr>
      <w:r>
        <w:rPr>
          <w:color w:val="auto"/>
        </w:rPr>
        <w:t xml:space="preserve">Baring in mind the aforementioned, and the fact that 84% of primary school fourth graders, 94% eighth graders and as many as 99% of high </w:t>
      </w:r>
      <w:proofErr w:type="spellStart"/>
      <w:r>
        <w:rPr>
          <w:color w:val="auto"/>
        </w:rPr>
        <w:t>schoolers</w:t>
      </w:r>
      <w:proofErr w:type="spellEnd"/>
      <w:r>
        <w:rPr>
          <w:color w:val="auto"/>
        </w:rPr>
        <w:t xml:space="preserve"> in Serbia have their own mobile phone</w:t>
      </w:r>
      <w:r w:rsidR="00D767FA" w:rsidRPr="00DB01A7">
        <w:rPr>
          <w:color w:val="auto"/>
          <w:lang w:val="sr-Cyrl-CS"/>
        </w:rPr>
        <w:t xml:space="preserve"> (Popadić </w:t>
      </w:r>
      <w:r>
        <w:rPr>
          <w:color w:val="auto"/>
        </w:rPr>
        <w:t>and</w:t>
      </w:r>
      <w:r w:rsidR="00D767FA" w:rsidRPr="00DB01A7">
        <w:rPr>
          <w:color w:val="auto"/>
          <w:lang w:val="sr-Cyrl-CS"/>
        </w:rPr>
        <w:t xml:space="preserve"> Kuzmanović</w:t>
      </w:r>
      <w:r w:rsidR="009F1A3B" w:rsidRPr="00DB01A7">
        <w:rPr>
          <w:color w:val="auto"/>
        </w:rPr>
        <w:t>,</w:t>
      </w:r>
      <w:r w:rsidR="00D767FA" w:rsidRPr="00DB01A7">
        <w:rPr>
          <w:color w:val="auto"/>
          <w:lang w:val="sr-Cyrl-CS"/>
        </w:rPr>
        <w:t xml:space="preserve"> 2016)</w:t>
      </w:r>
      <w:r>
        <w:rPr>
          <w:color w:val="auto"/>
        </w:rPr>
        <w:t xml:space="preserve">, as well as </w:t>
      </w:r>
      <w:r w:rsidR="001D4D13" w:rsidRPr="00DB01A7">
        <w:rPr>
          <w:color w:val="auto"/>
          <w:lang w:val="sr-Cyrl-CS"/>
        </w:rPr>
        <w:t xml:space="preserve">98% </w:t>
      </w:r>
      <w:r>
        <w:rPr>
          <w:color w:val="auto"/>
        </w:rPr>
        <w:t>of university students</w:t>
      </w:r>
      <w:r w:rsidR="001D4D13" w:rsidRPr="00DB01A7">
        <w:rPr>
          <w:color w:val="auto"/>
          <w:lang w:val="sr-Cyrl-CS"/>
        </w:rPr>
        <w:t xml:space="preserve"> (</w:t>
      </w:r>
      <w:r w:rsidR="001D4D13" w:rsidRPr="00DB01A7">
        <w:rPr>
          <w:color w:val="auto"/>
          <w:lang w:val="sr-Latn-CS"/>
        </w:rPr>
        <w:t xml:space="preserve">Kovačević, Pavlović </w:t>
      </w:r>
      <w:r>
        <w:rPr>
          <w:color w:val="auto"/>
          <w:lang w:val="sr-Latn-CS"/>
        </w:rPr>
        <w:t>and</w:t>
      </w:r>
      <w:r w:rsidR="001D4D13" w:rsidRPr="00DB01A7">
        <w:rPr>
          <w:color w:val="auto"/>
          <w:lang w:val="sr-Latn-CS"/>
        </w:rPr>
        <w:t xml:space="preserve"> Šutić, </w:t>
      </w:r>
      <w:r w:rsidR="001D4D13" w:rsidRPr="00DB01A7">
        <w:rPr>
          <w:color w:val="auto"/>
          <w:lang w:val="sr-Cyrl-CS"/>
        </w:rPr>
        <w:t>2017)</w:t>
      </w:r>
      <w:r>
        <w:rPr>
          <w:color w:val="auto"/>
        </w:rPr>
        <w:t>, the potential for the use of mobile phones, that is, mobile applications as modern, learner-friendly teaching resources</w:t>
      </w:r>
      <w:r w:rsidR="00D767FA" w:rsidRPr="00DB01A7">
        <w:rPr>
          <w:color w:val="auto"/>
          <w:lang w:val="sr-Cyrl-CS"/>
        </w:rPr>
        <w:t xml:space="preserve"> – </w:t>
      </w:r>
      <w:r>
        <w:rPr>
          <w:color w:val="auto"/>
        </w:rPr>
        <w:t>becomes more that realistic</w:t>
      </w:r>
      <w:r w:rsidR="00C7272B">
        <w:rPr>
          <w:rStyle w:val="FootnoteReference"/>
          <w:color w:val="auto"/>
          <w:lang w:val="sr-Cyrl-CS"/>
        </w:rPr>
        <w:footnoteReference w:id="7"/>
      </w:r>
      <w:r w:rsidR="00D767FA" w:rsidRPr="00DB01A7">
        <w:rPr>
          <w:color w:val="auto"/>
          <w:lang w:val="sr-Cyrl-CS"/>
        </w:rPr>
        <w:t>.</w:t>
      </w:r>
      <w:r w:rsidR="00EB7783">
        <w:rPr>
          <w:color w:val="auto"/>
          <w:lang w:val="sr-Cyrl-CS"/>
        </w:rPr>
        <w:t xml:space="preserve"> </w:t>
      </w:r>
      <w:r>
        <w:rPr>
          <w:color w:val="auto"/>
        </w:rPr>
        <w:t xml:space="preserve">It must be pointed out that the </w:t>
      </w:r>
      <w:r w:rsidRPr="00F35DF1">
        <w:rPr>
          <w:i/>
          <w:color w:val="auto"/>
        </w:rPr>
        <w:t>mobile phone</w:t>
      </w:r>
      <w:r>
        <w:rPr>
          <w:color w:val="auto"/>
        </w:rPr>
        <w:t xml:space="preserve"> is much more a personal computer than a telephone, as learners and students use it much rather for many other purposes than just making </w:t>
      </w:r>
      <w:proofErr w:type="spellStart"/>
      <w:r>
        <w:rPr>
          <w:color w:val="auto"/>
        </w:rPr>
        <w:t>phonecalls</w:t>
      </w:r>
      <w:proofErr w:type="spellEnd"/>
      <w:r>
        <w:rPr>
          <w:color w:val="auto"/>
        </w:rPr>
        <w:t xml:space="preserve">. </w:t>
      </w:r>
      <w:r w:rsidR="00D33953">
        <w:rPr>
          <w:color w:val="auto"/>
        </w:rPr>
        <w:t>The</w:t>
      </w:r>
      <w:r w:rsidR="006D04CE">
        <w:rPr>
          <w:color w:val="auto"/>
        </w:rPr>
        <w:t xml:space="preserve"> proof of this are also the results of the international pilot research</w:t>
      </w:r>
      <w:r w:rsidR="00F17143" w:rsidRPr="00DB01A7">
        <w:rPr>
          <w:color w:val="auto"/>
          <w:szCs w:val="22"/>
        </w:rPr>
        <w:t xml:space="preserve"> (</w:t>
      </w:r>
      <w:r w:rsidR="00F17143" w:rsidRPr="00DB01A7">
        <w:rPr>
          <w:rStyle w:val="Emphasis"/>
          <w:color w:val="auto"/>
          <w:szCs w:val="22"/>
        </w:rPr>
        <w:t>Global Kids Online</w:t>
      </w:r>
      <w:r w:rsidR="00F17143" w:rsidRPr="00DB01A7">
        <w:rPr>
          <w:color w:val="auto"/>
          <w:szCs w:val="22"/>
        </w:rPr>
        <w:t>)</w:t>
      </w:r>
      <w:r w:rsidR="00FE0E18" w:rsidRPr="00DB01A7">
        <w:rPr>
          <w:rStyle w:val="FootnoteReference"/>
          <w:color w:val="auto"/>
        </w:rPr>
        <w:footnoteReference w:id="8"/>
      </w:r>
      <w:r w:rsidR="00FE0E18" w:rsidRPr="00DB01A7">
        <w:rPr>
          <w:color w:val="auto"/>
        </w:rPr>
        <w:t xml:space="preserve">. </w:t>
      </w:r>
      <w:r w:rsidR="006D04CE">
        <w:rPr>
          <w:color w:val="auto"/>
        </w:rPr>
        <w:t>Namely, most young people in Serbia access the Internet</w:t>
      </w:r>
      <w:r w:rsidR="00781684" w:rsidRPr="00DB01A7">
        <w:rPr>
          <w:rStyle w:val="FootnoteReference"/>
          <w:color w:val="auto"/>
        </w:rPr>
        <w:footnoteReference w:id="9"/>
      </w:r>
      <w:r w:rsidR="00FE0E18" w:rsidRPr="00DB01A7">
        <w:rPr>
          <w:color w:val="auto"/>
        </w:rPr>
        <w:t xml:space="preserve"> </w:t>
      </w:r>
      <w:r w:rsidR="006D04CE">
        <w:rPr>
          <w:color w:val="auto"/>
        </w:rPr>
        <w:t xml:space="preserve">by means of a </w:t>
      </w:r>
      <w:r w:rsidR="006D04CE" w:rsidRPr="006D04CE">
        <w:rPr>
          <w:i/>
          <w:color w:val="auto"/>
        </w:rPr>
        <w:t>smart phone</w:t>
      </w:r>
      <w:r w:rsidR="00FE0E18" w:rsidRPr="00DB01A7">
        <w:rPr>
          <w:i/>
          <w:color w:val="auto"/>
        </w:rPr>
        <w:t xml:space="preserve"> </w:t>
      </w:r>
      <w:r w:rsidR="006D04CE">
        <w:rPr>
          <w:color w:val="auto"/>
        </w:rPr>
        <w:t xml:space="preserve">and they do so as consumers, not </w:t>
      </w:r>
      <w:proofErr w:type="spellStart"/>
      <w:r w:rsidR="006D04CE">
        <w:rPr>
          <w:color w:val="auto"/>
        </w:rPr>
        <w:t>prosumers</w:t>
      </w:r>
      <w:proofErr w:type="spellEnd"/>
      <w:r w:rsidR="006D04CE" w:rsidRPr="00DB01A7">
        <w:rPr>
          <w:rStyle w:val="FootnoteReference"/>
          <w:color w:val="auto"/>
        </w:rPr>
        <w:footnoteReference w:id="10"/>
      </w:r>
      <w:r w:rsidR="006D04CE" w:rsidRPr="00DB01A7">
        <w:rPr>
          <w:color w:val="auto"/>
        </w:rPr>
        <w:t xml:space="preserve"> </w:t>
      </w:r>
      <w:r w:rsidR="006D04CE">
        <w:rPr>
          <w:color w:val="auto"/>
        </w:rPr>
        <w:t>of the Internet contents. Their commonest activities are: playing digital games (children aged 9 to 11)</w:t>
      </w:r>
      <w:r w:rsidR="00FE0E18" w:rsidRPr="00DB01A7">
        <w:rPr>
          <w:rStyle w:val="FootnoteReference"/>
          <w:color w:val="auto"/>
        </w:rPr>
        <w:footnoteReference w:id="11"/>
      </w:r>
      <w:r w:rsidR="00FE0E18" w:rsidRPr="00DB01A7">
        <w:rPr>
          <w:color w:val="auto"/>
        </w:rPr>
        <w:t xml:space="preserve"> </w:t>
      </w:r>
      <w:r w:rsidR="006D04CE">
        <w:rPr>
          <w:color w:val="auto"/>
        </w:rPr>
        <w:t xml:space="preserve">and the use of social </w:t>
      </w:r>
      <w:r w:rsidR="006D04CE">
        <w:rPr>
          <w:color w:val="auto"/>
        </w:rPr>
        <w:lastRenderedPageBreak/>
        <w:t xml:space="preserve">networking applications </w:t>
      </w:r>
      <w:r w:rsidR="00FE0E18" w:rsidRPr="00DB01A7">
        <w:rPr>
          <w:color w:val="auto"/>
        </w:rPr>
        <w:t>(</w:t>
      </w:r>
      <w:r w:rsidR="006D04CE">
        <w:rPr>
          <w:color w:val="auto"/>
        </w:rPr>
        <w:t>more commonly among older children</w:t>
      </w:r>
      <w:r w:rsidR="00FE0E18" w:rsidRPr="00DB01A7">
        <w:rPr>
          <w:color w:val="auto"/>
        </w:rPr>
        <w:t xml:space="preserve">). </w:t>
      </w:r>
      <w:r w:rsidR="006D04CE">
        <w:rPr>
          <w:color w:val="auto"/>
        </w:rPr>
        <w:t xml:space="preserve">The most popular social networks on the Internet are: </w:t>
      </w:r>
      <w:proofErr w:type="spellStart"/>
      <w:r w:rsidR="00FE0E18" w:rsidRPr="00DB01A7">
        <w:rPr>
          <w:i/>
          <w:color w:val="auto"/>
        </w:rPr>
        <w:t>Instagram</w:t>
      </w:r>
      <w:proofErr w:type="spellEnd"/>
      <w:r w:rsidR="00FE0E18" w:rsidRPr="00DB01A7">
        <w:rPr>
          <w:color w:val="auto"/>
        </w:rPr>
        <w:t xml:space="preserve">, </w:t>
      </w:r>
      <w:r w:rsidR="00FE0E18" w:rsidRPr="00DB01A7">
        <w:rPr>
          <w:i/>
          <w:color w:val="auto"/>
          <w:szCs w:val="24"/>
          <w:lang w:val="sr-Latn-CS"/>
        </w:rPr>
        <w:t>Snapchat</w:t>
      </w:r>
      <w:r w:rsidR="00FE0E18" w:rsidRPr="00DB01A7">
        <w:rPr>
          <w:color w:val="auto"/>
          <w:szCs w:val="24"/>
          <w:lang w:val="sr-Latn-CS"/>
        </w:rPr>
        <w:t xml:space="preserve"> </w:t>
      </w:r>
      <w:r w:rsidR="006D04CE">
        <w:rPr>
          <w:color w:val="auto"/>
        </w:rPr>
        <w:t>and</w:t>
      </w:r>
      <w:r w:rsidR="00FE0E18" w:rsidRPr="00DB01A7">
        <w:rPr>
          <w:i/>
          <w:color w:val="auto"/>
          <w:szCs w:val="24"/>
          <w:lang w:val="sr-Latn-CS"/>
        </w:rPr>
        <w:t xml:space="preserve"> Facebook</w:t>
      </w:r>
      <w:r w:rsidR="00FE0E18" w:rsidRPr="00DB01A7">
        <w:rPr>
          <w:color w:val="auto"/>
          <w:szCs w:val="24"/>
        </w:rPr>
        <w:t xml:space="preserve">. </w:t>
      </w:r>
      <w:r w:rsidR="006D04CE">
        <w:rPr>
          <w:color w:val="auto"/>
          <w:szCs w:val="24"/>
        </w:rPr>
        <w:t>Most students use several social networks. Apart from the mentioned contents, young people most often search the Internet for information related to their interests and hobbies</w:t>
      </w:r>
      <w:r w:rsidR="00A64C57" w:rsidRPr="00DB01A7">
        <w:rPr>
          <w:rStyle w:val="FootnoteReference"/>
          <w:color w:val="auto"/>
          <w:lang w:val="sr-Latn-CS"/>
        </w:rPr>
        <w:footnoteReference w:id="12"/>
      </w:r>
      <w:r w:rsidR="00A64C57" w:rsidRPr="00DB01A7">
        <w:rPr>
          <w:color w:val="auto"/>
        </w:rPr>
        <w:t xml:space="preserve">, </w:t>
      </w:r>
      <w:r w:rsidR="006D04CE">
        <w:rPr>
          <w:color w:val="auto"/>
        </w:rPr>
        <w:t xml:space="preserve">whereas they rarely do it for school purposes </w:t>
      </w:r>
      <w:r w:rsidR="00F17143" w:rsidRPr="00DB01A7">
        <w:rPr>
          <w:color w:val="auto"/>
        </w:rPr>
        <w:t>(</w:t>
      </w:r>
      <w:proofErr w:type="spellStart"/>
      <w:r w:rsidR="00F17143" w:rsidRPr="00DB01A7">
        <w:rPr>
          <w:color w:val="auto"/>
        </w:rPr>
        <w:t>Popadić</w:t>
      </w:r>
      <w:proofErr w:type="spellEnd"/>
      <w:r w:rsidR="00F17143" w:rsidRPr="00DB01A7">
        <w:rPr>
          <w:color w:val="auto"/>
        </w:rPr>
        <w:t xml:space="preserve">, </w:t>
      </w:r>
      <w:proofErr w:type="spellStart"/>
      <w:r w:rsidR="00F17143" w:rsidRPr="00DB01A7">
        <w:rPr>
          <w:color w:val="auto"/>
        </w:rPr>
        <w:t>Pavlović</w:t>
      </w:r>
      <w:proofErr w:type="spellEnd"/>
      <w:r w:rsidR="00F17143" w:rsidRPr="00DB01A7">
        <w:rPr>
          <w:color w:val="auto"/>
        </w:rPr>
        <w:t xml:space="preserve">, </w:t>
      </w:r>
      <w:proofErr w:type="spellStart"/>
      <w:r w:rsidR="00F17143" w:rsidRPr="00DB01A7">
        <w:rPr>
          <w:color w:val="auto"/>
        </w:rPr>
        <w:t>Petrović</w:t>
      </w:r>
      <w:proofErr w:type="spellEnd"/>
      <w:r w:rsidR="00F17143" w:rsidRPr="00DB01A7">
        <w:rPr>
          <w:color w:val="auto"/>
        </w:rPr>
        <w:t xml:space="preserve"> &amp; </w:t>
      </w:r>
      <w:proofErr w:type="spellStart"/>
      <w:r w:rsidR="00F17143" w:rsidRPr="00DB01A7">
        <w:rPr>
          <w:color w:val="auto"/>
        </w:rPr>
        <w:t>Kuzmanović</w:t>
      </w:r>
      <w:proofErr w:type="spellEnd"/>
      <w:r w:rsidR="00F17143" w:rsidRPr="00DB01A7">
        <w:rPr>
          <w:color w:val="auto"/>
        </w:rPr>
        <w:t>, 2016).</w:t>
      </w:r>
      <w:r w:rsidR="00C7272B">
        <w:rPr>
          <w:color w:val="auto"/>
        </w:rPr>
        <w:t xml:space="preserve"> </w:t>
      </w:r>
      <w:r w:rsidR="006D04CE">
        <w:rPr>
          <w:color w:val="auto"/>
        </w:rPr>
        <w:t xml:space="preserve">The existence of various digital media in the flats and houses where our students grow, encourage their early introduction to the reading skills and </w:t>
      </w:r>
      <w:r w:rsidR="00317A4C">
        <w:rPr>
          <w:color w:val="auto"/>
        </w:rPr>
        <w:t>digital competencies through informal learning</w:t>
      </w:r>
      <w:r w:rsidR="006D04CE">
        <w:rPr>
          <w:color w:val="auto"/>
        </w:rPr>
        <w:t xml:space="preserve"> </w:t>
      </w:r>
      <w:r w:rsidR="00B060C7" w:rsidRPr="003D6148">
        <w:t>(</w:t>
      </w:r>
      <w:proofErr w:type="spellStart"/>
      <w:r w:rsidR="00B060C7" w:rsidRPr="003D6148">
        <w:t>Matijević</w:t>
      </w:r>
      <w:proofErr w:type="spellEnd"/>
      <w:r w:rsidR="00B060C7" w:rsidRPr="003D6148">
        <w:t xml:space="preserve"> </w:t>
      </w:r>
      <w:r w:rsidR="00317A4C">
        <w:t>and</w:t>
      </w:r>
      <w:r w:rsidR="00B060C7" w:rsidRPr="003D6148">
        <w:t xml:space="preserve"> </w:t>
      </w:r>
      <w:proofErr w:type="spellStart"/>
      <w:r w:rsidR="00B060C7" w:rsidRPr="003D6148">
        <w:t>Topolovčan</w:t>
      </w:r>
      <w:proofErr w:type="spellEnd"/>
      <w:r w:rsidR="00B060C7" w:rsidRPr="003D6148">
        <w:t>, 2017)</w:t>
      </w:r>
      <w:r w:rsidR="00B060C7">
        <w:t xml:space="preserve">. </w:t>
      </w:r>
      <w:r w:rsidR="00317A4C">
        <w:t>For this reason, digital and media literacy must have an important role and place within students’ learning competency from their earliest age.</w:t>
      </w:r>
      <w:r w:rsidR="00B060C7">
        <w:t xml:space="preserve"> </w:t>
      </w:r>
      <w:r w:rsidR="00317A4C">
        <w:t xml:space="preserve">It is not hard to conclude then that the use of mobile devices helps young people develop competencies they will need in a variety of future professions. It is the mission of the education system to train teachers not only to educate children in schools, but also to prepare them for life with interactive applications offered by web technologies and mobile devices.   </w:t>
      </w:r>
    </w:p>
    <w:p w:rsidR="002473AF" w:rsidRDefault="002473AF" w:rsidP="00F1756E">
      <w:pPr>
        <w:pStyle w:val="ListParagraph"/>
        <w:ind w:left="0"/>
        <w:rPr>
          <w:i/>
          <w:szCs w:val="24"/>
        </w:rPr>
      </w:pPr>
    </w:p>
    <w:p w:rsidR="00D767FA" w:rsidRPr="00F1756E" w:rsidRDefault="00317A4C" w:rsidP="00F1756E">
      <w:pPr>
        <w:pStyle w:val="ListParagraph"/>
        <w:ind w:left="0"/>
        <w:rPr>
          <w:i/>
          <w:szCs w:val="24"/>
        </w:rPr>
      </w:pPr>
      <w:r>
        <w:rPr>
          <w:i/>
          <w:szCs w:val="24"/>
        </w:rPr>
        <w:t>Criterion</w:t>
      </w:r>
      <w:r w:rsidR="00D767FA" w:rsidRPr="00F1756E">
        <w:rPr>
          <w:i/>
          <w:szCs w:val="24"/>
        </w:rPr>
        <w:t xml:space="preserve"> 2 </w:t>
      </w:r>
      <w:r w:rsidR="00467BFE">
        <w:rPr>
          <w:i/>
          <w:szCs w:val="24"/>
        </w:rPr>
        <w:t>–</w:t>
      </w:r>
      <w:r w:rsidR="00D767FA" w:rsidRPr="00F1756E">
        <w:rPr>
          <w:i/>
          <w:szCs w:val="24"/>
        </w:rPr>
        <w:t xml:space="preserve"> </w:t>
      </w:r>
      <w:r w:rsidR="00467BFE">
        <w:rPr>
          <w:i/>
          <w:szCs w:val="24"/>
        </w:rPr>
        <w:t xml:space="preserve">the potential of the education system for integration and use of mobile learning in the teaching process. </w:t>
      </w:r>
    </w:p>
    <w:p w:rsidR="006A5C17" w:rsidRDefault="006A5C17" w:rsidP="00D767FA">
      <w:pPr>
        <w:rPr>
          <w:rFonts w:eastAsia="Batang"/>
          <w:szCs w:val="24"/>
          <w:lang w:val="sl-SI"/>
        </w:rPr>
      </w:pPr>
      <w:r>
        <w:rPr>
          <w:rFonts w:eastAsia="Batang"/>
          <w:szCs w:val="24"/>
          <w:lang w:val="sl-SI"/>
        </w:rPr>
        <w:t xml:space="preserve">Meeting the criterion of connectivity is only one of the preconditions for an effective application of mobile learning. The basis of mobile learning consists of: a strong education system which enables successful integration of mobile learning, teachers' digital competencies at all levels of education (including university teachers), tradition in further professional education and support to life-long learning, whereby it is important to be oriented towards an expansion of education from classic educational </w:t>
      </w:r>
      <w:r w:rsidR="00DB6119">
        <w:rPr>
          <w:rFonts w:eastAsia="Batang"/>
          <w:szCs w:val="24"/>
          <w:lang w:val="sl-SI"/>
        </w:rPr>
        <w:t>framework to professional environment</w:t>
      </w:r>
      <w:r w:rsidR="00CE7C66">
        <w:rPr>
          <w:rFonts w:eastAsia="Batang"/>
          <w:szCs w:val="24"/>
          <w:lang w:val="sl-SI"/>
        </w:rPr>
        <w:t xml:space="preserve"> and everyday life. </w:t>
      </w:r>
    </w:p>
    <w:p w:rsidR="00DB0EDF" w:rsidRPr="00CE7C66" w:rsidRDefault="00CE7C66" w:rsidP="00CE7C66">
      <w:pPr>
        <w:autoSpaceDE w:val="0"/>
        <w:autoSpaceDN w:val="0"/>
        <w:adjustRightInd w:val="0"/>
      </w:pPr>
      <w:r>
        <w:lastRenderedPageBreak/>
        <w:t xml:space="preserve">A strong education system </w:t>
      </w:r>
      <w:r w:rsidR="00EB35B8">
        <w:t>is supposed to</w:t>
      </w:r>
      <w:r>
        <w:t xml:space="preserve"> offer quality education to all. The basic quality criteria are related to availability</w:t>
      </w:r>
      <w:r w:rsidR="001D133C" w:rsidRPr="000C3DFE">
        <w:rPr>
          <w:vertAlign w:val="superscript"/>
        </w:rPr>
        <w:footnoteReference w:id="13"/>
      </w:r>
      <w:r w:rsidR="00D767FA" w:rsidRPr="001A7655">
        <w:t xml:space="preserve">, </w:t>
      </w:r>
      <w:r>
        <w:t>efficiency</w:t>
      </w:r>
      <w:r w:rsidR="00702B17" w:rsidRPr="000C3DFE">
        <w:rPr>
          <w:vertAlign w:val="superscript"/>
        </w:rPr>
        <w:footnoteReference w:id="14"/>
      </w:r>
      <w:r w:rsidR="00D767FA" w:rsidRPr="001A7655">
        <w:t xml:space="preserve"> </w:t>
      </w:r>
      <w:r>
        <w:t>and fairness of the education system</w:t>
      </w:r>
      <w:r w:rsidR="00292078" w:rsidRPr="000C3DFE">
        <w:rPr>
          <w:vertAlign w:val="superscript"/>
        </w:rPr>
        <w:footnoteReference w:id="15"/>
      </w:r>
      <w:r>
        <w:t xml:space="preserve">, </w:t>
      </w:r>
      <w:r w:rsidR="00EB35B8">
        <w:t xml:space="preserve">and to the standards for the quality of the education </w:t>
      </w:r>
      <w:proofErr w:type="spellStart"/>
      <w:r w:rsidR="00EB35B8">
        <w:t>programme</w:t>
      </w:r>
      <w:proofErr w:type="spellEnd"/>
      <w:r w:rsidR="00EB35B8">
        <w:t xml:space="preserve"> (curriculum)</w:t>
      </w:r>
      <w:r w:rsidR="00231BA3" w:rsidRPr="00DB0EDF">
        <w:rPr>
          <w:rStyle w:val="FootnoteReference"/>
          <w:rFonts w:eastAsia="Batang"/>
          <w:szCs w:val="24"/>
        </w:rPr>
        <w:footnoteReference w:id="16"/>
      </w:r>
      <w:r w:rsidR="00D767FA" w:rsidRPr="00DB0EDF">
        <w:rPr>
          <w:rFonts w:eastAsia="Batang"/>
          <w:szCs w:val="24"/>
        </w:rPr>
        <w:t>.</w:t>
      </w:r>
      <w:r w:rsidR="00D767FA">
        <w:rPr>
          <w:rFonts w:eastAsia="Batang"/>
          <w:szCs w:val="24"/>
        </w:rPr>
        <w:t xml:space="preserve"> </w:t>
      </w:r>
    </w:p>
    <w:p w:rsidR="00DB0EDF" w:rsidRPr="00A67CB5" w:rsidRDefault="00A67CB5" w:rsidP="00A67CB5">
      <w:pPr>
        <w:autoSpaceDE w:val="0"/>
        <w:autoSpaceDN w:val="0"/>
        <w:adjustRightInd w:val="0"/>
        <w:rPr>
          <w:color w:val="000000"/>
          <w:szCs w:val="22"/>
        </w:rPr>
      </w:pPr>
      <w:r>
        <w:rPr>
          <w:color w:val="000000"/>
          <w:szCs w:val="22"/>
        </w:rPr>
        <w:t>Despite a variety of projects dealing with the problem of children’s disconnectedness from the education system (e.g. Roma children, children with developmental impairments), the situation has been improved to a very moderate extent</w:t>
      </w:r>
      <w:r w:rsidR="00DB0EDF">
        <w:rPr>
          <w:color w:val="000000"/>
          <w:szCs w:val="22"/>
        </w:rPr>
        <w:t xml:space="preserve"> </w:t>
      </w:r>
      <w:r w:rsidR="00DB0EDF">
        <w:t>(</w:t>
      </w:r>
      <w:proofErr w:type="spellStart"/>
      <w:r w:rsidR="00DB0EDF" w:rsidRPr="006B61EC">
        <w:rPr>
          <w:color w:val="auto"/>
          <w:szCs w:val="24"/>
          <w:shd w:val="clear" w:color="auto" w:fill="FFFFFF"/>
        </w:rPr>
        <w:t>Stanković</w:t>
      </w:r>
      <w:proofErr w:type="spellEnd"/>
      <w:r w:rsidR="00DB0EDF">
        <w:rPr>
          <w:color w:val="auto"/>
          <w:szCs w:val="24"/>
          <w:shd w:val="clear" w:color="auto" w:fill="FFFFFF"/>
        </w:rPr>
        <w:t xml:space="preserve">, </w:t>
      </w:r>
      <w:r w:rsidR="00DB0EDF" w:rsidRPr="006B61EC">
        <w:rPr>
          <w:color w:val="auto"/>
          <w:szCs w:val="24"/>
          <w:shd w:val="clear" w:color="auto" w:fill="FFFFFF"/>
        </w:rPr>
        <w:t>2011)</w:t>
      </w:r>
      <w:r w:rsidR="00DB0EDF" w:rsidRPr="00917611">
        <w:rPr>
          <w:color w:val="000000"/>
          <w:szCs w:val="22"/>
        </w:rPr>
        <w:t>.</w:t>
      </w:r>
      <w:r w:rsidR="00DB0EDF">
        <w:rPr>
          <w:color w:val="000000"/>
          <w:szCs w:val="22"/>
        </w:rPr>
        <w:t xml:space="preserve"> </w:t>
      </w:r>
      <w:r>
        <w:rPr>
          <w:color w:val="000000"/>
          <w:szCs w:val="22"/>
        </w:rPr>
        <w:t xml:space="preserve">In that sense, the application of the BYOD model is </w:t>
      </w:r>
      <w:r w:rsidR="0065738A">
        <w:rPr>
          <w:color w:val="000000"/>
          <w:szCs w:val="22"/>
        </w:rPr>
        <w:t>also hindered.</w:t>
      </w:r>
    </w:p>
    <w:p w:rsidR="008178F3" w:rsidRDefault="0065738A" w:rsidP="008178F3">
      <w:pPr>
        <w:autoSpaceDE w:val="0"/>
        <w:autoSpaceDN w:val="0"/>
        <w:adjustRightInd w:val="0"/>
        <w:rPr>
          <w:color w:val="000000"/>
          <w:szCs w:val="24"/>
        </w:rPr>
      </w:pPr>
      <w:r>
        <w:rPr>
          <w:rFonts w:eastAsia="Batang"/>
          <w:szCs w:val="24"/>
        </w:rPr>
        <w:t xml:space="preserve">It is necessary to take into consideration that the level of investment in education in Serbia is lower than the European Union countries standard. Additionally, about 95% of the budget </w:t>
      </w:r>
      <w:r w:rsidR="002A59A6">
        <w:rPr>
          <w:rFonts w:eastAsia="Batang"/>
          <w:szCs w:val="24"/>
        </w:rPr>
        <w:t xml:space="preserve">for education </w:t>
      </w:r>
      <w:r w:rsidR="00D61D17">
        <w:t>(</w:t>
      </w:r>
      <w:proofErr w:type="spellStart"/>
      <w:r w:rsidR="009454FF">
        <w:t>Nacionalni</w:t>
      </w:r>
      <w:proofErr w:type="spellEnd"/>
      <w:r w:rsidR="009454FF">
        <w:t xml:space="preserve"> </w:t>
      </w:r>
      <w:proofErr w:type="spellStart"/>
      <w:r w:rsidR="009454FF">
        <w:t>prosvetni</w:t>
      </w:r>
      <w:proofErr w:type="spellEnd"/>
      <w:r w:rsidR="009454FF">
        <w:t xml:space="preserve"> </w:t>
      </w:r>
      <w:proofErr w:type="spellStart"/>
      <w:r w:rsidR="009454FF">
        <w:t>savet</w:t>
      </w:r>
      <w:proofErr w:type="spellEnd"/>
      <w:r w:rsidR="009454FF">
        <w:t>, 2011</w:t>
      </w:r>
      <w:r w:rsidR="00D61D17">
        <w:t xml:space="preserve">) </w:t>
      </w:r>
      <w:r w:rsidR="002A59A6">
        <w:t>is spent on the salaries of people working in education. Under such circumstances, no significant or sustainable progress can be expected in terms of quality and fairness of education. Based on the analysis of the ratio between investment and academic achievement</w:t>
      </w:r>
      <w:r w:rsidR="00D61D17">
        <w:t xml:space="preserve"> </w:t>
      </w:r>
      <w:r w:rsidR="002A59A6">
        <w:rPr>
          <w:color w:val="222222"/>
          <w:szCs w:val="16"/>
          <w:shd w:val="clear" w:color="auto" w:fill="FFFFFF"/>
        </w:rPr>
        <w:t>(</w:t>
      </w:r>
      <w:proofErr w:type="spellStart"/>
      <w:r w:rsidR="002A59A6">
        <w:rPr>
          <w:color w:val="222222"/>
          <w:szCs w:val="16"/>
          <w:shd w:val="clear" w:color="auto" w:fill="FFFFFF"/>
        </w:rPr>
        <w:t>Baucal</w:t>
      </w:r>
      <w:proofErr w:type="spellEnd"/>
      <w:r w:rsidR="002A59A6">
        <w:rPr>
          <w:color w:val="222222"/>
          <w:szCs w:val="16"/>
          <w:shd w:val="clear" w:color="auto" w:fill="FFFFFF"/>
        </w:rPr>
        <w:t xml:space="preserve"> </w:t>
      </w:r>
      <w:proofErr w:type="spellStart"/>
      <w:r w:rsidR="002A59A6">
        <w:rPr>
          <w:color w:val="222222"/>
          <w:szCs w:val="16"/>
          <w:shd w:val="clear" w:color="auto" w:fill="FFFFFF"/>
        </w:rPr>
        <w:t>i</w:t>
      </w:r>
      <w:proofErr w:type="spellEnd"/>
      <w:r w:rsidR="002A59A6">
        <w:rPr>
          <w:color w:val="222222"/>
          <w:szCs w:val="16"/>
          <w:shd w:val="clear" w:color="auto" w:fill="FFFFFF"/>
        </w:rPr>
        <w:t xml:space="preserve"> </w:t>
      </w:r>
      <w:proofErr w:type="spellStart"/>
      <w:r w:rsidR="002A59A6">
        <w:rPr>
          <w:color w:val="222222"/>
          <w:szCs w:val="16"/>
          <w:shd w:val="clear" w:color="auto" w:fill="FFFFFF"/>
        </w:rPr>
        <w:t>Pavlović</w:t>
      </w:r>
      <w:proofErr w:type="spellEnd"/>
      <w:r w:rsidR="002A59A6">
        <w:rPr>
          <w:color w:val="222222"/>
          <w:szCs w:val="16"/>
          <w:shd w:val="clear" w:color="auto" w:fill="FFFFFF"/>
        </w:rPr>
        <w:t xml:space="preserve">- </w:t>
      </w:r>
      <w:proofErr w:type="spellStart"/>
      <w:r w:rsidR="002A59A6">
        <w:rPr>
          <w:color w:val="222222"/>
          <w:szCs w:val="16"/>
          <w:shd w:val="clear" w:color="auto" w:fill="FFFFFF"/>
        </w:rPr>
        <w:t>Babić</w:t>
      </w:r>
      <w:proofErr w:type="spellEnd"/>
      <w:r w:rsidR="002A59A6">
        <w:rPr>
          <w:color w:val="222222"/>
          <w:szCs w:val="16"/>
          <w:shd w:val="clear" w:color="auto" w:fill="FFFFFF"/>
        </w:rPr>
        <w:t xml:space="preserve">, </w:t>
      </w:r>
      <w:r w:rsidR="00D61D17" w:rsidRPr="00C03F4D">
        <w:rPr>
          <w:color w:val="222222"/>
          <w:szCs w:val="16"/>
          <w:shd w:val="clear" w:color="auto" w:fill="FFFFFF"/>
        </w:rPr>
        <w:t>2009)</w:t>
      </w:r>
      <w:r w:rsidR="00D61D17">
        <w:t>,</w:t>
      </w:r>
      <w:r w:rsidR="002A59A6">
        <w:t xml:space="preserve"> it can be </w:t>
      </w:r>
      <w:r w:rsidR="002A59A6">
        <w:lastRenderedPageBreak/>
        <w:t>seen that the level of investment is expected to reach the OECD average, that is, about 6% of the gross domestic product (GDP).</w:t>
      </w:r>
      <w:r w:rsidR="00D61D17">
        <w:t xml:space="preserve"> </w:t>
      </w:r>
      <w:proofErr w:type="spellStart"/>
      <w:r w:rsidR="002A59A6">
        <w:t>Invetment</w:t>
      </w:r>
      <w:proofErr w:type="spellEnd"/>
      <w:r w:rsidR="002A59A6">
        <w:t xml:space="preserve"> in education from the GDP in the recent years has been between 4 and 5%, and since it </w:t>
      </w:r>
      <w:r w:rsidR="008178F3">
        <w:t>makes</w:t>
      </w:r>
      <w:r w:rsidR="002A59A6">
        <w:t xml:space="preserve"> percentage of a low GDP, the real investment is</w:t>
      </w:r>
      <w:r w:rsidR="008178F3">
        <w:t xml:space="preserve"> also</w:t>
      </w:r>
      <w:r w:rsidR="002A59A6">
        <w:t xml:space="preserve"> very </w:t>
      </w:r>
      <w:r w:rsidR="008178F3">
        <w:t>low</w:t>
      </w:r>
      <w:r w:rsidR="001A7655">
        <w:rPr>
          <w:color w:val="000000"/>
          <w:szCs w:val="22"/>
        </w:rPr>
        <w:t xml:space="preserve"> </w:t>
      </w:r>
      <w:r w:rsidR="001A7655">
        <w:t>(</w:t>
      </w:r>
      <w:proofErr w:type="spellStart"/>
      <w:r w:rsidR="001A7655">
        <w:t>Nacionalni</w:t>
      </w:r>
      <w:proofErr w:type="spellEnd"/>
      <w:r w:rsidR="001A7655">
        <w:t xml:space="preserve"> </w:t>
      </w:r>
      <w:proofErr w:type="spellStart"/>
      <w:r w:rsidR="001A7655">
        <w:t>prosvetni</w:t>
      </w:r>
      <w:proofErr w:type="spellEnd"/>
      <w:r w:rsidR="001A7655">
        <w:t xml:space="preserve"> </w:t>
      </w:r>
      <w:proofErr w:type="spellStart"/>
      <w:r w:rsidR="001A7655">
        <w:t>savet</w:t>
      </w:r>
      <w:proofErr w:type="spellEnd"/>
      <w:r w:rsidR="001A7655">
        <w:t>, 2011)</w:t>
      </w:r>
      <w:r w:rsidR="001A7655">
        <w:rPr>
          <w:color w:val="000000"/>
          <w:szCs w:val="22"/>
        </w:rPr>
        <w:t>.</w:t>
      </w:r>
      <w:r w:rsidR="001A7655">
        <w:rPr>
          <w:color w:val="000000"/>
          <w:sz w:val="28"/>
          <w:szCs w:val="22"/>
        </w:rPr>
        <w:t xml:space="preserve"> </w:t>
      </w:r>
      <w:r w:rsidR="008178F3" w:rsidRPr="008178F3">
        <w:rPr>
          <w:color w:val="000000"/>
          <w:szCs w:val="24"/>
        </w:rPr>
        <w:t xml:space="preserve">Therefore, we </w:t>
      </w:r>
      <w:r w:rsidR="008178F3">
        <w:rPr>
          <w:color w:val="000000"/>
          <w:szCs w:val="24"/>
        </w:rPr>
        <w:t xml:space="preserve">can conclude that Serbia should increase the level of investment in education if it wants to reach the average level of educational achievement of students from the OECD member countries. It should also be pointed out that such increased investment should not be allocated only for higher teacher salaries, but additional resources should, primarily, be invested in increasing motivation and improving the quality and fairness of education in Serbia. </w:t>
      </w:r>
    </w:p>
    <w:p w:rsidR="00D767FA" w:rsidRDefault="00A557BE" w:rsidP="00AE4F1D">
      <w:pPr>
        <w:ind w:firstLine="706"/>
        <w:outlineLvl w:val="0"/>
        <w:rPr>
          <w:rFonts w:eastAsia="TTE25053D8t00"/>
          <w:i/>
          <w:szCs w:val="24"/>
        </w:rPr>
      </w:pPr>
      <w:r>
        <w:rPr>
          <w:rFonts w:eastAsia="TTE25053D8t00"/>
          <w:i/>
          <w:szCs w:val="24"/>
        </w:rPr>
        <w:t xml:space="preserve">Digital competencies of teachers and </w:t>
      </w:r>
      <w:r w:rsidR="007B469E">
        <w:rPr>
          <w:rFonts w:eastAsia="TTE25053D8t00"/>
          <w:i/>
          <w:szCs w:val="24"/>
        </w:rPr>
        <w:t>professional</w:t>
      </w:r>
      <w:r w:rsidR="00E13926">
        <w:rPr>
          <w:rFonts w:eastAsia="TTE25053D8t00"/>
          <w:i/>
          <w:szCs w:val="24"/>
        </w:rPr>
        <w:t xml:space="preserve"> </w:t>
      </w:r>
      <w:r>
        <w:rPr>
          <w:rFonts w:eastAsia="TTE25053D8t00"/>
          <w:i/>
          <w:szCs w:val="24"/>
        </w:rPr>
        <w:t>associates</w:t>
      </w:r>
    </w:p>
    <w:p w:rsidR="00A557BE" w:rsidRDefault="00A557BE" w:rsidP="00A557BE">
      <w:pPr>
        <w:ind w:firstLine="706"/>
      </w:pPr>
      <w:r>
        <w:t>Digital competency is one of eight crucial competencies for life-long learning that the European Union defined in order to successfully meet the challenges of development of the knowledge society</w:t>
      </w:r>
      <w:r>
        <w:rPr>
          <w:rStyle w:val="FootnoteReference"/>
          <w:i/>
        </w:rPr>
        <w:footnoteReference w:id="17"/>
      </w:r>
      <w:r>
        <w:t xml:space="preserve"> and the global market.</w:t>
      </w:r>
    </w:p>
    <w:p w:rsidR="00B75325" w:rsidRPr="00E13926" w:rsidRDefault="00157246" w:rsidP="00A557BE">
      <w:pPr>
        <w:ind w:firstLine="706"/>
      </w:pPr>
      <w:r>
        <w:t>On a long-term scale, basic digital competencies are generated in the education system</w:t>
      </w:r>
      <w:r w:rsidR="00B75325">
        <w:t>,</w:t>
      </w:r>
      <w:r>
        <w:t xml:space="preserve"> and the level of </w:t>
      </w:r>
      <w:r w:rsidR="00B75325">
        <w:t xml:space="preserve">students’ </w:t>
      </w:r>
      <w:r>
        <w:t>digital competency mastery</w:t>
      </w:r>
      <w:r w:rsidR="00B75325">
        <w:t>, among other things, depends</w:t>
      </w:r>
      <w:r>
        <w:t xml:space="preserve"> </w:t>
      </w:r>
      <w:r w:rsidR="00B75325">
        <w:t xml:space="preserve">on the level of the teacher’s digital competency. That is why teachers are expected to be innovative and possess an advanced level of </w:t>
      </w:r>
      <w:proofErr w:type="spellStart"/>
      <w:r w:rsidR="00B75325">
        <w:t>infromatical</w:t>
      </w:r>
      <w:proofErr w:type="spellEnd"/>
      <w:r w:rsidR="00B75325">
        <w:t>, information, digital and media literacy</w:t>
      </w:r>
      <w:r w:rsidR="0076631D">
        <w:t xml:space="preserve">, </w:t>
      </w:r>
      <w:r w:rsidR="00B75325">
        <w:t xml:space="preserve">as well as to be familiar, in the areas in which they teach, with modern concepts, methods and tools which presuppose reasonable ICT use </w:t>
      </w:r>
      <w:r w:rsidR="0076631D">
        <w:t>(European Commission, 2013)</w:t>
      </w:r>
      <w:r w:rsidR="0076631D" w:rsidRPr="00D3629E">
        <w:t>.</w:t>
      </w:r>
      <w:r w:rsidR="0076631D">
        <w:t xml:space="preserve"> </w:t>
      </w:r>
      <w:r w:rsidR="00B75325">
        <w:t>For these reasons, the Ministry of education, science and technological development (MESTD)</w:t>
      </w:r>
      <w:r w:rsidR="00E13926">
        <w:t xml:space="preserve"> of the Republic of Serbia published in March 2017 the </w:t>
      </w:r>
      <w:r w:rsidR="00E13926" w:rsidRPr="00E13926">
        <w:rPr>
          <w:i/>
        </w:rPr>
        <w:t>Framework of digital competencies – the teacher for the digital era</w:t>
      </w:r>
      <w:r w:rsidR="00E13926">
        <w:t xml:space="preserve"> in accordance with the </w:t>
      </w:r>
      <w:r w:rsidR="00E13926">
        <w:rPr>
          <w:i/>
          <w:szCs w:val="24"/>
        </w:rPr>
        <w:t>Strategy on</w:t>
      </w:r>
      <w:r w:rsidR="00E13926" w:rsidRPr="00853D4A">
        <w:rPr>
          <w:i/>
          <w:szCs w:val="24"/>
        </w:rPr>
        <w:t xml:space="preserve"> </w:t>
      </w:r>
      <w:r w:rsidR="00E13926">
        <w:rPr>
          <w:i/>
          <w:szCs w:val="24"/>
        </w:rPr>
        <w:t>Education D</w:t>
      </w:r>
      <w:r w:rsidR="00E13926" w:rsidRPr="00853D4A">
        <w:rPr>
          <w:i/>
          <w:szCs w:val="24"/>
        </w:rPr>
        <w:t xml:space="preserve">evelopment in </w:t>
      </w:r>
      <w:r w:rsidR="00E13926">
        <w:rPr>
          <w:i/>
          <w:szCs w:val="24"/>
        </w:rPr>
        <w:t xml:space="preserve">the Republic of </w:t>
      </w:r>
      <w:r w:rsidR="00E13926" w:rsidRPr="00853D4A">
        <w:rPr>
          <w:i/>
          <w:szCs w:val="24"/>
        </w:rPr>
        <w:t>Serbia until 2020</w:t>
      </w:r>
      <w:r w:rsidR="00E13926">
        <w:rPr>
          <w:szCs w:val="24"/>
        </w:rPr>
        <w:t xml:space="preserve">, which recognizes the importance and the role of new technologies for an improved education system. The application of the </w:t>
      </w:r>
      <w:r w:rsidR="00E13926" w:rsidRPr="00E13926">
        <w:rPr>
          <w:i/>
          <w:szCs w:val="24"/>
        </w:rPr>
        <w:t>Framework</w:t>
      </w:r>
      <w:r w:rsidR="00E13926">
        <w:rPr>
          <w:szCs w:val="24"/>
        </w:rPr>
        <w:t xml:space="preserve"> promotes educational use of ICT, which implies their balanced, well thought-out and efficient use aimed at </w:t>
      </w:r>
      <w:r w:rsidR="005E4AE7">
        <w:rPr>
          <w:szCs w:val="24"/>
        </w:rPr>
        <w:t xml:space="preserve">fostering innovativeness in teaching and reaching higher levels of educational performance standards </w:t>
      </w:r>
      <w:proofErr w:type="spellStart"/>
      <w:r w:rsidR="005E4AE7">
        <w:rPr>
          <w:szCs w:val="24"/>
        </w:rPr>
        <w:t>fulfilment</w:t>
      </w:r>
      <w:proofErr w:type="spellEnd"/>
      <w:r w:rsidR="005E4AE7">
        <w:rPr>
          <w:szCs w:val="24"/>
        </w:rPr>
        <w:t xml:space="preserve">. The aim of the digital competencies framework is to help </w:t>
      </w:r>
      <w:r w:rsidR="005E4AE7">
        <w:rPr>
          <w:szCs w:val="24"/>
        </w:rPr>
        <w:lastRenderedPageBreak/>
        <w:t xml:space="preserve">teachers at all educational levels, including university teachers, to reflect on their teaching practice and identify the steps of their own professional progress as </w:t>
      </w:r>
      <w:r w:rsidR="005E4AE7" w:rsidRPr="005E4AE7">
        <w:rPr>
          <w:i/>
          <w:szCs w:val="24"/>
        </w:rPr>
        <w:t>teachers of the digital era</w:t>
      </w:r>
      <w:r w:rsidR="005E4AE7">
        <w:rPr>
          <w:szCs w:val="24"/>
        </w:rPr>
        <w:t xml:space="preserve">. </w:t>
      </w:r>
    </w:p>
    <w:p w:rsidR="00380E4B" w:rsidRPr="00380E4B" w:rsidRDefault="00380E4B" w:rsidP="00D767FA">
      <w:r>
        <w:rPr>
          <w:i/>
        </w:rPr>
        <w:t xml:space="preserve">The initial education of primary school teachers (classroom teachers) </w:t>
      </w:r>
      <w:r>
        <w:t>who work with children from the first to the fourth grade</w:t>
      </w:r>
      <w:r w:rsidR="00D767FA">
        <w:t xml:space="preserve"> </w:t>
      </w:r>
      <w:r>
        <w:t>is based on five-year academic studies at one of six teacher training/teacher education faculties in the Republic of Serbia</w:t>
      </w:r>
      <w:r w:rsidR="00D767FA">
        <w:t xml:space="preserve">. </w:t>
      </w:r>
      <w:r>
        <w:t>In an earlier study (</w:t>
      </w:r>
      <w:proofErr w:type="spellStart"/>
      <w:r>
        <w:t>Stoković</w:t>
      </w:r>
      <w:proofErr w:type="spellEnd"/>
      <w:r>
        <w:t xml:space="preserve"> </w:t>
      </w:r>
      <w:proofErr w:type="spellStart"/>
      <w:r>
        <w:t>i</w:t>
      </w:r>
      <w:proofErr w:type="spellEnd"/>
      <w:r>
        <w:t xml:space="preserve"> </w:t>
      </w:r>
      <w:proofErr w:type="spellStart"/>
      <w:r>
        <w:t>Ristić</w:t>
      </w:r>
      <w:proofErr w:type="spellEnd"/>
      <w:r>
        <w:t>, 2016)</w:t>
      </w:r>
      <w:r>
        <w:rPr>
          <w:lang w:val="sr-Latn-CS"/>
        </w:rPr>
        <w:t>, we analyzed the contents of the teaching subjects which belong to the area of ICT aplication in education. At m</w:t>
      </w:r>
      <w:proofErr w:type="spellStart"/>
      <w:r>
        <w:t>ost</w:t>
      </w:r>
      <w:proofErr w:type="spellEnd"/>
      <w:r>
        <w:t xml:space="preserve"> faculties, except one, the curriculum for the education of primary school teachers includes two compulsory subjects: </w:t>
      </w:r>
      <w:r w:rsidRPr="00380E4B">
        <w:rPr>
          <w:i/>
        </w:rPr>
        <w:t xml:space="preserve">Informatics in education </w:t>
      </w:r>
      <w:r w:rsidRPr="00380E4B">
        <w:t>and</w:t>
      </w:r>
      <w:r w:rsidRPr="00380E4B">
        <w:rPr>
          <w:i/>
        </w:rPr>
        <w:t xml:space="preserve"> Educational Technology</w:t>
      </w:r>
      <w:r>
        <w:rPr>
          <w:i/>
        </w:rPr>
        <w:t>.</w:t>
      </w:r>
      <w:r>
        <w:t xml:space="preserve"> The number of elective courses </w:t>
      </w:r>
      <w:r w:rsidR="00972689">
        <w:t xml:space="preserve">related to the application of ICT in teaching, among which students can choose </w:t>
      </w:r>
      <w:r>
        <w:t>during the</w:t>
      </w:r>
      <w:r w:rsidR="00972689">
        <w:t>ir</w:t>
      </w:r>
      <w:r>
        <w:t xml:space="preserve"> basic studies,</w:t>
      </w:r>
      <w:r w:rsidR="00972689">
        <w:t xml:space="preserve"> ranges from one to four. Most faculties offer within Master study </w:t>
      </w:r>
      <w:proofErr w:type="spellStart"/>
      <w:r w:rsidR="00972689">
        <w:t>programmes</w:t>
      </w:r>
      <w:proofErr w:type="spellEnd"/>
      <w:r w:rsidR="00972689">
        <w:t xml:space="preserve"> usually one elective course in this area. The analysis of the contents of these subjects included in initial teacher education shows that a lot of </w:t>
      </w:r>
      <w:proofErr w:type="spellStart"/>
      <w:r w:rsidR="00972689">
        <w:t>attetion</w:t>
      </w:r>
      <w:proofErr w:type="spellEnd"/>
      <w:r w:rsidR="00972689">
        <w:t xml:space="preserve"> is paid to the use of ICT at the faculties which educate future teachers, but also that most students do not develop advanced digital competencies. The compulsory subjects do not encourage the development of competencies for creating innovative digital teaching environments, mastering learning management systems or creating mobile learning environments. </w:t>
      </w:r>
    </w:p>
    <w:p w:rsidR="00020BA3" w:rsidRDefault="005D2A01" w:rsidP="00D767FA">
      <w:r w:rsidRPr="005D2A01">
        <w:rPr>
          <w:i/>
        </w:rPr>
        <w:t>The initial</w:t>
      </w:r>
      <w:r w:rsidR="00D767FA" w:rsidRPr="005D2A01">
        <w:rPr>
          <w:i/>
        </w:rPr>
        <w:t xml:space="preserve"> </w:t>
      </w:r>
      <w:r w:rsidRPr="005D2A01">
        <w:rPr>
          <w:i/>
        </w:rPr>
        <w:t>education of subject teachers</w:t>
      </w:r>
      <w:r>
        <w:t xml:space="preserve"> who teach senior primary school grades and high school grades is heterogeneous. Subject teachers gain their education from the faculties of philology, mathematics and natural sciences, </w:t>
      </w:r>
      <w:r w:rsidR="007723E6">
        <w:t>philosophy,</w:t>
      </w:r>
      <w:r w:rsidR="00230144">
        <w:t xml:space="preserve"> geography, </w:t>
      </w:r>
      <w:proofErr w:type="spellStart"/>
      <w:r w:rsidR="00230144">
        <w:t>bilogy</w:t>
      </w:r>
      <w:proofErr w:type="spellEnd"/>
      <w:r w:rsidR="00230144">
        <w:t xml:space="preserve"> and organizational sciences,</w:t>
      </w:r>
      <w:r w:rsidR="007723E6">
        <w:t xml:space="preserve"> </w:t>
      </w:r>
      <w:r>
        <w:t>physical education and academies</w:t>
      </w:r>
      <w:r w:rsidRPr="005D2A01">
        <w:t xml:space="preserve"> </w:t>
      </w:r>
      <w:r>
        <w:t xml:space="preserve">of arts. In order to gain an insight into the preparation of subject teachers for the application of digital technologies in education, we carried out an analysis of the curricular contents </w:t>
      </w:r>
      <w:r w:rsidR="007723E6">
        <w:t>(</w:t>
      </w:r>
      <w:proofErr w:type="spellStart"/>
      <w:r w:rsidR="007723E6">
        <w:t>Ristić</w:t>
      </w:r>
      <w:proofErr w:type="spellEnd"/>
      <w:r w:rsidR="007723E6">
        <w:t xml:space="preserve">, 2018) for: forty-two study </w:t>
      </w:r>
      <w:proofErr w:type="spellStart"/>
      <w:r w:rsidR="007723E6">
        <w:t>programmes</w:t>
      </w:r>
      <w:proofErr w:type="spellEnd"/>
      <w:r w:rsidR="007723E6">
        <w:t xml:space="preserve"> for the Serbian language and foreign languages that are most commonly learned at schools (English, French, Russian, Italian, German and Spanish); for the future teachers of history, geography, biology, mathematics, computing and informatics, physics, chemistry, fine arts and music, physical education and sport. Apart from that, the analysis included the education of future </w:t>
      </w:r>
      <w:r w:rsidR="007B469E">
        <w:t xml:space="preserve">professional school </w:t>
      </w:r>
      <w:r w:rsidR="007723E6">
        <w:t xml:space="preserve">associates (social pedagogues and </w:t>
      </w:r>
      <w:proofErr w:type="spellStart"/>
      <w:r w:rsidR="007723E6">
        <w:t>phychologists</w:t>
      </w:r>
      <w:proofErr w:type="spellEnd"/>
      <w:r w:rsidR="007723E6">
        <w:t>).</w:t>
      </w:r>
      <w:r w:rsidR="007B469E">
        <w:t xml:space="preserve"> The results of the analysis of the</w:t>
      </w:r>
      <w:r w:rsidR="008D3195">
        <w:t>se</w:t>
      </w:r>
      <w:r w:rsidR="007B469E">
        <w:t xml:space="preserve"> curricular contents show that</w:t>
      </w:r>
      <w:r w:rsidR="008D3195">
        <w:t xml:space="preserve"> no attention is paid to gaining competencies for the application of mobile learning at the faculties in Serbia which provide education for teacher profiles. Future subject teachers and professional school associates do not develop necessary digital competencies during their initial education. Such compulsory subjects do not exist, while the number of elective subjects and students attending these courses is negligible. </w:t>
      </w:r>
    </w:p>
    <w:p w:rsidR="00D767FA" w:rsidRDefault="00DF2F97" w:rsidP="00D767FA">
      <w:r w:rsidRPr="00DF2F97">
        <w:rPr>
          <w:szCs w:val="24"/>
        </w:rPr>
        <w:lastRenderedPageBreak/>
        <w:t>According to the</w:t>
      </w:r>
      <w:r>
        <w:rPr>
          <w:i/>
          <w:szCs w:val="24"/>
        </w:rPr>
        <w:t xml:space="preserve"> Strategy on</w:t>
      </w:r>
      <w:r w:rsidRPr="00853D4A">
        <w:rPr>
          <w:i/>
          <w:szCs w:val="24"/>
        </w:rPr>
        <w:t xml:space="preserve"> </w:t>
      </w:r>
      <w:r>
        <w:rPr>
          <w:i/>
          <w:szCs w:val="24"/>
        </w:rPr>
        <w:t>Education D</w:t>
      </w:r>
      <w:r w:rsidRPr="00853D4A">
        <w:rPr>
          <w:i/>
          <w:szCs w:val="24"/>
        </w:rPr>
        <w:t xml:space="preserve">evelopment in </w:t>
      </w:r>
      <w:r>
        <w:rPr>
          <w:i/>
          <w:szCs w:val="24"/>
        </w:rPr>
        <w:t xml:space="preserve">the Republic of </w:t>
      </w:r>
      <w:r w:rsidRPr="00853D4A">
        <w:rPr>
          <w:i/>
          <w:szCs w:val="24"/>
        </w:rPr>
        <w:t>Serbia until 2020</w:t>
      </w:r>
      <w:r>
        <w:rPr>
          <w:szCs w:val="24"/>
        </w:rPr>
        <w:t xml:space="preserve">, </w:t>
      </w:r>
      <w:r w:rsidR="0085646C">
        <w:t>(</w:t>
      </w:r>
      <w:proofErr w:type="spellStart"/>
      <w:r w:rsidR="00611BD5">
        <w:t>Strategija</w:t>
      </w:r>
      <w:proofErr w:type="spellEnd"/>
      <w:r w:rsidR="00611BD5">
        <w:t xml:space="preserve">, </w:t>
      </w:r>
      <w:r w:rsidR="0085646C">
        <w:t xml:space="preserve">2012, </w:t>
      </w:r>
      <w:r>
        <w:t>p</w:t>
      </w:r>
      <w:r w:rsidR="0085646C">
        <w:t>. 8)</w:t>
      </w:r>
      <w:r w:rsidR="00D767FA">
        <w:t xml:space="preserve"> </w:t>
      </w:r>
      <w:r>
        <w:t>higher education institutions</w:t>
      </w:r>
      <w:r w:rsidR="00D767FA">
        <w:t xml:space="preserve"> </w:t>
      </w:r>
      <w:r>
        <w:t xml:space="preserve">should increase the share of </w:t>
      </w:r>
      <w:r w:rsidR="008129D3">
        <w:t xml:space="preserve">digital online education application. ”New methods and information technologies are to be introduced in the realization of the existing and development of new study </w:t>
      </w:r>
      <w:proofErr w:type="spellStart"/>
      <w:r w:rsidR="008129D3">
        <w:t>programmes</w:t>
      </w:r>
      <w:proofErr w:type="spellEnd"/>
      <w:r w:rsidR="008129D3">
        <w:t xml:space="preserve">. Higher education institutions should be supported in modernization, procurement and implementation of the most modern software and hardware.” Also, it says that “support should be given to </w:t>
      </w:r>
      <w:r w:rsidR="00FE68E5">
        <w:t xml:space="preserve">a </w:t>
      </w:r>
      <w:r w:rsidR="008129D3">
        <w:t xml:space="preserve">greater use of methodology and technology of e-learning as a supplement to traditional teaching, through the development of study </w:t>
      </w:r>
      <w:proofErr w:type="spellStart"/>
      <w:r w:rsidR="008129D3">
        <w:t>programmes</w:t>
      </w:r>
      <w:proofErr w:type="spellEnd"/>
      <w:r w:rsidR="008129D3">
        <w:t xml:space="preserve"> that </w:t>
      </w:r>
      <w:r w:rsidR="00FE68E5">
        <w:t>will</w:t>
      </w:r>
      <w:r w:rsidR="008129D3">
        <w:t xml:space="preserve"> be conducted in</w:t>
      </w:r>
      <w:r w:rsidR="00FE68E5">
        <w:t xml:space="preserve"> parallel (as classic teaching and </w:t>
      </w:r>
      <w:r w:rsidR="008129D3">
        <w:t xml:space="preserve">in the form of distance learning) </w:t>
      </w:r>
      <w:r w:rsidR="00FE68E5">
        <w:t xml:space="preserve">and study </w:t>
      </w:r>
      <w:proofErr w:type="spellStart"/>
      <w:r w:rsidR="00FE68E5">
        <w:t>programmes</w:t>
      </w:r>
      <w:proofErr w:type="spellEnd"/>
      <w:r w:rsidR="00FE68E5">
        <w:t xml:space="preserve"> which are realized only as distance (online) studies” </w:t>
      </w:r>
      <w:r w:rsidR="00D767FA">
        <w:t>(</w:t>
      </w:r>
      <w:r w:rsidR="00FE68E5">
        <w:t>Ibid</w:t>
      </w:r>
      <w:r w:rsidR="00D767FA">
        <w:t xml:space="preserve">, 2012, </w:t>
      </w:r>
      <w:r w:rsidR="00FE68E5">
        <w:t>p</w:t>
      </w:r>
      <w:r w:rsidR="00D767FA">
        <w:t>. 122).</w:t>
      </w:r>
    </w:p>
    <w:p w:rsidR="00683D4A" w:rsidRDefault="00683D4A" w:rsidP="00683D4A">
      <w:r>
        <w:t xml:space="preserve">Concerning the indicators of the status of mobile learning and application of modern educational technology in higher education in Serbia, it has to be said that they have never been studied </w:t>
      </w:r>
      <w:r w:rsidR="00D767FA">
        <w:t>(</w:t>
      </w:r>
      <w:proofErr w:type="spellStart"/>
      <w:r w:rsidR="00D767FA">
        <w:t>Šćepanović</w:t>
      </w:r>
      <w:proofErr w:type="spellEnd"/>
      <w:r w:rsidR="00D767FA">
        <w:t xml:space="preserve"> </w:t>
      </w:r>
      <w:r>
        <w:t>et al.,</w:t>
      </w:r>
      <w:r w:rsidR="00D767FA">
        <w:t xml:space="preserve"> 2017). </w:t>
      </w:r>
      <w:r>
        <w:t>The most common indicators of the situation in higher education can be found in the context of university ranking</w:t>
      </w:r>
      <w:r w:rsidR="00332364">
        <w:t>,</w:t>
      </w:r>
      <w:r>
        <w:t xml:space="preserve"> </w:t>
      </w:r>
      <w:r w:rsidR="00332364">
        <w:t>whereby the status of</w:t>
      </w:r>
      <w:r>
        <w:t xml:space="preserve"> universit</w:t>
      </w:r>
      <w:r w:rsidR="00332364">
        <w:t>ies</w:t>
      </w:r>
      <w:r>
        <w:t xml:space="preserve"> is much </w:t>
      </w:r>
      <w:r w:rsidR="00332364">
        <w:t>more often</w:t>
      </w:r>
      <w:r>
        <w:t xml:space="preserve"> evaluated according to the quantity and quality of </w:t>
      </w:r>
      <w:r w:rsidR="00332364">
        <w:t xml:space="preserve">the </w:t>
      </w:r>
      <w:r>
        <w:t xml:space="preserve">issued publications, and far less according to </w:t>
      </w:r>
      <w:r w:rsidR="00332364">
        <w:t xml:space="preserve">the way in which teaching itself is organized or its quality. </w:t>
      </w:r>
    </w:p>
    <w:p w:rsidR="003A34E5" w:rsidRDefault="003A34E5" w:rsidP="00D767FA">
      <w:pPr>
        <w:rPr>
          <w:rFonts w:eastAsia="Batang"/>
          <w:i/>
          <w:szCs w:val="24"/>
        </w:rPr>
      </w:pPr>
    </w:p>
    <w:p w:rsidR="003A34E5" w:rsidRDefault="003A34E5" w:rsidP="00D767FA">
      <w:pPr>
        <w:rPr>
          <w:rFonts w:eastAsia="Batang"/>
          <w:i/>
          <w:szCs w:val="24"/>
        </w:rPr>
      </w:pPr>
      <w:r>
        <w:rPr>
          <w:rFonts w:eastAsia="Batang"/>
          <w:i/>
          <w:szCs w:val="24"/>
        </w:rPr>
        <w:t>Further professional education of teachers and professional associates in terms of developing digital competencies for mobile learning</w:t>
      </w:r>
    </w:p>
    <w:p w:rsidR="0085191F" w:rsidRDefault="003A34E5" w:rsidP="0085191F">
      <w:pPr>
        <w:rPr>
          <w:rFonts w:eastAsia="TTE25053D8t00"/>
        </w:rPr>
      </w:pPr>
      <w:r>
        <w:t xml:space="preserve">The analysis of the contents of the </w:t>
      </w:r>
      <w:r w:rsidRPr="0085191F">
        <w:rPr>
          <w:i/>
        </w:rPr>
        <w:t xml:space="preserve">Catalogue of professional development </w:t>
      </w:r>
      <w:proofErr w:type="spellStart"/>
      <w:r w:rsidR="0085191F" w:rsidRPr="0085191F">
        <w:rPr>
          <w:i/>
        </w:rPr>
        <w:t>programmes</w:t>
      </w:r>
      <w:proofErr w:type="spellEnd"/>
      <w:r w:rsidR="0085191F" w:rsidRPr="0085191F">
        <w:rPr>
          <w:i/>
        </w:rPr>
        <w:t xml:space="preserve"> </w:t>
      </w:r>
      <w:r w:rsidRPr="0085191F">
        <w:rPr>
          <w:i/>
        </w:rPr>
        <w:t>for teachers and professional associates for the school years 2016/2017</w:t>
      </w:r>
      <w:r>
        <w:t xml:space="preserve"> </w:t>
      </w:r>
      <w:r w:rsidRPr="0085191F">
        <w:rPr>
          <w:i/>
        </w:rPr>
        <w:t xml:space="preserve">and 2017/2018 </w:t>
      </w:r>
      <w:r w:rsidR="0085191F">
        <w:t>(</w:t>
      </w:r>
      <w:proofErr w:type="spellStart"/>
      <w:r w:rsidR="0085191F">
        <w:rPr>
          <w:rFonts w:eastAsia="TTE25053D8t00"/>
        </w:rPr>
        <w:t>Katalog</w:t>
      </w:r>
      <w:proofErr w:type="spellEnd"/>
      <w:r w:rsidR="0085191F">
        <w:rPr>
          <w:rFonts w:eastAsia="TTE25053D8t00"/>
        </w:rPr>
        <w:t>, 2017)</w:t>
      </w:r>
      <w:r w:rsidR="0085191F">
        <w:rPr>
          <w:b/>
          <w:bCs/>
        </w:rPr>
        <w:t xml:space="preserve"> </w:t>
      </w:r>
      <w:r>
        <w:t>clearly shows that</w:t>
      </w:r>
      <w:r w:rsidR="0085191F">
        <w:t xml:space="preserve"> the greatest number of accredited seminars aims at developing basic ICT competencies.</w:t>
      </w:r>
      <w:r w:rsidR="00826B52">
        <w:rPr>
          <w:rStyle w:val="FootnoteReference"/>
          <w:rFonts w:eastAsia="TTE25053D8t00"/>
        </w:rPr>
        <w:footnoteReference w:id="18"/>
      </w:r>
      <w:r w:rsidR="00826B52">
        <w:rPr>
          <w:rFonts w:eastAsia="TTE25053D8t00"/>
        </w:rPr>
        <w:t xml:space="preserve"> </w:t>
      </w:r>
      <w:r w:rsidR="0085191F">
        <w:rPr>
          <w:rFonts w:eastAsia="TTE25053D8t00"/>
        </w:rPr>
        <w:t>In the area of advanced competencies, there is one seminar on offer (</w:t>
      </w:r>
      <w:r w:rsidR="0085191F" w:rsidRPr="0085191F">
        <w:rPr>
          <w:rFonts w:eastAsia="TTE25053D8t00"/>
          <w:i/>
        </w:rPr>
        <w:t>Advanced technologies in teaching</w:t>
      </w:r>
      <w:r w:rsidR="0085191F">
        <w:rPr>
          <w:rFonts w:eastAsia="TTE25053D8t00"/>
        </w:rPr>
        <w:t>), which does not contain sufficient information for teachers’ proper choice.</w:t>
      </w:r>
    </w:p>
    <w:p w:rsidR="0085191F" w:rsidRDefault="0085191F" w:rsidP="00826B52">
      <w:pPr>
        <w:rPr>
          <w:rFonts w:eastAsia="TTE25053D8t00"/>
        </w:rPr>
      </w:pPr>
      <w:r>
        <w:rPr>
          <w:rFonts w:eastAsia="TTE25053D8t00"/>
        </w:rPr>
        <w:t xml:space="preserve">Further professional education for the application of innovative educational models in a digital teaching </w:t>
      </w:r>
      <w:proofErr w:type="spellStart"/>
      <w:r>
        <w:rPr>
          <w:rFonts w:eastAsia="TTE25053D8t00"/>
        </w:rPr>
        <w:t>enivronment</w:t>
      </w:r>
      <w:proofErr w:type="spellEnd"/>
      <w:r>
        <w:rPr>
          <w:rFonts w:eastAsia="TTE25053D8t00"/>
        </w:rPr>
        <w:t xml:space="preserve">, such as blended learning models or creating an environment for mobile learning, is not possible, as it is not included in the seminar offer. The essence of ICT use in education must be based on the knowledge about the </w:t>
      </w:r>
      <w:r w:rsidR="005522A0">
        <w:rPr>
          <w:rFonts w:eastAsia="TTE25053D8t00"/>
        </w:rPr>
        <w:t xml:space="preserve">learning </w:t>
      </w:r>
      <w:r>
        <w:rPr>
          <w:rFonts w:eastAsia="TTE25053D8t00"/>
        </w:rPr>
        <w:t xml:space="preserve">process </w:t>
      </w:r>
      <w:r w:rsidR="005522A0">
        <w:rPr>
          <w:rFonts w:eastAsia="TTE25053D8t00"/>
        </w:rPr>
        <w:t xml:space="preserve">oriented </w:t>
      </w:r>
      <w:r>
        <w:rPr>
          <w:rFonts w:eastAsia="TTE25053D8t00"/>
        </w:rPr>
        <w:t>to</w:t>
      </w:r>
      <w:r w:rsidR="005522A0">
        <w:rPr>
          <w:rFonts w:eastAsia="TTE25053D8t00"/>
        </w:rPr>
        <w:t>wards</w:t>
      </w:r>
      <w:r>
        <w:rPr>
          <w:rFonts w:eastAsia="TTE25053D8t00"/>
        </w:rPr>
        <w:t xml:space="preserve"> the learner</w:t>
      </w:r>
      <w:r w:rsidR="005522A0">
        <w:rPr>
          <w:rFonts w:eastAsia="TTE25053D8t00"/>
        </w:rPr>
        <w:t>s</w:t>
      </w:r>
      <w:r>
        <w:rPr>
          <w:rFonts w:eastAsia="TTE25053D8t00"/>
        </w:rPr>
        <w:t>, their motivation and development.</w:t>
      </w:r>
      <w:r w:rsidR="005522A0">
        <w:rPr>
          <w:rFonts w:eastAsia="TTE25053D8t00"/>
        </w:rPr>
        <w:t xml:space="preserve"> For this reason, the focus of teachers’ further professional education should be on the integration of </w:t>
      </w:r>
      <w:proofErr w:type="spellStart"/>
      <w:r w:rsidR="005522A0">
        <w:rPr>
          <w:rFonts w:eastAsia="TTE25053D8t00"/>
        </w:rPr>
        <w:t>phychological</w:t>
      </w:r>
      <w:proofErr w:type="spellEnd"/>
      <w:r w:rsidR="005522A0">
        <w:rPr>
          <w:rFonts w:eastAsia="TTE25053D8t00"/>
        </w:rPr>
        <w:t xml:space="preserve">-pedagogical and digital knowledge and skills which should be integrated with the contents of the concrete </w:t>
      </w:r>
      <w:r w:rsidR="005522A0">
        <w:rPr>
          <w:rFonts w:eastAsia="TTE25053D8t00"/>
        </w:rPr>
        <w:lastRenderedPageBreak/>
        <w:t xml:space="preserve">subject discipline. This requires joint team work of experts </w:t>
      </w:r>
      <w:r w:rsidR="000763AF">
        <w:rPr>
          <w:rFonts w:eastAsia="TTE25053D8t00"/>
        </w:rPr>
        <w:t>o</w:t>
      </w:r>
      <w:r w:rsidR="005522A0">
        <w:rPr>
          <w:rFonts w:eastAsia="TTE25053D8t00"/>
        </w:rPr>
        <w:t xml:space="preserve">n </w:t>
      </w:r>
      <w:r w:rsidR="000763AF">
        <w:rPr>
          <w:rFonts w:eastAsia="TTE25053D8t00"/>
        </w:rPr>
        <w:t xml:space="preserve">the </w:t>
      </w:r>
      <w:proofErr w:type="spellStart"/>
      <w:r w:rsidR="005522A0">
        <w:rPr>
          <w:rFonts w:eastAsia="TTE25053D8t00"/>
        </w:rPr>
        <w:t>phychology</w:t>
      </w:r>
      <w:proofErr w:type="spellEnd"/>
      <w:r w:rsidR="000763AF">
        <w:rPr>
          <w:rFonts w:eastAsia="TTE25053D8t00"/>
        </w:rPr>
        <w:t xml:space="preserve"> of learning and teaching methodology on the one hand, and experts for educational technology on the other. </w:t>
      </w:r>
    </w:p>
    <w:p w:rsidR="00D767FA" w:rsidRPr="00D3629E" w:rsidRDefault="00D767FA" w:rsidP="00D767FA">
      <w:pPr>
        <w:rPr>
          <w:rFonts w:eastAsia="Batang"/>
          <w:szCs w:val="24"/>
        </w:rPr>
      </w:pPr>
    </w:p>
    <w:p w:rsidR="00D767FA" w:rsidRPr="002473AF" w:rsidRDefault="000763AF" w:rsidP="00D767FA">
      <w:pPr>
        <w:autoSpaceDE w:val="0"/>
        <w:autoSpaceDN w:val="0"/>
        <w:adjustRightInd w:val="0"/>
        <w:rPr>
          <w:i/>
          <w:szCs w:val="24"/>
        </w:rPr>
      </w:pPr>
      <w:r>
        <w:rPr>
          <w:i/>
          <w:szCs w:val="24"/>
        </w:rPr>
        <w:t>Criterion</w:t>
      </w:r>
      <w:r w:rsidR="00D767FA" w:rsidRPr="002473AF">
        <w:rPr>
          <w:i/>
          <w:szCs w:val="24"/>
        </w:rPr>
        <w:t xml:space="preserve"> 3 </w:t>
      </w:r>
      <w:r>
        <w:rPr>
          <w:i/>
          <w:szCs w:val="24"/>
        </w:rPr>
        <w:t>–</w:t>
      </w:r>
      <w:r w:rsidR="00D767FA" w:rsidRPr="002473AF">
        <w:rPr>
          <w:i/>
          <w:szCs w:val="24"/>
        </w:rPr>
        <w:t xml:space="preserve"> </w:t>
      </w:r>
      <w:r>
        <w:rPr>
          <w:i/>
          <w:szCs w:val="24"/>
        </w:rPr>
        <w:t>Interactive digital teaching materials and applicati</w:t>
      </w:r>
      <w:r w:rsidR="005136C1">
        <w:rPr>
          <w:i/>
          <w:szCs w:val="24"/>
        </w:rPr>
        <w:t>o</w:t>
      </w:r>
      <w:r>
        <w:rPr>
          <w:i/>
          <w:szCs w:val="24"/>
        </w:rPr>
        <w:t xml:space="preserve">ns for mobile learning in blended </w:t>
      </w:r>
      <w:r w:rsidR="005136C1">
        <w:rPr>
          <w:i/>
          <w:szCs w:val="24"/>
        </w:rPr>
        <w:t>teaching</w:t>
      </w:r>
      <w:r>
        <w:rPr>
          <w:i/>
          <w:szCs w:val="24"/>
        </w:rPr>
        <w:t xml:space="preserve"> </w:t>
      </w:r>
    </w:p>
    <w:p w:rsidR="00D03D11" w:rsidRDefault="00D03D11" w:rsidP="00D767FA">
      <w:pPr>
        <w:autoSpaceDE w:val="0"/>
        <w:autoSpaceDN w:val="0"/>
        <w:adjustRightInd w:val="0"/>
        <w:ind w:firstLine="709"/>
        <w:rPr>
          <w:rFonts w:eastAsia="Times New Roman"/>
          <w:szCs w:val="24"/>
        </w:rPr>
      </w:pPr>
      <w:r>
        <w:rPr>
          <w:rFonts w:eastAsia="Times New Roman"/>
          <w:szCs w:val="24"/>
        </w:rPr>
        <w:t xml:space="preserve">In modern education systems, especially in developed countries, building a digital teaching environment is based on digital learning objects such as interactive </w:t>
      </w:r>
      <w:proofErr w:type="spellStart"/>
      <w:r>
        <w:rPr>
          <w:rFonts w:eastAsia="Times New Roman"/>
          <w:szCs w:val="24"/>
        </w:rPr>
        <w:t>multimedial</w:t>
      </w:r>
      <w:proofErr w:type="spellEnd"/>
      <w:r>
        <w:rPr>
          <w:rFonts w:eastAsia="Times New Roman"/>
          <w:szCs w:val="24"/>
        </w:rPr>
        <w:t xml:space="preserve"> and mobile applications that are used both </w:t>
      </w:r>
      <w:r w:rsidR="00253D64">
        <w:rPr>
          <w:rFonts w:eastAsia="Times New Roman"/>
          <w:szCs w:val="24"/>
        </w:rPr>
        <w:t xml:space="preserve">in </w:t>
      </w:r>
      <w:r>
        <w:rPr>
          <w:rFonts w:eastAsia="Times New Roman"/>
          <w:szCs w:val="24"/>
        </w:rPr>
        <w:t>indoor and outdoor</w:t>
      </w:r>
      <w:r w:rsidR="00253D64">
        <w:rPr>
          <w:rFonts w:eastAsia="Times New Roman"/>
          <w:szCs w:val="24"/>
        </w:rPr>
        <w:t xml:space="preserve"> teaching.</w:t>
      </w:r>
    </w:p>
    <w:p w:rsidR="00D767FA" w:rsidRPr="003B6FB5" w:rsidRDefault="00253D64" w:rsidP="003B6FB5">
      <w:pPr>
        <w:autoSpaceDE w:val="0"/>
        <w:autoSpaceDN w:val="0"/>
        <w:adjustRightInd w:val="0"/>
        <w:ind w:firstLine="709"/>
        <w:rPr>
          <w:rFonts w:eastAsia="Times New Roman"/>
          <w:szCs w:val="24"/>
        </w:rPr>
      </w:pPr>
      <w:r>
        <w:rPr>
          <w:rFonts w:eastAsia="Times New Roman"/>
          <w:szCs w:val="24"/>
        </w:rPr>
        <w:t xml:space="preserve">Interactive </w:t>
      </w:r>
      <w:proofErr w:type="spellStart"/>
      <w:r>
        <w:rPr>
          <w:rFonts w:eastAsia="Times New Roman"/>
          <w:szCs w:val="24"/>
        </w:rPr>
        <w:t>multimedial</w:t>
      </w:r>
      <w:proofErr w:type="spellEnd"/>
      <w:r>
        <w:rPr>
          <w:rFonts w:eastAsia="Times New Roman"/>
          <w:szCs w:val="24"/>
        </w:rPr>
        <w:t xml:space="preserve"> applications are usually created in the form of: interactive tutorials, practice and self-evaluation </w:t>
      </w:r>
      <w:proofErr w:type="spellStart"/>
      <w:r>
        <w:rPr>
          <w:rFonts w:eastAsia="Times New Roman"/>
          <w:szCs w:val="24"/>
        </w:rPr>
        <w:t>programmes</w:t>
      </w:r>
      <w:proofErr w:type="spellEnd"/>
      <w:r>
        <w:rPr>
          <w:rFonts w:eastAsia="Times New Roman"/>
          <w:szCs w:val="24"/>
        </w:rPr>
        <w:t>, simulations, instructive games, e-textbooks or e-textbook supplements, textbook sets, etc. Besides the educational advantages, such as providing a motivating and creative learning climate, there is better student focus and attention</w:t>
      </w:r>
      <w:r w:rsidR="00DF6BFB">
        <w:t xml:space="preserve"> (</w:t>
      </w:r>
      <w:proofErr w:type="spellStart"/>
      <w:r w:rsidR="00DF6BFB">
        <w:t>Ristić</w:t>
      </w:r>
      <w:proofErr w:type="spellEnd"/>
      <w:r w:rsidR="00DF6BFB">
        <w:t xml:space="preserve"> </w:t>
      </w:r>
      <w:r>
        <w:t>and</w:t>
      </w:r>
      <w:r w:rsidR="00DF6BFB">
        <w:t xml:space="preserve"> </w:t>
      </w:r>
      <w:proofErr w:type="spellStart"/>
      <w:r w:rsidR="00DF6BFB">
        <w:t>Mandić</w:t>
      </w:r>
      <w:proofErr w:type="spellEnd"/>
      <w:r w:rsidR="00DF6BFB">
        <w:t>, 2017</w:t>
      </w:r>
      <w:r>
        <w:t>). The other advantages include availability, easier entering of changes and lower distribution expenses</w:t>
      </w:r>
      <w:r w:rsidR="00D767FA">
        <w:rPr>
          <w:rFonts w:eastAsia="Times New Roman"/>
          <w:szCs w:val="24"/>
        </w:rPr>
        <w:t xml:space="preserve"> (</w:t>
      </w:r>
      <w:proofErr w:type="spellStart"/>
      <w:r w:rsidR="00D767FA">
        <w:rPr>
          <w:rFonts w:eastAsia="Times New Roman"/>
          <w:szCs w:val="24"/>
        </w:rPr>
        <w:t>Stoković</w:t>
      </w:r>
      <w:proofErr w:type="spellEnd"/>
      <w:r w:rsidR="00D767FA">
        <w:rPr>
          <w:rFonts w:eastAsia="Times New Roman"/>
          <w:szCs w:val="24"/>
        </w:rPr>
        <w:t xml:space="preserve"> </w:t>
      </w:r>
      <w:r>
        <w:rPr>
          <w:rFonts w:eastAsia="Times New Roman"/>
          <w:szCs w:val="24"/>
        </w:rPr>
        <w:t>and</w:t>
      </w:r>
      <w:r w:rsidR="00D767FA">
        <w:rPr>
          <w:rFonts w:eastAsia="Times New Roman"/>
          <w:szCs w:val="24"/>
        </w:rPr>
        <w:t xml:space="preserve"> </w:t>
      </w:r>
      <w:proofErr w:type="spellStart"/>
      <w:r w:rsidR="00D767FA">
        <w:rPr>
          <w:rFonts w:eastAsia="Times New Roman"/>
          <w:szCs w:val="24"/>
        </w:rPr>
        <w:t>Ristić</w:t>
      </w:r>
      <w:proofErr w:type="spellEnd"/>
      <w:r w:rsidR="00D767FA">
        <w:rPr>
          <w:rFonts w:eastAsia="Times New Roman"/>
          <w:szCs w:val="24"/>
        </w:rPr>
        <w:t>, 2016)</w:t>
      </w:r>
      <w:r w:rsidR="00D767FA" w:rsidRPr="00D3629E">
        <w:rPr>
          <w:rFonts w:eastAsia="Times New Roman"/>
          <w:szCs w:val="24"/>
        </w:rPr>
        <w:t xml:space="preserve">. </w:t>
      </w:r>
      <w:r>
        <w:rPr>
          <w:rFonts w:eastAsia="Times New Roman"/>
          <w:szCs w:val="24"/>
        </w:rPr>
        <w:t>The applications for mobile learning in blended teaching supported by web tools provide new and more exciting modes of interaction between teachers and students and, by expanding the learning and communication processes out of the classroom, they supplement lessons, and support an exchange of experiences and the latest information</w:t>
      </w:r>
      <w:r w:rsidR="00D767FA" w:rsidRPr="00D3629E">
        <w:t xml:space="preserve"> (</w:t>
      </w:r>
      <w:proofErr w:type="spellStart"/>
      <w:r w:rsidR="00D767FA" w:rsidRPr="00D3629E">
        <w:t>Köse</w:t>
      </w:r>
      <w:proofErr w:type="spellEnd"/>
      <w:r w:rsidR="00D767FA" w:rsidRPr="00D3629E">
        <w:t>, 2010).</w:t>
      </w:r>
    </w:p>
    <w:p w:rsidR="003B6FB5" w:rsidRDefault="003B6FB5" w:rsidP="00D767FA">
      <w:pPr>
        <w:autoSpaceDE w:val="0"/>
        <w:autoSpaceDN w:val="0"/>
        <w:adjustRightInd w:val="0"/>
        <w:ind w:firstLine="709"/>
      </w:pPr>
      <w:r>
        <w:t>There is a great number of web communities for the exchange of learning objects and digital teaching materials, which are based on teachers’ and individuals’ initiative; however, there is no institutional form of support in the form of spec</w:t>
      </w:r>
      <w:r w:rsidR="00E465F8">
        <w:t>i</w:t>
      </w:r>
      <w:r>
        <w:t xml:space="preserve">ally designated web portals that support mobile learning. </w:t>
      </w:r>
    </w:p>
    <w:p w:rsidR="003B6FB5" w:rsidRDefault="003B6FB5" w:rsidP="003B6FB5">
      <w:pPr>
        <w:autoSpaceDE w:val="0"/>
        <w:autoSpaceDN w:val="0"/>
        <w:adjustRightInd w:val="0"/>
        <w:ind w:firstLine="709"/>
        <w:rPr>
          <w:szCs w:val="24"/>
        </w:rPr>
      </w:pPr>
      <w:r>
        <w:rPr>
          <w:szCs w:val="24"/>
        </w:rPr>
        <w:t>The findings of the studies about the use of ICT in the schools in Serbia</w:t>
      </w:r>
      <w:r w:rsidR="00D767FA" w:rsidRPr="00D3629E">
        <w:rPr>
          <w:szCs w:val="24"/>
        </w:rPr>
        <w:t xml:space="preserve"> (</w:t>
      </w:r>
      <w:proofErr w:type="spellStart"/>
      <w:r w:rsidR="00D767FA">
        <w:rPr>
          <w:szCs w:val="24"/>
        </w:rPr>
        <w:t>Džigurski</w:t>
      </w:r>
      <w:proofErr w:type="spellEnd"/>
      <w:r w:rsidR="00D767FA">
        <w:rPr>
          <w:szCs w:val="24"/>
        </w:rPr>
        <w:t xml:space="preserve"> </w:t>
      </w:r>
      <w:r>
        <w:rPr>
          <w:szCs w:val="24"/>
        </w:rPr>
        <w:t>et al.,</w:t>
      </w:r>
      <w:r w:rsidR="00DF6BFB">
        <w:rPr>
          <w:szCs w:val="24"/>
        </w:rPr>
        <w:t xml:space="preserve"> 2013. </w:t>
      </w:r>
      <w:r>
        <w:rPr>
          <w:szCs w:val="24"/>
        </w:rPr>
        <w:t>pp</w:t>
      </w:r>
      <w:r w:rsidR="00DF6BFB">
        <w:rPr>
          <w:szCs w:val="24"/>
        </w:rPr>
        <w:t>.</w:t>
      </w:r>
      <w:r w:rsidR="00D767FA" w:rsidRPr="00D3629E">
        <w:rPr>
          <w:szCs w:val="24"/>
        </w:rPr>
        <w:t xml:space="preserve"> 23, 24) </w:t>
      </w:r>
      <w:r>
        <w:rPr>
          <w:szCs w:val="24"/>
        </w:rPr>
        <w:t xml:space="preserve">show that the </w:t>
      </w:r>
      <w:r w:rsidRPr="003B6FB5">
        <w:rPr>
          <w:i/>
          <w:szCs w:val="24"/>
        </w:rPr>
        <w:t>Use and creation of digital teaching materials</w:t>
      </w:r>
      <w:r>
        <w:rPr>
          <w:szCs w:val="24"/>
        </w:rPr>
        <w:t xml:space="preserve"> in Serbia depends exclusively on the digital competencies and enthusiasm of individuals (who achieve notable results), and the English language knowledge as a precondition for the access to a wide range of contents and web tools on international websites. The existing scarce teaching materials in the Serbian language are insufficiently promoted and used. The most applied resources in the process of lesson preparation and class instruction are standard MS office package </w:t>
      </w:r>
      <w:proofErr w:type="spellStart"/>
      <w:r>
        <w:rPr>
          <w:szCs w:val="24"/>
        </w:rPr>
        <w:t>programmes</w:t>
      </w:r>
      <w:proofErr w:type="spellEnd"/>
      <w:r>
        <w:rPr>
          <w:szCs w:val="24"/>
        </w:rPr>
        <w:t xml:space="preserve">. Apart from that, the findings of this study indicate that students themselves are not well informed about the possibilities for gaining competencies by means of digital technologies. It is clear that there is no strategic or systematic approach to the integration of digital technologies in the education system.  </w:t>
      </w:r>
    </w:p>
    <w:p w:rsidR="00D767FA" w:rsidRDefault="003B6FB5" w:rsidP="00EC3E45">
      <w:pPr>
        <w:rPr>
          <w:szCs w:val="24"/>
        </w:rPr>
      </w:pPr>
      <w:r>
        <w:rPr>
          <w:szCs w:val="24"/>
        </w:rPr>
        <w:lastRenderedPageBreak/>
        <w:t xml:space="preserve">However, what encourages us is the fact that </w:t>
      </w:r>
      <w:r w:rsidR="00EC3E45">
        <w:rPr>
          <w:szCs w:val="24"/>
        </w:rPr>
        <w:t>a great number of free web tools is available to teachers and students</w:t>
      </w:r>
      <w:r w:rsidR="00D767FA">
        <w:rPr>
          <w:szCs w:val="24"/>
        </w:rPr>
        <w:t xml:space="preserve"> (</w:t>
      </w:r>
      <w:proofErr w:type="spellStart"/>
      <w:r w:rsidR="00D767FA" w:rsidRPr="00D3629E">
        <w:t>Köse</w:t>
      </w:r>
      <w:proofErr w:type="spellEnd"/>
      <w:r w:rsidR="00D767FA" w:rsidRPr="00D3629E">
        <w:t>, 2010</w:t>
      </w:r>
      <w:r w:rsidR="00D767FA">
        <w:t xml:space="preserve">; </w:t>
      </w:r>
      <w:proofErr w:type="spellStart"/>
      <w:r w:rsidR="00D767FA">
        <w:t>Vujović</w:t>
      </w:r>
      <w:proofErr w:type="spellEnd"/>
      <w:r w:rsidR="00D767FA">
        <w:t xml:space="preserve"> </w:t>
      </w:r>
      <w:r w:rsidR="00EC3E45">
        <w:t>and</w:t>
      </w:r>
      <w:r w:rsidR="00D767FA">
        <w:t xml:space="preserve"> </w:t>
      </w:r>
      <w:proofErr w:type="spellStart"/>
      <w:r w:rsidR="00D767FA">
        <w:t>Ristić</w:t>
      </w:r>
      <w:proofErr w:type="spellEnd"/>
      <w:r w:rsidR="00D767FA">
        <w:t>, 2015)</w:t>
      </w:r>
      <w:r w:rsidR="00EC3E45">
        <w:t>,</w:t>
      </w:r>
      <w:r w:rsidR="00D767FA">
        <w:rPr>
          <w:szCs w:val="24"/>
        </w:rPr>
        <w:t xml:space="preserve"> </w:t>
      </w:r>
      <w:r w:rsidR="00EC3E45">
        <w:rPr>
          <w:szCs w:val="24"/>
        </w:rPr>
        <w:t>as well as mobile applications</w:t>
      </w:r>
      <w:r w:rsidR="005D5433">
        <w:rPr>
          <w:szCs w:val="24"/>
        </w:rPr>
        <w:t xml:space="preserve"> (</w:t>
      </w:r>
      <w:proofErr w:type="spellStart"/>
      <w:r w:rsidR="005D5433">
        <w:rPr>
          <w:szCs w:val="24"/>
        </w:rPr>
        <w:t>Ristić</w:t>
      </w:r>
      <w:proofErr w:type="spellEnd"/>
      <w:r w:rsidR="005D5433">
        <w:rPr>
          <w:szCs w:val="24"/>
        </w:rPr>
        <w:t xml:space="preserve"> </w:t>
      </w:r>
      <w:r w:rsidR="00EC3E45">
        <w:rPr>
          <w:szCs w:val="24"/>
        </w:rPr>
        <w:t>and</w:t>
      </w:r>
      <w:r w:rsidR="005D5433">
        <w:rPr>
          <w:szCs w:val="24"/>
        </w:rPr>
        <w:t xml:space="preserve"> </w:t>
      </w:r>
      <w:proofErr w:type="spellStart"/>
      <w:r w:rsidR="005D5433">
        <w:rPr>
          <w:szCs w:val="24"/>
        </w:rPr>
        <w:t>Blagdanić</w:t>
      </w:r>
      <w:proofErr w:type="spellEnd"/>
      <w:r w:rsidR="005D5433">
        <w:rPr>
          <w:szCs w:val="24"/>
        </w:rPr>
        <w:t>, 2017)</w:t>
      </w:r>
      <w:r w:rsidR="00EC3E45">
        <w:rPr>
          <w:szCs w:val="24"/>
        </w:rPr>
        <w:t>,</w:t>
      </w:r>
      <w:r w:rsidR="005D5433">
        <w:rPr>
          <w:szCs w:val="24"/>
        </w:rPr>
        <w:t xml:space="preserve"> </w:t>
      </w:r>
      <w:r w:rsidR="00EC3E45">
        <w:rPr>
          <w:szCs w:val="24"/>
        </w:rPr>
        <w:t xml:space="preserve">which are simple to use (by both teachers and students) and which can be successfully applied in the mobile learning teaching environment. An important data from March 2018 is the download availability over 3.6 million applications on the digital distribution platform for Android applications, known as the Google Play store. The first place (among thirteen), in terms of application popularity, belongs to gaming mobile applications </w:t>
      </w:r>
      <w:r w:rsidR="00D767FA" w:rsidRPr="006432BD">
        <w:rPr>
          <w:szCs w:val="24"/>
        </w:rPr>
        <w:t>(2</w:t>
      </w:r>
      <w:r w:rsidR="00D767FA">
        <w:rPr>
          <w:szCs w:val="24"/>
        </w:rPr>
        <w:t>4.93%</w:t>
      </w:r>
      <w:r w:rsidR="00D767FA" w:rsidRPr="006432BD">
        <w:rPr>
          <w:szCs w:val="24"/>
        </w:rPr>
        <w:t xml:space="preserve">). </w:t>
      </w:r>
      <w:r w:rsidR="00EC3E45">
        <w:rPr>
          <w:szCs w:val="24"/>
        </w:rPr>
        <w:t xml:space="preserve">These are followed by business applications (9%), while educational applications hold the third place with 8.49% </w:t>
      </w:r>
      <w:r w:rsidR="00D767FA">
        <w:rPr>
          <w:szCs w:val="24"/>
        </w:rPr>
        <w:t>(</w:t>
      </w:r>
      <w:proofErr w:type="spellStart"/>
      <w:r w:rsidR="00D767FA">
        <w:rPr>
          <w:szCs w:val="24"/>
        </w:rPr>
        <w:t>Statista</w:t>
      </w:r>
      <w:proofErr w:type="spellEnd"/>
      <w:r w:rsidR="00D767FA">
        <w:rPr>
          <w:szCs w:val="24"/>
        </w:rPr>
        <w:t>, 2018).</w:t>
      </w:r>
    </w:p>
    <w:p w:rsidR="00D767FA" w:rsidRDefault="00D767FA" w:rsidP="00D767FA">
      <w:pPr>
        <w:autoSpaceDE w:val="0"/>
        <w:autoSpaceDN w:val="0"/>
        <w:adjustRightInd w:val="0"/>
        <w:ind w:firstLine="709"/>
        <w:rPr>
          <w:b/>
          <w:i/>
          <w:szCs w:val="24"/>
        </w:rPr>
      </w:pPr>
    </w:p>
    <w:p w:rsidR="00D767FA" w:rsidRDefault="00410B93" w:rsidP="00D767FA">
      <w:pPr>
        <w:autoSpaceDE w:val="0"/>
        <w:autoSpaceDN w:val="0"/>
        <w:adjustRightInd w:val="0"/>
        <w:ind w:firstLine="709"/>
        <w:rPr>
          <w:i/>
          <w:szCs w:val="24"/>
        </w:rPr>
      </w:pPr>
      <w:r>
        <w:rPr>
          <w:i/>
          <w:szCs w:val="24"/>
        </w:rPr>
        <w:t>Criterion</w:t>
      </w:r>
      <w:r w:rsidR="00D767FA" w:rsidRPr="00846435">
        <w:rPr>
          <w:i/>
          <w:szCs w:val="24"/>
        </w:rPr>
        <w:t xml:space="preserve"> 4 </w:t>
      </w:r>
      <w:r>
        <w:rPr>
          <w:i/>
          <w:szCs w:val="24"/>
        </w:rPr>
        <w:t>–</w:t>
      </w:r>
      <w:r w:rsidR="00D767FA" w:rsidRPr="00846435">
        <w:rPr>
          <w:i/>
          <w:szCs w:val="24"/>
        </w:rPr>
        <w:t xml:space="preserve"> </w:t>
      </w:r>
      <w:r>
        <w:rPr>
          <w:i/>
          <w:szCs w:val="24"/>
        </w:rPr>
        <w:t xml:space="preserve">Readiness of the society to support changes necessary for the use of m-learning in the education system </w:t>
      </w:r>
    </w:p>
    <w:p w:rsidR="00305705" w:rsidRDefault="00410B93" w:rsidP="003B6117">
      <w:pPr>
        <w:autoSpaceDE w:val="0"/>
        <w:autoSpaceDN w:val="0"/>
        <w:adjustRightInd w:val="0"/>
        <w:ind w:firstLine="709"/>
        <w:rPr>
          <w:szCs w:val="24"/>
        </w:rPr>
      </w:pPr>
      <w:r>
        <w:rPr>
          <w:szCs w:val="24"/>
        </w:rPr>
        <w:t xml:space="preserve">Jobs </w:t>
      </w:r>
      <w:r w:rsidR="005A2FDD">
        <w:rPr>
          <w:szCs w:val="24"/>
        </w:rPr>
        <w:t>that</w:t>
      </w:r>
      <w:r>
        <w:rPr>
          <w:szCs w:val="24"/>
        </w:rPr>
        <w:t xml:space="preserve"> are partly connected with the use and development of ICT in the education system on the national level in </w:t>
      </w:r>
      <w:r w:rsidR="005A2FDD">
        <w:rPr>
          <w:szCs w:val="24"/>
        </w:rPr>
        <w:t>RS</w:t>
      </w:r>
      <w:r>
        <w:rPr>
          <w:szCs w:val="24"/>
        </w:rPr>
        <w:t xml:space="preserve"> are </w:t>
      </w:r>
      <w:r w:rsidR="005A2FDD">
        <w:rPr>
          <w:szCs w:val="24"/>
        </w:rPr>
        <w:t>the responsibility of</w:t>
      </w:r>
      <w:r>
        <w:rPr>
          <w:szCs w:val="24"/>
        </w:rPr>
        <w:t xml:space="preserve"> </w:t>
      </w:r>
      <w:r w:rsidR="005A2FDD">
        <w:rPr>
          <w:szCs w:val="24"/>
        </w:rPr>
        <w:t>comp</w:t>
      </w:r>
      <w:r w:rsidR="003B6117">
        <w:rPr>
          <w:szCs w:val="24"/>
        </w:rPr>
        <w:t>etent institutions, in accordanc</w:t>
      </w:r>
      <w:r w:rsidR="005A2FDD">
        <w:rPr>
          <w:szCs w:val="24"/>
        </w:rPr>
        <w:t>e with their areas of competence and capacities</w:t>
      </w:r>
      <w:r w:rsidR="00507D28">
        <w:rPr>
          <w:rStyle w:val="FootnoteReference"/>
          <w:szCs w:val="24"/>
        </w:rPr>
        <w:footnoteReference w:id="19"/>
      </w:r>
      <w:r w:rsidR="00507D28">
        <w:rPr>
          <w:szCs w:val="24"/>
        </w:rPr>
        <w:t>.</w:t>
      </w:r>
    </w:p>
    <w:p w:rsidR="000531A8" w:rsidRPr="0059588C" w:rsidRDefault="0059588C" w:rsidP="0059588C">
      <w:pPr>
        <w:autoSpaceDE w:val="0"/>
        <w:autoSpaceDN w:val="0"/>
        <w:adjustRightInd w:val="0"/>
        <w:ind w:firstLine="709"/>
        <w:rPr>
          <w:color w:val="000000"/>
        </w:rPr>
      </w:pPr>
      <w:r>
        <w:rPr>
          <w:color w:val="000000"/>
        </w:rPr>
        <w:t xml:space="preserve">Based on the analysis of the current status conducted by means of interviews with the representatives of all the stated institutions, the study of </w:t>
      </w:r>
      <w:proofErr w:type="spellStart"/>
      <w:r>
        <w:rPr>
          <w:color w:val="000000"/>
        </w:rPr>
        <w:t>Džigurski</w:t>
      </w:r>
      <w:proofErr w:type="spellEnd"/>
      <w:r>
        <w:rPr>
          <w:color w:val="000000"/>
        </w:rPr>
        <w:t xml:space="preserve"> and associates shows that each institution is highly interested in supporting the development of ICT in the area of education, according to its capacities, and that in the recent period it has invested most in the development of infrastructure through </w:t>
      </w:r>
      <w:proofErr w:type="spellStart"/>
      <w:r>
        <w:rPr>
          <w:color w:val="000000"/>
        </w:rPr>
        <w:t>varius</w:t>
      </w:r>
      <w:proofErr w:type="spellEnd"/>
      <w:r>
        <w:rPr>
          <w:color w:val="000000"/>
        </w:rPr>
        <w:t xml:space="preserve"> projects</w:t>
      </w:r>
      <w:r w:rsidR="002830A1">
        <w:rPr>
          <w:color w:val="000000"/>
        </w:rPr>
        <w:t xml:space="preserve"> </w:t>
      </w:r>
      <w:r w:rsidR="00D767FA">
        <w:rPr>
          <w:color w:val="000000"/>
        </w:rPr>
        <w:t>(</w:t>
      </w:r>
      <w:proofErr w:type="spellStart"/>
      <w:r w:rsidR="00D767FA">
        <w:rPr>
          <w:color w:val="000000"/>
        </w:rPr>
        <w:t>Džigurski</w:t>
      </w:r>
      <w:proofErr w:type="spellEnd"/>
      <w:r w:rsidR="00D767FA">
        <w:rPr>
          <w:color w:val="000000"/>
        </w:rPr>
        <w:t xml:space="preserve"> </w:t>
      </w:r>
      <w:r>
        <w:rPr>
          <w:color w:val="000000"/>
        </w:rPr>
        <w:t>et al</w:t>
      </w:r>
      <w:r w:rsidR="00D767FA">
        <w:rPr>
          <w:color w:val="000000"/>
        </w:rPr>
        <w:t>. 2013: 29,</w:t>
      </w:r>
      <w:r>
        <w:rPr>
          <w:color w:val="000000"/>
        </w:rPr>
        <w:t xml:space="preserve"> </w:t>
      </w:r>
      <w:r w:rsidR="00D767FA">
        <w:rPr>
          <w:color w:val="000000"/>
        </w:rPr>
        <w:t>30).</w:t>
      </w:r>
      <w:r w:rsidR="000531A8">
        <w:rPr>
          <w:color w:val="000000"/>
        </w:rPr>
        <w:t xml:space="preserve"> </w:t>
      </w:r>
    </w:p>
    <w:p w:rsidR="0059588C" w:rsidRDefault="00F93CF4" w:rsidP="000531A8">
      <w:pPr>
        <w:rPr>
          <w:color w:val="000000"/>
        </w:rPr>
      </w:pPr>
      <w:r>
        <w:rPr>
          <w:color w:val="000000"/>
        </w:rPr>
        <w:t>What is necessary i</w:t>
      </w:r>
      <w:r w:rsidR="0059588C">
        <w:rPr>
          <w:color w:val="000000"/>
        </w:rPr>
        <w:t>n order for significant changes to happen in terms of the improvement of the education system fo</w:t>
      </w:r>
      <w:r>
        <w:rPr>
          <w:color w:val="000000"/>
        </w:rPr>
        <w:t xml:space="preserve">r the use of ICT and m-learning is not just normative regulations and compliance with the European space standards, but also a systematic and critical approach which enables changes in the structure, organization and management of educational institutions. </w:t>
      </w:r>
    </w:p>
    <w:p w:rsidR="00562627" w:rsidRPr="00562627" w:rsidRDefault="00562627" w:rsidP="00562627"/>
    <w:p w:rsidR="003A0042" w:rsidRPr="009F1A3B" w:rsidRDefault="00021FEA" w:rsidP="00AE4F1D">
      <w:pPr>
        <w:ind w:firstLine="0"/>
        <w:jc w:val="center"/>
        <w:outlineLvl w:val="0"/>
        <w:rPr>
          <w:b/>
        </w:rPr>
      </w:pPr>
      <w:r>
        <w:rPr>
          <w:b/>
        </w:rPr>
        <w:t>Conclusion</w:t>
      </w:r>
    </w:p>
    <w:p w:rsidR="00021FEA" w:rsidRDefault="00021FEA" w:rsidP="009C04A8">
      <w:r>
        <w:t xml:space="preserve">The findings show that there are potentials (with the criterion of connectivity being met) for the use of mobile devices, that is, mobile applications as modern, learner- and </w:t>
      </w:r>
      <w:r>
        <w:lastRenderedPageBreak/>
        <w:t xml:space="preserve">student-friendly teaching resources. Learners, students and employees at schools and faculties are enabled to use wireless internet free of charge (AMRES, 2018). </w:t>
      </w:r>
    </w:p>
    <w:p w:rsidR="00021FEA" w:rsidRDefault="00021FEA" w:rsidP="001966CA">
      <w:r>
        <w:t xml:space="preserve">The </w:t>
      </w:r>
      <w:proofErr w:type="spellStart"/>
      <w:r>
        <w:t>fulfilment</w:t>
      </w:r>
      <w:proofErr w:type="spellEnd"/>
      <w:r>
        <w:t xml:space="preserve"> of this criterion is a necessary, but not sufficient precondition for mobile learning. </w:t>
      </w:r>
      <w:r w:rsidR="003F1F8F">
        <w:t xml:space="preserve">Advanced digital competencies are crucial. Future teachers and professional associates should not only be trained for the administrative use of ICT, but they should also be directed towards their advanced application in the teaching process. The analysis of the contents of the study </w:t>
      </w:r>
      <w:proofErr w:type="spellStart"/>
      <w:r w:rsidR="003F1F8F">
        <w:t>programmes</w:t>
      </w:r>
      <w:proofErr w:type="spellEnd"/>
      <w:r w:rsidR="003F1F8F">
        <w:t xml:space="preserve"> for initial teacher education shows that the faculties which educate primary school teachers pay a lot of attention to the use of ICT, but most students do not develop advanced digital competencies. During their initial education, future subject teachers and professional associates do not even develop the basic digital competencies for the application of digital technologies in the teaching process. There are no compulsory subjects for creating a digital teaching environment that would support achieving the teaching goals, while the number of such elective courses and students who attend them is negligible. </w:t>
      </w:r>
    </w:p>
    <w:p w:rsidR="003F1F8F" w:rsidRDefault="003F1F8F" w:rsidP="001966CA">
      <w:r>
        <w:t xml:space="preserve">The instruments that the educational policy can rely on for changing the teaching practice are not efficient, because the moment the teacher shuts the classroom door, the decision what teaching methods and interaction </w:t>
      </w:r>
      <w:r w:rsidR="00843D2C">
        <w:t xml:space="preserve">patterns they will be using is solely theirs. What is necessary is to develop a strong system of professional responsibility. The indicators of the current status in our education system are given strictly in the context of university rankings. The findings show that there is a legal framework in the country for a proper system of teachers’ further professional education in terms of developing digital competencies and mobile learning; however, it is necessary to change the way of their </w:t>
      </w:r>
      <w:proofErr w:type="spellStart"/>
      <w:r w:rsidR="00843D2C">
        <w:t>operationalization</w:t>
      </w:r>
      <w:proofErr w:type="spellEnd"/>
      <w:r w:rsidR="00843D2C">
        <w:t xml:space="preserve">, that is, to create a conceptually new catalogue of the </w:t>
      </w:r>
      <w:proofErr w:type="spellStart"/>
      <w:r w:rsidR="00843D2C">
        <w:t>programmes</w:t>
      </w:r>
      <w:proofErr w:type="spellEnd"/>
      <w:r w:rsidR="00843D2C">
        <w:t xml:space="preserve"> of further professional education, which will be based on the principles of continuous integrative professional development of teachers aimed at improving and innovating the teaching practice.   </w:t>
      </w:r>
    </w:p>
    <w:p w:rsidR="002D1706" w:rsidRDefault="002D1706" w:rsidP="009C04A8">
      <w:pPr>
        <w:rPr>
          <w:szCs w:val="24"/>
        </w:rPr>
      </w:pPr>
      <w:r>
        <w:rPr>
          <w:szCs w:val="24"/>
        </w:rPr>
        <w:t xml:space="preserve">However, what sounds encouraging and motivating in terms of improved readiness of the education system for mobile learning is the fact that teachers and students can use a large number of quality and free web tools and mobile applications which are simple to use and which, with the teachers’ efficient use, can contribute to the </w:t>
      </w:r>
      <w:proofErr w:type="spellStart"/>
      <w:r>
        <w:rPr>
          <w:szCs w:val="24"/>
        </w:rPr>
        <w:t>fulfilment</w:t>
      </w:r>
      <w:proofErr w:type="spellEnd"/>
      <w:r>
        <w:rPr>
          <w:szCs w:val="24"/>
        </w:rPr>
        <w:t xml:space="preserve"> of the teaching goals in an m-learning environment. </w:t>
      </w:r>
    </w:p>
    <w:p w:rsidR="00E465F8" w:rsidRDefault="00E465F8" w:rsidP="001966CA">
      <w:pPr>
        <w:autoSpaceDE w:val="0"/>
        <w:autoSpaceDN w:val="0"/>
        <w:adjustRightInd w:val="0"/>
        <w:ind w:firstLine="709"/>
        <w:rPr>
          <w:szCs w:val="24"/>
        </w:rPr>
      </w:pPr>
      <w:r>
        <w:rPr>
          <w:szCs w:val="24"/>
        </w:rPr>
        <w:t xml:space="preserve">A more serious improvement of mobile learning in our education system can be expected based on: raising the level of the digital competencies of teachers and professional associates through the implementation of new and innovating the existing teaching subjects at faculties which educate future primary school teachers and subject teachers, as well as constant improvement and innovation of the system of further professional development </w:t>
      </w:r>
      <w:r>
        <w:rPr>
          <w:szCs w:val="24"/>
        </w:rPr>
        <w:lastRenderedPageBreak/>
        <w:t xml:space="preserve">practice; a systematic approach and strategic planning during the integration of mobile learning; institutionalized support in the form of specially designated web portals that support mobile learning; promoting the concept of mobile learning and affirmative attitudes towards ICT and professional responsibility in the education system and the society as a whole, and greater investment in sustainable progress </w:t>
      </w:r>
      <w:r w:rsidR="00890D2D">
        <w:rPr>
          <w:szCs w:val="24"/>
        </w:rPr>
        <w:t>referring to</w:t>
      </w:r>
      <w:r>
        <w:rPr>
          <w:szCs w:val="24"/>
        </w:rPr>
        <w:t xml:space="preserve"> the quality and fairness of education. </w:t>
      </w:r>
    </w:p>
    <w:p w:rsidR="001966CA" w:rsidRDefault="001966CA" w:rsidP="001966CA">
      <w:pPr>
        <w:autoSpaceDE w:val="0"/>
        <w:autoSpaceDN w:val="0"/>
        <w:adjustRightInd w:val="0"/>
        <w:ind w:firstLine="709"/>
      </w:pPr>
    </w:p>
    <w:p w:rsidR="009225C7" w:rsidRPr="009225C7" w:rsidRDefault="009225C7" w:rsidP="001966CA">
      <w:pPr>
        <w:autoSpaceDE w:val="0"/>
        <w:autoSpaceDN w:val="0"/>
        <w:adjustRightInd w:val="0"/>
        <w:ind w:firstLine="709"/>
      </w:pPr>
    </w:p>
    <w:p w:rsidR="00D7333B" w:rsidRPr="0037474C" w:rsidRDefault="00D7333B" w:rsidP="00D7333B">
      <w:pPr>
        <w:pStyle w:val="Normal1"/>
        <w:ind w:firstLine="0"/>
        <w:jc w:val="both"/>
        <w:rPr>
          <w:b/>
          <w:color w:val="auto"/>
          <w:sz w:val="22"/>
        </w:rPr>
      </w:pPr>
      <w:r w:rsidRPr="0037474C">
        <w:rPr>
          <w:b/>
          <w:color w:val="auto"/>
          <w:sz w:val="22"/>
        </w:rPr>
        <w:t xml:space="preserve">REFERENCES </w:t>
      </w:r>
    </w:p>
    <w:p w:rsidR="00D7333B" w:rsidRDefault="00D7333B" w:rsidP="00D7333B">
      <w:pPr>
        <w:pStyle w:val="Normal1"/>
        <w:ind w:left="720" w:hanging="720"/>
        <w:contextualSpacing/>
        <w:jc w:val="both"/>
        <w:rPr>
          <w:color w:val="auto"/>
          <w:sz w:val="22"/>
          <w:lang w:val="sr-Latn-CS"/>
        </w:rPr>
      </w:pPr>
    </w:p>
    <w:p w:rsidR="00D57DB5" w:rsidRPr="0037474C" w:rsidRDefault="00D57DB5" w:rsidP="00D57DB5">
      <w:pPr>
        <w:pStyle w:val="Normal1"/>
        <w:ind w:left="720" w:hanging="720"/>
        <w:contextualSpacing/>
        <w:jc w:val="both"/>
        <w:rPr>
          <w:color w:val="auto"/>
          <w:sz w:val="22"/>
        </w:rPr>
      </w:pPr>
      <w:r w:rsidRPr="0037474C">
        <w:rPr>
          <w:color w:val="auto"/>
          <w:sz w:val="22"/>
          <w:lang w:val="sr-Latn-CS"/>
        </w:rPr>
        <w:t xml:space="preserve">AMRES (2018). </w:t>
      </w:r>
      <w:r w:rsidRPr="0037474C">
        <w:rPr>
          <w:i/>
          <w:color w:val="auto"/>
          <w:sz w:val="22"/>
          <w:lang w:val="sr-Latn-CS"/>
        </w:rPr>
        <w:t>More than 1500 schools on the AMRES network</w:t>
      </w:r>
      <w:r w:rsidRPr="0037474C">
        <w:rPr>
          <w:color w:val="auto"/>
          <w:sz w:val="22"/>
          <w:lang w:val="sr-Latn-CS"/>
        </w:rPr>
        <w:t>.</w:t>
      </w:r>
      <w:r>
        <w:rPr>
          <w:color w:val="auto"/>
          <w:sz w:val="22"/>
          <w:lang w:val="sr-Cyrl-CS"/>
        </w:rPr>
        <w:t xml:space="preserve"> Retreived </w:t>
      </w:r>
      <w:r w:rsidRPr="0037474C">
        <w:rPr>
          <w:color w:val="auto"/>
          <w:sz w:val="22"/>
          <w:lang w:val="sr-Cyrl-CS"/>
        </w:rPr>
        <w:t>from: https://www.amres.ac.rs/cp/vise-od-1500-skola-na-amres-mrezi</w:t>
      </w:r>
      <w:r w:rsidRPr="0037474C">
        <w:rPr>
          <w:color w:val="auto"/>
          <w:sz w:val="22"/>
        </w:rPr>
        <w:t xml:space="preserve"> [In Serbian]</w:t>
      </w:r>
    </w:p>
    <w:p w:rsidR="00D57DB5" w:rsidRPr="00CA5701" w:rsidRDefault="00D57DB5" w:rsidP="00D57DB5">
      <w:pPr>
        <w:pStyle w:val="Normal1"/>
        <w:ind w:left="720" w:hanging="720"/>
        <w:jc w:val="both"/>
        <w:rPr>
          <w:color w:val="auto"/>
          <w:sz w:val="22"/>
          <w:szCs w:val="22"/>
        </w:rPr>
      </w:pPr>
      <w:proofErr w:type="spellStart"/>
      <w:r w:rsidRPr="00CA5701">
        <w:rPr>
          <w:color w:val="auto"/>
          <w:sz w:val="22"/>
          <w:szCs w:val="22"/>
          <w:shd w:val="clear" w:color="auto" w:fill="FFFFFF"/>
        </w:rPr>
        <w:t>Avramović</w:t>
      </w:r>
      <w:proofErr w:type="spellEnd"/>
      <w:r>
        <w:rPr>
          <w:color w:val="auto"/>
          <w:sz w:val="22"/>
          <w:szCs w:val="22"/>
          <w:shd w:val="clear" w:color="auto" w:fill="FFFFFF"/>
        </w:rPr>
        <w:t>,</w:t>
      </w:r>
      <w:r w:rsidRPr="00CA5701">
        <w:rPr>
          <w:color w:val="auto"/>
          <w:sz w:val="22"/>
          <w:szCs w:val="22"/>
          <w:shd w:val="clear" w:color="auto" w:fill="FFFFFF"/>
        </w:rPr>
        <w:t xml:space="preserve">  Z. (2007). Knowledge, ignorance and faculty knowledge in school. </w:t>
      </w:r>
      <w:proofErr w:type="spellStart"/>
      <w:r w:rsidRPr="00CA5701">
        <w:rPr>
          <w:i/>
          <w:iCs/>
          <w:color w:val="auto"/>
          <w:sz w:val="22"/>
          <w:szCs w:val="22"/>
          <w:shd w:val="clear" w:color="auto" w:fill="FFFFFF"/>
        </w:rPr>
        <w:t>Zbornik</w:t>
      </w:r>
      <w:proofErr w:type="spellEnd"/>
      <w:r w:rsidRPr="00CA5701">
        <w:rPr>
          <w:i/>
          <w:iCs/>
          <w:color w:val="auto"/>
          <w:sz w:val="22"/>
          <w:szCs w:val="22"/>
          <w:shd w:val="clear" w:color="auto" w:fill="FFFFFF"/>
        </w:rPr>
        <w:t xml:space="preserve"> </w:t>
      </w:r>
      <w:proofErr w:type="spellStart"/>
      <w:r w:rsidRPr="00CA5701">
        <w:rPr>
          <w:i/>
          <w:iCs/>
          <w:color w:val="auto"/>
          <w:sz w:val="22"/>
          <w:szCs w:val="22"/>
          <w:shd w:val="clear" w:color="auto" w:fill="FFFFFF"/>
        </w:rPr>
        <w:t>Instituta</w:t>
      </w:r>
      <w:proofErr w:type="spellEnd"/>
      <w:r w:rsidRPr="00CA5701">
        <w:rPr>
          <w:i/>
          <w:iCs/>
          <w:color w:val="auto"/>
          <w:sz w:val="22"/>
          <w:szCs w:val="22"/>
          <w:shd w:val="clear" w:color="auto" w:fill="FFFFFF"/>
        </w:rPr>
        <w:t xml:space="preserve"> </w:t>
      </w:r>
      <w:proofErr w:type="spellStart"/>
      <w:r w:rsidRPr="00CA5701">
        <w:rPr>
          <w:i/>
          <w:iCs/>
          <w:color w:val="auto"/>
          <w:sz w:val="22"/>
          <w:szCs w:val="22"/>
          <w:shd w:val="clear" w:color="auto" w:fill="FFFFFF"/>
        </w:rPr>
        <w:t>za</w:t>
      </w:r>
      <w:proofErr w:type="spellEnd"/>
      <w:r w:rsidRPr="00CA5701">
        <w:rPr>
          <w:i/>
          <w:iCs/>
          <w:color w:val="auto"/>
          <w:sz w:val="22"/>
          <w:szCs w:val="22"/>
          <w:shd w:val="clear" w:color="auto" w:fill="FFFFFF"/>
        </w:rPr>
        <w:t xml:space="preserve"> </w:t>
      </w:r>
      <w:proofErr w:type="spellStart"/>
      <w:r w:rsidRPr="00CA5701">
        <w:rPr>
          <w:i/>
          <w:iCs/>
          <w:color w:val="auto"/>
          <w:sz w:val="22"/>
          <w:szCs w:val="22"/>
          <w:shd w:val="clear" w:color="auto" w:fill="FFFFFF"/>
        </w:rPr>
        <w:t>pedagoška</w:t>
      </w:r>
      <w:proofErr w:type="spellEnd"/>
      <w:r w:rsidRPr="00CA5701">
        <w:rPr>
          <w:i/>
          <w:iCs/>
          <w:color w:val="auto"/>
          <w:sz w:val="22"/>
          <w:szCs w:val="22"/>
          <w:shd w:val="clear" w:color="auto" w:fill="FFFFFF"/>
        </w:rPr>
        <w:t xml:space="preserve"> </w:t>
      </w:r>
      <w:proofErr w:type="spellStart"/>
      <w:r w:rsidRPr="00CA5701">
        <w:rPr>
          <w:i/>
          <w:iCs/>
          <w:color w:val="auto"/>
          <w:sz w:val="22"/>
          <w:szCs w:val="22"/>
          <w:shd w:val="clear" w:color="auto" w:fill="FFFFFF"/>
        </w:rPr>
        <w:t>istraživanja</w:t>
      </w:r>
      <w:proofErr w:type="spellEnd"/>
      <w:r w:rsidRPr="00CA5701">
        <w:rPr>
          <w:color w:val="auto"/>
          <w:sz w:val="22"/>
          <w:szCs w:val="22"/>
          <w:shd w:val="clear" w:color="auto" w:fill="FFFFFF"/>
        </w:rPr>
        <w:t>, </w:t>
      </w:r>
      <w:r w:rsidRPr="00CA5701">
        <w:rPr>
          <w:i/>
          <w:iCs/>
          <w:color w:val="auto"/>
          <w:sz w:val="22"/>
          <w:szCs w:val="22"/>
          <w:shd w:val="clear" w:color="auto" w:fill="FFFFFF"/>
        </w:rPr>
        <w:t>1</w:t>
      </w:r>
      <w:r w:rsidRPr="00CA5701">
        <w:rPr>
          <w:color w:val="auto"/>
          <w:sz w:val="22"/>
          <w:szCs w:val="22"/>
          <w:shd w:val="clear" w:color="auto" w:fill="FFFFFF"/>
        </w:rPr>
        <w:t>(2007), 69-85. [In Serbian]</w:t>
      </w:r>
    </w:p>
    <w:p w:rsidR="00D57DB5" w:rsidRPr="0037474C" w:rsidRDefault="00D57DB5" w:rsidP="00D57DB5">
      <w:pPr>
        <w:pStyle w:val="Normal1"/>
        <w:ind w:left="720" w:hanging="720"/>
        <w:contextualSpacing/>
        <w:jc w:val="both"/>
        <w:rPr>
          <w:color w:val="auto"/>
          <w:sz w:val="22"/>
          <w:lang w:val="sr-Cyrl-CS"/>
        </w:rPr>
      </w:pPr>
      <w:r w:rsidRPr="0037474C">
        <w:rPr>
          <w:color w:val="auto"/>
          <w:sz w:val="22"/>
          <w:lang w:val="sr-Cyrl-CS"/>
        </w:rPr>
        <w:t xml:space="preserve">Balanskat, A. (2013). </w:t>
      </w:r>
      <w:r w:rsidRPr="0037474C">
        <w:rPr>
          <w:i/>
          <w:color w:val="auto"/>
          <w:sz w:val="22"/>
          <w:lang w:val="sr-Cyrl-CS"/>
        </w:rPr>
        <w:t>Introducing tablets in schools: The Acer-European Schoolnet tablet pilot</w:t>
      </w:r>
      <w:r w:rsidRPr="0037474C">
        <w:rPr>
          <w:color w:val="auto"/>
          <w:sz w:val="22"/>
          <w:lang w:val="sr-Cyrl-CS"/>
        </w:rPr>
        <w:t xml:space="preserve">. Brussels: European Schoolnet. </w:t>
      </w:r>
    </w:p>
    <w:p w:rsidR="00D57DB5" w:rsidRPr="0037474C" w:rsidRDefault="00D57DB5" w:rsidP="00D57DB5">
      <w:pPr>
        <w:pStyle w:val="Normal1"/>
        <w:ind w:left="720" w:hanging="720"/>
        <w:jc w:val="both"/>
        <w:rPr>
          <w:color w:val="auto"/>
          <w:sz w:val="22"/>
        </w:rPr>
      </w:pPr>
      <w:proofErr w:type="spellStart"/>
      <w:r w:rsidRPr="0037474C">
        <w:rPr>
          <w:color w:val="auto"/>
          <w:sz w:val="22"/>
          <w:shd w:val="clear" w:color="auto" w:fill="FFFFFF"/>
        </w:rPr>
        <w:t>Baucal</w:t>
      </w:r>
      <w:proofErr w:type="spellEnd"/>
      <w:r w:rsidRPr="0037474C">
        <w:rPr>
          <w:color w:val="auto"/>
          <w:sz w:val="22"/>
          <w:shd w:val="clear" w:color="auto" w:fill="FFFFFF"/>
        </w:rPr>
        <w:t xml:space="preserve">, A., &amp; </w:t>
      </w:r>
      <w:proofErr w:type="spellStart"/>
      <w:r w:rsidRPr="0037474C">
        <w:rPr>
          <w:color w:val="auto"/>
          <w:sz w:val="22"/>
          <w:shd w:val="clear" w:color="auto" w:fill="FFFFFF"/>
        </w:rPr>
        <w:t>Pavlović</w:t>
      </w:r>
      <w:proofErr w:type="spellEnd"/>
      <w:r w:rsidRPr="0037474C">
        <w:rPr>
          <w:color w:val="auto"/>
          <w:sz w:val="22"/>
          <w:shd w:val="clear" w:color="auto" w:fill="FFFFFF"/>
        </w:rPr>
        <w:t xml:space="preserve"> </w:t>
      </w:r>
      <w:proofErr w:type="spellStart"/>
      <w:r w:rsidRPr="0037474C">
        <w:rPr>
          <w:color w:val="auto"/>
          <w:sz w:val="22"/>
          <w:shd w:val="clear" w:color="auto" w:fill="FFFFFF"/>
        </w:rPr>
        <w:t>Babić</w:t>
      </w:r>
      <w:proofErr w:type="spellEnd"/>
      <w:r w:rsidRPr="0037474C">
        <w:rPr>
          <w:color w:val="auto"/>
          <w:sz w:val="22"/>
          <w:shd w:val="clear" w:color="auto" w:fill="FFFFFF"/>
        </w:rPr>
        <w:t xml:space="preserve">, D. (2009). </w:t>
      </w:r>
      <w:r w:rsidRPr="0037474C">
        <w:rPr>
          <w:i/>
          <w:color w:val="auto"/>
          <w:sz w:val="22"/>
          <w:shd w:val="clear" w:color="auto" w:fill="FFFFFF"/>
        </w:rPr>
        <w:t>Quality and fairness of education in Serbia: educational opportunities for the poor. Beograd:</w:t>
      </w:r>
      <w:r w:rsidRPr="0037474C">
        <w:rPr>
          <w:color w:val="auto"/>
          <w:sz w:val="22"/>
          <w:shd w:val="clear" w:color="auto" w:fill="FFFFFF"/>
        </w:rPr>
        <w:t xml:space="preserve"> </w:t>
      </w:r>
      <w:proofErr w:type="spellStart"/>
      <w:r w:rsidRPr="0037474C">
        <w:rPr>
          <w:i/>
          <w:iCs/>
          <w:color w:val="auto"/>
          <w:sz w:val="22"/>
          <w:shd w:val="clear" w:color="auto" w:fill="FFFFFF"/>
        </w:rPr>
        <w:t>Ministarstvo</w:t>
      </w:r>
      <w:proofErr w:type="spellEnd"/>
      <w:r w:rsidRPr="0037474C">
        <w:rPr>
          <w:i/>
          <w:iCs/>
          <w:color w:val="auto"/>
          <w:sz w:val="22"/>
          <w:shd w:val="clear" w:color="auto" w:fill="FFFFFF"/>
        </w:rPr>
        <w:t xml:space="preserve"> </w:t>
      </w:r>
      <w:proofErr w:type="spellStart"/>
      <w:r w:rsidRPr="0037474C">
        <w:rPr>
          <w:i/>
          <w:iCs/>
          <w:color w:val="auto"/>
          <w:sz w:val="22"/>
          <w:shd w:val="clear" w:color="auto" w:fill="FFFFFF"/>
        </w:rPr>
        <w:t>prosvete</w:t>
      </w:r>
      <w:proofErr w:type="spellEnd"/>
      <w:r w:rsidRPr="0037474C">
        <w:rPr>
          <w:i/>
          <w:iCs/>
          <w:color w:val="auto"/>
          <w:sz w:val="22"/>
          <w:shd w:val="clear" w:color="auto" w:fill="FFFFFF"/>
        </w:rPr>
        <w:t xml:space="preserve"> </w:t>
      </w:r>
      <w:proofErr w:type="spellStart"/>
      <w:r w:rsidRPr="0037474C">
        <w:rPr>
          <w:i/>
          <w:iCs/>
          <w:color w:val="auto"/>
          <w:sz w:val="22"/>
          <w:shd w:val="clear" w:color="auto" w:fill="FFFFFF"/>
        </w:rPr>
        <w:t>Republike</w:t>
      </w:r>
      <w:proofErr w:type="spellEnd"/>
      <w:r w:rsidRPr="0037474C">
        <w:rPr>
          <w:i/>
          <w:iCs/>
          <w:color w:val="auto"/>
          <w:sz w:val="22"/>
          <w:shd w:val="clear" w:color="auto" w:fill="FFFFFF"/>
        </w:rPr>
        <w:t xml:space="preserve"> </w:t>
      </w:r>
      <w:proofErr w:type="spellStart"/>
      <w:r w:rsidRPr="0037474C">
        <w:rPr>
          <w:i/>
          <w:iCs/>
          <w:color w:val="auto"/>
          <w:sz w:val="22"/>
          <w:shd w:val="clear" w:color="auto" w:fill="FFFFFF"/>
        </w:rPr>
        <w:t>Srbije</w:t>
      </w:r>
      <w:proofErr w:type="spellEnd"/>
      <w:r w:rsidRPr="0037474C">
        <w:rPr>
          <w:i/>
          <w:iCs/>
          <w:color w:val="auto"/>
          <w:sz w:val="22"/>
          <w:shd w:val="clear" w:color="auto" w:fill="FFFFFF"/>
        </w:rPr>
        <w:t xml:space="preserve"> </w:t>
      </w:r>
      <w:proofErr w:type="spellStart"/>
      <w:r w:rsidRPr="0037474C">
        <w:rPr>
          <w:i/>
          <w:iCs/>
          <w:color w:val="auto"/>
          <w:sz w:val="22"/>
          <w:shd w:val="clear" w:color="auto" w:fill="FFFFFF"/>
        </w:rPr>
        <w:t>i</w:t>
      </w:r>
      <w:proofErr w:type="spellEnd"/>
      <w:r w:rsidRPr="0037474C">
        <w:rPr>
          <w:i/>
          <w:iCs/>
          <w:color w:val="auto"/>
          <w:sz w:val="22"/>
          <w:shd w:val="clear" w:color="auto" w:fill="FFFFFF"/>
        </w:rPr>
        <w:t xml:space="preserve"> </w:t>
      </w:r>
      <w:proofErr w:type="spellStart"/>
      <w:r w:rsidRPr="0037474C">
        <w:rPr>
          <w:i/>
          <w:iCs/>
          <w:color w:val="auto"/>
          <w:sz w:val="22"/>
          <w:shd w:val="clear" w:color="auto" w:fill="FFFFFF"/>
        </w:rPr>
        <w:t>Institut</w:t>
      </w:r>
      <w:proofErr w:type="spellEnd"/>
      <w:r w:rsidRPr="0037474C">
        <w:rPr>
          <w:i/>
          <w:iCs/>
          <w:color w:val="auto"/>
          <w:sz w:val="22"/>
          <w:shd w:val="clear" w:color="auto" w:fill="FFFFFF"/>
        </w:rPr>
        <w:t xml:space="preserve"> </w:t>
      </w:r>
      <w:proofErr w:type="spellStart"/>
      <w:r w:rsidRPr="0037474C">
        <w:rPr>
          <w:i/>
          <w:iCs/>
          <w:color w:val="auto"/>
          <w:sz w:val="22"/>
          <w:shd w:val="clear" w:color="auto" w:fill="FFFFFF"/>
        </w:rPr>
        <w:t>za</w:t>
      </w:r>
      <w:proofErr w:type="spellEnd"/>
      <w:r w:rsidRPr="0037474C">
        <w:rPr>
          <w:i/>
          <w:iCs/>
          <w:color w:val="auto"/>
          <w:sz w:val="22"/>
          <w:shd w:val="clear" w:color="auto" w:fill="FFFFFF"/>
        </w:rPr>
        <w:t xml:space="preserve"> </w:t>
      </w:r>
      <w:proofErr w:type="spellStart"/>
      <w:r w:rsidRPr="0037474C">
        <w:rPr>
          <w:i/>
          <w:iCs/>
          <w:color w:val="auto"/>
          <w:sz w:val="22"/>
          <w:shd w:val="clear" w:color="auto" w:fill="FFFFFF"/>
        </w:rPr>
        <w:t>psihologiju</w:t>
      </w:r>
      <w:proofErr w:type="spellEnd"/>
      <w:r w:rsidRPr="0037474C">
        <w:rPr>
          <w:i/>
          <w:iCs/>
          <w:color w:val="auto"/>
          <w:sz w:val="22"/>
          <w:shd w:val="clear" w:color="auto" w:fill="FFFFFF"/>
        </w:rPr>
        <w:t xml:space="preserve">. </w:t>
      </w:r>
      <w:r w:rsidRPr="0037474C">
        <w:rPr>
          <w:color w:val="auto"/>
          <w:sz w:val="22"/>
        </w:rPr>
        <w:t>[In Serbian]</w:t>
      </w:r>
    </w:p>
    <w:p w:rsidR="00D57DB5" w:rsidRPr="00CA5701" w:rsidRDefault="00D57DB5" w:rsidP="00D57DB5">
      <w:pPr>
        <w:spacing w:after="240"/>
        <w:ind w:firstLine="0"/>
        <w:rPr>
          <w:color w:val="auto"/>
          <w:sz w:val="22"/>
          <w:szCs w:val="22"/>
          <w:shd w:val="clear" w:color="auto" w:fill="FFFFFF"/>
        </w:rPr>
      </w:pPr>
      <w:proofErr w:type="spellStart"/>
      <w:r w:rsidRPr="00CA5701">
        <w:rPr>
          <w:color w:val="auto"/>
          <w:sz w:val="22"/>
          <w:szCs w:val="22"/>
          <w:shd w:val="clear" w:color="auto" w:fill="FFFFFF"/>
        </w:rPr>
        <w:t>Bazić</w:t>
      </w:r>
      <w:proofErr w:type="spellEnd"/>
      <w:r>
        <w:rPr>
          <w:color w:val="auto"/>
          <w:sz w:val="22"/>
          <w:szCs w:val="22"/>
          <w:shd w:val="clear" w:color="auto" w:fill="FFFFFF"/>
        </w:rPr>
        <w:t xml:space="preserve">, </w:t>
      </w:r>
      <w:r w:rsidRPr="00CA5701">
        <w:rPr>
          <w:color w:val="auto"/>
          <w:sz w:val="22"/>
          <w:szCs w:val="22"/>
          <w:shd w:val="clear" w:color="auto" w:fill="FFFFFF"/>
        </w:rPr>
        <w:t xml:space="preserve"> J. R. (2017). Trends in societal and educational changes generated by the fourth industrial revolution. </w:t>
      </w:r>
      <w:proofErr w:type="spellStart"/>
      <w:r w:rsidRPr="00CA5701">
        <w:rPr>
          <w:i/>
          <w:iCs/>
          <w:color w:val="auto"/>
          <w:sz w:val="22"/>
          <w:szCs w:val="22"/>
          <w:shd w:val="clear" w:color="auto" w:fill="FFFFFF"/>
        </w:rPr>
        <w:t>Socioloski</w:t>
      </w:r>
      <w:proofErr w:type="spellEnd"/>
      <w:r w:rsidRPr="00CA5701">
        <w:rPr>
          <w:i/>
          <w:iCs/>
          <w:color w:val="auto"/>
          <w:sz w:val="22"/>
          <w:szCs w:val="22"/>
          <w:shd w:val="clear" w:color="auto" w:fill="FFFFFF"/>
        </w:rPr>
        <w:t xml:space="preserve"> </w:t>
      </w:r>
      <w:proofErr w:type="spellStart"/>
      <w:r w:rsidRPr="00CA5701">
        <w:rPr>
          <w:i/>
          <w:iCs/>
          <w:color w:val="auto"/>
          <w:sz w:val="22"/>
          <w:szCs w:val="22"/>
          <w:shd w:val="clear" w:color="auto" w:fill="FFFFFF"/>
        </w:rPr>
        <w:t>Pregled</w:t>
      </w:r>
      <w:proofErr w:type="spellEnd"/>
      <w:r w:rsidRPr="00CA5701">
        <w:rPr>
          <w:color w:val="auto"/>
          <w:sz w:val="22"/>
          <w:szCs w:val="22"/>
          <w:shd w:val="clear" w:color="auto" w:fill="FFFFFF"/>
        </w:rPr>
        <w:t>, </w:t>
      </w:r>
      <w:r w:rsidRPr="00CA5701">
        <w:rPr>
          <w:i/>
          <w:iCs/>
          <w:color w:val="auto"/>
          <w:sz w:val="22"/>
          <w:szCs w:val="22"/>
          <w:shd w:val="clear" w:color="auto" w:fill="FFFFFF"/>
        </w:rPr>
        <w:t>51</w:t>
      </w:r>
      <w:r w:rsidRPr="00CA5701">
        <w:rPr>
          <w:color w:val="auto"/>
          <w:sz w:val="22"/>
          <w:szCs w:val="22"/>
          <w:shd w:val="clear" w:color="auto" w:fill="FFFFFF"/>
        </w:rPr>
        <w:t xml:space="preserve">(4). </w:t>
      </w:r>
      <w:proofErr w:type="spellStart"/>
      <w:r w:rsidRPr="006B5193">
        <w:rPr>
          <w:sz w:val="22"/>
        </w:rPr>
        <w:t>doi</w:t>
      </w:r>
      <w:proofErr w:type="spellEnd"/>
      <w:r w:rsidRPr="006B5193">
        <w:rPr>
          <w:sz w:val="22"/>
        </w:rPr>
        <w:t>: 10.5937/socpreg51-15420</w:t>
      </w:r>
      <w:r w:rsidRPr="006B5193">
        <w:rPr>
          <w:color w:val="auto"/>
          <w:sz w:val="20"/>
          <w:szCs w:val="22"/>
          <w:shd w:val="clear" w:color="auto" w:fill="FFFFFF"/>
        </w:rPr>
        <w:t xml:space="preserve"> </w:t>
      </w:r>
      <w:r w:rsidRPr="00CA5701">
        <w:rPr>
          <w:color w:val="auto"/>
          <w:sz w:val="22"/>
          <w:szCs w:val="22"/>
          <w:shd w:val="clear" w:color="auto" w:fill="FFFFFF"/>
        </w:rPr>
        <w:t>[In Serbian]</w:t>
      </w:r>
    </w:p>
    <w:p w:rsidR="00D57DB5" w:rsidRPr="00CA5701" w:rsidRDefault="00D57DB5" w:rsidP="00D57DB5">
      <w:pPr>
        <w:pStyle w:val="Normal1"/>
        <w:ind w:left="720" w:hanging="720"/>
        <w:jc w:val="both"/>
        <w:rPr>
          <w:color w:val="auto"/>
          <w:sz w:val="22"/>
          <w:szCs w:val="22"/>
          <w:shd w:val="clear" w:color="auto" w:fill="FFFFFF"/>
        </w:rPr>
      </w:pPr>
      <w:proofErr w:type="spellStart"/>
      <w:r w:rsidRPr="00CA5701">
        <w:rPr>
          <w:color w:val="auto"/>
          <w:sz w:val="22"/>
          <w:szCs w:val="22"/>
        </w:rPr>
        <w:t>B</w:t>
      </w:r>
      <w:r>
        <w:rPr>
          <w:color w:val="auto"/>
          <w:sz w:val="22"/>
          <w:szCs w:val="22"/>
          <w:shd w:val="clear" w:color="auto" w:fill="FFFFFF"/>
        </w:rPr>
        <w:t>ožić</w:t>
      </w:r>
      <w:proofErr w:type="spellEnd"/>
      <w:r>
        <w:rPr>
          <w:color w:val="auto"/>
          <w:sz w:val="22"/>
          <w:szCs w:val="22"/>
          <w:shd w:val="clear" w:color="auto" w:fill="FFFFFF"/>
        </w:rPr>
        <w:t>,</w:t>
      </w:r>
      <w:r w:rsidRPr="00CA5701">
        <w:rPr>
          <w:color w:val="auto"/>
          <w:sz w:val="22"/>
          <w:szCs w:val="22"/>
          <w:shd w:val="clear" w:color="auto" w:fill="FFFFFF"/>
        </w:rPr>
        <w:t xml:space="preserve"> S. (2014). Implications of including Internet resources in teaching processes-reality and potentials. In: </w:t>
      </w:r>
      <w:r w:rsidRPr="00CA5701">
        <w:rPr>
          <w:iCs/>
          <w:color w:val="auto"/>
          <w:sz w:val="22"/>
          <w:szCs w:val="22"/>
          <w:shd w:val="clear" w:color="auto" w:fill="FFFFFF"/>
        </w:rPr>
        <w:t xml:space="preserve">U D. </w:t>
      </w:r>
      <w:proofErr w:type="spellStart"/>
      <w:r w:rsidRPr="00CA5701">
        <w:rPr>
          <w:iCs/>
          <w:color w:val="auto"/>
          <w:sz w:val="22"/>
          <w:szCs w:val="22"/>
          <w:shd w:val="clear" w:color="auto" w:fill="FFFFFF"/>
        </w:rPr>
        <w:t>Todorović</w:t>
      </w:r>
      <w:proofErr w:type="spellEnd"/>
      <w:r w:rsidRPr="00CA5701">
        <w:rPr>
          <w:iCs/>
          <w:color w:val="auto"/>
          <w:sz w:val="22"/>
          <w:szCs w:val="22"/>
          <w:shd w:val="clear" w:color="auto" w:fill="FFFFFF"/>
        </w:rPr>
        <w:t xml:space="preserve">, D. </w:t>
      </w:r>
      <w:proofErr w:type="spellStart"/>
      <w:r w:rsidRPr="00CA5701">
        <w:rPr>
          <w:iCs/>
          <w:color w:val="auto"/>
          <w:sz w:val="22"/>
          <w:szCs w:val="22"/>
          <w:shd w:val="clear" w:color="auto" w:fill="FFFFFF"/>
        </w:rPr>
        <w:t>Petrović</w:t>
      </w:r>
      <w:proofErr w:type="spellEnd"/>
      <w:r w:rsidRPr="00CA5701">
        <w:rPr>
          <w:iCs/>
          <w:color w:val="auto"/>
          <w:sz w:val="22"/>
          <w:szCs w:val="22"/>
          <w:shd w:val="clear" w:color="auto" w:fill="FFFFFF"/>
        </w:rPr>
        <w:t xml:space="preserve"> </w:t>
      </w:r>
      <w:proofErr w:type="spellStart"/>
      <w:r w:rsidRPr="00CA5701">
        <w:rPr>
          <w:iCs/>
          <w:color w:val="auto"/>
          <w:sz w:val="22"/>
          <w:szCs w:val="22"/>
          <w:shd w:val="clear" w:color="auto" w:fill="FFFFFF"/>
        </w:rPr>
        <w:t>i</w:t>
      </w:r>
      <w:proofErr w:type="spellEnd"/>
      <w:r w:rsidRPr="00CA5701">
        <w:rPr>
          <w:iCs/>
          <w:color w:val="auto"/>
          <w:sz w:val="22"/>
          <w:szCs w:val="22"/>
          <w:shd w:val="clear" w:color="auto" w:fill="FFFFFF"/>
        </w:rPr>
        <w:t xml:space="preserve"> D. </w:t>
      </w:r>
      <w:proofErr w:type="spellStart"/>
      <w:r w:rsidRPr="00CA5701">
        <w:rPr>
          <w:iCs/>
          <w:color w:val="auto"/>
          <w:sz w:val="22"/>
          <w:szCs w:val="22"/>
          <w:shd w:val="clear" w:color="auto" w:fill="FFFFFF"/>
        </w:rPr>
        <w:t>Prlja</w:t>
      </w:r>
      <w:proofErr w:type="spellEnd"/>
      <w:r w:rsidRPr="00CA5701">
        <w:rPr>
          <w:iCs/>
          <w:color w:val="auto"/>
          <w:sz w:val="22"/>
          <w:szCs w:val="22"/>
          <w:shd w:val="clear" w:color="auto" w:fill="FFFFFF"/>
        </w:rPr>
        <w:t xml:space="preserve"> (Ed.). </w:t>
      </w:r>
      <w:r w:rsidRPr="00CA5701">
        <w:rPr>
          <w:i/>
          <w:iCs/>
          <w:color w:val="auto"/>
          <w:sz w:val="22"/>
          <w:szCs w:val="22"/>
          <w:shd w:val="clear" w:color="auto" w:fill="FFFFFF"/>
        </w:rPr>
        <w:t>Proceedings Internet and Societ</w:t>
      </w:r>
      <w:r>
        <w:rPr>
          <w:i/>
          <w:iCs/>
          <w:color w:val="auto"/>
          <w:sz w:val="22"/>
          <w:szCs w:val="22"/>
          <w:shd w:val="clear" w:color="auto" w:fill="FFFFFF"/>
        </w:rPr>
        <w:t>y</w:t>
      </w:r>
      <w:r w:rsidRPr="00CA5701">
        <w:rPr>
          <w:i/>
          <w:iCs/>
          <w:color w:val="auto"/>
          <w:sz w:val="22"/>
          <w:szCs w:val="22"/>
          <w:shd w:val="clear" w:color="auto" w:fill="FFFFFF"/>
        </w:rPr>
        <w:t xml:space="preserve"> </w:t>
      </w:r>
      <w:r w:rsidRPr="00CA5701">
        <w:rPr>
          <w:iCs/>
          <w:color w:val="auto"/>
          <w:sz w:val="22"/>
          <w:szCs w:val="22"/>
          <w:shd w:val="clear" w:color="auto" w:fill="FFFFFF"/>
        </w:rPr>
        <w:t>(pp 231-248)</w:t>
      </w:r>
      <w:r w:rsidRPr="00CA5701">
        <w:rPr>
          <w:i/>
          <w:iCs/>
          <w:color w:val="auto"/>
          <w:sz w:val="22"/>
          <w:szCs w:val="22"/>
          <w:shd w:val="clear" w:color="auto" w:fill="FFFFFF"/>
        </w:rPr>
        <w:t xml:space="preserve">. </w:t>
      </w:r>
      <w:r w:rsidRPr="00CA5701">
        <w:rPr>
          <w:iCs/>
          <w:color w:val="auto"/>
          <w:sz w:val="22"/>
          <w:szCs w:val="22"/>
          <w:shd w:val="clear" w:color="auto" w:fill="FFFFFF"/>
        </w:rPr>
        <w:t xml:space="preserve">Beograd: </w:t>
      </w:r>
      <w:proofErr w:type="spellStart"/>
      <w:r w:rsidRPr="00CA5701">
        <w:rPr>
          <w:iCs/>
          <w:color w:val="auto"/>
          <w:sz w:val="22"/>
          <w:szCs w:val="22"/>
          <w:shd w:val="clear" w:color="auto" w:fill="FFFFFF"/>
        </w:rPr>
        <w:t>Srpsko</w:t>
      </w:r>
      <w:proofErr w:type="spellEnd"/>
      <w:r w:rsidRPr="00CA5701">
        <w:rPr>
          <w:iCs/>
          <w:color w:val="auto"/>
          <w:sz w:val="22"/>
          <w:szCs w:val="22"/>
          <w:shd w:val="clear" w:color="auto" w:fill="FFFFFF"/>
        </w:rPr>
        <w:t xml:space="preserve"> </w:t>
      </w:r>
      <w:proofErr w:type="spellStart"/>
      <w:r w:rsidRPr="00CA5701">
        <w:rPr>
          <w:iCs/>
          <w:color w:val="auto"/>
          <w:sz w:val="22"/>
          <w:szCs w:val="22"/>
          <w:shd w:val="clear" w:color="auto" w:fill="FFFFFF"/>
        </w:rPr>
        <w:t>sociološko</w:t>
      </w:r>
      <w:proofErr w:type="spellEnd"/>
      <w:r w:rsidRPr="00CA5701">
        <w:rPr>
          <w:iCs/>
          <w:color w:val="auto"/>
          <w:sz w:val="22"/>
          <w:szCs w:val="22"/>
          <w:shd w:val="clear" w:color="auto" w:fill="FFFFFF"/>
        </w:rPr>
        <w:t xml:space="preserve"> </w:t>
      </w:r>
      <w:proofErr w:type="spellStart"/>
      <w:r w:rsidRPr="00CA5701">
        <w:rPr>
          <w:iCs/>
          <w:color w:val="auto"/>
          <w:sz w:val="22"/>
          <w:szCs w:val="22"/>
          <w:shd w:val="clear" w:color="auto" w:fill="FFFFFF"/>
        </w:rPr>
        <w:t>društvo</w:t>
      </w:r>
      <w:proofErr w:type="spellEnd"/>
      <w:r w:rsidRPr="00CA5701">
        <w:rPr>
          <w:iCs/>
          <w:color w:val="auto"/>
          <w:sz w:val="22"/>
          <w:szCs w:val="22"/>
          <w:shd w:val="clear" w:color="auto" w:fill="FFFFFF"/>
        </w:rPr>
        <w:t xml:space="preserve">, </w:t>
      </w:r>
      <w:proofErr w:type="spellStart"/>
      <w:r w:rsidRPr="00CA5701">
        <w:rPr>
          <w:iCs/>
          <w:color w:val="auto"/>
          <w:sz w:val="22"/>
          <w:szCs w:val="22"/>
          <w:shd w:val="clear" w:color="auto" w:fill="FFFFFF"/>
        </w:rPr>
        <w:t>Niš</w:t>
      </w:r>
      <w:proofErr w:type="spellEnd"/>
      <w:r w:rsidRPr="00CA5701">
        <w:rPr>
          <w:iCs/>
          <w:color w:val="auto"/>
          <w:sz w:val="22"/>
          <w:szCs w:val="22"/>
          <w:shd w:val="clear" w:color="auto" w:fill="FFFFFF"/>
        </w:rPr>
        <w:t xml:space="preserve">: </w:t>
      </w:r>
      <w:proofErr w:type="spellStart"/>
      <w:r w:rsidRPr="00CA5701">
        <w:rPr>
          <w:iCs/>
          <w:color w:val="auto"/>
          <w:sz w:val="22"/>
          <w:szCs w:val="22"/>
          <w:shd w:val="clear" w:color="auto" w:fill="FFFFFF"/>
        </w:rPr>
        <w:t>Filozofski</w:t>
      </w:r>
      <w:proofErr w:type="spellEnd"/>
      <w:r w:rsidRPr="00CA5701">
        <w:rPr>
          <w:iCs/>
          <w:color w:val="auto"/>
          <w:sz w:val="22"/>
          <w:szCs w:val="22"/>
          <w:shd w:val="clear" w:color="auto" w:fill="FFFFFF"/>
        </w:rPr>
        <w:t xml:space="preserve"> </w:t>
      </w:r>
      <w:proofErr w:type="spellStart"/>
      <w:r w:rsidRPr="00CA5701">
        <w:rPr>
          <w:iCs/>
          <w:color w:val="auto"/>
          <w:sz w:val="22"/>
          <w:szCs w:val="22"/>
          <w:shd w:val="clear" w:color="auto" w:fill="FFFFFF"/>
        </w:rPr>
        <w:t>fakultet</w:t>
      </w:r>
      <w:proofErr w:type="spellEnd"/>
      <w:r w:rsidRPr="00CA5701">
        <w:rPr>
          <w:iCs/>
          <w:color w:val="auto"/>
          <w:sz w:val="22"/>
          <w:szCs w:val="22"/>
          <w:shd w:val="clear" w:color="auto" w:fill="FFFFFF"/>
        </w:rPr>
        <w:t xml:space="preserve"> </w:t>
      </w:r>
      <w:proofErr w:type="spellStart"/>
      <w:r w:rsidRPr="00CA5701">
        <w:rPr>
          <w:iCs/>
          <w:color w:val="auto"/>
          <w:sz w:val="22"/>
          <w:szCs w:val="22"/>
          <w:shd w:val="clear" w:color="auto" w:fill="FFFFFF"/>
        </w:rPr>
        <w:t>i</w:t>
      </w:r>
      <w:proofErr w:type="spellEnd"/>
      <w:r w:rsidRPr="00CA5701">
        <w:rPr>
          <w:iCs/>
          <w:color w:val="auto"/>
          <w:sz w:val="22"/>
          <w:szCs w:val="22"/>
          <w:shd w:val="clear" w:color="auto" w:fill="FFFFFF"/>
        </w:rPr>
        <w:t xml:space="preserve"> </w:t>
      </w:r>
      <w:proofErr w:type="spellStart"/>
      <w:r w:rsidRPr="00CA5701">
        <w:rPr>
          <w:iCs/>
          <w:color w:val="auto"/>
          <w:sz w:val="22"/>
          <w:szCs w:val="22"/>
          <w:shd w:val="clear" w:color="auto" w:fill="FFFFFF"/>
        </w:rPr>
        <w:t>Institut</w:t>
      </w:r>
      <w:proofErr w:type="spellEnd"/>
      <w:r w:rsidRPr="00CA5701">
        <w:rPr>
          <w:iCs/>
          <w:color w:val="auto"/>
          <w:sz w:val="22"/>
          <w:szCs w:val="22"/>
          <w:shd w:val="clear" w:color="auto" w:fill="FFFFFF"/>
        </w:rPr>
        <w:t xml:space="preserve"> </w:t>
      </w:r>
      <w:proofErr w:type="spellStart"/>
      <w:r w:rsidRPr="00CA5701">
        <w:rPr>
          <w:iCs/>
          <w:color w:val="auto"/>
          <w:sz w:val="22"/>
          <w:szCs w:val="22"/>
          <w:shd w:val="clear" w:color="auto" w:fill="FFFFFF"/>
        </w:rPr>
        <w:t>za</w:t>
      </w:r>
      <w:proofErr w:type="spellEnd"/>
      <w:r w:rsidRPr="00CA5701">
        <w:rPr>
          <w:iCs/>
          <w:color w:val="auto"/>
          <w:sz w:val="22"/>
          <w:szCs w:val="22"/>
          <w:shd w:val="clear" w:color="auto" w:fill="FFFFFF"/>
        </w:rPr>
        <w:t xml:space="preserve"> </w:t>
      </w:r>
      <w:proofErr w:type="spellStart"/>
      <w:r w:rsidRPr="00CA5701">
        <w:rPr>
          <w:iCs/>
          <w:color w:val="auto"/>
          <w:sz w:val="22"/>
          <w:szCs w:val="22"/>
          <w:shd w:val="clear" w:color="auto" w:fill="FFFFFF"/>
        </w:rPr>
        <w:t>uporedno</w:t>
      </w:r>
      <w:proofErr w:type="spellEnd"/>
      <w:r w:rsidRPr="00CA5701">
        <w:rPr>
          <w:iCs/>
          <w:color w:val="auto"/>
          <w:sz w:val="22"/>
          <w:szCs w:val="22"/>
          <w:shd w:val="clear" w:color="auto" w:fill="FFFFFF"/>
        </w:rPr>
        <w:t xml:space="preserve"> </w:t>
      </w:r>
      <w:proofErr w:type="spellStart"/>
      <w:r w:rsidRPr="00CA5701">
        <w:rPr>
          <w:iCs/>
          <w:color w:val="auto"/>
          <w:sz w:val="22"/>
          <w:szCs w:val="22"/>
          <w:shd w:val="clear" w:color="auto" w:fill="FFFFFF"/>
        </w:rPr>
        <w:t>pravo</w:t>
      </w:r>
      <w:proofErr w:type="spellEnd"/>
      <w:r w:rsidRPr="00CA5701">
        <w:rPr>
          <w:color w:val="auto"/>
          <w:sz w:val="22"/>
          <w:szCs w:val="22"/>
          <w:shd w:val="clear" w:color="auto" w:fill="FFFFFF"/>
        </w:rPr>
        <w:t>. [In Serbian]</w:t>
      </w:r>
    </w:p>
    <w:p w:rsidR="00D57DB5" w:rsidRPr="0037474C" w:rsidRDefault="00D57DB5" w:rsidP="00D57DB5">
      <w:pPr>
        <w:pStyle w:val="Normal1"/>
        <w:ind w:left="720" w:hanging="720"/>
        <w:jc w:val="both"/>
        <w:rPr>
          <w:color w:val="auto"/>
          <w:sz w:val="22"/>
          <w:lang w:val="sr-Cyrl-CS"/>
        </w:rPr>
      </w:pPr>
      <w:r w:rsidRPr="0037474C">
        <w:rPr>
          <w:color w:val="auto"/>
          <w:sz w:val="22"/>
          <w:highlight w:val="white"/>
          <w:lang w:val="sr-Cyrl-CS"/>
        </w:rPr>
        <w:t>Caldwell, H. &amp; Bird, J. (2015). </w:t>
      </w:r>
      <w:r w:rsidRPr="0037474C">
        <w:rPr>
          <w:i/>
          <w:color w:val="auto"/>
          <w:sz w:val="22"/>
          <w:highlight w:val="white"/>
          <w:lang w:val="sr-Cyrl-CS"/>
        </w:rPr>
        <w:t>Teaching with tablets</w:t>
      </w:r>
      <w:r w:rsidRPr="0037474C">
        <w:rPr>
          <w:color w:val="auto"/>
          <w:sz w:val="22"/>
          <w:highlight w:val="white"/>
          <w:lang w:val="sr-Cyrl-CS"/>
        </w:rPr>
        <w:t>. Learning Matters.</w:t>
      </w:r>
    </w:p>
    <w:p w:rsidR="00D57DB5" w:rsidRPr="0037474C" w:rsidRDefault="00D57DB5" w:rsidP="00D57DB5">
      <w:pPr>
        <w:pStyle w:val="Normal1"/>
        <w:ind w:left="720" w:hanging="720"/>
        <w:jc w:val="both"/>
        <w:rPr>
          <w:color w:val="auto"/>
          <w:sz w:val="22"/>
          <w:lang w:val="sr-Cyrl-CS"/>
        </w:rPr>
      </w:pPr>
      <w:r w:rsidRPr="0037474C">
        <w:rPr>
          <w:color w:val="auto"/>
          <w:sz w:val="22"/>
        </w:rPr>
        <w:t xml:space="preserve">Catalog of the program of continuous professional development of teachers, educators and professional associates for the school year 2016/2017. and 2017/2018 (2017). Beograd:  </w:t>
      </w:r>
      <w:proofErr w:type="spellStart"/>
      <w:r w:rsidRPr="0037474C">
        <w:rPr>
          <w:color w:val="auto"/>
          <w:sz w:val="22"/>
        </w:rPr>
        <w:t>Zavod</w:t>
      </w:r>
      <w:proofErr w:type="spellEnd"/>
      <w:r w:rsidRPr="0037474C">
        <w:rPr>
          <w:color w:val="auto"/>
          <w:sz w:val="22"/>
        </w:rPr>
        <w:t xml:space="preserve"> </w:t>
      </w:r>
      <w:proofErr w:type="spellStart"/>
      <w:r w:rsidRPr="0037474C">
        <w:rPr>
          <w:color w:val="auto"/>
          <w:sz w:val="22"/>
        </w:rPr>
        <w:t>za</w:t>
      </w:r>
      <w:proofErr w:type="spellEnd"/>
      <w:r w:rsidRPr="0037474C">
        <w:rPr>
          <w:color w:val="auto"/>
          <w:sz w:val="22"/>
        </w:rPr>
        <w:t xml:space="preserve"> </w:t>
      </w:r>
      <w:proofErr w:type="spellStart"/>
      <w:r w:rsidRPr="0037474C">
        <w:rPr>
          <w:color w:val="auto"/>
          <w:sz w:val="22"/>
        </w:rPr>
        <w:t>unapređivanje</w:t>
      </w:r>
      <w:proofErr w:type="spellEnd"/>
      <w:r w:rsidRPr="0037474C">
        <w:rPr>
          <w:color w:val="auto"/>
          <w:sz w:val="22"/>
        </w:rPr>
        <w:t xml:space="preserve"> </w:t>
      </w:r>
      <w:proofErr w:type="spellStart"/>
      <w:r w:rsidRPr="0037474C">
        <w:rPr>
          <w:color w:val="auto"/>
          <w:sz w:val="22"/>
        </w:rPr>
        <w:t>obrazovanja</w:t>
      </w:r>
      <w:proofErr w:type="spellEnd"/>
      <w:r w:rsidRPr="0037474C">
        <w:rPr>
          <w:color w:val="auto"/>
          <w:sz w:val="22"/>
        </w:rPr>
        <w:t xml:space="preserve"> </w:t>
      </w:r>
      <w:proofErr w:type="spellStart"/>
      <w:r w:rsidRPr="0037474C">
        <w:rPr>
          <w:color w:val="auto"/>
          <w:sz w:val="22"/>
        </w:rPr>
        <w:t>i</w:t>
      </w:r>
      <w:proofErr w:type="spellEnd"/>
      <w:r w:rsidRPr="0037474C">
        <w:rPr>
          <w:color w:val="auto"/>
          <w:sz w:val="22"/>
        </w:rPr>
        <w:t xml:space="preserve"> </w:t>
      </w:r>
      <w:proofErr w:type="spellStart"/>
      <w:r w:rsidRPr="0037474C">
        <w:rPr>
          <w:color w:val="auto"/>
          <w:sz w:val="22"/>
        </w:rPr>
        <w:t>vaspitanja</w:t>
      </w:r>
      <w:proofErr w:type="spellEnd"/>
      <w:r>
        <w:rPr>
          <w:color w:val="auto"/>
          <w:sz w:val="22"/>
        </w:rPr>
        <w:t xml:space="preserve">. </w:t>
      </w:r>
      <w:r w:rsidRPr="0037474C">
        <w:rPr>
          <w:color w:val="auto"/>
          <w:sz w:val="22"/>
        </w:rPr>
        <w:t xml:space="preserve">[In Serbian] </w:t>
      </w:r>
    </w:p>
    <w:p w:rsidR="00D57DB5" w:rsidRPr="0037474C" w:rsidRDefault="00D57DB5" w:rsidP="00D57DB5">
      <w:pPr>
        <w:pStyle w:val="Normal1"/>
        <w:ind w:left="720" w:hanging="720"/>
        <w:contextualSpacing/>
        <w:jc w:val="both"/>
        <w:rPr>
          <w:color w:val="auto"/>
          <w:sz w:val="22"/>
          <w:szCs w:val="22"/>
          <w:lang w:val="sr-Cyrl-CS"/>
        </w:rPr>
      </w:pPr>
      <w:r w:rsidRPr="0037474C">
        <w:rPr>
          <w:color w:val="auto"/>
          <w:sz w:val="22"/>
          <w:szCs w:val="22"/>
          <w:lang w:val="sr-Cyrl-CS"/>
        </w:rPr>
        <w:t xml:space="preserve">Dumančić, M. (2017). Teaching and school for the net generation. </w:t>
      </w:r>
      <w:r w:rsidRPr="0037474C">
        <w:rPr>
          <w:color w:val="auto"/>
          <w:sz w:val="22"/>
          <w:szCs w:val="22"/>
        </w:rPr>
        <w:t>In</w:t>
      </w:r>
      <w:r w:rsidRPr="0037474C">
        <w:rPr>
          <w:color w:val="auto"/>
          <w:sz w:val="22"/>
          <w:szCs w:val="22"/>
          <w:lang w:val="sr-Cyrl-CS"/>
        </w:rPr>
        <w:t xml:space="preserve">: </w:t>
      </w:r>
      <w:r w:rsidRPr="0037474C">
        <w:rPr>
          <w:color w:val="auto"/>
          <w:sz w:val="22"/>
          <w:szCs w:val="22"/>
        </w:rPr>
        <w:t xml:space="preserve">M. </w:t>
      </w:r>
      <w:r w:rsidRPr="0037474C">
        <w:rPr>
          <w:color w:val="auto"/>
          <w:sz w:val="22"/>
          <w:szCs w:val="22"/>
          <w:lang w:val="sr-Cyrl-CS"/>
        </w:rPr>
        <w:t>Matijević, (</w:t>
      </w:r>
      <w:r w:rsidRPr="0037474C">
        <w:rPr>
          <w:color w:val="auto"/>
          <w:sz w:val="22"/>
          <w:szCs w:val="22"/>
        </w:rPr>
        <w:t>Ed</w:t>
      </w:r>
      <w:r w:rsidRPr="0037474C">
        <w:rPr>
          <w:color w:val="auto"/>
          <w:sz w:val="22"/>
          <w:szCs w:val="22"/>
          <w:lang w:val="sr-Cyrl-CS"/>
        </w:rPr>
        <w:t>.)</w:t>
      </w:r>
      <w:r w:rsidRPr="0037474C">
        <w:rPr>
          <w:color w:val="auto"/>
          <w:sz w:val="22"/>
          <w:szCs w:val="22"/>
        </w:rPr>
        <w:t xml:space="preserve"> </w:t>
      </w:r>
      <w:r w:rsidRPr="0037474C">
        <w:rPr>
          <w:i/>
          <w:color w:val="auto"/>
          <w:sz w:val="22"/>
          <w:szCs w:val="22"/>
          <w:lang w:val="sr-Cyrl-CS"/>
        </w:rPr>
        <w:t>Mobile technologies in education</w:t>
      </w:r>
      <w:r w:rsidRPr="0037474C">
        <w:rPr>
          <w:color w:val="auto"/>
          <w:sz w:val="22"/>
          <w:szCs w:val="22"/>
          <w:lang w:val="sr-Cyrl-CS"/>
        </w:rPr>
        <w:t xml:space="preserve"> (</w:t>
      </w:r>
      <w:r w:rsidRPr="0037474C">
        <w:rPr>
          <w:color w:val="auto"/>
          <w:sz w:val="22"/>
          <w:szCs w:val="22"/>
        </w:rPr>
        <w:t xml:space="preserve">pp </w:t>
      </w:r>
      <w:r w:rsidRPr="0037474C">
        <w:rPr>
          <w:color w:val="auto"/>
          <w:sz w:val="22"/>
          <w:szCs w:val="22"/>
          <w:lang w:val="sr-Cyrl-CS"/>
        </w:rPr>
        <w:t xml:space="preserve">115–144). Zagreb: Učiteljski fakultet Sveučilišta u Zagrebu. </w:t>
      </w:r>
      <w:r w:rsidRPr="0037474C">
        <w:rPr>
          <w:color w:val="auto"/>
          <w:sz w:val="22"/>
          <w:szCs w:val="22"/>
        </w:rPr>
        <w:t xml:space="preserve">[In </w:t>
      </w:r>
      <w:proofErr w:type="spellStart"/>
      <w:r w:rsidRPr="0037474C">
        <w:rPr>
          <w:color w:val="auto"/>
          <w:sz w:val="22"/>
          <w:szCs w:val="22"/>
        </w:rPr>
        <w:t>Croation</w:t>
      </w:r>
      <w:proofErr w:type="spellEnd"/>
      <w:r w:rsidRPr="0037474C">
        <w:rPr>
          <w:color w:val="auto"/>
          <w:sz w:val="22"/>
          <w:szCs w:val="22"/>
        </w:rPr>
        <w:t>]</w:t>
      </w:r>
    </w:p>
    <w:p w:rsidR="00D57DB5" w:rsidRPr="0037474C" w:rsidRDefault="00D57DB5" w:rsidP="00D57DB5">
      <w:pPr>
        <w:pStyle w:val="Normal1"/>
        <w:ind w:left="720" w:hanging="720"/>
        <w:jc w:val="both"/>
        <w:rPr>
          <w:color w:val="auto"/>
          <w:sz w:val="22"/>
        </w:rPr>
      </w:pPr>
      <w:r w:rsidRPr="0037474C">
        <w:rPr>
          <w:color w:val="auto"/>
          <w:sz w:val="22"/>
          <w:lang w:val="sr-Cyrl-CS"/>
        </w:rPr>
        <w:t>Džigurski, S., Simić, S., Marković, S.</w:t>
      </w:r>
      <w:r w:rsidRPr="0037474C">
        <w:rPr>
          <w:color w:val="auto"/>
          <w:sz w:val="22"/>
        </w:rPr>
        <w:t xml:space="preserve"> </w:t>
      </w:r>
      <w:r w:rsidRPr="0037474C">
        <w:rPr>
          <w:color w:val="auto"/>
          <w:sz w:val="22"/>
          <w:shd w:val="clear" w:color="auto" w:fill="FFFFFF"/>
        </w:rPr>
        <w:t>&amp;</w:t>
      </w:r>
      <w:r w:rsidRPr="0037474C">
        <w:rPr>
          <w:color w:val="auto"/>
          <w:sz w:val="22"/>
          <w:lang w:val="sr-Cyrl-CS"/>
        </w:rPr>
        <w:t xml:space="preserve"> Šćepanović, D. (2013</w:t>
      </w:r>
      <w:r w:rsidRPr="0037474C">
        <w:rPr>
          <w:color w:val="auto"/>
          <w:sz w:val="22"/>
        </w:rPr>
        <w:t>).</w:t>
      </w:r>
      <w:r w:rsidRPr="0037474C">
        <w:rPr>
          <w:color w:val="auto"/>
          <w:sz w:val="22"/>
          <w:lang w:val="sr-Cyrl-CS"/>
        </w:rPr>
        <w:t xml:space="preserve"> </w:t>
      </w:r>
      <w:r w:rsidRPr="0037474C">
        <w:rPr>
          <w:i/>
          <w:color w:val="auto"/>
          <w:sz w:val="22"/>
          <w:lang w:val="sr-Cyrl-CS"/>
        </w:rPr>
        <w:t>Research on the use of information and communication technologies in schools in Serbia.</w:t>
      </w:r>
      <w:r w:rsidRPr="0037474C">
        <w:rPr>
          <w:i/>
          <w:color w:val="auto"/>
          <w:sz w:val="22"/>
        </w:rPr>
        <w:t xml:space="preserve"> </w:t>
      </w:r>
      <w:r w:rsidRPr="0037474C">
        <w:rPr>
          <w:color w:val="auto"/>
          <w:sz w:val="22"/>
          <w:lang w:val="sr-Cyrl-CS"/>
        </w:rPr>
        <w:t>Beograd: Tim za socijalno uključivanje i smanjenje siromaštva, Kabinet potpre</w:t>
      </w:r>
      <w:proofErr w:type="spellStart"/>
      <w:r w:rsidRPr="0037474C">
        <w:rPr>
          <w:color w:val="auto"/>
          <w:sz w:val="22"/>
        </w:rPr>
        <w:t>ds</w:t>
      </w:r>
      <w:proofErr w:type="spellEnd"/>
      <w:r w:rsidRPr="0037474C">
        <w:rPr>
          <w:color w:val="auto"/>
          <w:sz w:val="22"/>
          <w:lang w:val="sr-Cyrl-CS"/>
        </w:rPr>
        <w:t>ednice Vlade za evropske integracije.</w:t>
      </w:r>
      <w:r w:rsidRPr="0037474C">
        <w:rPr>
          <w:color w:val="auto"/>
          <w:sz w:val="22"/>
        </w:rPr>
        <w:t xml:space="preserve"> [In Serbian]</w:t>
      </w:r>
    </w:p>
    <w:p w:rsidR="00D57DB5" w:rsidRPr="0037474C" w:rsidRDefault="00D57DB5" w:rsidP="00D57DB5">
      <w:pPr>
        <w:pStyle w:val="Normal1"/>
        <w:ind w:left="720" w:hanging="720"/>
        <w:jc w:val="both"/>
        <w:rPr>
          <w:color w:val="auto"/>
          <w:sz w:val="22"/>
          <w:lang w:val="sr-Cyrl-CS"/>
        </w:rPr>
      </w:pPr>
      <w:r w:rsidRPr="0037474C">
        <w:rPr>
          <w:color w:val="auto"/>
          <w:sz w:val="22"/>
        </w:rPr>
        <w:lastRenderedPageBreak/>
        <w:t xml:space="preserve">European Commission (2013). </w:t>
      </w:r>
      <w:r w:rsidRPr="0037474C">
        <w:rPr>
          <w:i/>
          <w:color w:val="auto"/>
          <w:sz w:val="22"/>
        </w:rPr>
        <w:t>Opening up Education: Innovative teaching and learning for all through new Technologies and Open Educational Resources</w:t>
      </w:r>
      <w:r w:rsidRPr="0037474C">
        <w:rPr>
          <w:color w:val="auto"/>
          <w:sz w:val="22"/>
        </w:rPr>
        <w:t>. Communication from the Commission to the European Parliament, the Council, the European Economic and Social Committee and the Committee of the Regions (COM(2013) 654 final). Brussels, BE: European Commission. Retrieved from http://bit.ly/1VYGGCy</w:t>
      </w:r>
    </w:p>
    <w:p w:rsidR="00D57DB5" w:rsidRPr="00CA5701" w:rsidRDefault="00D57DB5" w:rsidP="00D57DB5">
      <w:pPr>
        <w:pStyle w:val="Normal1"/>
        <w:ind w:left="720" w:hanging="720"/>
        <w:jc w:val="both"/>
        <w:rPr>
          <w:rFonts w:eastAsia="Batang"/>
          <w:bCs/>
          <w:color w:val="auto"/>
          <w:sz w:val="22"/>
          <w:szCs w:val="22"/>
        </w:rPr>
      </w:pPr>
      <w:proofErr w:type="spellStart"/>
      <w:r w:rsidRPr="00CA5701">
        <w:rPr>
          <w:rFonts w:eastAsia="Batang"/>
          <w:bCs/>
          <w:color w:val="auto"/>
          <w:sz w:val="22"/>
          <w:szCs w:val="22"/>
        </w:rPr>
        <w:t>Garris</w:t>
      </w:r>
      <w:proofErr w:type="spellEnd"/>
      <w:r>
        <w:rPr>
          <w:rFonts w:eastAsia="Batang"/>
          <w:bCs/>
          <w:color w:val="auto"/>
          <w:sz w:val="22"/>
          <w:szCs w:val="22"/>
        </w:rPr>
        <w:t>,</w:t>
      </w:r>
      <w:r w:rsidRPr="00CA5701">
        <w:rPr>
          <w:rFonts w:eastAsia="Batang"/>
          <w:bCs/>
          <w:color w:val="auto"/>
          <w:sz w:val="22"/>
          <w:szCs w:val="22"/>
        </w:rPr>
        <w:t xml:space="preserve"> R., </w:t>
      </w:r>
      <w:proofErr w:type="spellStart"/>
      <w:r w:rsidRPr="00CA5701">
        <w:rPr>
          <w:rFonts w:eastAsia="Batang"/>
          <w:bCs/>
          <w:color w:val="auto"/>
          <w:sz w:val="22"/>
          <w:szCs w:val="22"/>
        </w:rPr>
        <w:t>Ahlers</w:t>
      </w:r>
      <w:proofErr w:type="spellEnd"/>
      <w:r>
        <w:rPr>
          <w:rFonts w:eastAsia="Batang"/>
          <w:bCs/>
          <w:color w:val="auto"/>
          <w:sz w:val="22"/>
          <w:szCs w:val="22"/>
        </w:rPr>
        <w:t>,</w:t>
      </w:r>
      <w:r w:rsidRPr="00CA5701">
        <w:rPr>
          <w:rFonts w:eastAsia="Batang"/>
          <w:bCs/>
          <w:color w:val="auto"/>
          <w:sz w:val="22"/>
          <w:szCs w:val="22"/>
        </w:rPr>
        <w:t xml:space="preserve"> R., </w:t>
      </w:r>
      <w:r w:rsidRPr="00CA5701">
        <w:rPr>
          <w:color w:val="auto"/>
          <w:sz w:val="22"/>
          <w:szCs w:val="22"/>
          <w:lang w:val="sr-Latn-CS"/>
        </w:rPr>
        <w:t>&amp;</w:t>
      </w:r>
      <w:r w:rsidRPr="00CA5701">
        <w:rPr>
          <w:color w:val="auto"/>
          <w:sz w:val="22"/>
          <w:szCs w:val="22"/>
        </w:rPr>
        <w:t xml:space="preserve"> </w:t>
      </w:r>
      <w:proofErr w:type="spellStart"/>
      <w:r w:rsidRPr="00CA5701">
        <w:rPr>
          <w:rFonts w:eastAsia="Batang"/>
          <w:bCs/>
          <w:color w:val="auto"/>
          <w:sz w:val="22"/>
          <w:szCs w:val="22"/>
        </w:rPr>
        <w:t>Driskel</w:t>
      </w:r>
      <w:proofErr w:type="spellEnd"/>
      <w:r>
        <w:rPr>
          <w:rFonts w:eastAsia="Batang"/>
          <w:bCs/>
          <w:color w:val="auto"/>
          <w:sz w:val="22"/>
          <w:szCs w:val="22"/>
        </w:rPr>
        <w:t>,</w:t>
      </w:r>
      <w:r w:rsidRPr="00CA5701">
        <w:rPr>
          <w:rFonts w:eastAsia="Batang"/>
          <w:bCs/>
          <w:color w:val="auto"/>
          <w:sz w:val="22"/>
          <w:szCs w:val="22"/>
        </w:rPr>
        <w:t xml:space="preserve"> J.E., (2002). Games, motivations, and learning: a research and practice model, </w:t>
      </w:r>
      <w:proofErr w:type="spellStart"/>
      <w:r w:rsidRPr="00CA5701">
        <w:rPr>
          <w:rFonts w:eastAsia="Batang"/>
          <w:bCs/>
          <w:i/>
          <w:iCs/>
          <w:color w:val="auto"/>
          <w:sz w:val="22"/>
          <w:szCs w:val="22"/>
        </w:rPr>
        <w:t>Simulations&amp;Gaming</w:t>
      </w:r>
      <w:proofErr w:type="spellEnd"/>
      <w:r w:rsidRPr="00CA5701">
        <w:rPr>
          <w:rFonts w:eastAsia="Batang"/>
          <w:bCs/>
          <w:i/>
          <w:iCs/>
          <w:color w:val="auto"/>
          <w:sz w:val="22"/>
          <w:szCs w:val="22"/>
        </w:rPr>
        <w:t xml:space="preserve">. </w:t>
      </w:r>
      <w:r w:rsidRPr="00CA5701">
        <w:rPr>
          <w:rFonts w:eastAsia="Batang"/>
          <w:bCs/>
          <w:color w:val="auto"/>
          <w:sz w:val="22"/>
          <w:szCs w:val="22"/>
        </w:rPr>
        <w:t xml:space="preserve">(p.p. 441-467). </w:t>
      </w:r>
      <w:r w:rsidRPr="00CA5701">
        <w:rPr>
          <w:rFonts w:eastAsia="Batang"/>
          <w:bCs/>
          <w:iCs/>
          <w:color w:val="auto"/>
          <w:sz w:val="22"/>
          <w:szCs w:val="22"/>
        </w:rPr>
        <w:t>Vol. 33. No. 4.</w:t>
      </w:r>
      <w:r w:rsidRPr="00CA5701">
        <w:rPr>
          <w:rFonts w:eastAsia="Batang"/>
          <w:bCs/>
          <w:color w:val="auto"/>
          <w:sz w:val="22"/>
          <w:szCs w:val="22"/>
        </w:rPr>
        <w:t xml:space="preserve"> </w:t>
      </w:r>
    </w:p>
    <w:p w:rsidR="00D57DB5" w:rsidRDefault="00D57DB5" w:rsidP="00D57DB5">
      <w:pPr>
        <w:pStyle w:val="Normal1"/>
        <w:ind w:left="720" w:hanging="720"/>
        <w:jc w:val="both"/>
        <w:rPr>
          <w:color w:val="222222"/>
          <w:sz w:val="22"/>
          <w:szCs w:val="13"/>
          <w:shd w:val="clear" w:color="auto" w:fill="FFFFFF"/>
        </w:rPr>
      </w:pPr>
      <w:r w:rsidRPr="00E27EB4">
        <w:rPr>
          <w:color w:val="222222"/>
          <w:sz w:val="22"/>
          <w:szCs w:val="13"/>
          <w:shd w:val="clear" w:color="auto" w:fill="FFFFFF"/>
        </w:rPr>
        <w:t xml:space="preserve">Garrison, D. R., &amp; </w:t>
      </w:r>
      <w:proofErr w:type="spellStart"/>
      <w:r w:rsidRPr="00E27EB4">
        <w:rPr>
          <w:color w:val="222222"/>
          <w:sz w:val="22"/>
          <w:szCs w:val="13"/>
          <w:shd w:val="clear" w:color="auto" w:fill="FFFFFF"/>
        </w:rPr>
        <w:t>Kanuka</w:t>
      </w:r>
      <w:proofErr w:type="spellEnd"/>
      <w:r w:rsidRPr="00E27EB4">
        <w:rPr>
          <w:color w:val="222222"/>
          <w:sz w:val="22"/>
          <w:szCs w:val="13"/>
          <w:shd w:val="clear" w:color="auto" w:fill="FFFFFF"/>
        </w:rPr>
        <w:t>, H. (2004). Blended learning: Uncovering its transformative potential in higher education. </w:t>
      </w:r>
      <w:r w:rsidRPr="00E27EB4">
        <w:rPr>
          <w:i/>
          <w:iCs/>
          <w:color w:val="222222"/>
          <w:sz w:val="22"/>
          <w:szCs w:val="13"/>
          <w:shd w:val="clear" w:color="auto" w:fill="FFFFFF"/>
        </w:rPr>
        <w:t>The internet and higher education</w:t>
      </w:r>
      <w:r w:rsidRPr="00E27EB4">
        <w:rPr>
          <w:color w:val="222222"/>
          <w:sz w:val="22"/>
          <w:szCs w:val="13"/>
          <w:shd w:val="clear" w:color="auto" w:fill="FFFFFF"/>
        </w:rPr>
        <w:t>, </w:t>
      </w:r>
      <w:r w:rsidRPr="00E27EB4">
        <w:rPr>
          <w:i/>
          <w:iCs/>
          <w:color w:val="222222"/>
          <w:sz w:val="22"/>
          <w:szCs w:val="13"/>
          <w:shd w:val="clear" w:color="auto" w:fill="FFFFFF"/>
        </w:rPr>
        <w:t>7</w:t>
      </w:r>
      <w:r w:rsidRPr="00E27EB4">
        <w:rPr>
          <w:color w:val="222222"/>
          <w:sz w:val="22"/>
          <w:szCs w:val="13"/>
          <w:shd w:val="clear" w:color="auto" w:fill="FFFFFF"/>
        </w:rPr>
        <w:t>(2), 95-105.</w:t>
      </w:r>
    </w:p>
    <w:p w:rsidR="00D57DB5" w:rsidRPr="00CA5701" w:rsidRDefault="00D57DB5" w:rsidP="00D57DB5">
      <w:pPr>
        <w:pStyle w:val="Normal1"/>
        <w:ind w:left="720" w:hanging="720"/>
        <w:jc w:val="both"/>
        <w:rPr>
          <w:rFonts w:eastAsia="Batang"/>
          <w:bCs/>
          <w:color w:val="auto"/>
          <w:sz w:val="22"/>
          <w:szCs w:val="22"/>
          <w:lang w:val="en-GB"/>
        </w:rPr>
      </w:pPr>
      <w:proofErr w:type="spellStart"/>
      <w:r>
        <w:rPr>
          <w:rFonts w:eastAsia="Batang"/>
          <w:bCs/>
          <w:color w:val="auto"/>
          <w:sz w:val="22"/>
          <w:szCs w:val="22"/>
          <w:lang w:val="en-GB"/>
        </w:rPr>
        <w:t>Gros</w:t>
      </w:r>
      <w:proofErr w:type="spellEnd"/>
      <w:r>
        <w:rPr>
          <w:rFonts w:eastAsia="Batang"/>
          <w:bCs/>
          <w:color w:val="auto"/>
          <w:sz w:val="22"/>
          <w:szCs w:val="22"/>
          <w:lang w:val="en-GB"/>
        </w:rPr>
        <w:t>,</w:t>
      </w:r>
      <w:r w:rsidRPr="00CA5701">
        <w:rPr>
          <w:rFonts w:eastAsia="Batang"/>
          <w:bCs/>
          <w:color w:val="auto"/>
          <w:sz w:val="22"/>
          <w:szCs w:val="22"/>
          <w:lang w:val="en-GB"/>
        </w:rPr>
        <w:t xml:space="preserve"> B. (2007). Digital Games in education: The Design of Games-Based Learning Environments, </w:t>
      </w:r>
      <w:r w:rsidRPr="00CA5701">
        <w:rPr>
          <w:rFonts w:eastAsia="Batang"/>
          <w:bCs/>
          <w:i/>
          <w:iCs/>
          <w:color w:val="auto"/>
          <w:sz w:val="22"/>
          <w:szCs w:val="22"/>
          <w:lang w:val="en-GB"/>
        </w:rPr>
        <w:t xml:space="preserve">Journal of research on Technology in Education. </w:t>
      </w:r>
      <w:r w:rsidRPr="00CA5701">
        <w:rPr>
          <w:rFonts w:eastAsia="Batang"/>
          <w:bCs/>
          <w:color w:val="auto"/>
          <w:sz w:val="22"/>
          <w:szCs w:val="22"/>
          <w:lang w:val="en-GB"/>
        </w:rPr>
        <w:t>(p.p. 23-38).</w:t>
      </w:r>
      <w:r w:rsidRPr="00CA5701">
        <w:rPr>
          <w:rFonts w:eastAsia="Batang"/>
          <w:bCs/>
          <w:i/>
          <w:iCs/>
          <w:color w:val="auto"/>
          <w:sz w:val="22"/>
          <w:szCs w:val="22"/>
          <w:lang w:val="en-GB"/>
        </w:rPr>
        <w:t xml:space="preserve"> </w:t>
      </w:r>
      <w:r w:rsidRPr="00CA5701">
        <w:rPr>
          <w:rFonts w:eastAsia="Batang"/>
          <w:bCs/>
          <w:iCs/>
          <w:color w:val="auto"/>
          <w:sz w:val="22"/>
          <w:szCs w:val="22"/>
          <w:lang w:val="en-GB"/>
        </w:rPr>
        <w:t>Vol.40, No1</w:t>
      </w:r>
      <w:r w:rsidRPr="00CA5701">
        <w:rPr>
          <w:rFonts w:eastAsia="Batang"/>
          <w:bCs/>
          <w:color w:val="auto"/>
          <w:sz w:val="22"/>
          <w:szCs w:val="22"/>
          <w:lang w:val="en-GB"/>
        </w:rPr>
        <w:t xml:space="preserve"> </w:t>
      </w:r>
    </w:p>
    <w:p w:rsidR="00D57DB5" w:rsidRDefault="00D57DB5" w:rsidP="00D57DB5">
      <w:pPr>
        <w:pStyle w:val="Normal1"/>
        <w:ind w:left="720" w:hanging="720"/>
        <w:jc w:val="both"/>
        <w:rPr>
          <w:sz w:val="22"/>
        </w:rPr>
      </w:pPr>
      <w:proofErr w:type="spellStart"/>
      <w:r w:rsidRPr="0037474C">
        <w:rPr>
          <w:color w:val="auto"/>
          <w:sz w:val="22"/>
          <w:shd w:val="clear" w:color="auto" w:fill="FFFFFF"/>
        </w:rPr>
        <w:t>Hockly</w:t>
      </w:r>
      <w:proofErr w:type="spellEnd"/>
      <w:r>
        <w:rPr>
          <w:color w:val="auto"/>
          <w:sz w:val="22"/>
          <w:shd w:val="clear" w:color="auto" w:fill="FFFFFF"/>
        </w:rPr>
        <w:t>,</w:t>
      </w:r>
      <w:r w:rsidRPr="0037474C">
        <w:rPr>
          <w:color w:val="auto"/>
          <w:sz w:val="22"/>
          <w:shd w:val="clear" w:color="auto" w:fill="FFFFFF"/>
        </w:rPr>
        <w:t xml:space="preserve"> N. (2012). Mobile learning, </w:t>
      </w:r>
      <w:proofErr w:type="spellStart"/>
      <w:r w:rsidRPr="0037474C">
        <w:rPr>
          <w:i/>
          <w:iCs/>
          <w:color w:val="auto"/>
          <w:sz w:val="22"/>
          <w:shd w:val="clear" w:color="auto" w:fill="FFFFFF"/>
        </w:rPr>
        <w:t>Elt</w:t>
      </w:r>
      <w:proofErr w:type="spellEnd"/>
      <w:r w:rsidRPr="0037474C">
        <w:rPr>
          <w:i/>
          <w:iCs/>
          <w:color w:val="auto"/>
          <w:sz w:val="22"/>
          <w:shd w:val="clear" w:color="auto" w:fill="FFFFFF"/>
        </w:rPr>
        <w:t xml:space="preserve"> Journal</w:t>
      </w:r>
      <w:r w:rsidRPr="0037474C">
        <w:rPr>
          <w:color w:val="auto"/>
          <w:sz w:val="22"/>
          <w:shd w:val="clear" w:color="auto" w:fill="FFFFFF"/>
        </w:rPr>
        <w:t>, </w:t>
      </w:r>
      <w:r w:rsidRPr="0037474C">
        <w:rPr>
          <w:i/>
          <w:iCs/>
          <w:color w:val="auto"/>
          <w:sz w:val="22"/>
          <w:shd w:val="clear" w:color="auto" w:fill="FFFFFF"/>
        </w:rPr>
        <w:t>67</w:t>
      </w:r>
      <w:r w:rsidRPr="0037474C">
        <w:rPr>
          <w:color w:val="auto"/>
          <w:sz w:val="22"/>
          <w:shd w:val="clear" w:color="auto" w:fill="FFFFFF"/>
        </w:rPr>
        <w:t>(1), 80-84.</w:t>
      </w:r>
      <w:r w:rsidRPr="008334AA">
        <w:t xml:space="preserve"> </w:t>
      </w:r>
      <w:proofErr w:type="spellStart"/>
      <w:r w:rsidRPr="008334AA">
        <w:rPr>
          <w:sz w:val="22"/>
        </w:rPr>
        <w:t>doi</w:t>
      </w:r>
      <w:proofErr w:type="spellEnd"/>
      <w:r w:rsidRPr="008334AA">
        <w:rPr>
          <w:sz w:val="22"/>
        </w:rPr>
        <w:t>: 10.1093/</w:t>
      </w:r>
      <w:proofErr w:type="spellStart"/>
      <w:r w:rsidRPr="008334AA">
        <w:rPr>
          <w:sz w:val="22"/>
        </w:rPr>
        <w:t>elt</w:t>
      </w:r>
      <w:proofErr w:type="spellEnd"/>
      <w:r w:rsidRPr="008334AA">
        <w:rPr>
          <w:sz w:val="22"/>
        </w:rPr>
        <w:t>/ccs064</w:t>
      </w:r>
    </w:p>
    <w:p w:rsidR="00D57DB5" w:rsidRPr="008334AA" w:rsidRDefault="00D57DB5" w:rsidP="00D57DB5">
      <w:pPr>
        <w:pStyle w:val="Normal1"/>
        <w:ind w:left="720" w:hanging="720"/>
        <w:jc w:val="both"/>
        <w:rPr>
          <w:color w:val="auto"/>
          <w:sz w:val="36"/>
          <w:lang w:val="sr-Cyrl-CS"/>
        </w:rPr>
      </w:pPr>
      <w:proofErr w:type="spellStart"/>
      <w:r w:rsidRPr="0037474C">
        <w:rPr>
          <w:color w:val="auto"/>
          <w:sz w:val="22"/>
          <w:shd w:val="clear" w:color="auto" w:fill="FFFFFF"/>
        </w:rPr>
        <w:t>Keengwe</w:t>
      </w:r>
      <w:proofErr w:type="spellEnd"/>
      <w:r w:rsidRPr="0037474C">
        <w:rPr>
          <w:color w:val="auto"/>
          <w:sz w:val="22"/>
          <w:shd w:val="clear" w:color="auto" w:fill="FFFFFF"/>
        </w:rPr>
        <w:t xml:space="preserve">, J., &amp; </w:t>
      </w:r>
      <w:proofErr w:type="spellStart"/>
      <w:r w:rsidRPr="0037474C">
        <w:rPr>
          <w:color w:val="auto"/>
          <w:sz w:val="22"/>
          <w:shd w:val="clear" w:color="auto" w:fill="FFFFFF"/>
        </w:rPr>
        <w:t>Bhargava</w:t>
      </w:r>
      <w:proofErr w:type="spellEnd"/>
      <w:r w:rsidRPr="0037474C">
        <w:rPr>
          <w:color w:val="auto"/>
          <w:sz w:val="22"/>
          <w:shd w:val="clear" w:color="auto" w:fill="FFFFFF"/>
        </w:rPr>
        <w:t>, M. (2014). Mobile learning and integration of mobile technologies in education. </w:t>
      </w:r>
      <w:r w:rsidRPr="0037474C">
        <w:rPr>
          <w:i/>
          <w:iCs/>
          <w:color w:val="auto"/>
          <w:sz w:val="22"/>
          <w:shd w:val="clear" w:color="auto" w:fill="FFFFFF"/>
        </w:rPr>
        <w:t>Education and Information Technologies</w:t>
      </w:r>
      <w:r w:rsidRPr="0037474C">
        <w:rPr>
          <w:color w:val="auto"/>
          <w:sz w:val="22"/>
          <w:shd w:val="clear" w:color="auto" w:fill="FFFFFF"/>
        </w:rPr>
        <w:t>, </w:t>
      </w:r>
      <w:r w:rsidRPr="0037474C">
        <w:rPr>
          <w:i/>
          <w:iCs/>
          <w:color w:val="auto"/>
          <w:sz w:val="22"/>
          <w:shd w:val="clear" w:color="auto" w:fill="FFFFFF"/>
        </w:rPr>
        <w:t>19</w:t>
      </w:r>
      <w:r w:rsidRPr="0037474C">
        <w:rPr>
          <w:color w:val="auto"/>
          <w:sz w:val="22"/>
          <w:shd w:val="clear" w:color="auto" w:fill="FFFFFF"/>
        </w:rPr>
        <w:t>(4), 737-746.</w:t>
      </w:r>
      <w:r>
        <w:rPr>
          <w:color w:val="auto"/>
          <w:sz w:val="22"/>
          <w:shd w:val="clear" w:color="auto" w:fill="FFFFFF"/>
        </w:rPr>
        <w:t xml:space="preserve"> </w:t>
      </w:r>
      <w:proofErr w:type="spellStart"/>
      <w:r w:rsidRPr="008334AA">
        <w:rPr>
          <w:color w:val="auto"/>
          <w:sz w:val="22"/>
        </w:rPr>
        <w:t>doi</w:t>
      </w:r>
      <w:proofErr w:type="spellEnd"/>
      <w:r w:rsidRPr="008334AA">
        <w:rPr>
          <w:color w:val="auto"/>
          <w:sz w:val="22"/>
        </w:rPr>
        <w:t xml:space="preserve">: </w:t>
      </w:r>
      <w:hyperlink r:id="rId8" w:tgtFrame="_self" w:history="1">
        <w:r w:rsidRPr="008334AA">
          <w:rPr>
            <w:rStyle w:val="Hyperlink"/>
            <w:color w:val="auto"/>
            <w:sz w:val="22"/>
            <w:u w:val="none"/>
          </w:rPr>
          <w:t>10.1007/s10639-013-9250-3</w:t>
        </w:r>
      </w:hyperlink>
    </w:p>
    <w:p w:rsidR="00D57DB5" w:rsidRPr="0037474C" w:rsidRDefault="00D57DB5" w:rsidP="00D57DB5">
      <w:pPr>
        <w:pStyle w:val="Normal1"/>
        <w:ind w:left="720" w:hanging="720"/>
        <w:jc w:val="both"/>
        <w:rPr>
          <w:color w:val="auto"/>
          <w:sz w:val="22"/>
        </w:rPr>
      </w:pPr>
      <w:r w:rsidRPr="0037474C">
        <w:rPr>
          <w:color w:val="auto"/>
          <w:sz w:val="22"/>
          <w:shd w:val="clear" w:color="auto" w:fill="FFFFFF"/>
        </w:rPr>
        <w:t>Khan</w:t>
      </w:r>
      <w:r>
        <w:rPr>
          <w:color w:val="auto"/>
          <w:sz w:val="22"/>
          <w:shd w:val="clear" w:color="auto" w:fill="FFFFFF"/>
        </w:rPr>
        <w:t>,</w:t>
      </w:r>
      <w:r w:rsidRPr="0037474C">
        <w:rPr>
          <w:color w:val="auto"/>
          <w:sz w:val="22"/>
          <w:shd w:val="clear" w:color="auto" w:fill="FFFFFF"/>
        </w:rPr>
        <w:t xml:space="preserve"> 2005:   Khan B. H. (2005). </w:t>
      </w:r>
      <w:r w:rsidRPr="0037474C">
        <w:rPr>
          <w:i/>
          <w:iCs/>
          <w:color w:val="auto"/>
          <w:sz w:val="22"/>
          <w:shd w:val="clear" w:color="auto" w:fill="FFFFFF"/>
        </w:rPr>
        <w:t>Managing e-learning: Design, delivery, implementation, and evaluation</w:t>
      </w:r>
      <w:r w:rsidRPr="0037474C">
        <w:rPr>
          <w:color w:val="auto"/>
          <w:sz w:val="22"/>
          <w:shd w:val="clear" w:color="auto" w:fill="FFFFFF"/>
        </w:rPr>
        <w:t>, IGI Global.</w:t>
      </w:r>
    </w:p>
    <w:p w:rsidR="00D57DB5" w:rsidRPr="00CA5701" w:rsidRDefault="00D57DB5" w:rsidP="00D57DB5">
      <w:pPr>
        <w:pStyle w:val="Normal1"/>
        <w:ind w:left="720" w:hanging="720"/>
        <w:jc w:val="both"/>
        <w:rPr>
          <w:color w:val="auto"/>
          <w:sz w:val="22"/>
          <w:szCs w:val="22"/>
          <w:shd w:val="clear" w:color="auto" w:fill="FFFFFF"/>
        </w:rPr>
      </w:pPr>
      <w:proofErr w:type="spellStart"/>
      <w:r w:rsidRPr="00CA5701">
        <w:rPr>
          <w:color w:val="auto"/>
          <w:sz w:val="22"/>
          <w:szCs w:val="22"/>
          <w:shd w:val="clear" w:color="auto" w:fill="FFFFFF"/>
        </w:rPr>
        <w:t>Kitching</w:t>
      </w:r>
      <w:proofErr w:type="spellEnd"/>
      <w:r w:rsidRPr="00CA5701">
        <w:rPr>
          <w:color w:val="auto"/>
          <w:sz w:val="22"/>
          <w:szCs w:val="22"/>
          <w:shd w:val="clear" w:color="auto" w:fill="FFFFFF"/>
        </w:rPr>
        <w:t>,</w:t>
      </w:r>
      <w:r>
        <w:rPr>
          <w:color w:val="auto"/>
          <w:sz w:val="22"/>
          <w:szCs w:val="22"/>
          <w:shd w:val="clear" w:color="auto" w:fill="FFFFFF"/>
        </w:rPr>
        <w:t xml:space="preserve"> L., </w:t>
      </w:r>
      <w:r w:rsidRPr="00CA5701">
        <w:rPr>
          <w:color w:val="auto"/>
          <w:sz w:val="22"/>
          <w:szCs w:val="22"/>
          <w:shd w:val="clear" w:color="auto" w:fill="FFFFFF"/>
        </w:rPr>
        <w:t>Wheeler</w:t>
      </w:r>
      <w:r>
        <w:rPr>
          <w:color w:val="auto"/>
          <w:sz w:val="22"/>
          <w:szCs w:val="22"/>
          <w:shd w:val="clear" w:color="auto" w:fill="FFFFFF"/>
        </w:rPr>
        <w:t xml:space="preserve"> </w:t>
      </w:r>
      <w:r w:rsidRPr="00CA5701">
        <w:rPr>
          <w:color w:val="auto"/>
          <w:sz w:val="22"/>
          <w:szCs w:val="22"/>
          <w:shd w:val="clear" w:color="auto" w:fill="FFFFFF"/>
        </w:rPr>
        <w:t xml:space="preserve">S. </w:t>
      </w:r>
      <w:r>
        <w:rPr>
          <w:color w:val="auto"/>
          <w:sz w:val="22"/>
          <w:szCs w:val="22"/>
          <w:shd w:val="clear" w:color="auto" w:fill="FFFFFF"/>
        </w:rPr>
        <w:t>(2013).</w:t>
      </w:r>
      <w:r w:rsidRPr="00CA5701">
        <w:rPr>
          <w:color w:val="auto"/>
          <w:sz w:val="22"/>
          <w:szCs w:val="22"/>
          <w:shd w:val="clear" w:color="auto" w:fill="FFFFFF"/>
        </w:rPr>
        <w:t xml:space="preserve"> Playing Games: Do Game Consoles have a Positive Impact on Girls' Learning Outcomes and Motivation?  </w:t>
      </w:r>
      <w:r w:rsidRPr="00CA5701">
        <w:rPr>
          <w:i/>
          <w:iCs/>
          <w:color w:val="auto"/>
          <w:sz w:val="22"/>
          <w:szCs w:val="22"/>
          <w:shd w:val="clear" w:color="auto" w:fill="FFFFFF"/>
        </w:rPr>
        <w:t>European Journal of Open, Distance and E-learning</w:t>
      </w:r>
      <w:r w:rsidRPr="00CA5701">
        <w:rPr>
          <w:color w:val="auto"/>
          <w:sz w:val="22"/>
          <w:szCs w:val="22"/>
          <w:shd w:val="clear" w:color="auto" w:fill="FFFFFF"/>
        </w:rPr>
        <w:t>, </w:t>
      </w:r>
      <w:r w:rsidRPr="00CA5701">
        <w:rPr>
          <w:i/>
          <w:iCs/>
          <w:color w:val="auto"/>
          <w:sz w:val="22"/>
          <w:szCs w:val="22"/>
          <w:shd w:val="clear" w:color="auto" w:fill="FFFFFF"/>
        </w:rPr>
        <w:t>16</w:t>
      </w:r>
      <w:r w:rsidRPr="00CA5701">
        <w:rPr>
          <w:color w:val="auto"/>
          <w:sz w:val="22"/>
          <w:szCs w:val="22"/>
          <w:shd w:val="clear" w:color="auto" w:fill="FFFFFF"/>
        </w:rPr>
        <w:t>(2).</w:t>
      </w:r>
    </w:p>
    <w:p w:rsidR="00D57DB5" w:rsidRPr="0037474C" w:rsidRDefault="00D57DB5" w:rsidP="00D57DB5">
      <w:pPr>
        <w:pStyle w:val="Normal1"/>
        <w:ind w:left="720" w:hanging="720"/>
        <w:jc w:val="both"/>
        <w:rPr>
          <w:color w:val="auto"/>
          <w:sz w:val="22"/>
          <w:lang w:val="sr-Cyrl-CS"/>
        </w:rPr>
      </w:pPr>
      <w:proofErr w:type="spellStart"/>
      <w:r w:rsidRPr="0037474C">
        <w:rPr>
          <w:color w:val="auto"/>
          <w:sz w:val="22"/>
          <w:shd w:val="clear" w:color="auto" w:fill="FFFFFF"/>
        </w:rPr>
        <w:t>Köse</w:t>
      </w:r>
      <w:proofErr w:type="spellEnd"/>
      <w:r w:rsidRPr="0037474C">
        <w:rPr>
          <w:color w:val="auto"/>
          <w:sz w:val="22"/>
          <w:shd w:val="clear" w:color="auto" w:fill="FFFFFF"/>
        </w:rPr>
        <w:t>, U. (2010). A blended learning model supported with Web 2.0 technologies. </w:t>
      </w:r>
      <w:proofErr w:type="spellStart"/>
      <w:r w:rsidRPr="0037474C">
        <w:rPr>
          <w:i/>
          <w:iCs/>
          <w:color w:val="auto"/>
          <w:sz w:val="22"/>
          <w:shd w:val="clear" w:color="auto" w:fill="FFFFFF"/>
        </w:rPr>
        <w:t>Procedia</w:t>
      </w:r>
      <w:proofErr w:type="spellEnd"/>
      <w:r w:rsidRPr="0037474C">
        <w:rPr>
          <w:i/>
          <w:iCs/>
          <w:color w:val="auto"/>
          <w:sz w:val="22"/>
          <w:shd w:val="clear" w:color="auto" w:fill="FFFFFF"/>
        </w:rPr>
        <w:t>-Social and Behavioral Sciences</w:t>
      </w:r>
      <w:r w:rsidRPr="0037474C">
        <w:rPr>
          <w:color w:val="auto"/>
          <w:sz w:val="22"/>
          <w:shd w:val="clear" w:color="auto" w:fill="FFFFFF"/>
        </w:rPr>
        <w:t>, </w:t>
      </w:r>
      <w:r w:rsidRPr="0037474C">
        <w:rPr>
          <w:i/>
          <w:iCs/>
          <w:color w:val="auto"/>
          <w:sz w:val="22"/>
          <w:shd w:val="clear" w:color="auto" w:fill="FFFFFF"/>
        </w:rPr>
        <w:t>2</w:t>
      </w:r>
      <w:r w:rsidRPr="0037474C">
        <w:rPr>
          <w:color w:val="auto"/>
          <w:sz w:val="22"/>
          <w:shd w:val="clear" w:color="auto" w:fill="FFFFFF"/>
        </w:rPr>
        <w:t>(2), 2794-2802.</w:t>
      </w:r>
    </w:p>
    <w:p w:rsidR="00D57DB5" w:rsidRPr="00CA5701" w:rsidRDefault="00D57DB5" w:rsidP="00D57DB5">
      <w:pPr>
        <w:pStyle w:val="Normal1"/>
        <w:ind w:left="720" w:hanging="720"/>
        <w:jc w:val="both"/>
        <w:rPr>
          <w:color w:val="auto"/>
          <w:sz w:val="22"/>
          <w:szCs w:val="22"/>
          <w:shd w:val="clear" w:color="auto" w:fill="FFFFFF"/>
        </w:rPr>
      </w:pPr>
      <w:proofErr w:type="spellStart"/>
      <w:r w:rsidRPr="00CA5701">
        <w:rPr>
          <w:color w:val="auto"/>
          <w:sz w:val="22"/>
          <w:szCs w:val="22"/>
          <w:shd w:val="clear" w:color="auto" w:fill="FFFFFF"/>
        </w:rPr>
        <w:t>Lisman</w:t>
      </w:r>
      <w:proofErr w:type="spellEnd"/>
      <w:r>
        <w:rPr>
          <w:color w:val="auto"/>
          <w:sz w:val="22"/>
          <w:szCs w:val="22"/>
          <w:shd w:val="clear" w:color="auto" w:fill="FFFFFF"/>
        </w:rPr>
        <w:t>,</w:t>
      </w:r>
      <w:r w:rsidRPr="00CA5701">
        <w:rPr>
          <w:color w:val="auto"/>
          <w:sz w:val="22"/>
          <w:szCs w:val="22"/>
          <w:shd w:val="clear" w:color="auto" w:fill="FFFFFF"/>
        </w:rPr>
        <w:t xml:space="preserve"> K. P. (2008). Theory of non-education: the mischief of the knowledge society. Zagreb: </w:t>
      </w:r>
      <w:proofErr w:type="spellStart"/>
      <w:r w:rsidRPr="00CA5701">
        <w:rPr>
          <w:iCs/>
          <w:color w:val="auto"/>
          <w:sz w:val="22"/>
          <w:szCs w:val="22"/>
          <w:shd w:val="clear" w:color="auto" w:fill="FFFFFF"/>
        </w:rPr>
        <w:t>Jesenski</w:t>
      </w:r>
      <w:proofErr w:type="spellEnd"/>
      <w:r w:rsidRPr="00CA5701">
        <w:rPr>
          <w:iCs/>
          <w:color w:val="auto"/>
          <w:sz w:val="22"/>
          <w:szCs w:val="22"/>
          <w:shd w:val="clear" w:color="auto" w:fill="FFFFFF"/>
        </w:rPr>
        <w:t xml:space="preserve"> </w:t>
      </w:r>
      <w:proofErr w:type="spellStart"/>
      <w:r w:rsidRPr="00CA5701">
        <w:rPr>
          <w:iCs/>
          <w:color w:val="auto"/>
          <w:sz w:val="22"/>
          <w:szCs w:val="22"/>
          <w:shd w:val="clear" w:color="auto" w:fill="FFFFFF"/>
        </w:rPr>
        <w:t>i</w:t>
      </w:r>
      <w:proofErr w:type="spellEnd"/>
      <w:r w:rsidRPr="00CA5701">
        <w:rPr>
          <w:iCs/>
          <w:color w:val="auto"/>
          <w:sz w:val="22"/>
          <w:szCs w:val="22"/>
          <w:shd w:val="clear" w:color="auto" w:fill="FFFFFF"/>
        </w:rPr>
        <w:t xml:space="preserve"> Turk</w:t>
      </w:r>
      <w:r w:rsidRPr="00CA5701">
        <w:rPr>
          <w:i/>
          <w:iCs/>
          <w:color w:val="auto"/>
          <w:sz w:val="22"/>
          <w:szCs w:val="22"/>
          <w:shd w:val="clear" w:color="auto" w:fill="FFFFFF"/>
        </w:rPr>
        <w:t>, Zagreb</w:t>
      </w:r>
      <w:r w:rsidRPr="00CA5701">
        <w:rPr>
          <w:color w:val="auto"/>
          <w:sz w:val="22"/>
          <w:szCs w:val="22"/>
          <w:shd w:val="clear" w:color="auto" w:fill="FFFFFF"/>
        </w:rPr>
        <w:t xml:space="preserve">. [In </w:t>
      </w:r>
      <w:proofErr w:type="spellStart"/>
      <w:r w:rsidRPr="00CA5701">
        <w:rPr>
          <w:color w:val="auto"/>
          <w:sz w:val="22"/>
          <w:szCs w:val="22"/>
          <w:shd w:val="clear" w:color="auto" w:fill="FFFFFF"/>
        </w:rPr>
        <w:t>Croation</w:t>
      </w:r>
      <w:proofErr w:type="spellEnd"/>
      <w:r w:rsidRPr="00CA5701">
        <w:rPr>
          <w:color w:val="auto"/>
          <w:sz w:val="22"/>
          <w:szCs w:val="22"/>
          <w:shd w:val="clear" w:color="auto" w:fill="FFFFFF"/>
        </w:rPr>
        <w:t>]</w:t>
      </w:r>
    </w:p>
    <w:p w:rsidR="00D57DB5" w:rsidRPr="00CA5701" w:rsidRDefault="00D57DB5" w:rsidP="00D57DB5">
      <w:pPr>
        <w:pStyle w:val="Normal1"/>
        <w:ind w:left="720" w:hanging="720"/>
        <w:jc w:val="both"/>
        <w:rPr>
          <w:color w:val="auto"/>
          <w:sz w:val="22"/>
          <w:szCs w:val="22"/>
          <w:lang w:val="sr-Latn-CS"/>
        </w:rPr>
      </w:pPr>
      <w:r>
        <w:rPr>
          <w:color w:val="auto"/>
          <w:sz w:val="22"/>
          <w:szCs w:val="22"/>
          <w:lang w:val="sr-Latn-CS"/>
        </w:rPr>
        <w:t>Livingstone S., Carr,</w:t>
      </w:r>
      <w:r w:rsidRPr="00CA5701">
        <w:rPr>
          <w:color w:val="auto"/>
          <w:sz w:val="22"/>
          <w:szCs w:val="22"/>
          <w:lang w:val="sr-Latn-CS"/>
        </w:rPr>
        <w:t>J. &amp;</w:t>
      </w:r>
      <w:r>
        <w:rPr>
          <w:color w:val="auto"/>
          <w:sz w:val="22"/>
          <w:szCs w:val="22"/>
          <w:lang w:val="sr-Latn-CS"/>
        </w:rPr>
        <w:t xml:space="preserve"> Byrne</w:t>
      </w:r>
      <w:r w:rsidRPr="00CA5701">
        <w:rPr>
          <w:color w:val="auto"/>
          <w:sz w:val="22"/>
          <w:szCs w:val="22"/>
          <w:lang w:val="sr-Latn-CS"/>
        </w:rPr>
        <w:t xml:space="preserve"> J. (2016). One in Three: Internet Governance and Children’s Rights. </w:t>
      </w:r>
      <w:r w:rsidRPr="00CA5701">
        <w:rPr>
          <w:i/>
          <w:iCs/>
          <w:color w:val="auto"/>
          <w:sz w:val="22"/>
          <w:szCs w:val="22"/>
          <w:lang w:val="sr-Latn-CS"/>
        </w:rPr>
        <w:t xml:space="preserve">Innocenti Discussion Paper </w:t>
      </w:r>
      <w:r w:rsidRPr="00CA5701">
        <w:rPr>
          <w:color w:val="auto"/>
          <w:sz w:val="22"/>
          <w:szCs w:val="22"/>
          <w:lang w:val="sr-Latn-CS"/>
        </w:rPr>
        <w:t>No. 2016-01, UNICEF Office of Research, Florence.</w:t>
      </w:r>
    </w:p>
    <w:p w:rsidR="00D57DB5" w:rsidRPr="00CA5701" w:rsidRDefault="00D57DB5" w:rsidP="00D57DB5">
      <w:pPr>
        <w:pStyle w:val="Normal1"/>
        <w:ind w:left="720" w:hanging="720"/>
        <w:jc w:val="both"/>
        <w:rPr>
          <w:color w:val="auto"/>
          <w:sz w:val="22"/>
          <w:szCs w:val="22"/>
          <w:shd w:val="clear" w:color="auto" w:fill="FFFFFF"/>
        </w:rPr>
      </w:pPr>
      <w:proofErr w:type="spellStart"/>
      <w:r>
        <w:rPr>
          <w:color w:val="auto"/>
          <w:sz w:val="22"/>
          <w:szCs w:val="22"/>
          <w:shd w:val="clear" w:color="auto" w:fill="FFFFFF"/>
        </w:rPr>
        <w:t>Matijevi,ć</w:t>
      </w:r>
      <w:proofErr w:type="spellEnd"/>
      <w:r>
        <w:rPr>
          <w:color w:val="auto"/>
          <w:sz w:val="22"/>
          <w:szCs w:val="22"/>
          <w:shd w:val="clear" w:color="auto" w:fill="FFFFFF"/>
        </w:rPr>
        <w:t xml:space="preserve"> M., &amp; </w:t>
      </w:r>
      <w:proofErr w:type="spellStart"/>
      <w:r>
        <w:rPr>
          <w:color w:val="auto"/>
          <w:sz w:val="22"/>
          <w:szCs w:val="22"/>
          <w:shd w:val="clear" w:color="auto" w:fill="FFFFFF"/>
        </w:rPr>
        <w:t>Topolovčan</w:t>
      </w:r>
      <w:proofErr w:type="spellEnd"/>
      <w:r>
        <w:rPr>
          <w:color w:val="auto"/>
          <w:sz w:val="22"/>
          <w:szCs w:val="22"/>
          <w:shd w:val="clear" w:color="auto" w:fill="FFFFFF"/>
        </w:rPr>
        <w:t xml:space="preserve">, </w:t>
      </w:r>
      <w:r w:rsidRPr="00CA5701">
        <w:rPr>
          <w:color w:val="auto"/>
          <w:sz w:val="22"/>
          <w:szCs w:val="22"/>
          <w:shd w:val="clear" w:color="auto" w:fill="FFFFFF"/>
        </w:rPr>
        <w:t xml:space="preserve"> T. (2017). Multimedia didactics. </w:t>
      </w:r>
      <w:r w:rsidRPr="00CA5701">
        <w:rPr>
          <w:i/>
          <w:iCs/>
          <w:color w:val="auto"/>
          <w:sz w:val="22"/>
          <w:szCs w:val="22"/>
          <w:shd w:val="clear" w:color="auto" w:fill="FFFFFF"/>
        </w:rPr>
        <w:t xml:space="preserve">Zagreb: </w:t>
      </w:r>
      <w:proofErr w:type="spellStart"/>
      <w:r w:rsidRPr="00CA5701">
        <w:rPr>
          <w:i/>
          <w:iCs/>
          <w:color w:val="auto"/>
          <w:sz w:val="22"/>
          <w:szCs w:val="22"/>
          <w:shd w:val="clear" w:color="auto" w:fill="FFFFFF"/>
        </w:rPr>
        <w:t>Školska</w:t>
      </w:r>
      <w:proofErr w:type="spellEnd"/>
      <w:r w:rsidRPr="00CA5701">
        <w:rPr>
          <w:i/>
          <w:iCs/>
          <w:color w:val="auto"/>
          <w:sz w:val="22"/>
          <w:szCs w:val="22"/>
          <w:shd w:val="clear" w:color="auto" w:fill="FFFFFF"/>
        </w:rPr>
        <w:t xml:space="preserve"> </w:t>
      </w:r>
      <w:proofErr w:type="spellStart"/>
      <w:r w:rsidRPr="00CA5701">
        <w:rPr>
          <w:i/>
          <w:iCs/>
          <w:color w:val="auto"/>
          <w:sz w:val="22"/>
          <w:szCs w:val="22"/>
          <w:shd w:val="clear" w:color="auto" w:fill="FFFFFF"/>
        </w:rPr>
        <w:t>knjiga</w:t>
      </w:r>
      <w:proofErr w:type="spellEnd"/>
      <w:r w:rsidRPr="00CA5701">
        <w:rPr>
          <w:color w:val="auto"/>
          <w:sz w:val="22"/>
          <w:szCs w:val="22"/>
          <w:shd w:val="clear" w:color="auto" w:fill="FFFFFF"/>
        </w:rPr>
        <w:t xml:space="preserve">. [In </w:t>
      </w:r>
      <w:proofErr w:type="spellStart"/>
      <w:r w:rsidRPr="00CA5701">
        <w:rPr>
          <w:color w:val="auto"/>
          <w:sz w:val="22"/>
          <w:szCs w:val="22"/>
          <w:shd w:val="clear" w:color="auto" w:fill="FFFFFF"/>
        </w:rPr>
        <w:t>Croation</w:t>
      </w:r>
      <w:proofErr w:type="spellEnd"/>
      <w:r w:rsidRPr="00CA5701">
        <w:rPr>
          <w:color w:val="auto"/>
          <w:sz w:val="22"/>
          <w:szCs w:val="22"/>
          <w:shd w:val="clear" w:color="auto" w:fill="FFFFFF"/>
        </w:rPr>
        <w:t>]</w:t>
      </w:r>
    </w:p>
    <w:p w:rsidR="00D57DB5" w:rsidRPr="0037474C" w:rsidRDefault="00D57DB5" w:rsidP="00D57DB5">
      <w:pPr>
        <w:pStyle w:val="Normal1"/>
        <w:ind w:left="720" w:hanging="720"/>
        <w:contextualSpacing/>
        <w:jc w:val="both"/>
        <w:rPr>
          <w:color w:val="auto"/>
          <w:sz w:val="22"/>
          <w:lang w:val="sr-Cyrl-CS"/>
        </w:rPr>
      </w:pPr>
      <w:r w:rsidRPr="00664BCA">
        <w:rPr>
          <w:bCs/>
          <w:sz w:val="22"/>
        </w:rPr>
        <w:t>MPNTR</w:t>
      </w:r>
      <w:r w:rsidRPr="0037474C">
        <w:rPr>
          <w:color w:val="auto"/>
          <w:sz w:val="22"/>
        </w:rPr>
        <w:t xml:space="preserve">, British Council (2017). </w:t>
      </w:r>
      <w:r w:rsidRPr="0037474C">
        <w:rPr>
          <w:i/>
          <w:color w:val="auto"/>
          <w:sz w:val="22"/>
        </w:rPr>
        <w:t>Digital Competence Framework - Digital Age Teacher</w:t>
      </w:r>
      <w:r w:rsidRPr="0037474C">
        <w:rPr>
          <w:color w:val="auto"/>
          <w:sz w:val="22"/>
        </w:rPr>
        <w:t xml:space="preserve">. </w:t>
      </w:r>
      <w:r w:rsidRPr="0037474C">
        <w:rPr>
          <w:color w:val="auto"/>
          <w:sz w:val="22"/>
          <w:lang w:val="sr-Cyrl-CS"/>
        </w:rPr>
        <w:t xml:space="preserve">Retreived  from: </w:t>
      </w:r>
      <w:r w:rsidRPr="0037474C">
        <w:rPr>
          <w:color w:val="auto"/>
          <w:sz w:val="22"/>
        </w:rPr>
        <w:t xml:space="preserve"> http://www.mpn.gov.rs/wp-content/uploads/2017/04/Okvir-digitalnih-kompetencija-Final-2.pdf [In Serbian]</w:t>
      </w:r>
    </w:p>
    <w:p w:rsidR="00D57DB5" w:rsidRPr="00CA5701" w:rsidRDefault="00D57DB5" w:rsidP="00D57DB5">
      <w:pPr>
        <w:pStyle w:val="Normal1"/>
        <w:ind w:left="720" w:hanging="720"/>
        <w:jc w:val="both"/>
        <w:rPr>
          <w:color w:val="auto"/>
          <w:sz w:val="22"/>
          <w:szCs w:val="22"/>
          <w:shd w:val="clear" w:color="auto" w:fill="FFFFFF"/>
        </w:rPr>
      </w:pPr>
      <w:proofErr w:type="spellStart"/>
      <w:r w:rsidRPr="00CA5701">
        <w:rPr>
          <w:color w:val="auto"/>
          <w:sz w:val="22"/>
          <w:szCs w:val="22"/>
        </w:rPr>
        <w:t>Nacionalni</w:t>
      </w:r>
      <w:proofErr w:type="spellEnd"/>
      <w:r w:rsidRPr="00CA5701">
        <w:rPr>
          <w:color w:val="auto"/>
          <w:sz w:val="22"/>
          <w:szCs w:val="22"/>
        </w:rPr>
        <w:t xml:space="preserve"> </w:t>
      </w:r>
      <w:proofErr w:type="spellStart"/>
      <w:r w:rsidRPr="00CA5701">
        <w:rPr>
          <w:color w:val="auto"/>
          <w:sz w:val="22"/>
          <w:szCs w:val="22"/>
        </w:rPr>
        <w:t>prosvetni</w:t>
      </w:r>
      <w:proofErr w:type="spellEnd"/>
      <w:r w:rsidRPr="00CA5701">
        <w:rPr>
          <w:color w:val="auto"/>
          <w:sz w:val="22"/>
          <w:szCs w:val="22"/>
        </w:rPr>
        <w:t xml:space="preserve"> </w:t>
      </w:r>
      <w:proofErr w:type="spellStart"/>
      <w:r w:rsidRPr="00CA5701">
        <w:rPr>
          <w:color w:val="auto"/>
          <w:sz w:val="22"/>
          <w:szCs w:val="22"/>
        </w:rPr>
        <w:t>savet</w:t>
      </w:r>
      <w:proofErr w:type="spellEnd"/>
      <w:r w:rsidRPr="00CA5701">
        <w:rPr>
          <w:color w:val="auto"/>
          <w:sz w:val="22"/>
          <w:szCs w:val="22"/>
        </w:rPr>
        <w:t xml:space="preserve"> (2011).  </w:t>
      </w:r>
      <w:r w:rsidRPr="00CA5701">
        <w:rPr>
          <w:i/>
          <w:iCs/>
          <w:color w:val="auto"/>
          <w:sz w:val="22"/>
          <w:szCs w:val="22"/>
        </w:rPr>
        <w:t>Education in Serbia: how to get better results. Directions of development and improvement of quality, preschool, basic and general secondary education 2010-2020</w:t>
      </w:r>
      <w:r w:rsidRPr="00CA5701">
        <w:rPr>
          <w:color w:val="auto"/>
          <w:sz w:val="22"/>
          <w:szCs w:val="22"/>
        </w:rPr>
        <w:t xml:space="preserve">. </w:t>
      </w:r>
      <w:r w:rsidRPr="00CA5701">
        <w:rPr>
          <w:color w:val="auto"/>
          <w:sz w:val="22"/>
          <w:szCs w:val="22"/>
          <w:shd w:val="clear" w:color="auto" w:fill="FFFFFF"/>
        </w:rPr>
        <w:t>[In Serbian]</w:t>
      </w:r>
    </w:p>
    <w:p w:rsidR="00D57DB5" w:rsidRPr="0037474C" w:rsidRDefault="00D57DB5" w:rsidP="00D57DB5">
      <w:pPr>
        <w:pStyle w:val="Normal1"/>
        <w:ind w:left="720" w:hanging="720"/>
        <w:jc w:val="both"/>
        <w:rPr>
          <w:color w:val="auto"/>
          <w:sz w:val="22"/>
        </w:rPr>
      </w:pPr>
      <w:proofErr w:type="spellStart"/>
      <w:r w:rsidRPr="0037474C">
        <w:rPr>
          <w:color w:val="auto"/>
          <w:sz w:val="22"/>
          <w:shd w:val="clear" w:color="auto" w:fill="FFFFFF"/>
        </w:rPr>
        <w:t>Nikolić</w:t>
      </w:r>
      <w:proofErr w:type="spellEnd"/>
      <w:r w:rsidRPr="0037474C">
        <w:rPr>
          <w:color w:val="auto"/>
          <w:sz w:val="22"/>
          <w:shd w:val="clear" w:color="auto" w:fill="FFFFFF"/>
        </w:rPr>
        <w:t xml:space="preserve">, I. A., </w:t>
      </w:r>
      <w:proofErr w:type="spellStart"/>
      <w:r w:rsidRPr="0037474C">
        <w:rPr>
          <w:color w:val="auto"/>
          <w:sz w:val="22"/>
          <w:shd w:val="clear" w:color="auto" w:fill="FFFFFF"/>
        </w:rPr>
        <w:t>Mandić</w:t>
      </w:r>
      <w:proofErr w:type="spellEnd"/>
      <w:r w:rsidRPr="0037474C">
        <w:rPr>
          <w:color w:val="auto"/>
          <w:sz w:val="22"/>
          <w:shd w:val="clear" w:color="auto" w:fill="FFFFFF"/>
        </w:rPr>
        <w:t xml:space="preserve">, D. P., &amp; </w:t>
      </w:r>
      <w:proofErr w:type="spellStart"/>
      <w:r w:rsidRPr="0037474C">
        <w:rPr>
          <w:color w:val="auto"/>
          <w:sz w:val="22"/>
          <w:shd w:val="clear" w:color="auto" w:fill="FFFFFF"/>
        </w:rPr>
        <w:t>Kostadinović</w:t>
      </w:r>
      <w:proofErr w:type="spellEnd"/>
      <w:r w:rsidRPr="0037474C">
        <w:rPr>
          <w:color w:val="auto"/>
          <w:sz w:val="22"/>
          <w:shd w:val="clear" w:color="auto" w:fill="FFFFFF"/>
        </w:rPr>
        <w:t xml:space="preserve">, I. S. (2017). The </w:t>
      </w:r>
      <w:proofErr w:type="spellStart"/>
      <w:r w:rsidRPr="0037474C">
        <w:rPr>
          <w:color w:val="auto"/>
          <w:sz w:val="22"/>
          <w:shd w:val="clear" w:color="auto" w:fill="FFFFFF"/>
        </w:rPr>
        <w:t>oppinion</w:t>
      </w:r>
      <w:proofErr w:type="spellEnd"/>
      <w:r w:rsidRPr="0037474C">
        <w:rPr>
          <w:color w:val="auto"/>
          <w:sz w:val="22"/>
          <w:shd w:val="clear" w:color="auto" w:fill="FFFFFF"/>
        </w:rPr>
        <w:t xml:space="preserve"> of teachers towards the educational concept of efficient school. </w:t>
      </w:r>
      <w:proofErr w:type="spellStart"/>
      <w:r w:rsidRPr="0037474C">
        <w:rPr>
          <w:i/>
          <w:iCs/>
          <w:color w:val="auto"/>
          <w:sz w:val="22"/>
          <w:shd w:val="clear" w:color="auto" w:fill="FFFFFF"/>
        </w:rPr>
        <w:t>Socioloski</w:t>
      </w:r>
      <w:proofErr w:type="spellEnd"/>
      <w:r w:rsidRPr="0037474C">
        <w:rPr>
          <w:i/>
          <w:iCs/>
          <w:color w:val="auto"/>
          <w:sz w:val="22"/>
          <w:shd w:val="clear" w:color="auto" w:fill="FFFFFF"/>
        </w:rPr>
        <w:t xml:space="preserve"> </w:t>
      </w:r>
      <w:proofErr w:type="spellStart"/>
      <w:r w:rsidRPr="0037474C">
        <w:rPr>
          <w:i/>
          <w:iCs/>
          <w:color w:val="auto"/>
          <w:sz w:val="22"/>
          <w:shd w:val="clear" w:color="auto" w:fill="FFFFFF"/>
        </w:rPr>
        <w:t>Pregled</w:t>
      </w:r>
      <w:proofErr w:type="spellEnd"/>
      <w:r w:rsidRPr="0037474C">
        <w:rPr>
          <w:color w:val="auto"/>
          <w:sz w:val="22"/>
          <w:shd w:val="clear" w:color="auto" w:fill="FFFFFF"/>
        </w:rPr>
        <w:t>, </w:t>
      </w:r>
      <w:r w:rsidRPr="0037474C">
        <w:rPr>
          <w:i/>
          <w:iCs/>
          <w:color w:val="auto"/>
          <w:sz w:val="22"/>
          <w:shd w:val="clear" w:color="auto" w:fill="FFFFFF"/>
        </w:rPr>
        <w:t>51</w:t>
      </w:r>
      <w:r w:rsidRPr="0037474C">
        <w:rPr>
          <w:color w:val="auto"/>
          <w:sz w:val="22"/>
          <w:shd w:val="clear" w:color="auto" w:fill="FFFFFF"/>
        </w:rPr>
        <w:t>(4).</w:t>
      </w:r>
      <w:r>
        <w:rPr>
          <w:color w:val="auto"/>
          <w:sz w:val="22"/>
          <w:shd w:val="clear" w:color="auto" w:fill="FFFFFF"/>
        </w:rPr>
        <w:t xml:space="preserve"> </w:t>
      </w:r>
      <w:proofErr w:type="spellStart"/>
      <w:r w:rsidRPr="00F61AF0">
        <w:rPr>
          <w:sz w:val="22"/>
        </w:rPr>
        <w:t>doi</w:t>
      </w:r>
      <w:proofErr w:type="spellEnd"/>
      <w:r w:rsidRPr="00F61AF0">
        <w:rPr>
          <w:sz w:val="22"/>
        </w:rPr>
        <w:t>: 10.5937/socpreg51-16200</w:t>
      </w:r>
      <w:r w:rsidRPr="0037474C">
        <w:rPr>
          <w:color w:val="auto"/>
          <w:sz w:val="22"/>
          <w:shd w:val="clear" w:color="auto" w:fill="FFFFFF"/>
        </w:rPr>
        <w:t xml:space="preserve"> </w:t>
      </w:r>
      <w:r w:rsidRPr="0037474C">
        <w:rPr>
          <w:color w:val="auto"/>
          <w:sz w:val="22"/>
        </w:rPr>
        <w:t>[In Serbian]</w:t>
      </w:r>
    </w:p>
    <w:p w:rsidR="00D57DB5" w:rsidRPr="00CA5701" w:rsidRDefault="00D57DB5" w:rsidP="00D57DB5">
      <w:pPr>
        <w:pStyle w:val="Normal1"/>
        <w:ind w:left="720" w:hanging="720"/>
        <w:jc w:val="both"/>
        <w:rPr>
          <w:color w:val="auto"/>
          <w:sz w:val="22"/>
          <w:szCs w:val="22"/>
        </w:rPr>
      </w:pPr>
      <w:proofErr w:type="spellStart"/>
      <w:r w:rsidRPr="00CA5701">
        <w:rPr>
          <w:rFonts w:eastAsia="Batang"/>
          <w:bCs/>
          <w:color w:val="auto"/>
          <w:sz w:val="22"/>
          <w:szCs w:val="22"/>
          <w:lang w:val="en-GB"/>
        </w:rPr>
        <w:t>Patric</w:t>
      </w:r>
      <w:proofErr w:type="spellEnd"/>
      <w:r>
        <w:rPr>
          <w:rFonts w:eastAsia="Batang"/>
          <w:bCs/>
          <w:color w:val="auto"/>
          <w:sz w:val="22"/>
          <w:szCs w:val="22"/>
          <w:lang w:val="en-GB"/>
        </w:rPr>
        <w:t>,</w:t>
      </w:r>
      <w:r w:rsidRPr="00CA5701">
        <w:rPr>
          <w:rFonts w:eastAsia="Batang"/>
          <w:bCs/>
          <w:color w:val="auto"/>
          <w:sz w:val="22"/>
          <w:szCs w:val="22"/>
          <w:lang w:val="en-GB"/>
        </w:rPr>
        <w:t xml:space="preserve"> F. (2009). </w:t>
      </w:r>
      <w:r w:rsidRPr="00CA5701">
        <w:rPr>
          <w:rFonts w:eastAsia="Batang"/>
          <w:bCs/>
          <w:i/>
          <w:iCs/>
          <w:color w:val="auto"/>
          <w:sz w:val="22"/>
          <w:szCs w:val="22"/>
          <w:lang w:val="en-GB"/>
        </w:rPr>
        <w:t>Digital Games in schools</w:t>
      </w:r>
      <w:r w:rsidRPr="00CA5701">
        <w:rPr>
          <w:rFonts w:eastAsia="Batang"/>
          <w:bCs/>
          <w:color w:val="auto"/>
          <w:sz w:val="22"/>
          <w:szCs w:val="22"/>
          <w:lang w:val="en-GB"/>
        </w:rPr>
        <w:t xml:space="preserve">: </w:t>
      </w:r>
      <w:r w:rsidRPr="00CA5701">
        <w:rPr>
          <w:rFonts w:eastAsia="Batang"/>
          <w:bCs/>
          <w:i/>
          <w:color w:val="auto"/>
          <w:sz w:val="22"/>
          <w:szCs w:val="22"/>
          <w:lang w:val="en-GB"/>
        </w:rPr>
        <w:t>A handbook for teachers</w:t>
      </w:r>
      <w:r w:rsidRPr="00CA5701">
        <w:rPr>
          <w:rFonts w:eastAsia="Batang"/>
          <w:bCs/>
          <w:color w:val="auto"/>
          <w:sz w:val="22"/>
          <w:szCs w:val="22"/>
          <w:lang w:val="en-GB"/>
        </w:rPr>
        <w:t xml:space="preserve">. Brussels: European </w:t>
      </w:r>
      <w:proofErr w:type="spellStart"/>
      <w:r w:rsidRPr="00CA5701">
        <w:rPr>
          <w:rFonts w:eastAsia="Batang"/>
          <w:bCs/>
          <w:color w:val="auto"/>
          <w:sz w:val="22"/>
          <w:szCs w:val="22"/>
          <w:lang w:val="en-GB"/>
        </w:rPr>
        <w:t>Schoolnet</w:t>
      </w:r>
      <w:proofErr w:type="spellEnd"/>
      <w:r w:rsidRPr="00CA5701">
        <w:rPr>
          <w:rFonts w:eastAsia="Batang"/>
          <w:bCs/>
          <w:color w:val="auto"/>
          <w:sz w:val="22"/>
          <w:szCs w:val="22"/>
          <w:lang w:val="en-GB"/>
        </w:rPr>
        <w:t xml:space="preserve">. </w:t>
      </w:r>
    </w:p>
    <w:p w:rsidR="00D57DB5" w:rsidRPr="0037474C" w:rsidRDefault="00D57DB5" w:rsidP="00D57DB5">
      <w:pPr>
        <w:pStyle w:val="Normal1"/>
        <w:ind w:left="720" w:hanging="720"/>
        <w:jc w:val="both"/>
        <w:rPr>
          <w:color w:val="auto"/>
          <w:sz w:val="22"/>
        </w:rPr>
      </w:pPr>
      <w:r w:rsidRPr="0037474C">
        <w:rPr>
          <w:color w:val="auto"/>
          <w:sz w:val="22"/>
          <w:highlight w:val="white"/>
          <w:lang w:val="sr-Cyrl-CS"/>
        </w:rPr>
        <w:lastRenderedPageBreak/>
        <w:t xml:space="preserve">Pegrum </w:t>
      </w:r>
      <w:r w:rsidRPr="0037474C">
        <w:rPr>
          <w:color w:val="auto"/>
          <w:sz w:val="22"/>
          <w:highlight w:val="white"/>
        </w:rPr>
        <w:t>M</w:t>
      </w:r>
      <w:r w:rsidRPr="0037474C">
        <w:rPr>
          <w:color w:val="auto"/>
          <w:sz w:val="22"/>
          <w:highlight w:val="white"/>
          <w:lang w:val="sr-Cyrl-CS"/>
        </w:rPr>
        <w:t xml:space="preserve">., Howitt </w:t>
      </w:r>
      <w:r w:rsidRPr="0037474C">
        <w:rPr>
          <w:color w:val="auto"/>
          <w:sz w:val="22"/>
          <w:highlight w:val="white"/>
        </w:rPr>
        <w:t xml:space="preserve">C. &amp; </w:t>
      </w:r>
      <w:r w:rsidRPr="0037474C">
        <w:rPr>
          <w:color w:val="auto"/>
          <w:sz w:val="22"/>
          <w:highlight w:val="white"/>
          <w:lang w:val="sr-Cyrl-CS"/>
        </w:rPr>
        <w:t xml:space="preserve">Striepe </w:t>
      </w:r>
      <w:r w:rsidRPr="0037474C">
        <w:rPr>
          <w:color w:val="auto"/>
          <w:sz w:val="22"/>
          <w:highlight w:val="white"/>
        </w:rPr>
        <w:t xml:space="preserve">M. </w:t>
      </w:r>
      <w:r w:rsidRPr="0037474C">
        <w:rPr>
          <w:color w:val="auto"/>
          <w:sz w:val="22"/>
          <w:highlight w:val="white"/>
          <w:lang w:val="sr-Cyrl-CS"/>
        </w:rPr>
        <w:t xml:space="preserve"> (2013). Learning to take the tablet: How pre-service teachers use iPads to facilitate their learning, </w:t>
      </w:r>
      <w:r w:rsidRPr="0037474C">
        <w:rPr>
          <w:i/>
          <w:color w:val="auto"/>
          <w:sz w:val="22"/>
          <w:highlight w:val="white"/>
          <w:lang w:val="sr-Cyrl-CS"/>
        </w:rPr>
        <w:t>Australasian Journal of Educational Technology</w:t>
      </w:r>
      <w:r w:rsidRPr="0037474C">
        <w:rPr>
          <w:color w:val="auto"/>
          <w:sz w:val="22"/>
          <w:highlight w:val="white"/>
          <w:lang w:val="sr-Cyrl-CS"/>
        </w:rPr>
        <w:t>, </w:t>
      </w:r>
      <w:r w:rsidRPr="0037474C">
        <w:rPr>
          <w:i/>
          <w:color w:val="auto"/>
          <w:sz w:val="22"/>
          <w:highlight w:val="white"/>
          <w:lang w:val="sr-Cyrl-CS"/>
        </w:rPr>
        <w:t>29</w:t>
      </w:r>
      <w:r w:rsidRPr="0037474C">
        <w:rPr>
          <w:color w:val="auto"/>
          <w:sz w:val="22"/>
          <w:highlight w:val="white"/>
          <w:lang w:val="sr-Cyrl-CS"/>
        </w:rPr>
        <w:t>(4), 464-479.</w:t>
      </w:r>
    </w:p>
    <w:p w:rsidR="00D57DB5" w:rsidRPr="00CA5701" w:rsidRDefault="00D57DB5" w:rsidP="00D57DB5">
      <w:pPr>
        <w:spacing w:after="240"/>
        <w:ind w:firstLine="0"/>
        <w:rPr>
          <w:color w:val="auto"/>
          <w:sz w:val="22"/>
          <w:szCs w:val="22"/>
          <w:shd w:val="clear" w:color="auto" w:fill="FFFFFF"/>
        </w:rPr>
      </w:pPr>
      <w:proofErr w:type="spellStart"/>
      <w:r>
        <w:rPr>
          <w:color w:val="auto"/>
          <w:sz w:val="22"/>
          <w:szCs w:val="22"/>
          <w:shd w:val="clear" w:color="auto" w:fill="FFFFFF"/>
        </w:rPr>
        <w:t>Petrović</w:t>
      </w:r>
      <w:proofErr w:type="spellEnd"/>
      <w:r>
        <w:rPr>
          <w:color w:val="auto"/>
          <w:sz w:val="22"/>
          <w:szCs w:val="22"/>
          <w:shd w:val="clear" w:color="auto" w:fill="FFFFFF"/>
        </w:rPr>
        <w:t xml:space="preserve">, </w:t>
      </w:r>
      <w:r w:rsidRPr="00CA5701">
        <w:rPr>
          <w:color w:val="auto"/>
          <w:sz w:val="22"/>
          <w:szCs w:val="22"/>
          <w:shd w:val="clear" w:color="auto" w:fill="FFFFFF"/>
        </w:rPr>
        <w:t xml:space="preserve"> D. (2013). </w:t>
      </w:r>
      <w:r w:rsidRPr="00CA5701">
        <w:rPr>
          <w:i/>
          <w:color w:val="auto"/>
          <w:sz w:val="22"/>
          <w:szCs w:val="22"/>
          <w:shd w:val="clear" w:color="auto" w:fill="FFFFFF"/>
        </w:rPr>
        <w:t>Social life in the Internet age</w:t>
      </w:r>
      <w:r w:rsidRPr="00CA5701">
        <w:rPr>
          <w:color w:val="auto"/>
          <w:sz w:val="22"/>
          <w:szCs w:val="22"/>
          <w:shd w:val="clear" w:color="auto" w:fill="FFFFFF"/>
        </w:rPr>
        <w:t>. Novi Sad: </w:t>
      </w:r>
      <w:proofErr w:type="spellStart"/>
      <w:r w:rsidRPr="00CA5701">
        <w:rPr>
          <w:iCs/>
          <w:color w:val="auto"/>
          <w:sz w:val="22"/>
          <w:szCs w:val="22"/>
          <w:shd w:val="clear" w:color="auto" w:fill="FFFFFF"/>
        </w:rPr>
        <w:t>Akademska</w:t>
      </w:r>
      <w:proofErr w:type="spellEnd"/>
      <w:r w:rsidRPr="00CA5701">
        <w:rPr>
          <w:iCs/>
          <w:color w:val="auto"/>
          <w:sz w:val="22"/>
          <w:szCs w:val="22"/>
          <w:shd w:val="clear" w:color="auto" w:fill="FFFFFF"/>
        </w:rPr>
        <w:t xml:space="preserve"> </w:t>
      </w:r>
      <w:proofErr w:type="spellStart"/>
      <w:r w:rsidRPr="00CA5701">
        <w:rPr>
          <w:iCs/>
          <w:color w:val="auto"/>
          <w:sz w:val="22"/>
          <w:szCs w:val="22"/>
          <w:shd w:val="clear" w:color="auto" w:fill="FFFFFF"/>
        </w:rPr>
        <w:t>knjiga</w:t>
      </w:r>
      <w:proofErr w:type="spellEnd"/>
      <w:r w:rsidRPr="00CA5701">
        <w:rPr>
          <w:iCs/>
          <w:color w:val="auto"/>
          <w:sz w:val="22"/>
          <w:szCs w:val="22"/>
          <w:shd w:val="clear" w:color="auto" w:fill="FFFFFF"/>
        </w:rPr>
        <w:t xml:space="preserve"> </w:t>
      </w:r>
      <w:r w:rsidRPr="00CA5701">
        <w:rPr>
          <w:color w:val="auto"/>
          <w:sz w:val="22"/>
          <w:szCs w:val="22"/>
          <w:shd w:val="clear" w:color="auto" w:fill="FFFFFF"/>
        </w:rPr>
        <w:t>[In Serbian]</w:t>
      </w:r>
    </w:p>
    <w:p w:rsidR="00D57DB5" w:rsidRDefault="00D57DB5" w:rsidP="00D57DB5">
      <w:pPr>
        <w:pStyle w:val="Normal1"/>
        <w:ind w:left="720" w:hanging="720"/>
        <w:contextualSpacing/>
        <w:jc w:val="both"/>
        <w:rPr>
          <w:color w:val="auto"/>
          <w:sz w:val="22"/>
        </w:rPr>
      </w:pPr>
      <w:r w:rsidRPr="0037474C">
        <w:rPr>
          <w:color w:val="auto"/>
          <w:sz w:val="22"/>
          <w:lang w:val="sr-Cyrl-CS"/>
        </w:rPr>
        <w:t>Popadić, D.</w:t>
      </w:r>
      <w:r w:rsidRPr="0037474C">
        <w:rPr>
          <w:color w:val="auto"/>
          <w:sz w:val="22"/>
        </w:rPr>
        <w:t xml:space="preserve"> &amp;</w:t>
      </w:r>
      <w:r w:rsidRPr="0037474C">
        <w:rPr>
          <w:color w:val="auto"/>
          <w:sz w:val="22"/>
          <w:lang w:val="sr-Cyrl-CS"/>
        </w:rPr>
        <w:t xml:space="preserve"> Kuzmanović, D. (2016)</w:t>
      </w:r>
      <w:r w:rsidRPr="0037474C">
        <w:rPr>
          <w:color w:val="auto"/>
          <w:sz w:val="22"/>
        </w:rPr>
        <w:t>.</w:t>
      </w:r>
      <w:r w:rsidRPr="0037474C">
        <w:rPr>
          <w:color w:val="auto"/>
          <w:sz w:val="22"/>
          <w:lang w:val="sr-Cyrl-CS"/>
        </w:rPr>
        <w:t xml:space="preserve"> </w:t>
      </w:r>
      <w:r w:rsidRPr="0037474C">
        <w:rPr>
          <w:i/>
          <w:color w:val="auto"/>
          <w:sz w:val="22"/>
          <w:lang w:val="sr-Cyrl-CS"/>
        </w:rPr>
        <w:t xml:space="preserve">Young people in the world of the Internet: using digital technology, risks and representation of digital violence among </w:t>
      </w:r>
      <w:r w:rsidRPr="0037474C">
        <w:rPr>
          <w:i/>
          <w:color w:val="auto"/>
          <w:sz w:val="22"/>
        </w:rPr>
        <w:t xml:space="preserve">pupils </w:t>
      </w:r>
      <w:r w:rsidRPr="0037474C">
        <w:rPr>
          <w:i/>
          <w:color w:val="auto"/>
          <w:sz w:val="22"/>
          <w:lang w:val="sr-Cyrl-CS"/>
        </w:rPr>
        <w:t xml:space="preserve">in Serbia. </w:t>
      </w:r>
      <w:r w:rsidRPr="0037474C">
        <w:rPr>
          <w:color w:val="auto"/>
          <w:sz w:val="22"/>
          <w:lang w:val="sr-Cyrl-CS"/>
        </w:rPr>
        <w:t>Beograd: Ministarstvo prosvete, nauke i tehnološkog razvoja Republike Srbije, UNICEF.</w:t>
      </w:r>
      <w:r w:rsidRPr="0037474C">
        <w:rPr>
          <w:color w:val="auto"/>
          <w:sz w:val="22"/>
        </w:rPr>
        <w:t xml:space="preserve"> [In Serbian]</w:t>
      </w:r>
    </w:p>
    <w:p w:rsidR="00D57DB5" w:rsidRPr="00D57DB5" w:rsidRDefault="00D57DB5" w:rsidP="00D57DB5">
      <w:pPr>
        <w:spacing w:after="240"/>
        <w:ind w:firstLine="0"/>
        <w:rPr>
          <w:color w:val="auto"/>
          <w:sz w:val="22"/>
          <w:szCs w:val="22"/>
        </w:rPr>
      </w:pPr>
      <w:proofErr w:type="spellStart"/>
      <w:r>
        <w:rPr>
          <w:color w:val="auto"/>
          <w:sz w:val="22"/>
          <w:szCs w:val="22"/>
        </w:rPr>
        <w:t>Popadić</w:t>
      </w:r>
      <w:proofErr w:type="spellEnd"/>
      <w:r>
        <w:rPr>
          <w:color w:val="auto"/>
          <w:sz w:val="22"/>
          <w:szCs w:val="22"/>
        </w:rPr>
        <w:t xml:space="preserve">, D., </w:t>
      </w:r>
      <w:proofErr w:type="spellStart"/>
      <w:r>
        <w:rPr>
          <w:color w:val="auto"/>
          <w:sz w:val="22"/>
          <w:szCs w:val="22"/>
        </w:rPr>
        <w:t>Pavlović</w:t>
      </w:r>
      <w:proofErr w:type="spellEnd"/>
      <w:r>
        <w:rPr>
          <w:color w:val="auto"/>
          <w:sz w:val="22"/>
          <w:szCs w:val="22"/>
        </w:rPr>
        <w:t xml:space="preserve">, Z., </w:t>
      </w:r>
      <w:proofErr w:type="spellStart"/>
      <w:r>
        <w:rPr>
          <w:color w:val="auto"/>
          <w:sz w:val="22"/>
          <w:szCs w:val="22"/>
        </w:rPr>
        <w:t>Petrović</w:t>
      </w:r>
      <w:proofErr w:type="spellEnd"/>
      <w:r>
        <w:rPr>
          <w:color w:val="auto"/>
          <w:sz w:val="22"/>
          <w:szCs w:val="22"/>
        </w:rPr>
        <w:t xml:space="preserve">, D. &amp; </w:t>
      </w:r>
      <w:proofErr w:type="spellStart"/>
      <w:r w:rsidRPr="00CA5701">
        <w:rPr>
          <w:color w:val="auto"/>
          <w:sz w:val="22"/>
          <w:szCs w:val="22"/>
        </w:rPr>
        <w:t>Kuzmanović</w:t>
      </w:r>
      <w:proofErr w:type="spellEnd"/>
      <w:r w:rsidRPr="00CA5701">
        <w:rPr>
          <w:color w:val="auto"/>
          <w:sz w:val="22"/>
          <w:szCs w:val="22"/>
        </w:rPr>
        <w:t xml:space="preserve">, D. (2016) </w:t>
      </w:r>
      <w:r w:rsidRPr="00CA5701">
        <w:rPr>
          <w:rStyle w:val="Emphasis"/>
          <w:color w:val="auto"/>
          <w:sz w:val="22"/>
          <w:szCs w:val="22"/>
        </w:rPr>
        <w:t>Global kids online Serbia: Balancing between Opportunities and Risks. Results from the Pilot Study</w:t>
      </w:r>
      <w:r w:rsidRPr="00CA5701">
        <w:rPr>
          <w:color w:val="auto"/>
          <w:sz w:val="22"/>
          <w:szCs w:val="22"/>
        </w:rPr>
        <w:t>, Belgrade: University of Belgrade, at:  www.globalkidsonline/serbia</w:t>
      </w:r>
    </w:p>
    <w:p w:rsidR="00D57DB5" w:rsidRPr="0037474C" w:rsidRDefault="00D57DB5" w:rsidP="00D57DB5">
      <w:pPr>
        <w:pStyle w:val="Normal1"/>
        <w:ind w:left="720" w:hanging="720"/>
        <w:jc w:val="both"/>
        <w:rPr>
          <w:color w:val="auto"/>
          <w:sz w:val="22"/>
          <w:szCs w:val="22"/>
          <w:lang w:val="sr-Cyrl-CS"/>
        </w:rPr>
      </w:pPr>
      <w:r w:rsidRPr="0037474C">
        <w:rPr>
          <w:color w:val="auto"/>
          <w:sz w:val="22"/>
          <w:szCs w:val="22"/>
          <w:lang w:val="sr-Cyrl-CS"/>
        </w:rPr>
        <w:t>Ristić, M.</w:t>
      </w:r>
      <w:r w:rsidRPr="0037474C">
        <w:rPr>
          <w:color w:val="auto"/>
          <w:sz w:val="22"/>
          <w:szCs w:val="22"/>
        </w:rPr>
        <w:t xml:space="preserve"> &amp;</w:t>
      </w:r>
      <w:r w:rsidRPr="0037474C">
        <w:rPr>
          <w:color w:val="auto"/>
          <w:sz w:val="22"/>
          <w:szCs w:val="22"/>
          <w:lang w:val="sr-Cyrl-CS"/>
        </w:rPr>
        <w:t xml:space="preserve"> Blagdanić, S. (2017). </w:t>
      </w:r>
      <w:r w:rsidRPr="0037474C">
        <w:rPr>
          <w:color w:val="auto"/>
          <w:sz w:val="22"/>
          <w:szCs w:val="22"/>
        </w:rPr>
        <w:t>New trends in education – out-of-classroom teaching and learning in digital environment</w:t>
      </w:r>
      <w:r w:rsidRPr="0037474C">
        <w:rPr>
          <w:color w:val="auto"/>
          <w:sz w:val="22"/>
          <w:szCs w:val="22"/>
          <w:lang w:val="sr-Cyrl-CS"/>
        </w:rPr>
        <w:t xml:space="preserve">. </w:t>
      </w:r>
      <w:r w:rsidRPr="0037474C">
        <w:rPr>
          <w:i/>
          <w:color w:val="auto"/>
          <w:sz w:val="22"/>
          <w:szCs w:val="22"/>
          <w:lang w:val="sr-Cyrl-CS"/>
        </w:rPr>
        <w:t>Inovacije u nastavi</w:t>
      </w:r>
      <w:r w:rsidRPr="0037474C">
        <w:rPr>
          <w:color w:val="auto"/>
          <w:sz w:val="22"/>
          <w:szCs w:val="22"/>
          <w:lang w:val="sr-Cyrl-CS"/>
        </w:rPr>
        <w:t xml:space="preserve">. XXX, 2017/2, 1–14. </w:t>
      </w:r>
      <w:hyperlink r:id="rId9">
        <w:r w:rsidRPr="0037474C">
          <w:rPr>
            <w:color w:val="auto"/>
            <w:sz w:val="22"/>
            <w:szCs w:val="22"/>
            <w:highlight w:val="white"/>
            <w:lang w:val="sr-Cyrl-CS"/>
          </w:rPr>
          <w:t>doi:10.5937/inovacije1702001R</w:t>
        </w:r>
      </w:hyperlink>
      <w:r w:rsidRPr="0037474C">
        <w:rPr>
          <w:color w:val="auto"/>
          <w:sz w:val="22"/>
          <w:szCs w:val="22"/>
        </w:rPr>
        <w:t>.</w:t>
      </w:r>
      <w:r w:rsidRPr="0037474C">
        <w:rPr>
          <w:color w:val="auto"/>
          <w:sz w:val="22"/>
          <w:szCs w:val="22"/>
          <w:lang w:val="sr-Cyrl-CS"/>
        </w:rPr>
        <w:t xml:space="preserve"> </w:t>
      </w:r>
      <w:r w:rsidRPr="0037474C">
        <w:rPr>
          <w:color w:val="auto"/>
          <w:sz w:val="22"/>
        </w:rPr>
        <w:t>[In Serbian]</w:t>
      </w:r>
      <w:r w:rsidRPr="0037474C">
        <w:rPr>
          <w:color w:val="auto"/>
          <w:sz w:val="22"/>
          <w:szCs w:val="22"/>
          <w:lang w:val="sr-Cyrl-CS"/>
        </w:rPr>
        <w:t xml:space="preserve"> </w:t>
      </w:r>
    </w:p>
    <w:p w:rsidR="00D57DB5" w:rsidRPr="0037474C" w:rsidRDefault="00D57DB5" w:rsidP="00D57DB5">
      <w:pPr>
        <w:pStyle w:val="Normal1"/>
        <w:ind w:left="720" w:hanging="720"/>
        <w:contextualSpacing/>
        <w:jc w:val="both"/>
        <w:rPr>
          <w:color w:val="auto"/>
          <w:sz w:val="22"/>
        </w:rPr>
      </w:pPr>
      <w:r w:rsidRPr="0037474C">
        <w:rPr>
          <w:color w:val="auto"/>
          <w:sz w:val="22"/>
          <w:highlight w:val="white"/>
          <w:lang w:val="sr-Cyrl-CS"/>
        </w:rPr>
        <w:t xml:space="preserve">Ristić, M. (2018). </w:t>
      </w:r>
      <w:r w:rsidRPr="0037474C">
        <w:rPr>
          <w:color w:val="auto"/>
          <w:sz w:val="22"/>
        </w:rPr>
        <w:t>Digital competencies of teachers and associates</w:t>
      </w:r>
      <w:r w:rsidRPr="0037474C">
        <w:rPr>
          <w:color w:val="auto"/>
          <w:sz w:val="22"/>
          <w:highlight w:val="white"/>
          <w:lang w:val="sr-Cyrl-CS"/>
        </w:rPr>
        <w:t xml:space="preserve">. </w:t>
      </w:r>
      <w:r w:rsidRPr="0037474C">
        <w:rPr>
          <w:color w:val="auto"/>
          <w:sz w:val="22"/>
          <w:highlight w:val="white"/>
        </w:rPr>
        <w:t>In</w:t>
      </w:r>
      <w:r w:rsidRPr="0037474C">
        <w:rPr>
          <w:color w:val="auto"/>
          <w:sz w:val="22"/>
          <w:highlight w:val="white"/>
          <w:lang w:val="sr-Cyrl-CS"/>
        </w:rPr>
        <w:t>:</w:t>
      </w:r>
      <w:r w:rsidRPr="0037474C">
        <w:rPr>
          <w:color w:val="auto"/>
          <w:sz w:val="22"/>
          <w:highlight w:val="white"/>
        </w:rPr>
        <w:t xml:space="preserve"> V.</w:t>
      </w:r>
      <w:r w:rsidRPr="0037474C">
        <w:rPr>
          <w:color w:val="auto"/>
          <w:sz w:val="22"/>
          <w:highlight w:val="white"/>
          <w:lang w:val="sr-Cyrl-CS"/>
        </w:rPr>
        <w:t xml:space="preserve"> Katić, (</w:t>
      </w:r>
      <w:r w:rsidRPr="0037474C">
        <w:rPr>
          <w:color w:val="auto"/>
          <w:sz w:val="22"/>
          <w:highlight w:val="white"/>
        </w:rPr>
        <w:t>Ed</w:t>
      </w:r>
      <w:r w:rsidRPr="0037474C">
        <w:rPr>
          <w:color w:val="auto"/>
          <w:sz w:val="22"/>
          <w:highlight w:val="white"/>
          <w:lang w:val="sr-Cyrl-CS"/>
        </w:rPr>
        <w:t>.). </w:t>
      </w:r>
      <w:r w:rsidRPr="0037474C">
        <w:rPr>
          <w:color w:val="auto"/>
          <w:sz w:val="22"/>
          <w:shd w:val="clear" w:color="auto" w:fill="FFFFFF"/>
        </w:rPr>
        <w:t>Proceedings of the</w:t>
      </w:r>
      <w:r w:rsidRPr="0037474C">
        <w:rPr>
          <w:i/>
          <w:color w:val="auto"/>
          <w:sz w:val="22"/>
          <w:highlight w:val="white"/>
          <w:lang w:val="sr-Cyrl-CS"/>
        </w:rPr>
        <w:t xml:space="preserve"> </w:t>
      </w:r>
      <w:r w:rsidRPr="0037474C">
        <w:rPr>
          <w:color w:val="auto"/>
          <w:sz w:val="22"/>
          <w:highlight w:val="white"/>
          <w:lang w:val="sr-Cyrl-CS"/>
        </w:rPr>
        <w:t xml:space="preserve">XXIV </w:t>
      </w:r>
      <w:r w:rsidRPr="0037474C">
        <w:rPr>
          <w:color w:val="auto"/>
          <w:sz w:val="22"/>
          <w:highlight w:val="white"/>
        </w:rPr>
        <w:t>Meeting</w:t>
      </w:r>
      <w:r w:rsidRPr="0037474C">
        <w:rPr>
          <w:i/>
          <w:color w:val="auto"/>
          <w:sz w:val="22"/>
          <w:highlight w:val="white"/>
        </w:rPr>
        <w:t>:</w:t>
      </w:r>
      <w:r w:rsidRPr="0037474C">
        <w:rPr>
          <w:i/>
          <w:color w:val="auto"/>
          <w:sz w:val="22"/>
        </w:rPr>
        <w:t xml:space="preserve"> </w:t>
      </w:r>
      <w:r w:rsidRPr="0037474C">
        <w:rPr>
          <w:i/>
          <w:color w:val="auto"/>
          <w:sz w:val="22"/>
          <w:lang w:val="sr-Cyrl-CS"/>
        </w:rPr>
        <w:t>Trends of development: Digitization of higher education</w:t>
      </w:r>
      <w:r w:rsidRPr="0037474C">
        <w:rPr>
          <w:i/>
          <w:color w:val="auto"/>
          <w:sz w:val="22"/>
          <w:highlight w:val="white"/>
          <w:lang w:val="sr-Cyrl-CS"/>
        </w:rPr>
        <w:t xml:space="preserve"> </w:t>
      </w:r>
      <w:r w:rsidRPr="0037474C">
        <w:rPr>
          <w:color w:val="auto"/>
          <w:sz w:val="22"/>
          <w:highlight w:val="white"/>
          <w:lang w:val="sr-Cyrl-CS"/>
        </w:rPr>
        <w:t>(</w:t>
      </w:r>
      <w:r w:rsidRPr="0037474C">
        <w:rPr>
          <w:color w:val="auto"/>
          <w:sz w:val="22"/>
          <w:highlight w:val="white"/>
        </w:rPr>
        <w:t xml:space="preserve">pp </w:t>
      </w:r>
      <w:r w:rsidRPr="0037474C">
        <w:rPr>
          <w:color w:val="auto"/>
          <w:sz w:val="22"/>
          <w:highlight w:val="white"/>
          <w:lang w:val="sr-Cyrl-CS"/>
        </w:rPr>
        <w:t xml:space="preserve">123–126). Kopaonik: Fakultet tehničkih nauka Univerziteta u Novom Sadu. </w:t>
      </w:r>
      <w:r w:rsidRPr="0037474C">
        <w:rPr>
          <w:color w:val="auto"/>
          <w:sz w:val="22"/>
        </w:rPr>
        <w:t>[In Serbian]</w:t>
      </w:r>
    </w:p>
    <w:p w:rsidR="00D57DB5" w:rsidRPr="0037474C" w:rsidRDefault="00D57DB5" w:rsidP="00D57DB5">
      <w:pPr>
        <w:pStyle w:val="Normal1"/>
        <w:ind w:left="720" w:hanging="720"/>
        <w:jc w:val="both"/>
        <w:rPr>
          <w:color w:val="auto"/>
          <w:sz w:val="22"/>
          <w:lang w:val="sr-Cyrl-CS"/>
        </w:rPr>
      </w:pPr>
      <w:r w:rsidRPr="0037474C">
        <w:rPr>
          <w:color w:val="auto"/>
          <w:sz w:val="22"/>
          <w:lang w:val="sr-Cyrl-CS"/>
        </w:rPr>
        <w:t xml:space="preserve">Ristić, M.&amp; Mandić, D. (2017). </w:t>
      </w:r>
      <w:r w:rsidRPr="0037474C">
        <w:rPr>
          <w:i/>
          <w:color w:val="auto"/>
          <w:sz w:val="22"/>
          <w:lang w:val="sr-Latn-CS"/>
        </w:rPr>
        <w:t>Distance learning</w:t>
      </w:r>
      <w:r w:rsidRPr="0037474C">
        <w:rPr>
          <w:i/>
          <w:color w:val="auto"/>
          <w:sz w:val="22"/>
          <w:lang w:val="sr-Cyrl-CS"/>
        </w:rPr>
        <w:t xml:space="preserve">. </w:t>
      </w:r>
      <w:r w:rsidRPr="0037474C">
        <w:rPr>
          <w:color w:val="auto"/>
          <w:sz w:val="22"/>
          <w:lang w:val="sr-Cyrl-CS"/>
        </w:rPr>
        <w:t xml:space="preserve">Beograd: Učiteljski fakultet. </w:t>
      </w:r>
      <w:r w:rsidRPr="0037474C">
        <w:rPr>
          <w:color w:val="auto"/>
          <w:sz w:val="22"/>
        </w:rPr>
        <w:t>[In Serbian]</w:t>
      </w:r>
      <w:r w:rsidRPr="0037474C">
        <w:rPr>
          <w:color w:val="auto"/>
          <w:sz w:val="22"/>
          <w:lang w:val="sr-Cyrl-CS"/>
        </w:rPr>
        <w:t xml:space="preserve"> </w:t>
      </w:r>
    </w:p>
    <w:p w:rsidR="00D57DB5" w:rsidRPr="0037474C" w:rsidRDefault="00D57DB5" w:rsidP="00D57DB5">
      <w:pPr>
        <w:pStyle w:val="Normal1"/>
        <w:ind w:left="720" w:hanging="720"/>
        <w:jc w:val="both"/>
        <w:rPr>
          <w:color w:val="auto"/>
          <w:sz w:val="22"/>
        </w:rPr>
      </w:pPr>
      <w:r w:rsidRPr="0037474C">
        <w:rPr>
          <w:color w:val="auto"/>
          <w:sz w:val="22"/>
        </w:rPr>
        <w:t xml:space="preserve">Rulebook on Continuing Professional Development and Promotion to Teachers, Educators and Professional Associates (2017). </w:t>
      </w:r>
      <w:proofErr w:type="spellStart"/>
      <w:r w:rsidRPr="0037474C">
        <w:rPr>
          <w:color w:val="auto"/>
          <w:sz w:val="22"/>
        </w:rPr>
        <w:t>Službeni</w:t>
      </w:r>
      <w:proofErr w:type="spellEnd"/>
      <w:r w:rsidRPr="0037474C">
        <w:rPr>
          <w:color w:val="auto"/>
          <w:sz w:val="22"/>
        </w:rPr>
        <w:t xml:space="preserve"> </w:t>
      </w:r>
      <w:proofErr w:type="spellStart"/>
      <w:r w:rsidRPr="0037474C">
        <w:rPr>
          <w:color w:val="auto"/>
          <w:sz w:val="22"/>
        </w:rPr>
        <w:t>glasnik</w:t>
      </w:r>
      <w:proofErr w:type="spellEnd"/>
      <w:r w:rsidRPr="0037474C">
        <w:rPr>
          <w:color w:val="auto"/>
          <w:sz w:val="22"/>
        </w:rPr>
        <w:t xml:space="preserve"> RS br. 81 [In Serbian]</w:t>
      </w:r>
    </w:p>
    <w:p w:rsidR="00D57DB5" w:rsidRPr="00CA5701" w:rsidRDefault="00D57DB5" w:rsidP="00D57DB5">
      <w:pPr>
        <w:spacing w:after="240"/>
        <w:ind w:firstLine="0"/>
        <w:rPr>
          <w:color w:val="auto"/>
          <w:sz w:val="22"/>
          <w:szCs w:val="22"/>
          <w:shd w:val="clear" w:color="auto" w:fill="FFFFFF"/>
        </w:rPr>
      </w:pPr>
      <w:proofErr w:type="spellStart"/>
      <w:r w:rsidRPr="00CA5701">
        <w:rPr>
          <w:color w:val="auto"/>
          <w:sz w:val="22"/>
          <w:szCs w:val="22"/>
          <w:shd w:val="clear" w:color="auto" w:fill="FFFFFF"/>
        </w:rPr>
        <w:t>Stanković</w:t>
      </w:r>
      <w:proofErr w:type="spellEnd"/>
      <w:r>
        <w:rPr>
          <w:color w:val="auto"/>
          <w:sz w:val="22"/>
          <w:szCs w:val="22"/>
          <w:shd w:val="clear" w:color="auto" w:fill="FFFFFF"/>
        </w:rPr>
        <w:t>,</w:t>
      </w:r>
      <w:r w:rsidRPr="00CA5701">
        <w:rPr>
          <w:color w:val="auto"/>
          <w:sz w:val="22"/>
          <w:szCs w:val="22"/>
          <w:shd w:val="clear" w:color="auto" w:fill="FFFFFF"/>
        </w:rPr>
        <w:t xml:space="preserve"> D. (2011).</w:t>
      </w:r>
      <w:r w:rsidRPr="00CA5701">
        <w:rPr>
          <w:color w:val="auto"/>
          <w:sz w:val="22"/>
          <w:szCs w:val="22"/>
        </w:rPr>
        <w:t xml:space="preserve"> </w:t>
      </w:r>
      <w:r w:rsidRPr="00CA5701">
        <w:rPr>
          <w:color w:val="auto"/>
          <w:sz w:val="22"/>
          <w:szCs w:val="22"/>
          <w:shd w:val="clear" w:color="auto" w:fill="FFFFFF"/>
        </w:rPr>
        <w:t xml:space="preserve">Educational changes in Serbia (2000 - 2010).  In: M. </w:t>
      </w:r>
      <w:proofErr w:type="spellStart"/>
      <w:r w:rsidRPr="00CA5701">
        <w:rPr>
          <w:color w:val="auto"/>
          <w:sz w:val="22"/>
          <w:szCs w:val="22"/>
          <w:shd w:val="clear" w:color="auto" w:fill="FFFFFF"/>
        </w:rPr>
        <w:t>Vujačić</w:t>
      </w:r>
      <w:proofErr w:type="spellEnd"/>
      <w:r w:rsidRPr="00CA5701">
        <w:rPr>
          <w:color w:val="auto"/>
          <w:sz w:val="22"/>
          <w:szCs w:val="22"/>
          <w:shd w:val="clear" w:color="auto" w:fill="FFFFFF"/>
        </w:rPr>
        <w:t>, J.</w:t>
      </w:r>
      <w:r w:rsidRPr="00CA5701">
        <w:rPr>
          <w:iCs/>
          <w:color w:val="auto"/>
          <w:sz w:val="22"/>
          <w:szCs w:val="22"/>
          <w:shd w:val="clear" w:color="auto" w:fill="FFFFFF"/>
        </w:rPr>
        <w:t xml:space="preserve"> </w:t>
      </w:r>
      <w:proofErr w:type="spellStart"/>
      <w:r w:rsidRPr="00CA5701">
        <w:rPr>
          <w:iCs/>
          <w:color w:val="auto"/>
          <w:sz w:val="22"/>
          <w:szCs w:val="22"/>
          <w:shd w:val="clear" w:color="auto" w:fill="FFFFFF"/>
        </w:rPr>
        <w:t>Pavlović</w:t>
      </w:r>
      <w:proofErr w:type="spellEnd"/>
      <w:r w:rsidRPr="00CA5701">
        <w:rPr>
          <w:iCs/>
          <w:color w:val="auto"/>
          <w:sz w:val="22"/>
          <w:szCs w:val="22"/>
          <w:shd w:val="clear" w:color="auto" w:fill="FFFFFF"/>
        </w:rPr>
        <w:t xml:space="preserve">, D. </w:t>
      </w:r>
      <w:proofErr w:type="spellStart"/>
      <w:r w:rsidRPr="00CA5701">
        <w:rPr>
          <w:iCs/>
          <w:color w:val="auto"/>
          <w:sz w:val="22"/>
          <w:szCs w:val="22"/>
          <w:shd w:val="clear" w:color="auto" w:fill="FFFFFF"/>
        </w:rPr>
        <w:t>Stanković</w:t>
      </w:r>
      <w:proofErr w:type="spellEnd"/>
      <w:r w:rsidRPr="00CA5701">
        <w:rPr>
          <w:iCs/>
          <w:color w:val="auto"/>
          <w:sz w:val="22"/>
          <w:szCs w:val="22"/>
          <w:shd w:val="clear" w:color="auto" w:fill="FFFFFF"/>
        </w:rPr>
        <w:t xml:space="preserve">, V. </w:t>
      </w:r>
      <w:proofErr w:type="spellStart"/>
      <w:r w:rsidRPr="00CA5701">
        <w:rPr>
          <w:iCs/>
          <w:color w:val="auto"/>
          <w:sz w:val="22"/>
          <w:szCs w:val="22"/>
          <w:shd w:val="clear" w:color="auto" w:fill="FFFFFF"/>
        </w:rPr>
        <w:t>Džinović</w:t>
      </w:r>
      <w:proofErr w:type="spellEnd"/>
      <w:r w:rsidRPr="00CA5701">
        <w:rPr>
          <w:iCs/>
          <w:color w:val="auto"/>
          <w:sz w:val="22"/>
          <w:szCs w:val="22"/>
          <w:shd w:val="clear" w:color="auto" w:fill="FFFFFF"/>
        </w:rPr>
        <w:t xml:space="preserve">, I. </w:t>
      </w:r>
      <w:proofErr w:type="spellStart"/>
      <w:r w:rsidRPr="00CA5701">
        <w:rPr>
          <w:iCs/>
          <w:color w:val="auto"/>
          <w:sz w:val="22"/>
          <w:szCs w:val="22"/>
          <w:shd w:val="clear" w:color="auto" w:fill="FFFFFF"/>
        </w:rPr>
        <w:t>Đerić</w:t>
      </w:r>
      <w:proofErr w:type="spellEnd"/>
      <w:r w:rsidRPr="00CA5701">
        <w:rPr>
          <w:iCs/>
          <w:color w:val="auto"/>
          <w:sz w:val="22"/>
          <w:szCs w:val="22"/>
          <w:shd w:val="clear" w:color="auto" w:fill="FFFFFF"/>
        </w:rPr>
        <w:t>, I.(Ed.).</w:t>
      </w:r>
      <w:r w:rsidRPr="00CA5701">
        <w:rPr>
          <w:i/>
          <w:iCs/>
          <w:color w:val="auto"/>
          <w:sz w:val="22"/>
          <w:szCs w:val="22"/>
          <w:shd w:val="clear" w:color="auto" w:fill="FFFFFF"/>
        </w:rPr>
        <w:t xml:space="preserve"> </w:t>
      </w:r>
      <w:r w:rsidRPr="00CA5701">
        <w:rPr>
          <w:i/>
          <w:color w:val="auto"/>
          <w:sz w:val="22"/>
          <w:szCs w:val="22"/>
          <w:shd w:val="clear" w:color="auto" w:fill="FFFFFF"/>
        </w:rPr>
        <w:t xml:space="preserve">Perceptions of educational changes in the past: Ten years of our lives </w:t>
      </w:r>
      <w:r w:rsidRPr="00CA5701">
        <w:rPr>
          <w:color w:val="auto"/>
          <w:sz w:val="22"/>
          <w:szCs w:val="22"/>
          <w:shd w:val="clear" w:color="auto" w:fill="FFFFFF"/>
        </w:rPr>
        <w:t>(pp 41-63)</w:t>
      </w:r>
      <w:r w:rsidRPr="00CA5701">
        <w:rPr>
          <w:i/>
          <w:iCs/>
          <w:color w:val="auto"/>
          <w:sz w:val="22"/>
          <w:szCs w:val="22"/>
          <w:shd w:val="clear" w:color="auto" w:fill="FFFFFF"/>
        </w:rPr>
        <w:t xml:space="preserve">. </w:t>
      </w:r>
      <w:r w:rsidRPr="00CA5701">
        <w:rPr>
          <w:iCs/>
          <w:color w:val="auto"/>
          <w:sz w:val="22"/>
          <w:szCs w:val="22"/>
          <w:shd w:val="clear" w:color="auto" w:fill="FFFFFF"/>
        </w:rPr>
        <w:t>Beograd: IPI</w:t>
      </w:r>
      <w:r w:rsidRPr="00CA5701">
        <w:rPr>
          <w:color w:val="auto"/>
          <w:sz w:val="22"/>
          <w:szCs w:val="22"/>
          <w:shd w:val="clear" w:color="auto" w:fill="FFFFFF"/>
        </w:rPr>
        <w:t xml:space="preserve">. </w:t>
      </w:r>
      <w:r w:rsidRPr="00CA5701">
        <w:rPr>
          <w:color w:val="auto"/>
          <w:sz w:val="22"/>
          <w:szCs w:val="22"/>
        </w:rPr>
        <w:t>[In Serbian]</w:t>
      </w:r>
    </w:p>
    <w:p w:rsidR="00D57DB5" w:rsidRPr="0037474C" w:rsidRDefault="00D57DB5" w:rsidP="00D57DB5">
      <w:pPr>
        <w:pStyle w:val="Normal1"/>
        <w:ind w:left="720" w:hanging="720"/>
        <w:jc w:val="both"/>
        <w:rPr>
          <w:color w:val="auto"/>
          <w:sz w:val="22"/>
        </w:rPr>
      </w:pPr>
      <w:proofErr w:type="spellStart"/>
      <w:r w:rsidRPr="0037474C">
        <w:rPr>
          <w:color w:val="auto"/>
          <w:sz w:val="22"/>
          <w:shd w:val="clear" w:color="auto" w:fill="FFFFFF"/>
        </w:rPr>
        <w:t>Statista</w:t>
      </w:r>
      <w:proofErr w:type="spellEnd"/>
      <w:r w:rsidRPr="0037474C">
        <w:rPr>
          <w:color w:val="auto"/>
          <w:sz w:val="22"/>
          <w:shd w:val="clear" w:color="auto" w:fill="FFFFFF"/>
        </w:rPr>
        <w:t xml:space="preserve"> (2018</w:t>
      </w:r>
      <w:r w:rsidRPr="0037474C">
        <w:rPr>
          <w:color w:val="auto"/>
          <w:sz w:val="22"/>
        </w:rPr>
        <w:t>):  Most popular Apple App Store categories in May 2018, by share of available apps</w:t>
      </w:r>
      <w:r>
        <w:rPr>
          <w:color w:val="auto"/>
          <w:sz w:val="22"/>
          <w:lang w:val="sr-Cyrl-CS"/>
        </w:rPr>
        <w:t>.</w:t>
      </w:r>
      <w:r w:rsidRPr="0037474C">
        <w:rPr>
          <w:color w:val="auto"/>
          <w:sz w:val="22"/>
          <w:lang w:val="sr-Cyrl-CS"/>
        </w:rPr>
        <w:t xml:space="preserve"> Retreived</w:t>
      </w:r>
      <w:r w:rsidRPr="0037474C">
        <w:rPr>
          <w:color w:val="auto"/>
          <w:sz w:val="22"/>
        </w:rPr>
        <w:t xml:space="preserve"> from www:  https://www.statista.com/statistics/270291/popular-categories-in-the-app-store/</w:t>
      </w:r>
    </w:p>
    <w:p w:rsidR="00D57DB5" w:rsidRPr="0037474C" w:rsidRDefault="00D57DB5" w:rsidP="00D57DB5">
      <w:pPr>
        <w:pStyle w:val="Normal1"/>
        <w:ind w:left="720" w:hanging="720"/>
        <w:jc w:val="both"/>
        <w:rPr>
          <w:color w:val="auto"/>
          <w:sz w:val="22"/>
        </w:rPr>
      </w:pPr>
      <w:proofErr w:type="spellStart"/>
      <w:r>
        <w:rPr>
          <w:color w:val="auto"/>
          <w:sz w:val="22"/>
        </w:rPr>
        <w:t>Stoković</w:t>
      </w:r>
      <w:proofErr w:type="spellEnd"/>
      <w:r w:rsidR="00F315B6">
        <w:rPr>
          <w:color w:val="auto"/>
          <w:sz w:val="22"/>
        </w:rPr>
        <w:t>,</w:t>
      </w:r>
      <w:r>
        <w:rPr>
          <w:color w:val="auto"/>
          <w:sz w:val="22"/>
        </w:rPr>
        <w:t xml:space="preserve"> G., </w:t>
      </w:r>
      <w:proofErr w:type="spellStart"/>
      <w:r>
        <w:rPr>
          <w:color w:val="auto"/>
          <w:sz w:val="22"/>
        </w:rPr>
        <w:t>Ristić</w:t>
      </w:r>
      <w:proofErr w:type="spellEnd"/>
      <w:r w:rsidR="00F315B6">
        <w:rPr>
          <w:color w:val="auto"/>
          <w:sz w:val="22"/>
        </w:rPr>
        <w:t>,</w:t>
      </w:r>
      <w:r w:rsidRPr="0037474C">
        <w:rPr>
          <w:color w:val="auto"/>
          <w:sz w:val="22"/>
        </w:rPr>
        <w:t xml:space="preserve"> M. (2016). The development of digital competences of primary school teachers. In</w:t>
      </w:r>
      <w:r>
        <w:rPr>
          <w:color w:val="auto"/>
          <w:sz w:val="22"/>
        </w:rPr>
        <w:t>:</w:t>
      </w:r>
      <w:r w:rsidRPr="0037474C">
        <w:rPr>
          <w:color w:val="auto"/>
          <w:sz w:val="22"/>
        </w:rPr>
        <w:t xml:space="preserve"> M. </w:t>
      </w:r>
      <w:proofErr w:type="spellStart"/>
      <w:r w:rsidRPr="0037474C">
        <w:rPr>
          <w:color w:val="auto"/>
          <w:sz w:val="22"/>
        </w:rPr>
        <w:t>Ristić</w:t>
      </w:r>
      <w:proofErr w:type="spellEnd"/>
      <w:r w:rsidRPr="0037474C">
        <w:rPr>
          <w:color w:val="auto"/>
          <w:sz w:val="22"/>
        </w:rPr>
        <w:t>, &amp;</w:t>
      </w:r>
      <w:r>
        <w:rPr>
          <w:color w:val="auto"/>
          <w:sz w:val="22"/>
        </w:rPr>
        <w:t xml:space="preserve"> A. </w:t>
      </w:r>
      <w:proofErr w:type="spellStart"/>
      <w:r>
        <w:rPr>
          <w:color w:val="auto"/>
          <w:sz w:val="22"/>
        </w:rPr>
        <w:t>Vujović</w:t>
      </w:r>
      <w:proofErr w:type="spellEnd"/>
      <w:r>
        <w:rPr>
          <w:color w:val="auto"/>
          <w:sz w:val="22"/>
        </w:rPr>
        <w:t>, A. (Ed</w:t>
      </w:r>
      <w:r w:rsidRPr="0037474C">
        <w:rPr>
          <w:color w:val="auto"/>
          <w:sz w:val="22"/>
        </w:rPr>
        <w:t xml:space="preserve">.). </w:t>
      </w:r>
      <w:r w:rsidRPr="0037474C">
        <w:rPr>
          <w:i/>
          <w:color w:val="auto"/>
          <w:sz w:val="22"/>
        </w:rPr>
        <w:t>Proceedings from the international scientific conference</w:t>
      </w:r>
      <w:r w:rsidRPr="0037474C">
        <w:rPr>
          <w:i/>
          <w:color w:val="auto"/>
          <w:sz w:val="22"/>
          <w:szCs w:val="28"/>
        </w:rPr>
        <w:t xml:space="preserve"> Didactic and methodological approaches and strategies – support to children’s learning and development </w:t>
      </w:r>
      <w:r w:rsidRPr="0037474C">
        <w:rPr>
          <w:color w:val="auto"/>
          <w:sz w:val="22"/>
        </w:rPr>
        <w:t xml:space="preserve"> (pp 423–435). Beograd: </w:t>
      </w:r>
      <w:proofErr w:type="spellStart"/>
      <w:r w:rsidRPr="0037474C">
        <w:rPr>
          <w:color w:val="auto"/>
          <w:sz w:val="22"/>
        </w:rPr>
        <w:t>Učiteljski</w:t>
      </w:r>
      <w:proofErr w:type="spellEnd"/>
      <w:r w:rsidRPr="0037474C">
        <w:rPr>
          <w:color w:val="auto"/>
          <w:sz w:val="22"/>
        </w:rPr>
        <w:t xml:space="preserve"> </w:t>
      </w:r>
      <w:proofErr w:type="spellStart"/>
      <w:r w:rsidRPr="0037474C">
        <w:rPr>
          <w:color w:val="auto"/>
          <w:sz w:val="22"/>
        </w:rPr>
        <w:t>fakultet</w:t>
      </w:r>
      <w:proofErr w:type="spellEnd"/>
      <w:r w:rsidRPr="0037474C">
        <w:rPr>
          <w:color w:val="auto"/>
          <w:sz w:val="22"/>
        </w:rPr>
        <w:t>. [In Serbian]</w:t>
      </w:r>
    </w:p>
    <w:p w:rsidR="00D57DB5" w:rsidRPr="0037474C" w:rsidRDefault="00D57DB5" w:rsidP="00D57DB5">
      <w:pPr>
        <w:pStyle w:val="Normal1"/>
        <w:ind w:left="720" w:hanging="720"/>
        <w:jc w:val="both"/>
        <w:rPr>
          <w:color w:val="auto"/>
          <w:sz w:val="22"/>
        </w:rPr>
      </w:pPr>
      <w:r w:rsidRPr="0037474C">
        <w:rPr>
          <w:color w:val="auto"/>
          <w:sz w:val="22"/>
        </w:rPr>
        <w:t xml:space="preserve">Strategy for education development in Serbia 2020 (2012). </w:t>
      </w:r>
      <w:proofErr w:type="spellStart"/>
      <w:r w:rsidRPr="0037474C">
        <w:rPr>
          <w:iCs/>
          <w:color w:val="auto"/>
          <w:sz w:val="22"/>
        </w:rPr>
        <w:t>Službeni</w:t>
      </w:r>
      <w:proofErr w:type="spellEnd"/>
      <w:r w:rsidRPr="0037474C">
        <w:rPr>
          <w:iCs/>
          <w:color w:val="auto"/>
          <w:sz w:val="22"/>
        </w:rPr>
        <w:t xml:space="preserve"> </w:t>
      </w:r>
      <w:proofErr w:type="spellStart"/>
      <w:r w:rsidRPr="0037474C">
        <w:rPr>
          <w:iCs/>
          <w:color w:val="auto"/>
          <w:sz w:val="22"/>
        </w:rPr>
        <w:t>glasnik</w:t>
      </w:r>
      <w:proofErr w:type="spellEnd"/>
      <w:r w:rsidRPr="0037474C">
        <w:rPr>
          <w:iCs/>
          <w:color w:val="auto"/>
          <w:sz w:val="22"/>
        </w:rPr>
        <w:t xml:space="preserve"> RS</w:t>
      </w:r>
      <w:r w:rsidRPr="0037474C">
        <w:rPr>
          <w:color w:val="auto"/>
          <w:sz w:val="22"/>
        </w:rPr>
        <w:t xml:space="preserve"> br. 107 [In Serbian]</w:t>
      </w:r>
    </w:p>
    <w:p w:rsidR="00D57DB5" w:rsidRPr="0037474C" w:rsidRDefault="00D57DB5" w:rsidP="00D57DB5">
      <w:pPr>
        <w:pStyle w:val="Normal1"/>
        <w:ind w:left="720" w:hanging="720"/>
        <w:jc w:val="both"/>
        <w:rPr>
          <w:color w:val="auto"/>
          <w:sz w:val="22"/>
          <w:szCs w:val="16"/>
          <w:shd w:val="clear" w:color="auto" w:fill="FFFFFF"/>
        </w:rPr>
      </w:pPr>
      <w:r w:rsidRPr="0037474C">
        <w:rPr>
          <w:color w:val="auto"/>
          <w:sz w:val="22"/>
          <w:szCs w:val="16"/>
          <w:shd w:val="clear" w:color="auto" w:fill="FFFFFF"/>
        </w:rPr>
        <w:t>Sultan, N. (2010). Cloud computing for education: A new dawn?. </w:t>
      </w:r>
      <w:r w:rsidRPr="0037474C">
        <w:rPr>
          <w:i/>
          <w:iCs/>
          <w:color w:val="auto"/>
          <w:sz w:val="22"/>
          <w:szCs w:val="16"/>
          <w:shd w:val="clear" w:color="auto" w:fill="FFFFFF"/>
        </w:rPr>
        <w:t>International Journal of Information Management</w:t>
      </w:r>
      <w:r w:rsidRPr="0037474C">
        <w:rPr>
          <w:color w:val="auto"/>
          <w:sz w:val="22"/>
          <w:szCs w:val="16"/>
          <w:shd w:val="clear" w:color="auto" w:fill="FFFFFF"/>
        </w:rPr>
        <w:t>, </w:t>
      </w:r>
      <w:r w:rsidRPr="0037474C">
        <w:rPr>
          <w:i/>
          <w:iCs/>
          <w:color w:val="auto"/>
          <w:sz w:val="22"/>
          <w:szCs w:val="16"/>
          <w:shd w:val="clear" w:color="auto" w:fill="FFFFFF"/>
        </w:rPr>
        <w:t>30</w:t>
      </w:r>
      <w:r w:rsidRPr="0037474C">
        <w:rPr>
          <w:color w:val="auto"/>
          <w:sz w:val="22"/>
          <w:szCs w:val="16"/>
          <w:shd w:val="clear" w:color="auto" w:fill="FFFFFF"/>
        </w:rPr>
        <w:t>(2), 109-116.</w:t>
      </w:r>
      <w:r>
        <w:rPr>
          <w:color w:val="auto"/>
          <w:sz w:val="22"/>
          <w:szCs w:val="16"/>
          <w:shd w:val="clear" w:color="auto" w:fill="FFFFFF"/>
        </w:rPr>
        <w:t xml:space="preserve"> </w:t>
      </w:r>
      <w:r w:rsidRPr="0096578A">
        <w:rPr>
          <w:sz w:val="22"/>
        </w:rPr>
        <w:t>doi:10.1016/j.ijinfomgt.2009.09.004</w:t>
      </w:r>
    </w:p>
    <w:p w:rsidR="00D57DB5" w:rsidRPr="0037474C" w:rsidRDefault="00D57DB5" w:rsidP="00D57DB5">
      <w:pPr>
        <w:pStyle w:val="Normal1"/>
        <w:ind w:left="720" w:hanging="720"/>
        <w:jc w:val="both"/>
        <w:rPr>
          <w:color w:val="auto"/>
          <w:sz w:val="22"/>
        </w:rPr>
      </w:pPr>
      <w:proofErr w:type="spellStart"/>
      <w:r w:rsidRPr="0037474C">
        <w:rPr>
          <w:color w:val="auto"/>
          <w:sz w:val="22"/>
          <w:shd w:val="clear" w:color="auto" w:fill="FFFFFF"/>
        </w:rPr>
        <w:t>Šćepanović</w:t>
      </w:r>
      <w:proofErr w:type="spellEnd"/>
      <w:r w:rsidRPr="0037474C">
        <w:rPr>
          <w:color w:val="auto"/>
          <w:sz w:val="22"/>
          <w:shd w:val="clear" w:color="auto" w:fill="FFFFFF"/>
        </w:rPr>
        <w:t xml:space="preserve">, D., </w:t>
      </w:r>
      <w:proofErr w:type="spellStart"/>
      <w:r w:rsidRPr="0037474C">
        <w:rPr>
          <w:color w:val="auto"/>
          <w:sz w:val="22"/>
          <w:shd w:val="clear" w:color="auto" w:fill="FFFFFF"/>
        </w:rPr>
        <w:t>Marjanović</w:t>
      </w:r>
      <w:proofErr w:type="spellEnd"/>
      <w:r w:rsidRPr="0037474C">
        <w:rPr>
          <w:color w:val="auto"/>
          <w:sz w:val="22"/>
          <w:shd w:val="clear" w:color="auto" w:fill="FFFFFF"/>
        </w:rPr>
        <w:t xml:space="preserve">, U., &amp; </w:t>
      </w:r>
      <w:proofErr w:type="spellStart"/>
      <w:r w:rsidRPr="0037474C">
        <w:rPr>
          <w:color w:val="auto"/>
          <w:sz w:val="22"/>
          <w:shd w:val="clear" w:color="auto" w:fill="FFFFFF"/>
        </w:rPr>
        <w:t>Radišić</w:t>
      </w:r>
      <w:proofErr w:type="spellEnd"/>
      <w:r w:rsidRPr="0037474C">
        <w:rPr>
          <w:color w:val="auto"/>
          <w:sz w:val="22"/>
          <w:shd w:val="clear" w:color="auto" w:fill="FFFFFF"/>
        </w:rPr>
        <w:t xml:space="preserve">, J. (2016). </w:t>
      </w:r>
      <w:r w:rsidRPr="0037474C">
        <w:rPr>
          <w:color w:val="auto"/>
          <w:sz w:val="22"/>
          <w:highlight w:val="white"/>
        </w:rPr>
        <w:t>In</w:t>
      </w:r>
      <w:r w:rsidRPr="0037474C">
        <w:rPr>
          <w:color w:val="auto"/>
          <w:sz w:val="22"/>
          <w:highlight w:val="white"/>
          <w:lang w:val="sr-Cyrl-CS"/>
        </w:rPr>
        <w:t xml:space="preserve">: </w:t>
      </w:r>
      <w:r w:rsidRPr="0037474C">
        <w:rPr>
          <w:color w:val="auto"/>
          <w:sz w:val="22"/>
          <w:highlight w:val="white"/>
        </w:rPr>
        <w:t xml:space="preserve">V. </w:t>
      </w:r>
      <w:r w:rsidRPr="0037474C">
        <w:rPr>
          <w:color w:val="auto"/>
          <w:sz w:val="22"/>
          <w:highlight w:val="white"/>
          <w:lang w:val="sr-Cyrl-CS"/>
        </w:rPr>
        <w:t>Katić,</w:t>
      </w:r>
      <w:r w:rsidRPr="0037474C">
        <w:rPr>
          <w:color w:val="auto"/>
          <w:sz w:val="22"/>
          <w:highlight w:val="white"/>
        </w:rPr>
        <w:t xml:space="preserve"> </w:t>
      </w:r>
      <w:r w:rsidRPr="0037474C">
        <w:rPr>
          <w:color w:val="auto"/>
          <w:sz w:val="22"/>
          <w:highlight w:val="white"/>
          <w:lang w:val="sr-Cyrl-CS"/>
        </w:rPr>
        <w:t>(</w:t>
      </w:r>
      <w:r w:rsidRPr="0037474C">
        <w:rPr>
          <w:color w:val="auto"/>
          <w:sz w:val="22"/>
          <w:highlight w:val="white"/>
        </w:rPr>
        <w:t>Ed</w:t>
      </w:r>
      <w:r w:rsidRPr="0037474C">
        <w:rPr>
          <w:color w:val="auto"/>
          <w:sz w:val="22"/>
          <w:highlight w:val="white"/>
          <w:lang w:val="sr-Cyrl-CS"/>
        </w:rPr>
        <w:t>.). </w:t>
      </w:r>
      <w:r w:rsidRPr="0037474C">
        <w:rPr>
          <w:color w:val="auto"/>
          <w:sz w:val="22"/>
          <w:shd w:val="clear" w:color="auto" w:fill="FFFFFF"/>
        </w:rPr>
        <w:t xml:space="preserve"> </w:t>
      </w:r>
      <w:r w:rsidRPr="0037474C">
        <w:rPr>
          <w:color w:val="auto"/>
          <w:sz w:val="22"/>
        </w:rPr>
        <w:t xml:space="preserve">Digital and online learning in Serbia: higher education. </w:t>
      </w:r>
      <w:r w:rsidRPr="0037474C">
        <w:rPr>
          <w:color w:val="auto"/>
          <w:sz w:val="22"/>
          <w:shd w:val="clear" w:color="auto" w:fill="FFFFFF"/>
        </w:rPr>
        <w:t xml:space="preserve">Proceedings of the XXII Meeting </w:t>
      </w:r>
      <w:r w:rsidRPr="0037474C">
        <w:rPr>
          <w:i/>
          <w:color w:val="auto"/>
          <w:sz w:val="22"/>
          <w:shd w:val="clear" w:color="auto" w:fill="FFFFFF"/>
        </w:rPr>
        <w:t xml:space="preserve">Trends of Development: New </w:t>
      </w:r>
      <w:r w:rsidRPr="0037474C">
        <w:rPr>
          <w:i/>
          <w:color w:val="auto"/>
          <w:sz w:val="22"/>
          <w:shd w:val="clear" w:color="auto" w:fill="FFFFFF"/>
        </w:rPr>
        <w:lastRenderedPageBreak/>
        <w:t>Technologies in Teaching</w:t>
      </w:r>
      <w:r w:rsidRPr="0037474C">
        <w:rPr>
          <w:color w:val="auto"/>
          <w:sz w:val="22"/>
          <w:highlight w:val="white"/>
          <w:shd w:val="clear" w:color="auto" w:fill="FFFFFF"/>
        </w:rPr>
        <w:t xml:space="preserve"> </w:t>
      </w:r>
      <w:r w:rsidRPr="0037474C">
        <w:rPr>
          <w:color w:val="auto"/>
          <w:sz w:val="22"/>
          <w:highlight w:val="white"/>
          <w:lang w:val="sr-Cyrl-CS"/>
        </w:rPr>
        <w:t>(</w:t>
      </w:r>
      <w:r w:rsidRPr="0037474C">
        <w:rPr>
          <w:color w:val="auto"/>
          <w:sz w:val="22"/>
          <w:highlight w:val="white"/>
        </w:rPr>
        <w:t>pp 1-5</w:t>
      </w:r>
      <w:r w:rsidRPr="0037474C">
        <w:rPr>
          <w:color w:val="auto"/>
          <w:sz w:val="22"/>
          <w:highlight w:val="white"/>
          <w:lang w:val="sr-Cyrl-CS"/>
        </w:rPr>
        <w:t xml:space="preserve">). Kopaonik: Fakultet tehničkih nauka Univerziteta u Novom Sadu. </w:t>
      </w:r>
    </w:p>
    <w:p w:rsidR="00D57DB5" w:rsidRPr="0037474C" w:rsidRDefault="00D57DB5" w:rsidP="00D57DB5">
      <w:pPr>
        <w:pStyle w:val="Normal1"/>
        <w:ind w:left="720" w:hanging="720"/>
        <w:jc w:val="both"/>
        <w:rPr>
          <w:color w:val="auto"/>
          <w:sz w:val="22"/>
        </w:rPr>
      </w:pPr>
      <w:proofErr w:type="spellStart"/>
      <w:r w:rsidRPr="0037474C">
        <w:rPr>
          <w:color w:val="auto"/>
          <w:sz w:val="22"/>
          <w:shd w:val="clear" w:color="auto" w:fill="FFFFFF"/>
        </w:rPr>
        <w:t>Tulodziecki</w:t>
      </w:r>
      <w:proofErr w:type="spellEnd"/>
      <w:r w:rsidR="00F315B6">
        <w:rPr>
          <w:color w:val="auto"/>
          <w:sz w:val="22"/>
          <w:shd w:val="clear" w:color="auto" w:fill="FFFFFF"/>
        </w:rPr>
        <w:t>,</w:t>
      </w:r>
      <w:r w:rsidRPr="0037474C">
        <w:rPr>
          <w:color w:val="auto"/>
          <w:sz w:val="22"/>
          <w:shd w:val="clear" w:color="auto" w:fill="FFFFFF"/>
        </w:rPr>
        <w:t xml:space="preserve"> G.&amp; </w:t>
      </w:r>
      <w:proofErr w:type="spellStart"/>
      <w:r w:rsidRPr="0037474C">
        <w:rPr>
          <w:color w:val="auto"/>
          <w:sz w:val="22"/>
          <w:shd w:val="clear" w:color="auto" w:fill="FFFFFF"/>
        </w:rPr>
        <w:t>Grafe</w:t>
      </w:r>
      <w:proofErr w:type="spellEnd"/>
      <w:r w:rsidR="00F315B6">
        <w:rPr>
          <w:color w:val="auto"/>
          <w:sz w:val="22"/>
          <w:shd w:val="clear" w:color="auto" w:fill="FFFFFF"/>
        </w:rPr>
        <w:t>,</w:t>
      </w:r>
      <w:r w:rsidRPr="0037474C">
        <w:rPr>
          <w:color w:val="auto"/>
          <w:sz w:val="22"/>
          <w:shd w:val="clear" w:color="auto" w:fill="FFFFFF"/>
        </w:rPr>
        <w:t xml:space="preserve"> S. (2012). Approaches to Learning with Media and Media Literacy Education-Trends and Current Situation in Germany, </w:t>
      </w:r>
      <w:r w:rsidRPr="0037474C">
        <w:rPr>
          <w:i/>
          <w:iCs/>
          <w:color w:val="auto"/>
          <w:sz w:val="22"/>
          <w:shd w:val="clear" w:color="auto" w:fill="FFFFFF"/>
        </w:rPr>
        <w:t>Journal of Media Literacy Education</w:t>
      </w:r>
      <w:r w:rsidRPr="0037474C">
        <w:rPr>
          <w:color w:val="auto"/>
          <w:sz w:val="22"/>
          <w:shd w:val="clear" w:color="auto" w:fill="FFFFFF"/>
        </w:rPr>
        <w:t>, </w:t>
      </w:r>
      <w:r w:rsidRPr="0037474C">
        <w:rPr>
          <w:i/>
          <w:iCs/>
          <w:color w:val="auto"/>
          <w:sz w:val="22"/>
          <w:shd w:val="clear" w:color="auto" w:fill="FFFFFF"/>
        </w:rPr>
        <w:t>4</w:t>
      </w:r>
      <w:r w:rsidRPr="0037474C">
        <w:rPr>
          <w:color w:val="auto"/>
          <w:sz w:val="22"/>
          <w:shd w:val="clear" w:color="auto" w:fill="FFFFFF"/>
        </w:rPr>
        <w:t>(1), 44-60.</w:t>
      </w:r>
    </w:p>
    <w:p w:rsidR="00D57DB5" w:rsidRPr="00CA5701" w:rsidRDefault="00D57DB5" w:rsidP="00D57DB5">
      <w:pPr>
        <w:spacing w:after="240"/>
        <w:ind w:firstLine="0"/>
        <w:rPr>
          <w:color w:val="auto"/>
          <w:sz w:val="22"/>
          <w:szCs w:val="22"/>
          <w:shd w:val="clear" w:color="auto" w:fill="FFFFFF"/>
        </w:rPr>
      </w:pPr>
      <w:proofErr w:type="spellStart"/>
      <w:r w:rsidRPr="00CA5701">
        <w:rPr>
          <w:color w:val="auto"/>
          <w:sz w:val="22"/>
          <w:szCs w:val="22"/>
        </w:rPr>
        <w:t>Uzelac</w:t>
      </w:r>
      <w:proofErr w:type="spellEnd"/>
      <w:r w:rsidR="00F315B6">
        <w:rPr>
          <w:color w:val="auto"/>
          <w:sz w:val="22"/>
          <w:szCs w:val="22"/>
        </w:rPr>
        <w:t>,</w:t>
      </w:r>
      <w:r w:rsidRPr="00CA5701">
        <w:rPr>
          <w:color w:val="auto"/>
          <w:sz w:val="22"/>
          <w:szCs w:val="22"/>
        </w:rPr>
        <w:t xml:space="preserve"> M. (2016). </w:t>
      </w:r>
      <w:r w:rsidRPr="00CA5701">
        <w:rPr>
          <w:i/>
          <w:color w:val="auto"/>
          <w:sz w:val="22"/>
          <w:szCs w:val="22"/>
        </w:rPr>
        <w:t>Education philosophy</w:t>
      </w:r>
      <w:r w:rsidRPr="00CA5701">
        <w:rPr>
          <w:color w:val="auto"/>
          <w:sz w:val="22"/>
          <w:szCs w:val="22"/>
        </w:rPr>
        <w:t xml:space="preserve">.  Beograd: </w:t>
      </w:r>
      <w:proofErr w:type="spellStart"/>
      <w:r w:rsidRPr="00CA5701">
        <w:rPr>
          <w:color w:val="auto"/>
          <w:sz w:val="22"/>
          <w:szCs w:val="22"/>
        </w:rPr>
        <w:t>Zavod</w:t>
      </w:r>
      <w:proofErr w:type="spellEnd"/>
      <w:r w:rsidRPr="00CA5701">
        <w:rPr>
          <w:color w:val="auto"/>
          <w:sz w:val="22"/>
          <w:szCs w:val="22"/>
        </w:rPr>
        <w:t xml:space="preserve"> </w:t>
      </w:r>
      <w:proofErr w:type="spellStart"/>
      <w:r w:rsidRPr="00CA5701">
        <w:rPr>
          <w:color w:val="auto"/>
          <w:sz w:val="22"/>
          <w:szCs w:val="22"/>
        </w:rPr>
        <w:t>za</w:t>
      </w:r>
      <w:proofErr w:type="spellEnd"/>
      <w:r w:rsidRPr="00CA5701">
        <w:rPr>
          <w:color w:val="auto"/>
          <w:sz w:val="22"/>
          <w:szCs w:val="22"/>
        </w:rPr>
        <w:t xml:space="preserve"> </w:t>
      </w:r>
      <w:proofErr w:type="spellStart"/>
      <w:r w:rsidRPr="00CA5701">
        <w:rPr>
          <w:color w:val="auto"/>
          <w:sz w:val="22"/>
          <w:szCs w:val="22"/>
        </w:rPr>
        <w:t>udžbenike</w:t>
      </w:r>
      <w:proofErr w:type="spellEnd"/>
      <w:r w:rsidRPr="00CA5701">
        <w:rPr>
          <w:color w:val="auto"/>
          <w:sz w:val="22"/>
          <w:szCs w:val="22"/>
        </w:rPr>
        <w:t>. [In Serbian]</w:t>
      </w:r>
    </w:p>
    <w:p w:rsidR="00D57DB5" w:rsidRPr="0037474C" w:rsidRDefault="00D57DB5" w:rsidP="00D57DB5">
      <w:pPr>
        <w:pStyle w:val="Normal1"/>
        <w:ind w:left="720" w:hanging="720"/>
        <w:contextualSpacing/>
        <w:jc w:val="both"/>
        <w:rPr>
          <w:color w:val="auto"/>
          <w:sz w:val="22"/>
          <w:lang w:val="sr-Cyrl-CS"/>
        </w:rPr>
      </w:pPr>
      <w:r w:rsidRPr="0037474C">
        <w:rPr>
          <w:color w:val="auto"/>
          <w:sz w:val="22"/>
          <w:lang w:val="sr-Cyrl-CS"/>
        </w:rPr>
        <w:t xml:space="preserve">Vujin, V. (2013). </w:t>
      </w:r>
      <w:r w:rsidRPr="0037474C">
        <w:rPr>
          <w:i/>
          <w:color w:val="auto"/>
          <w:sz w:val="22"/>
        </w:rPr>
        <w:t>E-education in cloud computing</w:t>
      </w:r>
      <w:r w:rsidRPr="0037474C">
        <w:rPr>
          <w:color w:val="auto"/>
          <w:sz w:val="22"/>
          <w:lang w:val="sr-Cyrl-CS"/>
        </w:rPr>
        <w:t>. Beograd: Zadužbina Andrejević.</w:t>
      </w:r>
      <w:r w:rsidRPr="0037474C">
        <w:rPr>
          <w:color w:val="auto"/>
          <w:sz w:val="22"/>
        </w:rPr>
        <w:t xml:space="preserve"> [In Serbian]</w:t>
      </w:r>
      <w:r w:rsidRPr="0037474C">
        <w:rPr>
          <w:color w:val="auto"/>
          <w:sz w:val="22"/>
          <w:lang w:val="sr-Cyrl-CS"/>
        </w:rPr>
        <w:t xml:space="preserve"> </w:t>
      </w:r>
    </w:p>
    <w:p w:rsidR="00D57DB5" w:rsidRDefault="00D57DB5" w:rsidP="00D57DB5">
      <w:pPr>
        <w:pStyle w:val="Normal1"/>
        <w:ind w:left="720" w:hanging="720"/>
        <w:jc w:val="both"/>
        <w:rPr>
          <w:color w:val="auto"/>
          <w:sz w:val="22"/>
        </w:rPr>
      </w:pPr>
      <w:proofErr w:type="spellStart"/>
      <w:r w:rsidRPr="0037474C">
        <w:rPr>
          <w:color w:val="auto"/>
          <w:sz w:val="22"/>
        </w:rPr>
        <w:t>Vujović</w:t>
      </w:r>
      <w:proofErr w:type="spellEnd"/>
      <w:r w:rsidR="00F315B6">
        <w:rPr>
          <w:color w:val="auto"/>
          <w:sz w:val="22"/>
        </w:rPr>
        <w:t>,</w:t>
      </w:r>
      <w:r w:rsidRPr="0037474C">
        <w:rPr>
          <w:color w:val="auto"/>
          <w:sz w:val="22"/>
        </w:rPr>
        <w:t xml:space="preserve"> А. &amp; </w:t>
      </w:r>
      <w:proofErr w:type="spellStart"/>
      <w:r w:rsidRPr="0037474C">
        <w:rPr>
          <w:color w:val="auto"/>
          <w:sz w:val="22"/>
        </w:rPr>
        <w:t>Ristić</w:t>
      </w:r>
      <w:proofErr w:type="spellEnd"/>
      <w:r w:rsidR="00F315B6">
        <w:rPr>
          <w:color w:val="auto"/>
          <w:sz w:val="22"/>
        </w:rPr>
        <w:t>,</w:t>
      </w:r>
      <w:r w:rsidRPr="0037474C">
        <w:rPr>
          <w:color w:val="auto"/>
          <w:sz w:val="22"/>
        </w:rPr>
        <w:t xml:space="preserve"> М. (2015). Blended learning - the possibility of realizing the flipped classroom model in teaching of the French language at the Teacher Education Faculty, </w:t>
      </w:r>
      <w:proofErr w:type="spellStart"/>
      <w:r w:rsidRPr="0037474C">
        <w:rPr>
          <w:i/>
          <w:color w:val="auto"/>
          <w:sz w:val="22"/>
        </w:rPr>
        <w:t>Primenjena</w:t>
      </w:r>
      <w:proofErr w:type="spellEnd"/>
      <w:r w:rsidRPr="0037474C">
        <w:rPr>
          <w:i/>
          <w:color w:val="auto"/>
          <w:sz w:val="22"/>
        </w:rPr>
        <w:t xml:space="preserve"> </w:t>
      </w:r>
      <w:proofErr w:type="spellStart"/>
      <w:r w:rsidRPr="0037474C">
        <w:rPr>
          <w:i/>
          <w:color w:val="auto"/>
          <w:sz w:val="22"/>
        </w:rPr>
        <w:t>lingvistika</w:t>
      </w:r>
      <w:proofErr w:type="spellEnd"/>
      <w:r w:rsidRPr="0037474C">
        <w:rPr>
          <w:color w:val="auto"/>
          <w:sz w:val="22"/>
        </w:rPr>
        <w:t xml:space="preserve">, </w:t>
      </w:r>
      <w:r w:rsidRPr="0037474C">
        <w:rPr>
          <w:i/>
          <w:color w:val="auto"/>
          <w:sz w:val="22"/>
        </w:rPr>
        <w:t>16</w:t>
      </w:r>
      <w:r w:rsidRPr="0037474C">
        <w:rPr>
          <w:color w:val="auto"/>
          <w:sz w:val="22"/>
        </w:rPr>
        <w:t>(1), 143-151. [In Serbian]</w:t>
      </w:r>
    </w:p>
    <w:p w:rsidR="00D57DB5" w:rsidRDefault="00D57DB5" w:rsidP="00D7333B">
      <w:pPr>
        <w:pStyle w:val="Normal1"/>
        <w:ind w:left="720" w:hanging="720"/>
        <w:jc w:val="both"/>
        <w:rPr>
          <w:color w:val="auto"/>
          <w:sz w:val="22"/>
        </w:rPr>
      </w:pPr>
    </w:p>
    <w:p w:rsidR="009C04A8" w:rsidRPr="00C25E3F" w:rsidRDefault="009C04A8" w:rsidP="009C04A8">
      <w:pPr>
        <w:rPr>
          <w:szCs w:val="24"/>
        </w:rPr>
      </w:pPr>
    </w:p>
    <w:p w:rsidR="009C04A8" w:rsidRPr="009C04A8" w:rsidRDefault="009C04A8" w:rsidP="003A0042"/>
    <w:sectPr w:rsidR="009C04A8" w:rsidRPr="009C04A8" w:rsidSect="009C29CD">
      <w:footerReference w:type="default" r:id="rId10"/>
      <w:pgSz w:w="11907" w:h="16840" w:code="9"/>
      <w:pgMar w:top="1418" w:right="1418" w:bottom="1418" w:left="141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714A69" w15:done="0"/>
  <w15:commentEx w15:paraId="46980767" w15:done="0"/>
  <w15:commentEx w15:paraId="06615AAF" w15:done="0"/>
  <w15:commentEx w15:paraId="5A833EF4" w15:done="0"/>
  <w15:commentEx w15:paraId="202FEEDA" w15:done="0"/>
  <w15:commentEx w15:paraId="4832725C" w15:done="0"/>
  <w15:commentEx w15:paraId="074C73A8" w15:done="0"/>
  <w15:commentEx w15:paraId="3A1EADB5" w15:done="0"/>
  <w15:commentEx w15:paraId="6932F1FF" w15:done="0"/>
  <w15:commentEx w15:paraId="450A2D98" w15:done="0"/>
  <w15:commentEx w15:paraId="4B8E9966" w15:done="0"/>
  <w15:commentEx w15:paraId="6A4F2CE8" w15:done="0"/>
  <w15:commentEx w15:paraId="51E549D8" w15:done="0"/>
  <w15:commentEx w15:paraId="3D32592F" w15:done="0"/>
  <w15:commentEx w15:paraId="61E65FC5" w15:done="0"/>
  <w15:commentEx w15:paraId="5567C0FF" w15:done="0"/>
  <w15:commentEx w15:paraId="44A765DD" w15:done="0"/>
  <w15:commentEx w15:paraId="02655F69" w15:done="0"/>
  <w15:commentEx w15:paraId="67ACD380" w15:done="0"/>
  <w15:commentEx w15:paraId="1852A408" w15:done="0"/>
  <w15:commentEx w15:paraId="627C677F" w15:done="0"/>
  <w15:commentEx w15:paraId="7A6E9BA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5F8" w:rsidRDefault="00E465F8" w:rsidP="005B27E9">
      <w:pPr>
        <w:spacing w:line="240" w:lineRule="auto"/>
      </w:pPr>
      <w:r>
        <w:separator/>
      </w:r>
    </w:p>
  </w:endnote>
  <w:endnote w:type="continuationSeparator" w:id="0">
    <w:p w:rsidR="00E465F8" w:rsidRDefault="00E465F8" w:rsidP="005B27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TE25053D8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91140"/>
      <w:docPartObj>
        <w:docPartGallery w:val="Page Numbers (Bottom of Page)"/>
        <w:docPartUnique/>
      </w:docPartObj>
    </w:sdtPr>
    <w:sdtEndPr>
      <w:rPr>
        <w:szCs w:val="24"/>
      </w:rPr>
    </w:sdtEndPr>
    <w:sdtContent>
      <w:p w:rsidR="00E465F8" w:rsidRPr="00D74C67" w:rsidRDefault="008B0F86">
        <w:pPr>
          <w:pStyle w:val="Footer"/>
          <w:jc w:val="right"/>
          <w:rPr>
            <w:szCs w:val="24"/>
          </w:rPr>
        </w:pPr>
        <w:r w:rsidRPr="00D74C67">
          <w:rPr>
            <w:szCs w:val="24"/>
          </w:rPr>
          <w:fldChar w:fldCharType="begin"/>
        </w:r>
        <w:r w:rsidR="00E465F8" w:rsidRPr="00D74C67">
          <w:rPr>
            <w:szCs w:val="24"/>
          </w:rPr>
          <w:instrText xml:space="preserve"> PAGE   \* MERGEFORMAT </w:instrText>
        </w:r>
        <w:r w:rsidRPr="00D74C67">
          <w:rPr>
            <w:szCs w:val="24"/>
          </w:rPr>
          <w:fldChar w:fldCharType="separate"/>
        </w:r>
        <w:r w:rsidR="0029271A">
          <w:rPr>
            <w:noProof/>
            <w:szCs w:val="24"/>
          </w:rPr>
          <w:t>19</w:t>
        </w:r>
        <w:r w:rsidRPr="00D74C67">
          <w:rPr>
            <w:szCs w:val="24"/>
          </w:rPr>
          <w:fldChar w:fldCharType="end"/>
        </w:r>
      </w:p>
    </w:sdtContent>
  </w:sdt>
  <w:p w:rsidR="00E465F8" w:rsidRDefault="00E465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5F8" w:rsidRDefault="00E465F8" w:rsidP="005B27E9">
      <w:pPr>
        <w:spacing w:line="240" w:lineRule="auto"/>
      </w:pPr>
      <w:r>
        <w:separator/>
      </w:r>
    </w:p>
  </w:footnote>
  <w:footnote w:type="continuationSeparator" w:id="0">
    <w:p w:rsidR="00E465F8" w:rsidRDefault="00E465F8" w:rsidP="005B27E9">
      <w:pPr>
        <w:spacing w:line="240" w:lineRule="auto"/>
      </w:pPr>
      <w:r>
        <w:continuationSeparator/>
      </w:r>
    </w:p>
  </w:footnote>
  <w:footnote w:id="1">
    <w:p w:rsidR="00E465F8" w:rsidRDefault="00E465F8" w:rsidP="005B27E9">
      <w:pPr>
        <w:pStyle w:val="FootnoteText"/>
        <w:ind w:firstLine="0"/>
      </w:pPr>
      <w:r>
        <w:rPr>
          <w:rStyle w:val="FootnoteReference"/>
        </w:rPr>
        <w:footnoteRef/>
      </w:r>
      <w:r>
        <w:t xml:space="preserve"> miroslava.ristic@uf.bg.ac.rs (associate professor, born 1965). Correspondence: Mobile: 060-0136404; </w:t>
      </w:r>
    </w:p>
    <w:p w:rsidR="00E465F8" w:rsidRPr="003565A7" w:rsidRDefault="00E465F8" w:rsidP="005B27E9">
      <w:pPr>
        <w:pStyle w:val="FootnoteText"/>
        <w:ind w:firstLine="0"/>
      </w:pPr>
      <w:r>
        <w:t xml:space="preserve">Address: 2, Bul. </w:t>
      </w:r>
      <w:proofErr w:type="spellStart"/>
      <w:r>
        <w:t>Zorana</w:t>
      </w:r>
      <w:proofErr w:type="spellEnd"/>
      <w:r>
        <w:t xml:space="preserve"> </w:t>
      </w:r>
      <w:proofErr w:type="spellStart"/>
      <w:r>
        <w:t>Djindjića</w:t>
      </w:r>
      <w:proofErr w:type="spellEnd"/>
      <w:r>
        <w:t>, 11070 New Belgrade.</w:t>
      </w:r>
    </w:p>
  </w:footnote>
  <w:footnote w:id="2">
    <w:p w:rsidR="00E465F8" w:rsidRPr="003565A7" w:rsidRDefault="00E465F8" w:rsidP="0076631D">
      <w:pPr>
        <w:pStyle w:val="FootnoteText"/>
        <w:ind w:firstLine="0"/>
      </w:pPr>
      <w:r>
        <w:rPr>
          <w:rStyle w:val="FootnoteReference"/>
        </w:rPr>
        <w:footnoteRef/>
      </w:r>
      <w:r>
        <w:t xml:space="preserve"> danimir.mandic@uf.bg.ac.rs  (professor, born 1964)  </w:t>
      </w:r>
    </w:p>
  </w:footnote>
  <w:footnote w:id="3">
    <w:p w:rsidR="00E465F8" w:rsidRPr="007F61C1" w:rsidRDefault="00E465F8" w:rsidP="005B27E9">
      <w:pPr>
        <w:spacing w:line="240" w:lineRule="auto"/>
        <w:ind w:firstLine="0"/>
        <w:rPr>
          <w:sz w:val="20"/>
        </w:rPr>
      </w:pPr>
      <w:r w:rsidRPr="007F61C1">
        <w:rPr>
          <w:rStyle w:val="FootnoteReference"/>
          <w:sz w:val="20"/>
        </w:rPr>
        <w:footnoteRef/>
      </w:r>
      <w:r w:rsidRPr="007F61C1">
        <w:rPr>
          <w:sz w:val="20"/>
        </w:rPr>
        <w:t xml:space="preserve"> The paper makes </w:t>
      </w:r>
      <w:r>
        <w:rPr>
          <w:sz w:val="20"/>
        </w:rPr>
        <w:t xml:space="preserve">part of research realized with the financial support of the Ministry of education, science and technological development within the project “Concepts and strategies of ensuring quality basic education”, </w:t>
      </w:r>
      <w:proofErr w:type="spellStart"/>
      <w:r>
        <w:rPr>
          <w:sz w:val="20"/>
        </w:rPr>
        <w:t>registy</w:t>
      </w:r>
      <w:proofErr w:type="spellEnd"/>
      <w:r>
        <w:rPr>
          <w:sz w:val="20"/>
        </w:rPr>
        <w:t xml:space="preserve"> number </w:t>
      </w:r>
      <w:r w:rsidRPr="007F61C1">
        <w:rPr>
          <w:sz w:val="20"/>
        </w:rPr>
        <w:t xml:space="preserve">179020D, </w:t>
      </w:r>
      <w:r>
        <w:rPr>
          <w:sz w:val="20"/>
        </w:rPr>
        <w:t>for the period</w:t>
      </w:r>
      <w:r w:rsidRPr="007F61C1">
        <w:rPr>
          <w:sz w:val="20"/>
        </w:rPr>
        <w:t xml:space="preserve"> 2011–2018.</w:t>
      </w:r>
    </w:p>
    <w:p w:rsidR="00E465F8" w:rsidRPr="005B27E9" w:rsidRDefault="00E465F8">
      <w:pPr>
        <w:pStyle w:val="FootnoteText"/>
      </w:pPr>
    </w:p>
  </w:footnote>
  <w:footnote w:id="4">
    <w:p w:rsidR="00E465F8" w:rsidRPr="00143C22" w:rsidRDefault="00E465F8" w:rsidP="00F54CBE">
      <w:pPr>
        <w:pStyle w:val="FootnoteText"/>
        <w:ind w:firstLine="0"/>
        <w:rPr>
          <w:iCs/>
          <w:color w:val="000000" w:themeColor="text1"/>
        </w:rPr>
      </w:pPr>
      <w:r>
        <w:rPr>
          <w:rStyle w:val="FootnoteReference"/>
        </w:rPr>
        <w:footnoteRef/>
      </w:r>
      <w:r w:rsidRPr="00F54CBE">
        <w:rPr>
          <w:rStyle w:val="QuoteChar"/>
        </w:rPr>
        <w:t xml:space="preserve"> </w:t>
      </w:r>
      <w:r>
        <w:rPr>
          <w:rStyle w:val="QuoteChar"/>
        </w:rPr>
        <w:t xml:space="preserve">One of the main topics is the influence of the fourth </w:t>
      </w:r>
      <w:proofErr w:type="spellStart"/>
      <w:r>
        <w:rPr>
          <w:rStyle w:val="QuoteChar"/>
        </w:rPr>
        <w:t>industial</w:t>
      </w:r>
      <w:proofErr w:type="spellEnd"/>
      <w:r>
        <w:rPr>
          <w:rStyle w:val="QuoteChar"/>
        </w:rPr>
        <w:t xml:space="preserve"> revolution (which is characterized by a fusion of technological innovations based primarily on artificial intelligence, nanotechnology and mobile devices) on the character of education “which can currently be </w:t>
      </w:r>
      <w:proofErr w:type="spellStart"/>
      <w:r>
        <w:rPr>
          <w:rStyle w:val="QuoteChar"/>
        </w:rPr>
        <w:t>oberved</w:t>
      </w:r>
      <w:proofErr w:type="spellEnd"/>
      <w:r>
        <w:rPr>
          <w:rStyle w:val="QuoteChar"/>
        </w:rPr>
        <w:t xml:space="preserve"> through changes in several key segments: social networks, multifunctional mobile devices and software, subject matter taught, new educational profiles and vocations, life-long learning, as well as a new concept of educational policy” (</w:t>
      </w:r>
      <w:proofErr w:type="spellStart"/>
      <w:r>
        <w:rPr>
          <w:rStyle w:val="QuoteChar"/>
        </w:rPr>
        <w:t>Bazić</w:t>
      </w:r>
      <w:proofErr w:type="spellEnd"/>
      <w:r>
        <w:rPr>
          <w:rStyle w:val="QuoteChar"/>
        </w:rPr>
        <w:t xml:space="preserve">, 2017, p. 531). </w:t>
      </w:r>
    </w:p>
  </w:footnote>
  <w:footnote w:id="5">
    <w:p w:rsidR="00E465F8" w:rsidRPr="00A176F2" w:rsidRDefault="00E465F8" w:rsidP="00A176F2">
      <w:pPr>
        <w:pStyle w:val="Quote"/>
      </w:pPr>
      <w:r>
        <w:rPr>
          <w:rStyle w:val="FootnoteReference"/>
        </w:rPr>
        <w:footnoteRef/>
      </w:r>
      <w:r>
        <w:t xml:space="preserve"> The learning subject matter and activities delivered of enabled by means of ICT.</w:t>
      </w:r>
    </w:p>
  </w:footnote>
  <w:footnote w:id="6">
    <w:p w:rsidR="00E465F8" w:rsidRPr="00B62C2D" w:rsidRDefault="00E465F8" w:rsidP="00A176F2">
      <w:pPr>
        <w:spacing w:line="240" w:lineRule="auto"/>
        <w:ind w:firstLine="0"/>
        <w:rPr>
          <w:rStyle w:val="QuoteChar"/>
        </w:rPr>
      </w:pPr>
      <w:r w:rsidRPr="00B62C2D">
        <w:rPr>
          <w:rStyle w:val="FootnoteReference"/>
          <w:sz w:val="20"/>
        </w:rPr>
        <w:footnoteRef/>
      </w:r>
      <w:r w:rsidRPr="00B62C2D">
        <w:rPr>
          <w:sz w:val="20"/>
        </w:rPr>
        <w:t xml:space="preserve"> Mobile devices are all devices that can be carried in a hand and are portable. In the broadest sense, mobile device include: mobile phones, smart phones (with advanced computing functions), tablet units (portable </w:t>
      </w:r>
      <w:proofErr w:type="spellStart"/>
      <w:r w:rsidRPr="00B62C2D">
        <w:rPr>
          <w:sz w:val="20"/>
        </w:rPr>
        <w:t>touchscreen</w:t>
      </w:r>
      <w:proofErr w:type="spellEnd"/>
      <w:r w:rsidRPr="00B62C2D">
        <w:rPr>
          <w:sz w:val="20"/>
        </w:rPr>
        <w:t xml:space="preserve"> computers), electronic book readers (e-readers), players, </w:t>
      </w:r>
      <w:proofErr w:type="spellStart"/>
      <w:r w:rsidRPr="00B62C2D">
        <w:rPr>
          <w:sz w:val="20"/>
        </w:rPr>
        <w:t>netbook</w:t>
      </w:r>
      <w:proofErr w:type="spellEnd"/>
      <w:r w:rsidRPr="00B62C2D">
        <w:rPr>
          <w:sz w:val="20"/>
        </w:rPr>
        <w:t xml:space="preserve"> computers </w:t>
      </w:r>
      <w:r w:rsidRPr="00B62C2D">
        <w:rPr>
          <w:rStyle w:val="QuoteChar"/>
        </w:rPr>
        <w:t xml:space="preserve">(small-sized laptop devices), digital photo cameras and video cameras. </w:t>
      </w:r>
    </w:p>
    <w:p w:rsidR="00E465F8" w:rsidRPr="00A176F2" w:rsidRDefault="00E465F8">
      <w:pPr>
        <w:pStyle w:val="FootnoteText"/>
      </w:pPr>
    </w:p>
  </w:footnote>
  <w:footnote w:id="7">
    <w:p w:rsidR="00E465F8" w:rsidRDefault="00E465F8" w:rsidP="00C7272B">
      <w:pPr>
        <w:pStyle w:val="FootnoteText"/>
        <w:ind w:firstLine="0"/>
      </w:pPr>
      <w:r>
        <w:rPr>
          <w:rStyle w:val="FootnoteReference"/>
        </w:rPr>
        <w:footnoteRef/>
      </w:r>
      <w:r>
        <w:t xml:space="preserve"> In this way, our educational institutions can, at least to a certain extent, overcome the long-term problem of the scarcity of teaching resources. </w:t>
      </w:r>
    </w:p>
  </w:footnote>
  <w:footnote w:id="8">
    <w:p w:rsidR="00E465F8" w:rsidRPr="00FE0E18" w:rsidRDefault="00E465F8" w:rsidP="00F17143">
      <w:pPr>
        <w:spacing w:line="240" w:lineRule="auto"/>
        <w:ind w:firstLine="0"/>
        <w:rPr>
          <w:sz w:val="20"/>
          <w:szCs w:val="22"/>
        </w:rPr>
      </w:pPr>
      <w:r w:rsidRPr="00FE0E18">
        <w:rPr>
          <w:rStyle w:val="FootnoteReference"/>
          <w:sz w:val="20"/>
          <w:szCs w:val="22"/>
        </w:rPr>
        <w:footnoteRef/>
      </w:r>
      <w:r w:rsidRPr="00FE0E18">
        <w:rPr>
          <w:sz w:val="20"/>
          <w:szCs w:val="22"/>
        </w:rPr>
        <w:t xml:space="preserve"> </w:t>
      </w:r>
      <w:r>
        <w:rPr>
          <w:sz w:val="20"/>
          <w:szCs w:val="22"/>
          <w:lang w:val="sr-Latn-CS"/>
        </w:rPr>
        <w:t>In August 2015, Serbia joined this international research, which is globally organized by</w:t>
      </w:r>
      <w:r w:rsidRPr="00FE0E18">
        <w:rPr>
          <w:sz w:val="20"/>
          <w:szCs w:val="22"/>
          <w:lang w:val="sr-Latn-CS"/>
        </w:rPr>
        <w:t xml:space="preserve"> </w:t>
      </w:r>
      <w:r>
        <w:rPr>
          <w:sz w:val="20"/>
          <w:szCs w:val="22"/>
          <w:lang w:val="sr-Latn-CS"/>
        </w:rPr>
        <w:t>the</w:t>
      </w:r>
      <w:r w:rsidRPr="00FE0E18">
        <w:rPr>
          <w:sz w:val="20"/>
          <w:szCs w:val="22"/>
          <w:lang w:val="sr-Latn-CS"/>
        </w:rPr>
        <w:t xml:space="preserve"> UNICEF </w:t>
      </w:r>
      <w:r>
        <w:rPr>
          <w:sz w:val="20"/>
          <w:szCs w:val="22"/>
          <w:lang w:val="sr-Latn-CS"/>
        </w:rPr>
        <w:t xml:space="preserve">research office </w:t>
      </w:r>
      <w:r w:rsidRPr="00FE0E18">
        <w:rPr>
          <w:i/>
          <w:sz w:val="20"/>
          <w:szCs w:val="22"/>
          <w:lang w:val="sr-Latn-CS"/>
        </w:rPr>
        <w:t>Innocenti</w:t>
      </w:r>
      <w:r w:rsidRPr="00FE0E18">
        <w:rPr>
          <w:sz w:val="20"/>
          <w:szCs w:val="22"/>
          <w:lang w:val="sr-Latn-CS"/>
        </w:rPr>
        <w:t xml:space="preserve"> </w:t>
      </w:r>
      <w:r>
        <w:rPr>
          <w:sz w:val="20"/>
          <w:szCs w:val="22"/>
        </w:rPr>
        <w:t>in cooperation with the</w:t>
      </w:r>
      <w:r w:rsidRPr="00FE0E18">
        <w:rPr>
          <w:sz w:val="20"/>
          <w:szCs w:val="22"/>
          <w:lang w:val="sr-Cyrl-CS"/>
        </w:rPr>
        <w:t xml:space="preserve"> </w:t>
      </w:r>
      <w:r w:rsidRPr="00FE0E18">
        <w:rPr>
          <w:sz w:val="20"/>
          <w:szCs w:val="22"/>
          <w:lang w:val="sr-Latn-CS"/>
        </w:rPr>
        <w:t>LSE (</w:t>
      </w:r>
      <w:r w:rsidRPr="00FE0E18">
        <w:rPr>
          <w:i/>
          <w:sz w:val="20"/>
          <w:szCs w:val="22"/>
          <w:lang w:val="sr-Latn-CS"/>
        </w:rPr>
        <w:t>London School of Ecomomics and Political Science</w:t>
      </w:r>
      <w:r w:rsidRPr="00FE0E18">
        <w:rPr>
          <w:sz w:val="20"/>
          <w:szCs w:val="22"/>
          <w:lang w:val="sr-Latn-CS"/>
        </w:rPr>
        <w:t xml:space="preserve">). </w:t>
      </w:r>
      <w:r>
        <w:rPr>
          <w:sz w:val="20"/>
          <w:szCs w:val="22"/>
          <w:lang w:val="sr-Latn-CS"/>
        </w:rPr>
        <w:t>Apart from Serbia, the following countries were included in the pilot phase of the study: Montenegro, the Philippines, the South African Republic</w:t>
      </w:r>
      <w:r w:rsidRPr="00FE0E18">
        <w:rPr>
          <w:sz w:val="20"/>
          <w:szCs w:val="22"/>
          <w:lang w:val="sr-Latn-CS"/>
        </w:rPr>
        <w:t xml:space="preserve">, </w:t>
      </w:r>
      <w:r>
        <w:rPr>
          <w:sz w:val="20"/>
          <w:szCs w:val="22"/>
          <w:lang w:val="sr-Latn-CS"/>
        </w:rPr>
        <w:t xml:space="preserve">and Argentina </w:t>
      </w:r>
      <w:r w:rsidRPr="00781684">
        <w:rPr>
          <w:color w:val="auto"/>
          <w:sz w:val="20"/>
        </w:rPr>
        <w:t>(</w:t>
      </w:r>
      <w:proofErr w:type="spellStart"/>
      <w:r w:rsidRPr="00781684">
        <w:rPr>
          <w:color w:val="auto"/>
          <w:sz w:val="20"/>
        </w:rPr>
        <w:t>Popadić</w:t>
      </w:r>
      <w:proofErr w:type="spellEnd"/>
      <w:r w:rsidRPr="00781684">
        <w:rPr>
          <w:color w:val="auto"/>
          <w:sz w:val="20"/>
        </w:rPr>
        <w:t xml:space="preserve">, </w:t>
      </w:r>
      <w:proofErr w:type="spellStart"/>
      <w:r w:rsidRPr="00781684">
        <w:rPr>
          <w:color w:val="auto"/>
          <w:sz w:val="20"/>
        </w:rPr>
        <w:t>Pavlović</w:t>
      </w:r>
      <w:proofErr w:type="spellEnd"/>
      <w:r w:rsidRPr="00781684">
        <w:rPr>
          <w:color w:val="auto"/>
          <w:sz w:val="20"/>
        </w:rPr>
        <w:t xml:space="preserve">, </w:t>
      </w:r>
      <w:proofErr w:type="spellStart"/>
      <w:r w:rsidRPr="00781684">
        <w:rPr>
          <w:color w:val="auto"/>
          <w:sz w:val="20"/>
        </w:rPr>
        <w:t>Petrović</w:t>
      </w:r>
      <w:proofErr w:type="spellEnd"/>
      <w:r w:rsidRPr="00781684">
        <w:rPr>
          <w:color w:val="auto"/>
          <w:sz w:val="20"/>
        </w:rPr>
        <w:t xml:space="preserve"> &amp; </w:t>
      </w:r>
      <w:proofErr w:type="spellStart"/>
      <w:r w:rsidRPr="00781684">
        <w:rPr>
          <w:color w:val="auto"/>
          <w:sz w:val="20"/>
        </w:rPr>
        <w:t>Kuzmanović</w:t>
      </w:r>
      <w:proofErr w:type="spellEnd"/>
      <w:r w:rsidRPr="00781684">
        <w:rPr>
          <w:color w:val="auto"/>
          <w:sz w:val="20"/>
        </w:rPr>
        <w:t>, 2016)</w:t>
      </w:r>
      <w:r w:rsidRPr="00781684">
        <w:rPr>
          <w:sz w:val="20"/>
          <w:lang w:val="sr-Latn-CS"/>
        </w:rPr>
        <w:t>.</w:t>
      </w:r>
      <w:r w:rsidRPr="00FE0E18">
        <w:rPr>
          <w:sz w:val="20"/>
          <w:szCs w:val="22"/>
          <w:lang w:val="sr-Latn-CS"/>
        </w:rPr>
        <w:t xml:space="preserve"> </w:t>
      </w:r>
    </w:p>
  </w:footnote>
  <w:footnote w:id="9">
    <w:p w:rsidR="00E465F8" w:rsidRPr="00DA7DDE" w:rsidRDefault="00E465F8" w:rsidP="00781684">
      <w:pPr>
        <w:spacing w:line="240" w:lineRule="auto"/>
        <w:ind w:firstLine="0"/>
        <w:rPr>
          <w:sz w:val="20"/>
          <w:szCs w:val="22"/>
        </w:rPr>
      </w:pPr>
      <w:r w:rsidRPr="00FE0E18">
        <w:rPr>
          <w:rStyle w:val="FootnoteReference"/>
          <w:sz w:val="20"/>
          <w:szCs w:val="22"/>
        </w:rPr>
        <w:footnoteRef/>
      </w:r>
      <w:r w:rsidR="007C3C6E">
        <w:rPr>
          <w:sz w:val="20"/>
          <w:szCs w:val="22"/>
        </w:rPr>
        <w:t xml:space="preserve"> </w:t>
      </w:r>
      <w:r>
        <w:rPr>
          <w:sz w:val="20"/>
          <w:szCs w:val="22"/>
        </w:rPr>
        <w:t xml:space="preserve">Approximately one third of the Internet users globally are persons under the age of 18 </w:t>
      </w:r>
      <w:r w:rsidRPr="00FE0E18">
        <w:rPr>
          <w:sz w:val="20"/>
          <w:szCs w:val="22"/>
          <w:lang w:val="sr-Latn-CS"/>
        </w:rPr>
        <w:t>(Livingstone,</w:t>
      </w:r>
      <w:r w:rsidRPr="00FE0E18">
        <w:rPr>
          <w:sz w:val="20"/>
          <w:szCs w:val="22"/>
        </w:rPr>
        <w:t xml:space="preserve"> </w:t>
      </w:r>
      <w:r w:rsidRPr="00FE0E18">
        <w:rPr>
          <w:sz w:val="20"/>
          <w:szCs w:val="22"/>
          <w:lang w:val="sr-Latn-CS"/>
        </w:rPr>
        <w:t>Carr, &amp; Byrne, 2016).</w:t>
      </w:r>
      <w:r>
        <w:rPr>
          <w:sz w:val="20"/>
          <w:szCs w:val="22"/>
        </w:rPr>
        <w:t xml:space="preserve"> It is important to point out that the Internet is not only an interpersonal communication channel, “unlike all previous media, it has opened a new parallel space, but even more importantly, the Internet has enabled us to enter it and foster it ourselves” (</w:t>
      </w:r>
      <w:proofErr w:type="spellStart"/>
      <w:r>
        <w:rPr>
          <w:sz w:val="20"/>
          <w:szCs w:val="22"/>
        </w:rPr>
        <w:t>Petrović</w:t>
      </w:r>
      <w:proofErr w:type="spellEnd"/>
      <w:r>
        <w:rPr>
          <w:sz w:val="20"/>
          <w:szCs w:val="22"/>
        </w:rPr>
        <w:t>, 2013 p.</w:t>
      </w:r>
      <w:r w:rsidR="00D33953">
        <w:rPr>
          <w:sz w:val="20"/>
          <w:szCs w:val="22"/>
        </w:rPr>
        <w:t xml:space="preserve"> </w:t>
      </w:r>
      <w:r>
        <w:rPr>
          <w:sz w:val="20"/>
          <w:szCs w:val="22"/>
        </w:rPr>
        <w:t>87).</w:t>
      </w:r>
    </w:p>
  </w:footnote>
  <w:footnote w:id="10">
    <w:p w:rsidR="00E465F8" w:rsidRPr="00781684" w:rsidRDefault="00E465F8" w:rsidP="006D04CE">
      <w:pPr>
        <w:spacing w:line="240" w:lineRule="auto"/>
        <w:ind w:firstLine="0"/>
        <w:rPr>
          <w:sz w:val="20"/>
        </w:rPr>
      </w:pPr>
      <w:r w:rsidRPr="00EB7783">
        <w:rPr>
          <w:rStyle w:val="FootnoteReference"/>
          <w:sz w:val="20"/>
          <w:szCs w:val="22"/>
        </w:rPr>
        <w:footnoteRef/>
      </w:r>
      <w:r w:rsidR="007C3C6E">
        <w:rPr>
          <w:sz w:val="20"/>
          <w:szCs w:val="22"/>
        </w:rPr>
        <w:t xml:space="preserve"> </w:t>
      </w:r>
      <w:proofErr w:type="spellStart"/>
      <w:r>
        <w:rPr>
          <w:sz w:val="20"/>
          <w:szCs w:val="22"/>
        </w:rPr>
        <w:t>Prosumers</w:t>
      </w:r>
      <w:proofErr w:type="spellEnd"/>
      <w:r>
        <w:rPr>
          <w:sz w:val="20"/>
          <w:szCs w:val="22"/>
        </w:rPr>
        <w:t xml:space="preserve">, that is, active creators of Internet contents. Placing a challenge before learners and students </w:t>
      </w:r>
      <w:r>
        <w:rPr>
          <w:sz w:val="20"/>
        </w:rPr>
        <w:t xml:space="preserve">to create digital learning products, instead of traditional papers, such as written or typed ones, brings learning much closer to what is happening in the society. Mobile applications and web tools can be very useful in the learning process, as well as in the creation of learning products. The fact that our students are not </w:t>
      </w:r>
      <w:proofErr w:type="spellStart"/>
      <w:r>
        <w:rPr>
          <w:sz w:val="20"/>
        </w:rPr>
        <w:t>prosumers</w:t>
      </w:r>
      <w:proofErr w:type="spellEnd"/>
      <w:r>
        <w:rPr>
          <w:sz w:val="20"/>
        </w:rPr>
        <w:t xml:space="preserve"> can be characterized as a missed opportunity for the affirmation of the principle of “participation, cooperation and contribution, with the social aspect of technology being of particular importance </w:t>
      </w:r>
      <w:r w:rsidRPr="00781684">
        <w:rPr>
          <w:color w:val="auto"/>
          <w:sz w:val="20"/>
        </w:rPr>
        <w:t>(</w:t>
      </w:r>
      <w:r>
        <w:rPr>
          <w:color w:val="auto"/>
          <w:sz w:val="20"/>
        </w:rPr>
        <w:t xml:space="preserve">Quote: </w:t>
      </w:r>
      <w:proofErr w:type="spellStart"/>
      <w:r>
        <w:rPr>
          <w:color w:val="auto"/>
          <w:sz w:val="20"/>
        </w:rPr>
        <w:t>Božić</w:t>
      </w:r>
      <w:proofErr w:type="spellEnd"/>
      <w:r w:rsidRPr="00781684">
        <w:rPr>
          <w:color w:val="auto"/>
          <w:sz w:val="20"/>
        </w:rPr>
        <w:t xml:space="preserve">, 2014, </w:t>
      </w:r>
      <w:r>
        <w:rPr>
          <w:color w:val="auto"/>
          <w:sz w:val="20"/>
        </w:rPr>
        <w:t>p.</w:t>
      </w:r>
      <w:r w:rsidR="00D33953">
        <w:rPr>
          <w:color w:val="auto"/>
          <w:sz w:val="20"/>
        </w:rPr>
        <w:t xml:space="preserve"> </w:t>
      </w:r>
      <w:r>
        <w:rPr>
          <w:color w:val="auto"/>
          <w:sz w:val="20"/>
        </w:rPr>
        <w:t>238)</w:t>
      </w:r>
      <w:r w:rsidRPr="00781684">
        <w:rPr>
          <w:color w:val="auto"/>
          <w:sz w:val="20"/>
        </w:rPr>
        <w:t>ˮ</w:t>
      </w:r>
      <w:r>
        <w:rPr>
          <w:color w:val="auto"/>
          <w:sz w:val="20"/>
        </w:rPr>
        <w:t>.</w:t>
      </w:r>
    </w:p>
  </w:footnote>
  <w:footnote w:id="11">
    <w:p w:rsidR="00E465F8" w:rsidRPr="007E070F" w:rsidRDefault="00E465F8" w:rsidP="00DB01A7">
      <w:pPr>
        <w:spacing w:line="240" w:lineRule="auto"/>
        <w:ind w:firstLine="0"/>
        <w:rPr>
          <w:rStyle w:val="longtext"/>
          <w:color w:val="auto"/>
          <w:sz w:val="20"/>
          <w:shd w:val="clear" w:color="auto" w:fill="FFFFFF"/>
        </w:rPr>
      </w:pPr>
      <w:r w:rsidRPr="00FE0E18">
        <w:rPr>
          <w:rStyle w:val="FootnoteReference"/>
          <w:sz w:val="20"/>
          <w:szCs w:val="22"/>
        </w:rPr>
        <w:footnoteRef/>
      </w:r>
      <w:r>
        <w:rPr>
          <w:sz w:val="20"/>
          <w:szCs w:val="22"/>
        </w:rPr>
        <w:t xml:space="preserve"> Girls most commonly play the following games: </w:t>
      </w:r>
      <w:r w:rsidRPr="00FE0E18">
        <w:rPr>
          <w:rFonts w:eastAsia="Times New Roman"/>
          <w:color w:val="auto"/>
          <w:sz w:val="20"/>
          <w:szCs w:val="22"/>
        </w:rPr>
        <w:t>My talking Angela, My</w:t>
      </w:r>
      <w:r>
        <w:rPr>
          <w:rFonts w:eastAsia="Times New Roman"/>
          <w:color w:val="auto"/>
          <w:sz w:val="20"/>
          <w:szCs w:val="22"/>
        </w:rPr>
        <w:t xml:space="preserve"> talking Tom, </w:t>
      </w:r>
      <w:proofErr w:type="spellStart"/>
      <w:r>
        <w:rPr>
          <w:rFonts w:eastAsia="Times New Roman"/>
          <w:color w:val="auto"/>
          <w:sz w:val="20"/>
          <w:szCs w:val="22"/>
        </w:rPr>
        <w:t>Minecraft</w:t>
      </w:r>
      <w:proofErr w:type="spellEnd"/>
      <w:r>
        <w:rPr>
          <w:rFonts w:eastAsia="Times New Roman"/>
          <w:color w:val="auto"/>
          <w:sz w:val="20"/>
          <w:szCs w:val="22"/>
        </w:rPr>
        <w:t xml:space="preserve">, </w:t>
      </w:r>
      <w:proofErr w:type="spellStart"/>
      <w:r>
        <w:rPr>
          <w:rFonts w:eastAsia="Times New Roman"/>
          <w:color w:val="auto"/>
          <w:sz w:val="20"/>
          <w:szCs w:val="22"/>
        </w:rPr>
        <w:t>ZigZag</w:t>
      </w:r>
      <w:proofErr w:type="spellEnd"/>
      <w:r w:rsidRPr="00FE0E18">
        <w:rPr>
          <w:rFonts w:eastAsia="Times New Roman"/>
          <w:color w:val="auto"/>
          <w:sz w:val="20"/>
          <w:szCs w:val="22"/>
        </w:rPr>
        <w:t xml:space="preserve">. </w:t>
      </w:r>
      <w:r>
        <w:rPr>
          <w:rFonts w:eastAsia="Times New Roman"/>
          <w:color w:val="auto"/>
          <w:sz w:val="20"/>
          <w:szCs w:val="22"/>
        </w:rPr>
        <w:t>Boys play</w:t>
      </w:r>
      <w:r w:rsidRPr="00FE0E18">
        <w:rPr>
          <w:rFonts w:eastAsia="Times New Roman"/>
          <w:color w:val="auto"/>
          <w:sz w:val="20"/>
          <w:szCs w:val="22"/>
        </w:rPr>
        <w:t xml:space="preserve"> GTA 4 </w:t>
      </w:r>
      <w:r>
        <w:rPr>
          <w:rFonts w:eastAsia="Times New Roman"/>
          <w:color w:val="auto"/>
          <w:sz w:val="20"/>
          <w:szCs w:val="22"/>
        </w:rPr>
        <w:t>and 5, God o</w:t>
      </w:r>
      <w:r w:rsidRPr="00FE0E18">
        <w:rPr>
          <w:rFonts w:eastAsia="Times New Roman"/>
          <w:color w:val="auto"/>
          <w:sz w:val="20"/>
          <w:szCs w:val="22"/>
        </w:rPr>
        <w:t xml:space="preserve">f War 3, Counter Strike, </w:t>
      </w:r>
      <w:proofErr w:type="spellStart"/>
      <w:r w:rsidRPr="00FE0E18">
        <w:rPr>
          <w:rFonts w:eastAsia="Times New Roman"/>
          <w:color w:val="auto"/>
          <w:sz w:val="20"/>
          <w:szCs w:val="22"/>
        </w:rPr>
        <w:t>Minecraft</w:t>
      </w:r>
      <w:proofErr w:type="spellEnd"/>
      <w:r w:rsidRPr="00FE0E18">
        <w:rPr>
          <w:rFonts w:eastAsia="Times New Roman"/>
          <w:color w:val="auto"/>
          <w:sz w:val="20"/>
          <w:szCs w:val="22"/>
        </w:rPr>
        <w:t xml:space="preserve">, Millionaire City, </w:t>
      </w:r>
      <w:r>
        <w:rPr>
          <w:rFonts w:eastAsia="Times New Roman"/>
          <w:color w:val="auto"/>
          <w:sz w:val="20"/>
          <w:szCs w:val="22"/>
        </w:rPr>
        <w:t>chess, etc.</w:t>
      </w:r>
      <w:r w:rsidRPr="00FE0E18">
        <w:rPr>
          <w:rFonts w:eastAsia="Times New Roman"/>
          <w:color w:val="auto"/>
          <w:sz w:val="20"/>
          <w:szCs w:val="22"/>
        </w:rPr>
        <w:t xml:space="preserve"> </w:t>
      </w:r>
      <w:r>
        <w:rPr>
          <w:rFonts w:eastAsia="Times New Roman"/>
          <w:color w:val="auto"/>
          <w:sz w:val="20"/>
          <w:szCs w:val="22"/>
        </w:rPr>
        <w:t>Although they often play different types of games, both boys and girls (more typically boys) play digital games which include violence (e.g. games with monsters, vampires, killing, and bombing). Digital games are rarely mentioned in the educational context, especially for teaching purposes</w:t>
      </w:r>
      <w:r w:rsidRPr="0022030B">
        <w:rPr>
          <w:rFonts w:eastAsia="Times New Roman"/>
          <w:color w:val="auto"/>
          <w:sz w:val="20"/>
        </w:rPr>
        <w:t xml:space="preserve"> (</w:t>
      </w:r>
      <w:proofErr w:type="spellStart"/>
      <w:r w:rsidRPr="0022030B">
        <w:rPr>
          <w:rFonts w:eastAsia="Times New Roman"/>
          <w:color w:val="auto"/>
          <w:sz w:val="20"/>
        </w:rPr>
        <w:t>Popadić</w:t>
      </w:r>
      <w:proofErr w:type="spellEnd"/>
      <w:r w:rsidRPr="0022030B">
        <w:rPr>
          <w:rFonts w:eastAsia="Times New Roman"/>
          <w:color w:val="auto"/>
          <w:sz w:val="20"/>
        </w:rPr>
        <w:t xml:space="preserve"> </w:t>
      </w:r>
      <w:r>
        <w:rPr>
          <w:rFonts w:eastAsia="Times New Roman"/>
          <w:color w:val="auto"/>
          <w:sz w:val="20"/>
        </w:rPr>
        <w:t>et al.</w:t>
      </w:r>
      <w:r w:rsidRPr="0022030B">
        <w:rPr>
          <w:rFonts w:eastAsia="Times New Roman"/>
          <w:color w:val="auto"/>
          <w:sz w:val="20"/>
        </w:rPr>
        <w:t xml:space="preserve">, 2016, </w:t>
      </w:r>
      <w:r>
        <w:rPr>
          <w:rFonts w:eastAsia="Times New Roman"/>
          <w:color w:val="auto"/>
          <w:sz w:val="20"/>
        </w:rPr>
        <w:t>p</w:t>
      </w:r>
      <w:r w:rsidRPr="0022030B">
        <w:rPr>
          <w:rFonts w:eastAsia="Times New Roman"/>
          <w:color w:val="auto"/>
          <w:sz w:val="20"/>
        </w:rPr>
        <w:t>.</w:t>
      </w:r>
      <w:r>
        <w:rPr>
          <w:rFonts w:eastAsia="Times New Roman"/>
          <w:color w:val="auto"/>
          <w:sz w:val="20"/>
        </w:rPr>
        <w:t xml:space="preserve"> </w:t>
      </w:r>
      <w:r w:rsidRPr="0022030B">
        <w:rPr>
          <w:rFonts w:eastAsia="Times New Roman"/>
          <w:color w:val="auto"/>
          <w:sz w:val="20"/>
        </w:rPr>
        <w:t xml:space="preserve">24). </w:t>
      </w:r>
      <w:r>
        <w:rPr>
          <w:rFonts w:eastAsia="Times New Roman"/>
          <w:color w:val="auto"/>
          <w:sz w:val="20"/>
        </w:rPr>
        <w:t>That is why media give digital games reputation which is exclusively connected with entertainment and individuals often characterize them</w:t>
      </w:r>
      <w:r w:rsidRPr="00E91C6F">
        <w:rPr>
          <w:rFonts w:eastAsia="Times New Roman"/>
          <w:color w:val="auto"/>
          <w:sz w:val="20"/>
        </w:rPr>
        <w:t xml:space="preserve"> </w:t>
      </w:r>
      <w:r>
        <w:rPr>
          <w:rFonts w:eastAsia="Times New Roman"/>
          <w:color w:val="auto"/>
          <w:sz w:val="20"/>
        </w:rPr>
        <w:t xml:space="preserve">as an activity insufficiently serious for a formal education system. Thus, the educational potentials of digital games stay undiscovered. At the same time, scientific </w:t>
      </w:r>
      <w:proofErr w:type="spellStart"/>
      <w:r>
        <w:rPr>
          <w:rFonts w:eastAsia="Times New Roman"/>
          <w:color w:val="auto"/>
          <w:sz w:val="20"/>
        </w:rPr>
        <w:t>litarature</w:t>
      </w:r>
      <w:proofErr w:type="spellEnd"/>
      <w:r>
        <w:rPr>
          <w:rStyle w:val="longtext"/>
          <w:color w:val="auto"/>
          <w:sz w:val="20"/>
          <w:shd w:val="clear" w:color="auto" w:fill="FFFFFF"/>
          <w:lang w:val="ru-RU"/>
        </w:rPr>
        <w:t xml:space="preserve"> </w:t>
      </w:r>
      <w:r w:rsidR="007C3C6E">
        <w:rPr>
          <w:rFonts w:eastAsia="Batang"/>
          <w:bCs/>
          <w:sz w:val="20"/>
        </w:rPr>
        <w:t>(</w:t>
      </w:r>
      <w:proofErr w:type="spellStart"/>
      <w:r w:rsidR="007C3C6E">
        <w:rPr>
          <w:rFonts w:eastAsia="Batang"/>
          <w:bCs/>
          <w:sz w:val="20"/>
        </w:rPr>
        <w:t>Garris</w:t>
      </w:r>
      <w:proofErr w:type="spellEnd"/>
      <w:r w:rsidR="007C3C6E">
        <w:rPr>
          <w:rFonts w:eastAsia="Batang"/>
          <w:bCs/>
          <w:sz w:val="20"/>
        </w:rPr>
        <w:t xml:space="preserve">, </w:t>
      </w:r>
      <w:proofErr w:type="spellStart"/>
      <w:r w:rsidRPr="00103565">
        <w:rPr>
          <w:rFonts w:eastAsia="Batang"/>
          <w:bCs/>
          <w:sz w:val="20"/>
        </w:rPr>
        <w:t>Ahlers</w:t>
      </w:r>
      <w:proofErr w:type="spellEnd"/>
      <w:r w:rsidRPr="00103565">
        <w:rPr>
          <w:sz w:val="20"/>
          <w:lang w:val="sr-Latn-CS"/>
        </w:rPr>
        <w:t>&amp;</w:t>
      </w:r>
      <w:r w:rsidRPr="00103565">
        <w:rPr>
          <w:sz w:val="20"/>
        </w:rPr>
        <w:t xml:space="preserve"> </w:t>
      </w:r>
      <w:proofErr w:type="spellStart"/>
      <w:r w:rsidRPr="00103565">
        <w:rPr>
          <w:rFonts w:eastAsia="Batang"/>
          <w:bCs/>
          <w:sz w:val="20"/>
        </w:rPr>
        <w:t>Driskel</w:t>
      </w:r>
      <w:proofErr w:type="spellEnd"/>
      <w:r w:rsidRPr="00103565">
        <w:rPr>
          <w:rFonts w:eastAsia="Batang"/>
          <w:bCs/>
          <w:sz w:val="20"/>
        </w:rPr>
        <w:t xml:space="preserve">, 2002; </w:t>
      </w:r>
      <w:proofErr w:type="spellStart"/>
      <w:r w:rsidRPr="00103565">
        <w:rPr>
          <w:rFonts w:eastAsia="Batang"/>
          <w:bCs/>
          <w:sz w:val="20"/>
        </w:rPr>
        <w:t>Gros</w:t>
      </w:r>
      <w:proofErr w:type="spellEnd"/>
      <w:r w:rsidRPr="00103565">
        <w:rPr>
          <w:rFonts w:eastAsia="Batang"/>
          <w:bCs/>
          <w:sz w:val="20"/>
        </w:rPr>
        <w:t xml:space="preserve">, 2007; </w:t>
      </w:r>
      <w:proofErr w:type="spellStart"/>
      <w:r w:rsidRPr="00103565">
        <w:rPr>
          <w:rFonts w:eastAsia="Batang"/>
          <w:bCs/>
          <w:sz w:val="20"/>
        </w:rPr>
        <w:t>Patric</w:t>
      </w:r>
      <w:proofErr w:type="spellEnd"/>
      <w:r w:rsidRPr="00103565">
        <w:rPr>
          <w:rFonts w:eastAsia="Batang"/>
          <w:bCs/>
          <w:sz w:val="20"/>
        </w:rPr>
        <w:t>, 2009</w:t>
      </w:r>
      <w:r>
        <w:rPr>
          <w:rFonts w:eastAsia="Batang"/>
          <w:bCs/>
          <w:sz w:val="20"/>
        </w:rPr>
        <w:t>)</w:t>
      </w:r>
      <w:r w:rsidRPr="0022030B">
        <w:rPr>
          <w:rStyle w:val="longtext"/>
          <w:color w:val="auto"/>
          <w:sz w:val="20"/>
          <w:shd w:val="clear" w:color="auto" w:fill="FFFFFF"/>
          <w:lang w:val="ru-RU"/>
        </w:rPr>
        <w:t xml:space="preserve"> </w:t>
      </w:r>
      <w:r>
        <w:rPr>
          <w:rStyle w:val="longtext"/>
          <w:color w:val="auto"/>
          <w:sz w:val="20"/>
          <w:shd w:val="clear" w:color="auto" w:fill="FFFFFF"/>
        </w:rPr>
        <w:t xml:space="preserve">related to the design and use of digital games in education and instruction is growing. Digital games in education provide a platform for active learning, that is, they enable learning by experience and discovery, they can be adapted to the user (learner or student) needs, their background knowledge and interests, they provide immediate feedback about the level of progress made, etc. The concepts of and approaches to learning by means of digital games support the skills of critical thinking, group communication, debate and serious decision making </w:t>
      </w:r>
    </w:p>
    <w:p w:rsidR="00E465F8" w:rsidRPr="007E070F" w:rsidRDefault="00E465F8" w:rsidP="00DB01A7">
      <w:pPr>
        <w:spacing w:line="240" w:lineRule="auto"/>
        <w:ind w:firstLine="0"/>
        <w:rPr>
          <w:rFonts w:eastAsia="Times New Roman"/>
          <w:color w:val="auto"/>
          <w:sz w:val="20"/>
        </w:rPr>
      </w:pPr>
      <w:r w:rsidRPr="0022030B">
        <w:rPr>
          <w:rStyle w:val="longtext"/>
          <w:color w:val="auto"/>
          <w:sz w:val="20"/>
          <w:shd w:val="clear" w:color="auto" w:fill="FFFFFF"/>
          <w:lang w:val="ru-RU"/>
        </w:rPr>
        <w:t xml:space="preserve">(Ristić i Mandić, 2017). </w:t>
      </w:r>
      <w:r>
        <w:rPr>
          <w:rStyle w:val="longtext"/>
          <w:color w:val="auto"/>
          <w:sz w:val="20"/>
          <w:shd w:val="clear" w:color="auto" w:fill="FFFFFF"/>
        </w:rPr>
        <w:t>While students are learning by playing, what becomes obvious is what the literature acknowledges as</w:t>
      </w:r>
      <w:r w:rsidR="00631F1A">
        <w:rPr>
          <w:rStyle w:val="longtext"/>
          <w:color w:val="auto"/>
          <w:sz w:val="20"/>
          <w:shd w:val="clear" w:color="auto" w:fill="FFFFFF"/>
        </w:rPr>
        <w:t xml:space="preserve"> </w:t>
      </w:r>
      <w:r w:rsidR="00631F1A" w:rsidRPr="00631F1A">
        <w:rPr>
          <w:rStyle w:val="longtext"/>
          <w:i/>
          <w:color w:val="auto"/>
          <w:sz w:val="20"/>
          <w:shd w:val="clear" w:color="auto" w:fill="FFFFFF"/>
        </w:rPr>
        <w:t>flow</w:t>
      </w:r>
      <w:r>
        <w:rPr>
          <w:rStyle w:val="longtext"/>
          <w:color w:val="auto"/>
          <w:sz w:val="20"/>
          <w:shd w:val="clear" w:color="auto" w:fill="FFFFFF"/>
        </w:rPr>
        <w:t xml:space="preserve"> </w:t>
      </w:r>
      <w:r w:rsidRPr="0022030B">
        <w:rPr>
          <w:rFonts w:eastAsia="Batang"/>
          <w:color w:val="auto"/>
          <w:sz w:val="20"/>
          <w:lang w:val="sr-Cyrl-CS"/>
        </w:rPr>
        <w:t>(</w:t>
      </w:r>
      <w:proofErr w:type="spellStart"/>
      <w:r w:rsidRPr="0022030B">
        <w:rPr>
          <w:color w:val="auto"/>
          <w:sz w:val="20"/>
          <w:shd w:val="clear" w:color="auto" w:fill="FFFFFF"/>
        </w:rPr>
        <w:t>Kitching</w:t>
      </w:r>
      <w:proofErr w:type="spellEnd"/>
      <w:r w:rsidRPr="0022030B">
        <w:rPr>
          <w:color w:val="auto"/>
          <w:sz w:val="20"/>
          <w:shd w:val="clear" w:color="auto" w:fill="FFFFFF"/>
        </w:rPr>
        <w:t xml:space="preserve"> &amp; Wheeler 2013)</w:t>
      </w:r>
      <w:r>
        <w:rPr>
          <w:color w:val="auto"/>
          <w:sz w:val="20"/>
          <w:shd w:val="clear" w:color="auto" w:fill="FFFFFF"/>
        </w:rPr>
        <w:t>.</w:t>
      </w:r>
    </w:p>
  </w:footnote>
  <w:footnote w:id="12">
    <w:p w:rsidR="00E465F8" w:rsidRPr="00F17143" w:rsidRDefault="00E465F8" w:rsidP="00467BFE">
      <w:pPr>
        <w:spacing w:line="240" w:lineRule="auto"/>
        <w:ind w:firstLine="0"/>
        <w:rPr>
          <w:color w:val="auto"/>
          <w:sz w:val="20"/>
          <w:lang w:val="sr-Latn-CS"/>
        </w:rPr>
      </w:pPr>
      <w:r w:rsidRPr="00467BFE">
        <w:rPr>
          <w:rStyle w:val="FootnoteReference"/>
          <w:sz w:val="20"/>
        </w:rPr>
        <w:footnoteRef/>
      </w:r>
      <w:r w:rsidRPr="00467BFE">
        <w:rPr>
          <w:sz w:val="20"/>
        </w:rPr>
        <w:t xml:space="preserve">Girls most often </w:t>
      </w:r>
      <w:r>
        <w:rPr>
          <w:color w:val="auto"/>
          <w:sz w:val="20"/>
          <w:lang w:val="sr-Latn-CS"/>
        </w:rPr>
        <w:t xml:space="preserve">search contents related to hairstyles, makeup, flowers, dance, and animals, and boys contents connected with sports, games, e.g. they search the Youtube Internet service, join forums, etc. They both like funny and amusing Internet contents </w:t>
      </w:r>
      <w:r w:rsidRPr="00FE0E18">
        <w:rPr>
          <w:rFonts w:eastAsia="Times New Roman"/>
          <w:color w:val="auto"/>
          <w:sz w:val="20"/>
          <w:szCs w:val="22"/>
        </w:rPr>
        <w:t>(</w:t>
      </w:r>
      <w:proofErr w:type="spellStart"/>
      <w:r w:rsidRPr="00FE0E18">
        <w:rPr>
          <w:rFonts w:eastAsia="Times New Roman"/>
          <w:color w:val="auto"/>
          <w:sz w:val="20"/>
          <w:szCs w:val="22"/>
        </w:rPr>
        <w:t>Popadić</w:t>
      </w:r>
      <w:proofErr w:type="spellEnd"/>
      <w:r w:rsidRPr="00FE0E18">
        <w:rPr>
          <w:rFonts w:eastAsia="Times New Roman"/>
          <w:color w:val="auto"/>
          <w:sz w:val="20"/>
          <w:szCs w:val="22"/>
        </w:rPr>
        <w:t xml:space="preserve"> </w:t>
      </w:r>
      <w:r>
        <w:rPr>
          <w:rFonts w:eastAsia="Times New Roman"/>
          <w:color w:val="auto"/>
          <w:sz w:val="20"/>
          <w:szCs w:val="22"/>
        </w:rPr>
        <w:t>et al.</w:t>
      </w:r>
      <w:r w:rsidRPr="00FE0E18">
        <w:rPr>
          <w:rFonts w:eastAsia="Times New Roman"/>
          <w:color w:val="auto"/>
          <w:sz w:val="20"/>
          <w:szCs w:val="22"/>
        </w:rPr>
        <w:t xml:space="preserve">, 2016, </w:t>
      </w:r>
      <w:r w:rsidR="007C3C6E">
        <w:rPr>
          <w:rFonts w:eastAsia="Times New Roman"/>
          <w:color w:val="auto"/>
          <w:sz w:val="20"/>
          <w:szCs w:val="22"/>
        </w:rPr>
        <w:t>p</w:t>
      </w:r>
      <w:r w:rsidRPr="00FE0E18">
        <w:rPr>
          <w:rFonts w:eastAsia="Times New Roman"/>
          <w:color w:val="auto"/>
          <w:sz w:val="20"/>
          <w:szCs w:val="22"/>
        </w:rPr>
        <w:t>.</w:t>
      </w:r>
      <w:r w:rsidR="007C3C6E">
        <w:rPr>
          <w:rFonts w:eastAsia="Times New Roman"/>
          <w:color w:val="auto"/>
          <w:sz w:val="20"/>
          <w:szCs w:val="22"/>
        </w:rPr>
        <w:t xml:space="preserve"> </w:t>
      </w:r>
      <w:r w:rsidRPr="00FE0E18">
        <w:rPr>
          <w:rFonts w:eastAsia="Times New Roman"/>
          <w:color w:val="auto"/>
          <w:sz w:val="20"/>
          <w:szCs w:val="22"/>
        </w:rPr>
        <w:t>24)</w:t>
      </w:r>
      <w:r w:rsidRPr="00F17143">
        <w:rPr>
          <w:color w:val="auto"/>
          <w:sz w:val="20"/>
          <w:lang w:val="sr-Latn-CS"/>
        </w:rPr>
        <w:t>.</w:t>
      </w:r>
    </w:p>
    <w:p w:rsidR="00E465F8" w:rsidRPr="00F17143" w:rsidRDefault="00E465F8" w:rsidP="00A64C57">
      <w:pPr>
        <w:pStyle w:val="FootnoteText"/>
      </w:pPr>
    </w:p>
  </w:footnote>
  <w:footnote w:id="13">
    <w:p w:rsidR="00E465F8" w:rsidRPr="00EB35B8" w:rsidRDefault="00E465F8" w:rsidP="001D133C">
      <w:pPr>
        <w:spacing w:line="240" w:lineRule="auto"/>
        <w:ind w:firstLine="0"/>
        <w:rPr>
          <w:iCs/>
          <w:color w:val="000000" w:themeColor="text1"/>
          <w:sz w:val="20"/>
        </w:rPr>
      </w:pPr>
      <w:r w:rsidRPr="00EB35B8">
        <w:rPr>
          <w:rStyle w:val="FootnoteReference"/>
          <w:sz w:val="20"/>
        </w:rPr>
        <w:footnoteRef/>
      </w:r>
      <w:r w:rsidRPr="00EB35B8">
        <w:rPr>
          <w:sz w:val="20"/>
        </w:rPr>
        <w:t xml:space="preserve"> Low standards and poor availability of publicly </w:t>
      </w:r>
      <w:r>
        <w:rPr>
          <w:sz w:val="20"/>
        </w:rPr>
        <w:t>relevant</w:t>
      </w:r>
      <w:r w:rsidRPr="00EB35B8">
        <w:rPr>
          <w:sz w:val="20"/>
        </w:rPr>
        <w:t xml:space="preserve"> </w:t>
      </w:r>
      <w:r>
        <w:rPr>
          <w:sz w:val="20"/>
        </w:rPr>
        <w:t xml:space="preserve">services </w:t>
      </w:r>
      <w:r w:rsidRPr="00EB35B8">
        <w:rPr>
          <w:rStyle w:val="QuoteChar"/>
        </w:rPr>
        <w:t>(</w:t>
      </w:r>
      <w:r>
        <w:rPr>
          <w:rStyle w:val="QuoteChar"/>
        </w:rPr>
        <w:t xml:space="preserve">education, health care, social services, culture, etc.) are typical of rural places in Serbia, especially those in peripheral municipalities and in mountainous areas. According to the findings of </w:t>
      </w:r>
      <w:proofErr w:type="spellStart"/>
      <w:r>
        <w:rPr>
          <w:rStyle w:val="QuoteChar"/>
        </w:rPr>
        <w:t>Ksenija</w:t>
      </w:r>
      <w:proofErr w:type="spellEnd"/>
      <w:r>
        <w:rPr>
          <w:rStyle w:val="QuoteChar"/>
        </w:rPr>
        <w:t xml:space="preserve"> </w:t>
      </w:r>
      <w:proofErr w:type="spellStart"/>
      <w:r>
        <w:rPr>
          <w:rStyle w:val="QuoteChar"/>
        </w:rPr>
        <w:t>Petovar</w:t>
      </w:r>
      <w:proofErr w:type="spellEnd"/>
      <w:r>
        <w:rPr>
          <w:rStyle w:val="QuoteChar"/>
        </w:rPr>
        <w:t xml:space="preserve"> (</w:t>
      </w:r>
      <w:proofErr w:type="spellStart"/>
      <w:r>
        <w:rPr>
          <w:rStyle w:val="QuoteChar"/>
        </w:rPr>
        <w:t>Petovar</w:t>
      </w:r>
      <w:proofErr w:type="spellEnd"/>
      <w:r>
        <w:rPr>
          <w:rStyle w:val="QuoteChar"/>
        </w:rPr>
        <w:t xml:space="preserve">, 2016), one of the key reasons why children in rural areas in Serbia leave (compulsory) school too early is spatial unavailability of educational institutions (whether there is no eight-year school in the place of residence or no organized and financially affordable public transport for students to the schools in the </w:t>
      </w:r>
      <w:proofErr w:type="spellStart"/>
      <w:r>
        <w:rPr>
          <w:rStyle w:val="QuoteChar"/>
        </w:rPr>
        <w:t>neighbouring</w:t>
      </w:r>
      <w:proofErr w:type="spellEnd"/>
      <w:r>
        <w:rPr>
          <w:rStyle w:val="QuoteChar"/>
        </w:rPr>
        <w:t xml:space="preserve"> villages). Even </w:t>
      </w:r>
      <w:proofErr w:type="spellStart"/>
      <w:r>
        <w:rPr>
          <w:rStyle w:val="QuoteChar"/>
        </w:rPr>
        <w:t>grater</w:t>
      </w:r>
      <w:proofErr w:type="spellEnd"/>
      <w:r>
        <w:rPr>
          <w:rStyle w:val="QuoteChar"/>
        </w:rPr>
        <w:t xml:space="preserve"> numbers of children from rural areas abandon high school education. There are no reliable data about the mobility of rural area children to university studies, and the estimates are that the figures are only symbolic.  </w:t>
      </w:r>
    </w:p>
  </w:footnote>
  <w:footnote w:id="14">
    <w:p w:rsidR="00E465F8" w:rsidRDefault="00E465F8" w:rsidP="00702B17">
      <w:pPr>
        <w:spacing w:line="240" w:lineRule="auto"/>
        <w:ind w:firstLine="0"/>
        <w:rPr>
          <w:rStyle w:val="QuoteChar"/>
          <w:color w:val="auto"/>
        </w:rPr>
      </w:pPr>
      <w:r>
        <w:rPr>
          <w:rStyle w:val="FootnoteReference"/>
        </w:rPr>
        <w:footnoteRef/>
      </w:r>
      <w:r>
        <w:rPr>
          <w:rStyle w:val="QuoteChar"/>
          <w:color w:val="auto"/>
        </w:rPr>
        <w:t xml:space="preserve">The education system of Serbia has not shown good educational results for a long time, that is, it is not efficient. In order to draw attention to that fact, we will mention the results of our fifteen-year-olds in reading literacy, i.e., reading comprehension tests. The data (from the </w:t>
      </w:r>
      <w:proofErr w:type="spellStart"/>
      <w:r>
        <w:rPr>
          <w:rStyle w:val="QuoteChar"/>
          <w:color w:val="auto"/>
        </w:rPr>
        <w:t>interantional</w:t>
      </w:r>
      <w:proofErr w:type="spellEnd"/>
      <w:r>
        <w:rPr>
          <w:rStyle w:val="QuoteChar"/>
          <w:color w:val="auto"/>
        </w:rPr>
        <w:t xml:space="preserve"> PISA study on scholastic performance, organized by OECD) show that 33% of our 15-year-old high school students are on the level which is marked as </w:t>
      </w:r>
      <w:proofErr w:type="spellStart"/>
      <w:r>
        <w:rPr>
          <w:rStyle w:val="QuoteChar"/>
          <w:color w:val="auto"/>
        </w:rPr>
        <w:t>funcional</w:t>
      </w:r>
      <w:proofErr w:type="spellEnd"/>
      <w:r>
        <w:rPr>
          <w:rStyle w:val="QuoteChar"/>
          <w:color w:val="auto"/>
        </w:rPr>
        <w:t xml:space="preserve"> illiteracy. At the same time, we have the data that the EU has set a strategic goal for 2020</w:t>
      </w:r>
    </w:p>
    <w:p w:rsidR="00E465F8" w:rsidRPr="00F3780C" w:rsidRDefault="00E465F8" w:rsidP="00702B17">
      <w:pPr>
        <w:spacing w:line="240" w:lineRule="auto"/>
        <w:ind w:firstLine="0"/>
        <w:rPr>
          <w:iCs/>
          <w:color w:val="auto"/>
          <w:sz w:val="20"/>
        </w:rPr>
      </w:pPr>
      <w:r>
        <w:rPr>
          <w:rStyle w:val="QuoteChar"/>
          <w:color w:val="auto"/>
        </w:rPr>
        <w:t xml:space="preserve">according to which only 15% of students are expected to be in the category of </w:t>
      </w:r>
      <w:proofErr w:type="spellStart"/>
      <w:r>
        <w:rPr>
          <w:rStyle w:val="QuoteChar"/>
          <w:color w:val="auto"/>
        </w:rPr>
        <w:t>funcionally</w:t>
      </w:r>
      <w:proofErr w:type="spellEnd"/>
      <w:r>
        <w:rPr>
          <w:rStyle w:val="QuoteChar"/>
          <w:color w:val="auto"/>
        </w:rPr>
        <w:t xml:space="preserve"> illiterate ones</w:t>
      </w:r>
      <w:r w:rsidRPr="00853C36">
        <w:rPr>
          <w:rStyle w:val="QuoteChar"/>
          <w:color w:val="auto"/>
        </w:rPr>
        <w:t xml:space="preserve"> (</w:t>
      </w:r>
      <w:proofErr w:type="spellStart"/>
      <w:r w:rsidRPr="00853C36">
        <w:rPr>
          <w:rStyle w:val="QuoteChar"/>
          <w:color w:val="auto"/>
        </w:rPr>
        <w:t>Stanković</w:t>
      </w:r>
      <w:proofErr w:type="spellEnd"/>
      <w:r w:rsidRPr="00853C36">
        <w:rPr>
          <w:rStyle w:val="QuoteChar"/>
          <w:color w:val="auto"/>
        </w:rPr>
        <w:t xml:space="preserve">, 2011). </w:t>
      </w:r>
      <w:r>
        <w:rPr>
          <w:rStyle w:val="QuoteChar"/>
          <w:color w:val="auto"/>
        </w:rPr>
        <w:t>The answer to the question why our pupils and students do not strive for knowledge was considered in the book Philosophy of education (</w:t>
      </w:r>
      <w:proofErr w:type="spellStart"/>
      <w:r>
        <w:rPr>
          <w:rStyle w:val="QuoteChar"/>
          <w:color w:val="auto"/>
        </w:rPr>
        <w:t>Uzelac</w:t>
      </w:r>
      <w:proofErr w:type="spellEnd"/>
      <w:r>
        <w:rPr>
          <w:rStyle w:val="QuoteChar"/>
          <w:color w:val="auto"/>
        </w:rPr>
        <w:t xml:space="preserve">, 2016). The author considers that pupils and students do not strive for knowledge and that this is not their conscious decision or fault, but a consequence of reduced level of education and introduction of the </w:t>
      </w:r>
      <w:r w:rsidRPr="00835399">
        <w:rPr>
          <w:rStyle w:val="QuoteChar"/>
          <w:i/>
          <w:color w:val="auto"/>
        </w:rPr>
        <w:t xml:space="preserve">new </w:t>
      </w:r>
      <w:r>
        <w:rPr>
          <w:rStyle w:val="QuoteChar"/>
          <w:color w:val="auto"/>
        </w:rPr>
        <w:t xml:space="preserve">grading system.  </w:t>
      </w:r>
    </w:p>
  </w:footnote>
  <w:footnote w:id="15">
    <w:p w:rsidR="00E465F8" w:rsidRDefault="00E465F8" w:rsidP="00292078">
      <w:pPr>
        <w:pStyle w:val="FootnoteText"/>
        <w:ind w:firstLine="0"/>
        <w:rPr>
          <w:rStyle w:val="QuoteChar"/>
        </w:rPr>
      </w:pPr>
      <w:r>
        <w:rPr>
          <w:rStyle w:val="FootnoteReference"/>
        </w:rPr>
        <w:footnoteRef/>
      </w:r>
      <w:r>
        <w:t xml:space="preserve"> </w:t>
      </w:r>
      <w:r>
        <w:rPr>
          <w:rStyle w:val="QuoteChar"/>
        </w:rPr>
        <w:t>Fairness in an education system</w:t>
      </w:r>
      <w:r w:rsidRPr="00292078">
        <w:rPr>
          <w:rStyle w:val="QuoteChar"/>
        </w:rPr>
        <w:t xml:space="preserve"> </w:t>
      </w:r>
      <w:r>
        <w:rPr>
          <w:rStyle w:val="QuoteChar"/>
        </w:rPr>
        <w:t xml:space="preserve">is defined as a measure according to which the existing quality of education is made available to students of different </w:t>
      </w:r>
      <w:proofErr w:type="spellStart"/>
      <w:r>
        <w:rPr>
          <w:rStyle w:val="QuoteChar"/>
        </w:rPr>
        <w:t>socieoeconomic</w:t>
      </w:r>
      <w:proofErr w:type="spellEnd"/>
      <w:r>
        <w:rPr>
          <w:rStyle w:val="QuoteChar"/>
        </w:rPr>
        <w:t xml:space="preserve"> statuses (SES). It is measured by comparing it with the level of fairness in other countries. An important aspect of fairness refers to the extent to which educational achievements differ among students who belong to different groups in terms of their SES. Based o </w:t>
      </w:r>
      <w:proofErr w:type="spellStart"/>
      <w:r>
        <w:rPr>
          <w:rStyle w:val="QuoteChar"/>
        </w:rPr>
        <w:t>nthe</w:t>
      </w:r>
      <w:proofErr w:type="spellEnd"/>
      <w:r>
        <w:rPr>
          <w:rStyle w:val="QuoteChar"/>
        </w:rPr>
        <w:t xml:space="preserve"> findings </w:t>
      </w:r>
    </w:p>
    <w:p w:rsidR="00E465F8" w:rsidRDefault="00E465F8" w:rsidP="00292078">
      <w:pPr>
        <w:pStyle w:val="FootnoteText"/>
        <w:ind w:firstLine="0"/>
        <w:rPr>
          <w:rStyle w:val="QuoteChar"/>
        </w:rPr>
      </w:pPr>
      <w:r w:rsidRPr="00292078">
        <w:rPr>
          <w:rStyle w:val="QuoteChar"/>
        </w:rPr>
        <w:t>(</w:t>
      </w:r>
      <w:proofErr w:type="spellStart"/>
      <w:r w:rsidRPr="00292078">
        <w:rPr>
          <w:rStyle w:val="QuoteChar"/>
        </w:rPr>
        <w:t>Baucal</w:t>
      </w:r>
      <w:proofErr w:type="spellEnd"/>
      <w:r w:rsidRPr="00292078">
        <w:rPr>
          <w:rStyle w:val="QuoteChar"/>
        </w:rPr>
        <w:t xml:space="preserve"> </w:t>
      </w:r>
      <w:r>
        <w:rPr>
          <w:rStyle w:val="QuoteChar"/>
        </w:rPr>
        <w:t>and</w:t>
      </w:r>
      <w:r w:rsidR="00D33953">
        <w:rPr>
          <w:rStyle w:val="QuoteChar"/>
        </w:rPr>
        <w:t xml:space="preserve"> </w:t>
      </w:r>
      <w:proofErr w:type="spellStart"/>
      <w:r w:rsidR="00D33953">
        <w:rPr>
          <w:rStyle w:val="QuoteChar"/>
        </w:rPr>
        <w:t>Pavlović-Babić</w:t>
      </w:r>
      <w:proofErr w:type="spellEnd"/>
      <w:r w:rsidR="00D33953">
        <w:rPr>
          <w:rStyle w:val="QuoteChar"/>
        </w:rPr>
        <w:t xml:space="preserve">, </w:t>
      </w:r>
      <w:r w:rsidRPr="00292078">
        <w:rPr>
          <w:rStyle w:val="QuoteChar"/>
        </w:rPr>
        <w:t xml:space="preserve">2009), </w:t>
      </w:r>
      <w:r>
        <w:rPr>
          <w:rStyle w:val="QuoteChar"/>
        </w:rPr>
        <w:t xml:space="preserve">it can be said that the existing level of fairness of education in Serbia, in comparison to the situation in other OECD countries, is relatively acceptable. However, the fact is that the level of education reached by the students from the poorest groups (after nine years of education) is very low. Apart from the aforementioned, also to be underlined is the existence of the secondary effect of students’ SES. Namely, despite the fact that they have potentials for continuing education and reaching the highest levels of education, very successful students who belong to the poorest groups largely </w:t>
      </w:r>
      <w:proofErr w:type="spellStart"/>
      <w:r>
        <w:rPr>
          <w:rStyle w:val="QuoteChar"/>
        </w:rPr>
        <w:t>enrol</w:t>
      </w:r>
      <w:proofErr w:type="spellEnd"/>
      <w:r>
        <w:rPr>
          <w:rStyle w:val="QuoteChar"/>
        </w:rPr>
        <w:t xml:space="preserve"> in vocational high schools. These data suggest that the chances of many children from poorer families to leave the </w:t>
      </w:r>
      <w:r w:rsidRPr="008F7283">
        <w:rPr>
          <w:rStyle w:val="QuoteChar"/>
          <w:i/>
        </w:rPr>
        <w:t>vicious circle</w:t>
      </w:r>
      <w:r>
        <w:rPr>
          <w:rStyle w:val="QuoteChar"/>
        </w:rPr>
        <w:t xml:space="preserve"> of poverty are relatively small. </w:t>
      </w:r>
    </w:p>
    <w:p w:rsidR="00E465F8" w:rsidRPr="00292078" w:rsidRDefault="00E465F8" w:rsidP="00292078">
      <w:pPr>
        <w:pStyle w:val="FootnoteText"/>
        <w:ind w:firstLine="0"/>
        <w:rPr>
          <w:rStyle w:val="QuoteChar"/>
        </w:rPr>
      </w:pPr>
    </w:p>
  </w:footnote>
  <w:footnote w:id="16">
    <w:p w:rsidR="00E465F8" w:rsidRPr="00231BA3" w:rsidRDefault="00E465F8" w:rsidP="00B41ED5">
      <w:pPr>
        <w:pStyle w:val="Quote"/>
      </w:pPr>
      <w:r>
        <w:rPr>
          <w:rStyle w:val="FootnoteReference"/>
        </w:rPr>
        <w:footnoteRef/>
      </w:r>
      <w:r>
        <w:t xml:space="preserve"> Although </w:t>
      </w:r>
      <w:proofErr w:type="spellStart"/>
      <w:r>
        <w:t>programme</w:t>
      </w:r>
      <w:proofErr w:type="spellEnd"/>
      <w:r>
        <w:t xml:space="preserve"> contents in our education system are traditionally marked by sufficient academic seriousness, the following problems are obvious: obsolete contents (often also in university </w:t>
      </w:r>
      <w:proofErr w:type="spellStart"/>
      <w:r>
        <w:t>programmes</w:t>
      </w:r>
      <w:proofErr w:type="spellEnd"/>
      <w:r>
        <w:t xml:space="preserve">), </w:t>
      </w:r>
      <w:proofErr w:type="spellStart"/>
      <w:r>
        <w:t>unselectivity</w:t>
      </w:r>
      <w:proofErr w:type="spellEnd"/>
      <w:r>
        <w:t xml:space="preserve"> and overextension, and insufficient life and social relevance. Namely, curricular contents are often academically isolated, and lacking in applicability in practice (</w:t>
      </w:r>
      <w:proofErr w:type="spellStart"/>
      <w:r>
        <w:t>Nacionalni</w:t>
      </w:r>
      <w:proofErr w:type="spellEnd"/>
      <w:r>
        <w:t xml:space="preserve"> </w:t>
      </w:r>
      <w:proofErr w:type="spellStart"/>
      <w:r>
        <w:t>prosvetni</w:t>
      </w:r>
      <w:proofErr w:type="spellEnd"/>
      <w:r>
        <w:t xml:space="preserve"> </w:t>
      </w:r>
      <w:proofErr w:type="spellStart"/>
      <w:r>
        <w:t>savet</w:t>
      </w:r>
      <w:proofErr w:type="spellEnd"/>
      <w:r>
        <w:t>, 2011, p. 48).</w:t>
      </w:r>
    </w:p>
  </w:footnote>
  <w:footnote w:id="17">
    <w:p w:rsidR="00E465F8" w:rsidRDefault="00E465F8" w:rsidP="00A557BE">
      <w:pPr>
        <w:autoSpaceDE w:val="0"/>
        <w:autoSpaceDN w:val="0"/>
        <w:adjustRightInd w:val="0"/>
        <w:spacing w:line="240" w:lineRule="auto"/>
        <w:ind w:firstLine="0"/>
        <w:rPr>
          <w:rStyle w:val="QuoteChar"/>
        </w:rPr>
      </w:pPr>
      <w:r w:rsidRPr="00B41ED5">
        <w:rPr>
          <w:rStyle w:val="FootnoteReference"/>
          <w:sz w:val="22"/>
        </w:rPr>
        <w:footnoteRef/>
      </w:r>
      <w:r w:rsidRPr="00B41ED5">
        <w:rPr>
          <w:sz w:val="22"/>
        </w:rPr>
        <w:t xml:space="preserve"> </w:t>
      </w:r>
      <w:r>
        <w:rPr>
          <w:rStyle w:val="QuoteChar"/>
        </w:rPr>
        <w:t xml:space="preserve">Many object to the theory of the </w:t>
      </w:r>
      <w:r w:rsidRPr="001E5CBB">
        <w:rPr>
          <w:rStyle w:val="QuoteChar"/>
          <w:i/>
        </w:rPr>
        <w:t>knowledge society</w:t>
      </w:r>
      <w:r>
        <w:rPr>
          <w:rStyle w:val="QuoteChar"/>
        </w:rPr>
        <w:t>, claiming that it is rather</w:t>
      </w:r>
      <w:r w:rsidRPr="00B41ED5">
        <w:rPr>
          <w:rStyle w:val="QuoteChar"/>
        </w:rPr>
        <w:t xml:space="preserve"> </w:t>
      </w:r>
      <w:r>
        <w:rPr>
          <w:rStyle w:val="QuoteChar"/>
        </w:rPr>
        <w:t xml:space="preserve">an </w:t>
      </w:r>
      <w:r w:rsidRPr="00B41ED5">
        <w:rPr>
          <w:rStyle w:val="QuoteChar"/>
        </w:rPr>
        <w:t>„</w:t>
      </w:r>
      <w:r>
        <w:rPr>
          <w:rStyle w:val="QuoteChar"/>
        </w:rPr>
        <w:t xml:space="preserve">ignorance </w:t>
      </w:r>
      <w:proofErr w:type="spellStart"/>
      <w:r>
        <w:rPr>
          <w:rStyle w:val="QuoteChar"/>
        </w:rPr>
        <w:t>society</w:t>
      </w:r>
      <w:r w:rsidRPr="00B41ED5">
        <w:rPr>
          <w:rStyle w:val="QuoteChar"/>
        </w:rPr>
        <w:t>ˮ</w:t>
      </w:r>
      <w:proofErr w:type="spellEnd"/>
      <w:r w:rsidRPr="00B41ED5">
        <w:rPr>
          <w:rStyle w:val="QuoteChar"/>
        </w:rPr>
        <w:t>.</w:t>
      </w:r>
      <w:r>
        <w:rPr>
          <w:rStyle w:val="QuoteChar"/>
        </w:rPr>
        <w:t xml:space="preserve"> In his book </w:t>
      </w:r>
      <w:r w:rsidRPr="001E5CBB">
        <w:rPr>
          <w:rStyle w:val="QuoteChar"/>
          <w:i/>
        </w:rPr>
        <w:t xml:space="preserve">Theory of </w:t>
      </w:r>
      <w:r>
        <w:rPr>
          <w:rStyle w:val="QuoteChar"/>
          <w:i/>
        </w:rPr>
        <w:t>Non-education</w:t>
      </w:r>
      <w:r w:rsidRPr="001E5CBB">
        <w:rPr>
          <w:rStyle w:val="QuoteChar"/>
          <w:i/>
        </w:rPr>
        <w:t xml:space="preserve">: </w:t>
      </w:r>
      <w:r>
        <w:rPr>
          <w:rStyle w:val="QuoteChar"/>
          <w:i/>
        </w:rPr>
        <w:t xml:space="preserve">the mischief of the </w:t>
      </w:r>
      <w:r w:rsidRPr="001E5CBB">
        <w:rPr>
          <w:rStyle w:val="QuoteChar"/>
          <w:i/>
        </w:rPr>
        <w:t>knowledge society</w:t>
      </w:r>
      <w:r>
        <w:rPr>
          <w:rStyle w:val="QuoteChar"/>
        </w:rPr>
        <w:t xml:space="preserve"> (</w:t>
      </w:r>
      <w:proofErr w:type="spellStart"/>
      <w:r>
        <w:rPr>
          <w:rStyle w:val="QuoteChar"/>
        </w:rPr>
        <w:t>Lisman</w:t>
      </w:r>
      <w:proofErr w:type="spellEnd"/>
      <w:r>
        <w:rPr>
          <w:rStyle w:val="QuoteChar"/>
        </w:rPr>
        <w:t xml:space="preserve">, 2008), </w:t>
      </w:r>
      <w:proofErr w:type="spellStart"/>
      <w:r>
        <w:rPr>
          <w:rStyle w:val="QuoteChar"/>
        </w:rPr>
        <w:t>Lisman</w:t>
      </w:r>
      <w:proofErr w:type="spellEnd"/>
      <w:r w:rsidRPr="00B41ED5">
        <w:rPr>
          <w:rStyle w:val="QuoteChar"/>
        </w:rPr>
        <w:t> </w:t>
      </w:r>
      <w:r>
        <w:rPr>
          <w:rStyle w:val="QuoteChar"/>
        </w:rPr>
        <w:t>disperses the ideal image of the modern society as a knowledge society.</w:t>
      </w:r>
      <w:r w:rsidRPr="00B41ED5">
        <w:rPr>
          <w:rStyle w:val="QuoteChar"/>
        </w:rPr>
        <w:t> </w:t>
      </w:r>
      <w:r>
        <w:rPr>
          <w:rStyle w:val="QuoteChar"/>
        </w:rPr>
        <w:t xml:space="preserve">He does not consider non-education to be lack of knowledge as a failure of educational policy, but rather the state of non-education as an inevitable consequence of the capitalist spirit. </w:t>
      </w:r>
      <w:proofErr w:type="spellStart"/>
      <w:r>
        <w:rPr>
          <w:rStyle w:val="QuoteChar"/>
        </w:rPr>
        <w:t>Lisman</w:t>
      </w:r>
      <w:proofErr w:type="spellEnd"/>
      <w:r>
        <w:rPr>
          <w:rStyle w:val="QuoteChar"/>
        </w:rPr>
        <w:t xml:space="preserve"> believes that</w:t>
      </w:r>
      <w:r w:rsidRPr="00B41ED5">
        <w:rPr>
          <w:rStyle w:val="QuoteChar"/>
        </w:rPr>
        <w:t xml:space="preserve"> PISA </w:t>
      </w:r>
      <w:r>
        <w:rPr>
          <w:rStyle w:val="QuoteChar"/>
        </w:rPr>
        <w:t>as a test is taken non-critically</w:t>
      </w:r>
      <w:r w:rsidRPr="00B41ED5">
        <w:rPr>
          <w:rStyle w:val="QuoteChar"/>
        </w:rPr>
        <w:t xml:space="preserve">, </w:t>
      </w:r>
      <w:r>
        <w:rPr>
          <w:rStyle w:val="QuoteChar"/>
        </w:rPr>
        <w:t xml:space="preserve">that its reliability is not questioned at all, that it is mere quantification of quality that counts, and education itself is reduced to the </w:t>
      </w:r>
      <w:proofErr w:type="spellStart"/>
      <w:r>
        <w:rPr>
          <w:rStyle w:val="QuoteChar"/>
        </w:rPr>
        <w:t>olympic</w:t>
      </w:r>
      <w:proofErr w:type="spellEnd"/>
      <w:r>
        <w:rPr>
          <w:rStyle w:val="QuoteChar"/>
        </w:rPr>
        <w:t xml:space="preserve"> games, competition and evaluation. The author points out that competition among universities used to be based on different perceptions of the world and approaches to the truth, whereas today it is seen merely as a position in a ranking list, that is, it is guided by the “phantasms of efficiency, usability, control and adaptation – which are all forms of non-education” (ibid, p. 74). </w:t>
      </w:r>
    </w:p>
    <w:p w:rsidR="00E465F8" w:rsidRPr="00B41ED5" w:rsidRDefault="00E465F8" w:rsidP="00A557BE">
      <w:pPr>
        <w:pStyle w:val="FootnoteText"/>
      </w:pPr>
    </w:p>
  </w:footnote>
  <w:footnote w:id="18">
    <w:p w:rsidR="00E465F8" w:rsidRPr="00455C11" w:rsidRDefault="00E465F8" w:rsidP="00826B52">
      <w:pPr>
        <w:pStyle w:val="Quote"/>
      </w:pPr>
      <w:r>
        <w:rPr>
          <w:rStyle w:val="FootnoteReference"/>
        </w:rPr>
        <w:footnoteRef/>
      </w:r>
      <w:r>
        <w:t xml:space="preserve"> In the fields such as: creating </w:t>
      </w:r>
      <w:proofErr w:type="spellStart"/>
      <w:r>
        <w:t>multimedial</w:t>
      </w:r>
      <w:proofErr w:type="spellEnd"/>
      <w:r>
        <w:t xml:space="preserve"> presentations, preparation of a web site, web design, keeping e-registers and documentation, save Internet use, e-portfolio, and e-tests.</w:t>
      </w:r>
      <w:r w:rsidRPr="002C75FE">
        <w:t xml:space="preserve">  </w:t>
      </w:r>
    </w:p>
  </w:footnote>
  <w:footnote w:id="19">
    <w:p w:rsidR="00E465F8" w:rsidRPr="003B6117" w:rsidRDefault="00E465F8" w:rsidP="00507D28">
      <w:pPr>
        <w:autoSpaceDE w:val="0"/>
        <w:autoSpaceDN w:val="0"/>
        <w:adjustRightInd w:val="0"/>
        <w:spacing w:line="240" w:lineRule="auto"/>
        <w:ind w:firstLine="0"/>
        <w:rPr>
          <w:sz w:val="20"/>
        </w:rPr>
      </w:pPr>
      <w:r w:rsidRPr="003B6117">
        <w:rPr>
          <w:rStyle w:val="FootnoteReference"/>
          <w:sz w:val="20"/>
        </w:rPr>
        <w:footnoteRef/>
      </w:r>
      <w:r w:rsidRPr="003B6117">
        <w:rPr>
          <w:sz w:val="20"/>
        </w:rPr>
        <w:t xml:space="preserve"> Ministry of education, science and technological development</w:t>
      </w:r>
      <w:r>
        <w:rPr>
          <w:sz w:val="20"/>
        </w:rPr>
        <w:t xml:space="preserve">; Ministry of trade, tourism and telecommunications; </w:t>
      </w:r>
      <w:r w:rsidRPr="00021FEA">
        <w:rPr>
          <w:sz w:val="20"/>
        </w:rPr>
        <w:t xml:space="preserve">Institute for the improvement of education; Institute for education quality </w:t>
      </w:r>
      <w:r>
        <w:rPr>
          <w:sz w:val="20"/>
        </w:rPr>
        <w:t xml:space="preserve">and evaluation; and AMRES. Jobs pertaining to the area of monitoring, development and improvement of the quality of education fall under the responsibility of three councils: The national council of education, The council for vocational high school and adult education and The national council of higher education. </w:t>
      </w:r>
    </w:p>
    <w:p w:rsidR="00E465F8" w:rsidRPr="00507D28" w:rsidRDefault="00E465F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D533B"/>
    <w:multiLevelType w:val="hybridMultilevel"/>
    <w:tmpl w:val="74CC3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os">
    <w15:presenceInfo w15:providerId="None" w15:userId="uro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5266F6"/>
    <w:rsid w:val="000056F9"/>
    <w:rsid w:val="000173EB"/>
    <w:rsid w:val="00020BA3"/>
    <w:rsid w:val="00021FEA"/>
    <w:rsid w:val="00052295"/>
    <w:rsid w:val="000531A8"/>
    <w:rsid w:val="0006375A"/>
    <w:rsid w:val="00070DBB"/>
    <w:rsid w:val="0007441A"/>
    <w:rsid w:val="000763AF"/>
    <w:rsid w:val="00084298"/>
    <w:rsid w:val="000B60DF"/>
    <w:rsid w:val="000B7A00"/>
    <w:rsid w:val="000C14F9"/>
    <w:rsid w:val="000C3DFE"/>
    <w:rsid w:val="000E38C8"/>
    <w:rsid w:val="00124169"/>
    <w:rsid w:val="00143C22"/>
    <w:rsid w:val="00152205"/>
    <w:rsid w:val="00156425"/>
    <w:rsid w:val="00157246"/>
    <w:rsid w:val="0016071B"/>
    <w:rsid w:val="0016181D"/>
    <w:rsid w:val="001659F0"/>
    <w:rsid w:val="00184AE0"/>
    <w:rsid w:val="00184BCD"/>
    <w:rsid w:val="001953B0"/>
    <w:rsid w:val="00195C58"/>
    <w:rsid w:val="001966CA"/>
    <w:rsid w:val="001A3AA4"/>
    <w:rsid w:val="001A4DAF"/>
    <w:rsid w:val="001A7655"/>
    <w:rsid w:val="001D133C"/>
    <w:rsid w:val="001D4D13"/>
    <w:rsid w:val="001E1ED8"/>
    <w:rsid w:val="001E5CBB"/>
    <w:rsid w:val="001F6EA2"/>
    <w:rsid w:val="00202C2F"/>
    <w:rsid w:val="00206E84"/>
    <w:rsid w:val="0022030B"/>
    <w:rsid w:val="00224160"/>
    <w:rsid w:val="00230144"/>
    <w:rsid w:val="00231BA3"/>
    <w:rsid w:val="002473AF"/>
    <w:rsid w:val="00250036"/>
    <w:rsid w:val="00252BE3"/>
    <w:rsid w:val="00253D64"/>
    <w:rsid w:val="00260036"/>
    <w:rsid w:val="00274F9C"/>
    <w:rsid w:val="002830A1"/>
    <w:rsid w:val="00287B35"/>
    <w:rsid w:val="00291DFD"/>
    <w:rsid w:val="00292078"/>
    <w:rsid w:val="0029271A"/>
    <w:rsid w:val="002A59A6"/>
    <w:rsid w:val="002D1706"/>
    <w:rsid w:val="002F4565"/>
    <w:rsid w:val="00305705"/>
    <w:rsid w:val="00317A4C"/>
    <w:rsid w:val="00326215"/>
    <w:rsid w:val="00331B50"/>
    <w:rsid w:val="00332364"/>
    <w:rsid w:val="00333CB6"/>
    <w:rsid w:val="00355BB3"/>
    <w:rsid w:val="003565A7"/>
    <w:rsid w:val="00364D2B"/>
    <w:rsid w:val="00370119"/>
    <w:rsid w:val="00373B37"/>
    <w:rsid w:val="00380E4B"/>
    <w:rsid w:val="00386B1A"/>
    <w:rsid w:val="003A0042"/>
    <w:rsid w:val="003A34E5"/>
    <w:rsid w:val="003B6117"/>
    <w:rsid w:val="003B6FB5"/>
    <w:rsid w:val="003C70DC"/>
    <w:rsid w:val="003F1F8F"/>
    <w:rsid w:val="003F22A9"/>
    <w:rsid w:val="003F59F8"/>
    <w:rsid w:val="00410331"/>
    <w:rsid w:val="00410B93"/>
    <w:rsid w:val="00440FB8"/>
    <w:rsid w:val="004604F7"/>
    <w:rsid w:val="0046281F"/>
    <w:rsid w:val="00463215"/>
    <w:rsid w:val="004675FA"/>
    <w:rsid w:val="00467BFE"/>
    <w:rsid w:val="0047094C"/>
    <w:rsid w:val="00476A5C"/>
    <w:rsid w:val="004A0423"/>
    <w:rsid w:val="004B58AF"/>
    <w:rsid w:val="004D2755"/>
    <w:rsid w:val="004F58B1"/>
    <w:rsid w:val="00500AEF"/>
    <w:rsid w:val="00507D28"/>
    <w:rsid w:val="005136C1"/>
    <w:rsid w:val="005266F6"/>
    <w:rsid w:val="005522A0"/>
    <w:rsid w:val="005617E2"/>
    <w:rsid w:val="00562627"/>
    <w:rsid w:val="00566779"/>
    <w:rsid w:val="0059588C"/>
    <w:rsid w:val="005A2FDD"/>
    <w:rsid w:val="005A61E0"/>
    <w:rsid w:val="005B27E9"/>
    <w:rsid w:val="005B7D85"/>
    <w:rsid w:val="005C04C9"/>
    <w:rsid w:val="005C6DAB"/>
    <w:rsid w:val="005D2A01"/>
    <w:rsid w:val="005D5433"/>
    <w:rsid w:val="005E4AE7"/>
    <w:rsid w:val="005F6890"/>
    <w:rsid w:val="00611ABD"/>
    <w:rsid w:val="00611BD5"/>
    <w:rsid w:val="00616702"/>
    <w:rsid w:val="00624ED1"/>
    <w:rsid w:val="00631F1A"/>
    <w:rsid w:val="0065738A"/>
    <w:rsid w:val="00664BCA"/>
    <w:rsid w:val="00671938"/>
    <w:rsid w:val="00683D4A"/>
    <w:rsid w:val="0069023B"/>
    <w:rsid w:val="006A1C9E"/>
    <w:rsid w:val="006A2AD3"/>
    <w:rsid w:val="006A5C17"/>
    <w:rsid w:val="006D04CE"/>
    <w:rsid w:val="006D20D2"/>
    <w:rsid w:val="006E2C35"/>
    <w:rsid w:val="006F5FB3"/>
    <w:rsid w:val="00702B17"/>
    <w:rsid w:val="00717959"/>
    <w:rsid w:val="007223B3"/>
    <w:rsid w:val="00730DEB"/>
    <w:rsid w:val="00750A45"/>
    <w:rsid w:val="00750E77"/>
    <w:rsid w:val="0076631D"/>
    <w:rsid w:val="007723E6"/>
    <w:rsid w:val="007735FC"/>
    <w:rsid w:val="0077685A"/>
    <w:rsid w:val="007771C8"/>
    <w:rsid w:val="00781684"/>
    <w:rsid w:val="0079321F"/>
    <w:rsid w:val="007A11BD"/>
    <w:rsid w:val="007A15C6"/>
    <w:rsid w:val="007B3D68"/>
    <w:rsid w:val="007B469E"/>
    <w:rsid w:val="007C2956"/>
    <w:rsid w:val="007C3C6E"/>
    <w:rsid w:val="007E070F"/>
    <w:rsid w:val="007E2F2C"/>
    <w:rsid w:val="007F61C1"/>
    <w:rsid w:val="00807BCA"/>
    <w:rsid w:val="008129D3"/>
    <w:rsid w:val="00815016"/>
    <w:rsid w:val="00815B20"/>
    <w:rsid w:val="008178F3"/>
    <w:rsid w:val="00817F62"/>
    <w:rsid w:val="008241F8"/>
    <w:rsid w:val="00826B52"/>
    <w:rsid w:val="00833636"/>
    <w:rsid w:val="00835399"/>
    <w:rsid w:val="00835BB4"/>
    <w:rsid w:val="00843D2C"/>
    <w:rsid w:val="00846435"/>
    <w:rsid w:val="0085191F"/>
    <w:rsid w:val="00853C36"/>
    <w:rsid w:val="00853D4A"/>
    <w:rsid w:val="0085646C"/>
    <w:rsid w:val="00890CD0"/>
    <w:rsid w:val="00890D2D"/>
    <w:rsid w:val="008A0E79"/>
    <w:rsid w:val="008A611B"/>
    <w:rsid w:val="008A7B3C"/>
    <w:rsid w:val="008B0F01"/>
    <w:rsid w:val="008B0F86"/>
    <w:rsid w:val="008B2A65"/>
    <w:rsid w:val="008D203A"/>
    <w:rsid w:val="008D3195"/>
    <w:rsid w:val="008E31F6"/>
    <w:rsid w:val="008F24C5"/>
    <w:rsid w:val="008F7283"/>
    <w:rsid w:val="00916F5D"/>
    <w:rsid w:val="009225C7"/>
    <w:rsid w:val="00936CB8"/>
    <w:rsid w:val="009454FF"/>
    <w:rsid w:val="00962E13"/>
    <w:rsid w:val="009716D6"/>
    <w:rsid w:val="00972689"/>
    <w:rsid w:val="00994443"/>
    <w:rsid w:val="009A549C"/>
    <w:rsid w:val="009B5933"/>
    <w:rsid w:val="009C04A8"/>
    <w:rsid w:val="009C29CD"/>
    <w:rsid w:val="009E4690"/>
    <w:rsid w:val="009F1A3B"/>
    <w:rsid w:val="009F2360"/>
    <w:rsid w:val="009F48F2"/>
    <w:rsid w:val="00A176F2"/>
    <w:rsid w:val="00A30A42"/>
    <w:rsid w:val="00A41392"/>
    <w:rsid w:val="00A54471"/>
    <w:rsid w:val="00A557BE"/>
    <w:rsid w:val="00A64B63"/>
    <w:rsid w:val="00A64C57"/>
    <w:rsid w:val="00A67CB5"/>
    <w:rsid w:val="00A73A28"/>
    <w:rsid w:val="00A771E5"/>
    <w:rsid w:val="00A911C5"/>
    <w:rsid w:val="00AD4D56"/>
    <w:rsid w:val="00AE4F1D"/>
    <w:rsid w:val="00AF73E7"/>
    <w:rsid w:val="00B04CD5"/>
    <w:rsid w:val="00B060C7"/>
    <w:rsid w:val="00B14FD2"/>
    <w:rsid w:val="00B179C7"/>
    <w:rsid w:val="00B22D11"/>
    <w:rsid w:val="00B41ED5"/>
    <w:rsid w:val="00B62C2D"/>
    <w:rsid w:val="00B75325"/>
    <w:rsid w:val="00B84F6E"/>
    <w:rsid w:val="00B9766E"/>
    <w:rsid w:val="00BA0398"/>
    <w:rsid w:val="00BA3E27"/>
    <w:rsid w:val="00BA4656"/>
    <w:rsid w:val="00BC4BF9"/>
    <w:rsid w:val="00BE16FF"/>
    <w:rsid w:val="00BE42A1"/>
    <w:rsid w:val="00BF7794"/>
    <w:rsid w:val="00C049FE"/>
    <w:rsid w:val="00C102B5"/>
    <w:rsid w:val="00C17001"/>
    <w:rsid w:val="00C25E3F"/>
    <w:rsid w:val="00C42E33"/>
    <w:rsid w:val="00C52233"/>
    <w:rsid w:val="00C600FA"/>
    <w:rsid w:val="00C6251E"/>
    <w:rsid w:val="00C7272B"/>
    <w:rsid w:val="00C7586A"/>
    <w:rsid w:val="00C8125C"/>
    <w:rsid w:val="00C93A9A"/>
    <w:rsid w:val="00CA3069"/>
    <w:rsid w:val="00CB7692"/>
    <w:rsid w:val="00CC2715"/>
    <w:rsid w:val="00CE06CB"/>
    <w:rsid w:val="00CE7C66"/>
    <w:rsid w:val="00CF1E69"/>
    <w:rsid w:val="00CF4751"/>
    <w:rsid w:val="00D03D11"/>
    <w:rsid w:val="00D10C1F"/>
    <w:rsid w:val="00D14060"/>
    <w:rsid w:val="00D176FC"/>
    <w:rsid w:val="00D33953"/>
    <w:rsid w:val="00D434A5"/>
    <w:rsid w:val="00D57DB5"/>
    <w:rsid w:val="00D61D17"/>
    <w:rsid w:val="00D6522E"/>
    <w:rsid w:val="00D7333B"/>
    <w:rsid w:val="00D7387D"/>
    <w:rsid w:val="00D74C67"/>
    <w:rsid w:val="00D767FA"/>
    <w:rsid w:val="00DA18CF"/>
    <w:rsid w:val="00DA7DDE"/>
    <w:rsid w:val="00DB01A7"/>
    <w:rsid w:val="00DB0EDF"/>
    <w:rsid w:val="00DB6119"/>
    <w:rsid w:val="00DB7931"/>
    <w:rsid w:val="00DF02B4"/>
    <w:rsid w:val="00DF2F97"/>
    <w:rsid w:val="00DF6BFB"/>
    <w:rsid w:val="00DF70EA"/>
    <w:rsid w:val="00E107D1"/>
    <w:rsid w:val="00E11DFE"/>
    <w:rsid w:val="00E13926"/>
    <w:rsid w:val="00E153F4"/>
    <w:rsid w:val="00E2697E"/>
    <w:rsid w:val="00E452EA"/>
    <w:rsid w:val="00E465F8"/>
    <w:rsid w:val="00E575F1"/>
    <w:rsid w:val="00E75119"/>
    <w:rsid w:val="00E75753"/>
    <w:rsid w:val="00E91C6F"/>
    <w:rsid w:val="00E95321"/>
    <w:rsid w:val="00EA1101"/>
    <w:rsid w:val="00EA4632"/>
    <w:rsid w:val="00EA73B1"/>
    <w:rsid w:val="00EB35B8"/>
    <w:rsid w:val="00EB7783"/>
    <w:rsid w:val="00EC3E45"/>
    <w:rsid w:val="00ED6269"/>
    <w:rsid w:val="00ED72E3"/>
    <w:rsid w:val="00EE1261"/>
    <w:rsid w:val="00EF2391"/>
    <w:rsid w:val="00EF4154"/>
    <w:rsid w:val="00F14881"/>
    <w:rsid w:val="00F14DD9"/>
    <w:rsid w:val="00F17143"/>
    <w:rsid w:val="00F1756E"/>
    <w:rsid w:val="00F21DC3"/>
    <w:rsid w:val="00F315B6"/>
    <w:rsid w:val="00F35DF1"/>
    <w:rsid w:val="00F3780C"/>
    <w:rsid w:val="00F54CBE"/>
    <w:rsid w:val="00F76D46"/>
    <w:rsid w:val="00F913E6"/>
    <w:rsid w:val="00F93CF4"/>
    <w:rsid w:val="00F94840"/>
    <w:rsid w:val="00FC4DBF"/>
    <w:rsid w:val="00FE0E18"/>
    <w:rsid w:val="00FE68E5"/>
    <w:rsid w:val="00FF1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1A1617"/>
        <w:sz w:val="24"/>
        <w:lang w:val="en-US"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F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B27E9"/>
    <w:pPr>
      <w:spacing w:line="240" w:lineRule="auto"/>
    </w:pPr>
    <w:rPr>
      <w:sz w:val="20"/>
    </w:rPr>
  </w:style>
  <w:style w:type="character" w:customStyle="1" w:styleId="FootnoteTextChar">
    <w:name w:val="Footnote Text Char"/>
    <w:basedOn w:val="DefaultParagraphFont"/>
    <w:link w:val="FootnoteText"/>
    <w:uiPriority w:val="99"/>
    <w:semiHidden/>
    <w:rsid w:val="005B27E9"/>
    <w:rPr>
      <w:sz w:val="20"/>
    </w:rPr>
  </w:style>
  <w:style w:type="character" w:styleId="FootnoteReference">
    <w:name w:val="footnote reference"/>
    <w:basedOn w:val="DefaultParagraphFont"/>
    <w:uiPriority w:val="99"/>
    <w:unhideWhenUsed/>
    <w:rsid w:val="005B27E9"/>
    <w:rPr>
      <w:vertAlign w:val="superscript"/>
    </w:rPr>
  </w:style>
  <w:style w:type="paragraph" w:customStyle="1" w:styleId="Normal1">
    <w:name w:val="Normal1"/>
    <w:rsid w:val="00BA0398"/>
    <w:rPr>
      <w:rFonts w:eastAsia="Times New Roman"/>
      <w:szCs w:val="24"/>
    </w:rPr>
  </w:style>
  <w:style w:type="paragraph" w:styleId="ListParagraph">
    <w:name w:val="List Paragraph"/>
    <w:basedOn w:val="Normal"/>
    <w:uiPriority w:val="34"/>
    <w:qFormat/>
    <w:rsid w:val="00D767FA"/>
    <w:pPr>
      <w:ind w:left="720"/>
      <w:contextualSpacing/>
    </w:pPr>
    <w:rPr>
      <w:rFonts w:cstheme="minorBidi"/>
      <w:color w:val="auto"/>
      <w:szCs w:val="22"/>
    </w:rPr>
  </w:style>
  <w:style w:type="character" w:styleId="Emphasis">
    <w:name w:val="Emphasis"/>
    <w:basedOn w:val="DefaultParagraphFont"/>
    <w:uiPriority w:val="20"/>
    <w:qFormat/>
    <w:rsid w:val="00D767FA"/>
    <w:rPr>
      <w:i/>
      <w:iCs/>
    </w:rPr>
  </w:style>
  <w:style w:type="paragraph" w:styleId="DocumentMap">
    <w:name w:val="Document Map"/>
    <w:basedOn w:val="Normal"/>
    <w:link w:val="DocumentMapChar"/>
    <w:uiPriority w:val="99"/>
    <w:semiHidden/>
    <w:unhideWhenUsed/>
    <w:rsid w:val="00AE4F1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E4F1D"/>
    <w:rPr>
      <w:rFonts w:ascii="Tahoma" w:hAnsi="Tahoma" w:cs="Tahoma"/>
      <w:sz w:val="16"/>
      <w:szCs w:val="16"/>
    </w:rPr>
  </w:style>
  <w:style w:type="paragraph" w:styleId="Header">
    <w:name w:val="header"/>
    <w:basedOn w:val="Normal"/>
    <w:link w:val="HeaderChar"/>
    <w:uiPriority w:val="99"/>
    <w:semiHidden/>
    <w:unhideWhenUsed/>
    <w:rsid w:val="00D74C6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74C67"/>
  </w:style>
  <w:style w:type="paragraph" w:styleId="Footer">
    <w:name w:val="footer"/>
    <w:basedOn w:val="Normal"/>
    <w:link w:val="FooterChar"/>
    <w:uiPriority w:val="99"/>
    <w:unhideWhenUsed/>
    <w:rsid w:val="00D74C67"/>
    <w:pPr>
      <w:tabs>
        <w:tab w:val="center" w:pos="4680"/>
        <w:tab w:val="right" w:pos="9360"/>
      </w:tabs>
      <w:spacing w:line="240" w:lineRule="auto"/>
    </w:pPr>
  </w:style>
  <w:style w:type="character" w:customStyle="1" w:styleId="FooterChar">
    <w:name w:val="Footer Char"/>
    <w:basedOn w:val="DefaultParagraphFont"/>
    <w:link w:val="Footer"/>
    <w:uiPriority w:val="99"/>
    <w:rsid w:val="00D74C67"/>
  </w:style>
  <w:style w:type="character" w:styleId="Hyperlink">
    <w:name w:val="Hyperlink"/>
    <w:basedOn w:val="DefaultParagraphFont"/>
    <w:uiPriority w:val="99"/>
    <w:unhideWhenUsed/>
    <w:rsid w:val="00D7333B"/>
    <w:rPr>
      <w:color w:val="0000FF"/>
      <w:u w:val="single"/>
    </w:rPr>
  </w:style>
  <w:style w:type="character" w:styleId="CommentReference">
    <w:name w:val="annotation reference"/>
    <w:basedOn w:val="DefaultParagraphFont"/>
    <w:uiPriority w:val="99"/>
    <w:semiHidden/>
    <w:unhideWhenUsed/>
    <w:rsid w:val="006A1C9E"/>
    <w:rPr>
      <w:sz w:val="16"/>
      <w:szCs w:val="16"/>
    </w:rPr>
  </w:style>
  <w:style w:type="paragraph" w:styleId="CommentText">
    <w:name w:val="annotation text"/>
    <w:basedOn w:val="Normal"/>
    <w:link w:val="CommentTextChar"/>
    <w:uiPriority w:val="99"/>
    <w:semiHidden/>
    <w:unhideWhenUsed/>
    <w:rsid w:val="006A1C9E"/>
    <w:pPr>
      <w:spacing w:line="240" w:lineRule="auto"/>
    </w:pPr>
    <w:rPr>
      <w:sz w:val="20"/>
    </w:rPr>
  </w:style>
  <w:style w:type="character" w:customStyle="1" w:styleId="CommentTextChar">
    <w:name w:val="Comment Text Char"/>
    <w:basedOn w:val="DefaultParagraphFont"/>
    <w:link w:val="CommentText"/>
    <w:uiPriority w:val="99"/>
    <w:semiHidden/>
    <w:rsid w:val="006A1C9E"/>
    <w:rPr>
      <w:sz w:val="20"/>
    </w:rPr>
  </w:style>
  <w:style w:type="paragraph" w:styleId="CommentSubject">
    <w:name w:val="annotation subject"/>
    <w:basedOn w:val="CommentText"/>
    <w:next w:val="CommentText"/>
    <w:link w:val="CommentSubjectChar"/>
    <w:uiPriority w:val="99"/>
    <w:semiHidden/>
    <w:unhideWhenUsed/>
    <w:rsid w:val="006A1C9E"/>
    <w:rPr>
      <w:b/>
      <w:bCs/>
    </w:rPr>
  </w:style>
  <w:style w:type="character" w:customStyle="1" w:styleId="CommentSubjectChar">
    <w:name w:val="Comment Subject Char"/>
    <w:basedOn w:val="CommentTextChar"/>
    <w:link w:val="CommentSubject"/>
    <w:uiPriority w:val="99"/>
    <w:semiHidden/>
    <w:rsid w:val="006A1C9E"/>
    <w:rPr>
      <w:b/>
      <w:bCs/>
      <w:sz w:val="20"/>
    </w:rPr>
  </w:style>
  <w:style w:type="paragraph" w:styleId="BalloonText">
    <w:name w:val="Balloon Text"/>
    <w:basedOn w:val="Normal"/>
    <w:link w:val="BalloonTextChar"/>
    <w:uiPriority w:val="99"/>
    <w:semiHidden/>
    <w:unhideWhenUsed/>
    <w:rsid w:val="006A1C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C9E"/>
    <w:rPr>
      <w:rFonts w:ascii="Segoe UI" w:hAnsi="Segoe UI" w:cs="Segoe UI"/>
      <w:sz w:val="18"/>
      <w:szCs w:val="18"/>
    </w:rPr>
  </w:style>
  <w:style w:type="character" w:customStyle="1" w:styleId="longtext">
    <w:name w:val="long_text"/>
    <w:basedOn w:val="DefaultParagraphFont"/>
    <w:rsid w:val="00FE0E18"/>
  </w:style>
  <w:style w:type="paragraph" w:styleId="Quote">
    <w:name w:val="Quote"/>
    <w:aliases w:val="FUSNOTA"/>
    <w:basedOn w:val="Normal"/>
    <w:next w:val="Normal"/>
    <w:link w:val="QuoteChar"/>
    <w:uiPriority w:val="29"/>
    <w:qFormat/>
    <w:rsid w:val="00C7272B"/>
    <w:pPr>
      <w:spacing w:line="240" w:lineRule="auto"/>
      <w:ind w:firstLine="0"/>
    </w:pPr>
    <w:rPr>
      <w:iCs/>
      <w:color w:val="000000" w:themeColor="text1"/>
      <w:sz w:val="20"/>
    </w:rPr>
  </w:style>
  <w:style w:type="character" w:customStyle="1" w:styleId="QuoteChar">
    <w:name w:val="Quote Char"/>
    <w:aliases w:val="FUSNOTA Char"/>
    <w:basedOn w:val="DefaultParagraphFont"/>
    <w:link w:val="Quote"/>
    <w:uiPriority w:val="29"/>
    <w:rsid w:val="00C7272B"/>
    <w:rPr>
      <w:iCs/>
      <w:color w:val="000000" w:themeColor="text1"/>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639-013-925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5937/inovacije1702001R"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11836-882F-423D-8241-F56478D4B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6015</Words>
  <Characters>35068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Ristic</dc:creator>
  <cp:lastModifiedBy>Miroslava Ristic</cp:lastModifiedBy>
  <cp:revision>4</cp:revision>
  <cp:lastPrinted>2018-08-08T15:34:00Z</cp:lastPrinted>
  <dcterms:created xsi:type="dcterms:W3CDTF">2018-08-28T10:23:00Z</dcterms:created>
  <dcterms:modified xsi:type="dcterms:W3CDTF">2018-08-28T12:25:00Z</dcterms:modified>
</cp:coreProperties>
</file>