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E4" w:rsidRDefault="003F0E13">
      <w:r>
        <w:t xml:space="preserve"> </w:t>
      </w:r>
      <w:r w:rsidR="002F5C13" w:rsidRPr="002F5C13">
        <w:rPr>
          <w:noProof/>
        </w:rPr>
        <w:drawing>
          <wp:inline distT="0" distB="0" distL="0" distR="0">
            <wp:extent cx="2903644" cy="2175933"/>
            <wp:effectExtent l="19050" t="0" r="11006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2F5C13">
        <w:t xml:space="preserve"> </w:t>
      </w:r>
      <w:r w:rsidR="002F5C13" w:rsidRPr="002F5C13">
        <w:rPr>
          <w:noProof/>
        </w:rPr>
        <w:drawing>
          <wp:inline distT="0" distB="0" distL="0" distR="0">
            <wp:extent cx="2915496" cy="2175933"/>
            <wp:effectExtent l="19050" t="0" r="18204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14102" w:rsidRDefault="002F5C13" w:rsidP="00E14102">
      <w:pPr>
        <w:tabs>
          <w:tab w:val="left" w:pos="9214"/>
        </w:tabs>
      </w:pPr>
      <w:r>
        <w:t xml:space="preserve"> </w:t>
      </w:r>
      <w:r w:rsidRPr="002F5C13">
        <w:rPr>
          <w:noProof/>
        </w:rPr>
        <w:drawing>
          <wp:inline distT="0" distB="0" distL="0" distR="0">
            <wp:extent cx="2898986" cy="2209800"/>
            <wp:effectExtent l="19050" t="0" r="15664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E14102">
        <w:t xml:space="preserve"> </w:t>
      </w:r>
      <w:r w:rsidR="00E14102" w:rsidRPr="00E14102">
        <w:rPr>
          <w:noProof/>
        </w:rPr>
        <w:drawing>
          <wp:inline distT="0" distB="0" distL="0" distR="0">
            <wp:extent cx="2915496" cy="2209800"/>
            <wp:effectExtent l="19050" t="0" r="18204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14102" w:rsidRPr="00D71681" w:rsidRDefault="0004411B" w:rsidP="00D71681">
      <w:pPr>
        <w:ind w:left="142"/>
        <w:rPr>
          <w:rFonts w:ascii="Times New Roman" w:hAnsi="Times New Roman" w:cs="Times New Roman"/>
          <w:sz w:val="20"/>
          <w:szCs w:val="20"/>
        </w:rPr>
      </w:pPr>
      <w:r w:rsidRPr="00D71681">
        <w:rPr>
          <w:rFonts w:ascii="Times New Roman" w:hAnsi="Times New Roman" w:cs="Times New Roman"/>
          <w:sz w:val="20"/>
          <w:szCs w:val="20"/>
        </w:rPr>
        <w:t xml:space="preserve">Figure </w:t>
      </w:r>
      <w:r w:rsidR="00A97F31">
        <w:rPr>
          <w:rFonts w:ascii="Times New Roman" w:hAnsi="Times New Roman" w:cs="Times New Roman"/>
          <w:sz w:val="20"/>
          <w:szCs w:val="20"/>
        </w:rPr>
        <w:t>1</w:t>
      </w:r>
      <w:r w:rsidRPr="00D71681">
        <w:rPr>
          <w:rFonts w:ascii="Times New Roman" w:hAnsi="Times New Roman" w:cs="Times New Roman"/>
          <w:sz w:val="20"/>
          <w:szCs w:val="20"/>
        </w:rPr>
        <w:t xml:space="preserve">. Effects of </w:t>
      </w:r>
      <w:r w:rsidR="001D60CF" w:rsidRPr="00D71681">
        <w:rPr>
          <w:rFonts w:ascii="Times New Roman" w:hAnsi="Times New Roman" w:cs="Times New Roman"/>
          <w:sz w:val="20"/>
          <w:szCs w:val="20"/>
        </w:rPr>
        <w:t xml:space="preserve">different </w:t>
      </w:r>
      <w:proofErr w:type="spellStart"/>
      <w:proofErr w:type="gramStart"/>
      <w:r w:rsidR="001D60CF" w:rsidRPr="00D71681">
        <w:rPr>
          <w:rFonts w:ascii="Times New Roman" w:hAnsi="Times New Roman" w:cs="Times New Roman"/>
          <w:sz w:val="20"/>
          <w:szCs w:val="20"/>
        </w:rPr>
        <w:t>concentracion</w:t>
      </w:r>
      <w:proofErr w:type="spellEnd"/>
      <w:r w:rsidR="001D60CF" w:rsidRPr="00D71681">
        <w:rPr>
          <w:rFonts w:ascii="Times New Roman" w:hAnsi="Times New Roman" w:cs="Times New Roman"/>
          <w:sz w:val="20"/>
          <w:szCs w:val="20"/>
        </w:rPr>
        <w:t xml:space="preserve">  of</w:t>
      </w:r>
      <w:proofErr w:type="gramEnd"/>
      <w:r w:rsidR="001D60CF" w:rsidRPr="00D716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1681">
        <w:rPr>
          <w:rFonts w:ascii="Times New Roman" w:hAnsi="Times New Roman" w:cs="Times New Roman"/>
          <w:sz w:val="20"/>
          <w:szCs w:val="20"/>
        </w:rPr>
        <w:t>metribuzin</w:t>
      </w:r>
      <w:proofErr w:type="spellEnd"/>
      <w:r w:rsidRPr="00D71681">
        <w:rPr>
          <w:rFonts w:ascii="Times New Roman" w:hAnsi="Times New Roman" w:cs="Times New Roman"/>
          <w:sz w:val="20"/>
          <w:szCs w:val="20"/>
        </w:rPr>
        <w:t xml:space="preserve"> on soil enzymes </w:t>
      </w:r>
      <w:proofErr w:type="spellStart"/>
      <w:r w:rsidRPr="00D71681">
        <w:rPr>
          <w:rFonts w:ascii="Times New Roman" w:hAnsi="Times New Roman" w:cs="Times New Roman"/>
          <w:sz w:val="20"/>
          <w:szCs w:val="20"/>
        </w:rPr>
        <w:t>dehydrogen</w:t>
      </w:r>
      <w:r w:rsidR="001D60CF" w:rsidRPr="00D71681">
        <w:rPr>
          <w:rFonts w:ascii="Times New Roman" w:hAnsi="Times New Roman" w:cs="Times New Roman"/>
          <w:sz w:val="20"/>
          <w:szCs w:val="20"/>
        </w:rPr>
        <w:t>ase</w:t>
      </w:r>
      <w:proofErr w:type="spellEnd"/>
      <w:r w:rsidR="001D60CF" w:rsidRPr="00D71681">
        <w:rPr>
          <w:rFonts w:ascii="Times New Roman" w:hAnsi="Times New Roman" w:cs="Times New Roman"/>
          <w:sz w:val="20"/>
          <w:szCs w:val="20"/>
        </w:rPr>
        <w:t xml:space="preserve"> in different types of soil: a) 12.0 mg/kg soil; b) 24.0 mg/kg soil; c)120.0 mg/kg soil; d) 1200.0 mg/kg soil.</w:t>
      </w:r>
    </w:p>
    <w:p w:rsidR="002F5C13" w:rsidRPr="001D60CF" w:rsidRDefault="002F5C13" w:rsidP="00E14102">
      <w:pPr>
        <w:tabs>
          <w:tab w:val="left" w:pos="142"/>
          <w:tab w:val="left" w:pos="4678"/>
          <w:tab w:val="left" w:pos="4820"/>
        </w:tabs>
        <w:jc w:val="center"/>
        <w:rPr>
          <w:rFonts w:ascii="Times New Roman" w:hAnsi="Times New Roman" w:cs="Times New Roman"/>
        </w:rPr>
      </w:pPr>
    </w:p>
    <w:sectPr w:rsidR="002F5C13" w:rsidRPr="001D60CF" w:rsidSect="00FA73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F0E13"/>
    <w:rsid w:val="0003440D"/>
    <w:rsid w:val="0004411B"/>
    <w:rsid w:val="00063BC6"/>
    <w:rsid w:val="00105F1E"/>
    <w:rsid w:val="001D60CF"/>
    <w:rsid w:val="002E6B8D"/>
    <w:rsid w:val="002F5C13"/>
    <w:rsid w:val="00301ABA"/>
    <w:rsid w:val="0035168A"/>
    <w:rsid w:val="00380DE6"/>
    <w:rsid w:val="003A52DD"/>
    <w:rsid w:val="003F0E13"/>
    <w:rsid w:val="00440418"/>
    <w:rsid w:val="0046509E"/>
    <w:rsid w:val="00480856"/>
    <w:rsid w:val="004A3328"/>
    <w:rsid w:val="005502E3"/>
    <w:rsid w:val="006102C6"/>
    <w:rsid w:val="006C5F5E"/>
    <w:rsid w:val="007007FB"/>
    <w:rsid w:val="00782C3E"/>
    <w:rsid w:val="00A97F31"/>
    <w:rsid w:val="00AB37B3"/>
    <w:rsid w:val="00B82340"/>
    <w:rsid w:val="00C4225E"/>
    <w:rsid w:val="00CA3788"/>
    <w:rsid w:val="00CB379D"/>
    <w:rsid w:val="00D34BF3"/>
    <w:rsid w:val="00D50064"/>
    <w:rsid w:val="00D71681"/>
    <w:rsid w:val="00D916B6"/>
    <w:rsid w:val="00DC4AEE"/>
    <w:rsid w:val="00E14102"/>
    <w:rsid w:val="00F35DFF"/>
    <w:rsid w:val="00FA25FF"/>
    <w:rsid w:val="00FA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Ljiljana.Santric\Desktop\deh%20grafikoni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Ljiljana.Santric\Desktop\deh%20grafikoni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Ljiljana.Santric\Desktop\deh%20grafikoni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Ljiljana.Santric\Desktop\deh%20grafikon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00" b="0">
                <a:latin typeface="Times New Roman" pitchFamily="18" charset="0"/>
                <a:cs typeface="Times New Roman" pitchFamily="18" charset="0"/>
              </a:defRPr>
            </a:pPr>
            <a:r>
              <a:rPr lang="en-US" sz="1000" b="0">
                <a:latin typeface="Times New Roman" pitchFamily="18" charset="0"/>
                <a:cs typeface="Times New Roman" pitchFamily="18" charset="0"/>
              </a:rPr>
              <a:t>a</a:t>
            </a:r>
          </a:p>
        </c:rich>
      </c:tx>
      <c:layout>
        <c:manualLayout>
          <c:xMode val="edge"/>
          <c:yMode val="edge"/>
          <c:x val="0.9224582239720035"/>
          <c:y val="2.7777777777778043E-2"/>
        </c:manualLayout>
      </c:layout>
      <c:overlay val="1"/>
    </c:title>
    <c:plotArea>
      <c:layout>
        <c:manualLayout>
          <c:layoutTarget val="inner"/>
          <c:xMode val="edge"/>
          <c:yMode val="edge"/>
          <c:x val="0.16455254156501295"/>
          <c:y val="7.4224021592442832E-2"/>
          <c:w val="0.78603162095628798"/>
          <c:h val="0.62149064845915558"/>
        </c:manualLayout>
      </c:layout>
      <c:lineChart>
        <c:grouping val="standard"/>
        <c:ser>
          <c:idx val="0"/>
          <c:order val="0"/>
          <c:tx>
            <c:strRef>
              <c:f>'deh grafici'!$C$4</c:f>
              <c:strCache>
                <c:ptCount val="1"/>
                <c:pt idx="0">
                  <c:v>Control loam</c:v>
                </c:pt>
              </c:strCache>
            </c:strRef>
          </c:tx>
          <c:spPr>
            <a:ln w="12700"/>
          </c:spPr>
          <c:marker>
            <c:symbol val="diamond"/>
            <c:size val="3"/>
          </c:marker>
          <c:cat>
            <c:numRef>
              <c:f>'deh grafici'!$B$5:$B$9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grafici'!$C$5:$C$9</c:f>
              <c:numCache>
                <c:formatCode>General</c:formatCode>
                <c:ptCount val="5"/>
                <c:pt idx="0">
                  <c:v>459.96</c:v>
                </c:pt>
                <c:pt idx="1">
                  <c:v>427.22999999999894</c:v>
                </c:pt>
                <c:pt idx="2">
                  <c:v>411.16</c:v>
                </c:pt>
                <c:pt idx="3">
                  <c:v>437.94</c:v>
                </c:pt>
                <c:pt idx="4">
                  <c:v>415.17</c:v>
                </c:pt>
              </c:numCache>
            </c:numRef>
          </c:val>
        </c:ser>
        <c:ser>
          <c:idx val="1"/>
          <c:order val="1"/>
          <c:tx>
            <c:strRef>
              <c:f>'deh grafici'!$D$4</c:f>
              <c:strCache>
                <c:ptCount val="1"/>
                <c:pt idx="0">
                  <c:v>12 mg/kg loam</c:v>
                </c:pt>
              </c:strCache>
            </c:strRef>
          </c:tx>
          <c:spPr>
            <a:ln w="12700"/>
          </c:spPr>
          <c:marker>
            <c:symbol val="square"/>
            <c:size val="3"/>
          </c:marker>
          <c:cat>
            <c:numRef>
              <c:f>'deh grafici'!$B$5:$B$9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grafici'!$D$5:$D$9</c:f>
              <c:numCache>
                <c:formatCode>General</c:formatCode>
                <c:ptCount val="5"/>
                <c:pt idx="0">
                  <c:v>507.58</c:v>
                </c:pt>
                <c:pt idx="1">
                  <c:v>439.2</c:v>
                </c:pt>
                <c:pt idx="2">
                  <c:v>440.62</c:v>
                </c:pt>
                <c:pt idx="3">
                  <c:v>357.58</c:v>
                </c:pt>
                <c:pt idx="4">
                  <c:v>417.85</c:v>
                </c:pt>
              </c:numCache>
            </c:numRef>
          </c:val>
        </c:ser>
        <c:ser>
          <c:idx val="2"/>
          <c:order val="2"/>
          <c:tx>
            <c:strRef>
              <c:f>'deh grafici'!$E$4</c:f>
              <c:strCache>
                <c:ptCount val="1"/>
                <c:pt idx="0">
                  <c:v>Control sand</c:v>
                </c:pt>
              </c:strCache>
            </c:strRef>
          </c:tx>
          <c:spPr>
            <a:ln w="12700"/>
          </c:spPr>
          <c:marker>
            <c:symbol val="triangle"/>
            <c:size val="3"/>
          </c:marker>
          <c:cat>
            <c:numRef>
              <c:f>'deh grafici'!$B$5:$B$9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grafici'!$E$5:$E$9</c:f>
              <c:numCache>
                <c:formatCode>General</c:formatCode>
                <c:ptCount val="5"/>
                <c:pt idx="0">
                  <c:v>160.94999999999999</c:v>
                </c:pt>
                <c:pt idx="1">
                  <c:v>183.79</c:v>
                </c:pt>
                <c:pt idx="2">
                  <c:v>143.83000000000001</c:v>
                </c:pt>
                <c:pt idx="3">
                  <c:v>121</c:v>
                </c:pt>
                <c:pt idx="4">
                  <c:v>138.12</c:v>
                </c:pt>
              </c:numCache>
            </c:numRef>
          </c:val>
        </c:ser>
        <c:ser>
          <c:idx val="3"/>
          <c:order val="3"/>
          <c:tx>
            <c:strRef>
              <c:f>'deh grafici'!$F$4</c:f>
              <c:strCache>
                <c:ptCount val="1"/>
                <c:pt idx="0">
                  <c:v>12mg/kg sand</c:v>
                </c:pt>
              </c:strCache>
            </c:strRef>
          </c:tx>
          <c:spPr>
            <a:ln w="12700"/>
          </c:spPr>
          <c:marker>
            <c:symbol val="x"/>
            <c:size val="3"/>
            <c:spPr>
              <a:ln>
                <a:solidFill>
                  <a:schemeClr val="accent1"/>
                </a:solidFill>
              </a:ln>
            </c:spPr>
          </c:marker>
          <c:cat>
            <c:numRef>
              <c:f>'deh grafici'!$B$5:$B$9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grafici'!$F$5:$F$9</c:f>
              <c:numCache>
                <c:formatCode>General</c:formatCode>
                <c:ptCount val="5"/>
                <c:pt idx="0">
                  <c:v>121</c:v>
                </c:pt>
                <c:pt idx="1">
                  <c:v>98.169999999999987</c:v>
                </c:pt>
                <c:pt idx="2">
                  <c:v>81.05</c:v>
                </c:pt>
                <c:pt idx="3">
                  <c:v>115.29</c:v>
                </c:pt>
                <c:pt idx="4">
                  <c:v>92.460000000000022</c:v>
                </c:pt>
              </c:numCache>
            </c:numRef>
          </c:val>
        </c:ser>
        <c:marker val="1"/>
        <c:axId val="95335168"/>
        <c:axId val="95337472"/>
      </c:lineChart>
      <c:catAx>
        <c:axId val="953351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sr-Latn-RS" sz="800" b="0">
                    <a:latin typeface="Times New Roman" pitchFamily="18" charset="0"/>
                    <a:cs typeface="Times New Roman" pitchFamily="18" charset="0"/>
                  </a:rPr>
                  <a:t>T</a:t>
                </a:r>
                <a:r>
                  <a:rPr lang="en-US" sz="800" b="0">
                    <a:latin typeface="Times New Roman" pitchFamily="18" charset="0"/>
                    <a:cs typeface="Times New Roman" pitchFamily="18" charset="0"/>
                  </a:rPr>
                  <a:t>ime</a:t>
                </a:r>
                <a:r>
                  <a:rPr lang="sr-Latn-RS" sz="800" b="0">
                    <a:latin typeface="Times New Roman" pitchFamily="18" charset="0"/>
                    <a:cs typeface="Times New Roman" pitchFamily="18" charset="0"/>
                  </a:rPr>
                  <a:t> (days)</a:t>
                </a:r>
                <a:endParaRPr lang="en-US" sz="8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3126223462655883"/>
              <c:y val="0.80148331773083059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95337472"/>
        <c:crosses val="autoZero"/>
        <c:auto val="1"/>
        <c:lblAlgn val="ctr"/>
        <c:lblOffset val="100"/>
      </c:catAx>
      <c:valAx>
        <c:axId val="95337472"/>
        <c:scaling>
          <c:orientation val="minMax"/>
          <c:max val="600"/>
        </c:scaling>
        <c:axPos val="l"/>
        <c:title>
          <c:tx>
            <c:rich>
              <a:bodyPr rot="-5400000" vert="horz"/>
              <a:lstStyle/>
              <a:p>
                <a:pPr>
                  <a:defRPr sz="800" b="0">
                    <a:latin typeface="Times New Roman"/>
                    <a:cs typeface="Times New Roman"/>
                  </a:defRPr>
                </a:pPr>
                <a:r>
                  <a:rPr lang="en-US" sz="800" b="0">
                    <a:latin typeface="Times New Roman"/>
                    <a:cs typeface="Times New Roman"/>
                  </a:rPr>
                  <a:t>µg TPF</a:t>
                </a:r>
                <a:r>
                  <a:rPr lang="sr-Latn-RS" sz="800" b="0">
                    <a:latin typeface="Times New Roman"/>
                    <a:cs typeface="Times New Roman"/>
                  </a:rPr>
                  <a:t>/g  soil</a:t>
                </a:r>
                <a:endParaRPr lang="en-US" sz="800" b="0">
                  <a:latin typeface="Times New Roman"/>
                  <a:cs typeface="Times New Roman"/>
                </a:endParaRPr>
              </a:p>
            </c:rich>
          </c:tx>
          <c:layout>
            <c:manualLayout>
              <c:xMode val="edge"/>
              <c:yMode val="edge"/>
              <c:x val="1.5001150278753253E-2"/>
              <c:y val="0.21875903348127124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95335168"/>
        <c:crosses val="autoZero"/>
        <c:crossBetween val="between"/>
        <c:majorUnit val="100"/>
      </c:valAx>
    </c:plotArea>
    <c:legend>
      <c:legendPos val="b"/>
      <c:layout>
        <c:manualLayout>
          <c:xMode val="edge"/>
          <c:yMode val="edge"/>
          <c:x val="0.15827549858154627"/>
          <c:y val="0.87995383881210665"/>
          <c:w val="0.78817977941436568"/>
          <c:h val="0.11117320999210771"/>
        </c:manualLayout>
      </c:layout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sr-Latn-RS" sz="1000" b="0">
                <a:latin typeface="Times New Roman" pitchFamily="18" charset="0"/>
                <a:cs typeface="Times New Roman" pitchFamily="18" charset="0"/>
              </a:rPr>
              <a:t>b</a:t>
            </a:r>
            <a:endParaRPr lang="en-US" sz="10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92638888888888893"/>
          <c:y val="2.777777777777803E-2"/>
        </c:manualLayout>
      </c:layout>
      <c:overlay val="1"/>
    </c:title>
    <c:plotArea>
      <c:layout>
        <c:manualLayout>
          <c:layoutTarget val="inner"/>
          <c:xMode val="edge"/>
          <c:yMode val="edge"/>
          <c:x val="0.16373028808820211"/>
          <c:y val="4.5563902932673137E-2"/>
          <c:w val="0.80571417393963951"/>
          <c:h val="0.62791037839020125"/>
        </c:manualLayout>
      </c:layout>
      <c:lineChart>
        <c:grouping val="standard"/>
        <c:ser>
          <c:idx val="0"/>
          <c:order val="0"/>
          <c:tx>
            <c:strRef>
              <c:f>'deh grafici'!$C$22</c:f>
              <c:strCache>
                <c:ptCount val="1"/>
                <c:pt idx="0">
                  <c:v>Control loam</c:v>
                </c:pt>
              </c:strCache>
            </c:strRef>
          </c:tx>
          <c:spPr>
            <a:ln w="12700"/>
          </c:spPr>
          <c:marker>
            <c:symbol val="diamond"/>
            <c:size val="3"/>
          </c:marker>
          <c:cat>
            <c:numRef>
              <c:f>'deh grafici'!$B$23:$B$27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grafici'!$C$23:$C$27</c:f>
              <c:numCache>
                <c:formatCode>General</c:formatCode>
                <c:ptCount val="5"/>
                <c:pt idx="0">
                  <c:v>459.96</c:v>
                </c:pt>
                <c:pt idx="1">
                  <c:v>427.22999999999894</c:v>
                </c:pt>
                <c:pt idx="2">
                  <c:v>411.16</c:v>
                </c:pt>
                <c:pt idx="3">
                  <c:v>437.94</c:v>
                </c:pt>
                <c:pt idx="4">
                  <c:v>415.17</c:v>
                </c:pt>
              </c:numCache>
            </c:numRef>
          </c:val>
        </c:ser>
        <c:ser>
          <c:idx val="1"/>
          <c:order val="1"/>
          <c:tx>
            <c:strRef>
              <c:f>'deh grafici'!$D$22</c:f>
              <c:strCache>
                <c:ptCount val="1"/>
                <c:pt idx="0">
                  <c:v>24 mg/kg loam</c:v>
                </c:pt>
              </c:strCache>
            </c:strRef>
          </c:tx>
          <c:spPr>
            <a:ln w="12700"/>
          </c:spPr>
          <c:marker>
            <c:symbol val="square"/>
            <c:size val="3"/>
          </c:marker>
          <c:cat>
            <c:numRef>
              <c:f>'deh grafici'!$B$23:$B$27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grafici'!$D$23:$D$27</c:f>
              <c:numCache>
                <c:formatCode>General</c:formatCode>
                <c:ptCount val="5"/>
                <c:pt idx="0">
                  <c:v>395.08</c:v>
                </c:pt>
                <c:pt idx="1">
                  <c:v>405.8</c:v>
                </c:pt>
                <c:pt idx="2">
                  <c:v>404.46</c:v>
                </c:pt>
                <c:pt idx="3">
                  <c:v>365.62</c:v>
                </c:pt>
                <c:pt idx="4">
                  <c:v>391.07</c:v>
                </c:pt>
              </c:numCache>
            </c:numRef>
          </c:val>
        </c:ser>
        <c:ser>
          <c:idx val="2"/>
          <c:order val="2"/>
          <c:tx>
            <c:strRef>
              <c:f>'deh grafici'!$E$22</c:f>
              <c:strCache>
                <c:ptCount val="1"/>
                <c:pt idx="0">
                  <c:v>Control sand</c:v>
                </c:pt>
              </c:strCache>
            </c:strRef>
          </c:tx>
          <c:spPr>
            <a:ln w="12700"/>
          </c:spPr>
          <c:marker>
            <c:symbol val="triangle"/>
            <c:size val="3"/>
          </c:marker>
          <c:cat>
            <c:numRef>
              <c:f>'deh grafici'!$B$23:$B$27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grafici'!$E$23:$E$27</c:f>
              <c:numCache>
                <c:formatCode>General</c:formatCode>
                <c:ptCount val="5"/>
                <c:pt idx="0">
                  <c:v>160.94999999999999</c:v>
                </c:pt>
                <c:pt idx="1">
                  <c:v>183.79</c:v>
                </c:pt>
                <c:pt idx="2">
                  <c:v>143.83000000000001</c:v>
                </c:pt>
                <c:pt idx="3">
                  <c:v>121</c:v>
                </c:pt>
                <c:pt idx="4">
                  <c:v>138.12</c:v>
                </c:pt>
              </c:numCache>
            </c:numRef>
          </c:val>
        </c:ser>
        <c:ser>
          <c:idx val="3"/>
          <c:order val="3"/>
          <c:tx>
            <c:strRef>
              <c:f>'deh grafici'!$F$22</c:f>
              <c:strCache>
                <c:ptCount val="1"/>
                <c:pt idx="0">
                  <c:v>24 mg/kg sand</c:v>
                </c:pt>
              </c:strCache>
            </c:strRef>
          </c:tx>
          <c:spPr>
            <a:ln w="12700"/>
          </c:spPr>
          <c:marker>
            <c:symbol val="x"/>
            <c:size val="3"/>
          </c:marker>
          <c:cat>
            <c:numRef>
              <c:f>'deh grafici'!$B$23:$B$27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grafici'!$F$23:$F$27</c:f>
              <c:numCache>
                <c:formatCode>General</c:formatCode>
                <c:ptCount val="5"/>
                <c:pt idx="0">
                  <c:v>189.49</c:v>
                </c:pt>
                <c:pt idx="1">
                  <c:v>212.52</c:v>
                </c:pt>
                <c:pt idx="2">
                  <c:v>98</c:v>
                </c:pt>
                <c:pt idx="3">
                  <c:v>103.88</c:v>
                </c:pt>
                <c:pt idx="4">
                  <c:v>126.71000000000002</c:v>
                </c:pt>
              </c:numCache>
            </c:numRef>
          </c:val>
        </c:ser>
        <c:marker val="1"/>
        <c:axId val="97490432"/>
        <c:axId val="97492352"/>
      </c:lineChart>
      <c:catAx>
        <c:axId val="974904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sr-Latn-RS" sz="800" b="0">
                    <a:latin typeface="Times New Roman" pitchFamily="18" charset="0"/>
                    <a:cs typeface="Times New Roman" pitchFamily="18" charset="0"/>
                  </a:rPr>
                  <a:t>Time (days)</a:t>
                </a:r>
                <a:endParaRPr lang="en-US" sz="8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2893647440411431"/>
              <c:y val="0.79050287984834999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97492352"/>
        <c:crosses val="autoZero"/>
        <c:auto val="1"/>
        <c:lblAlgn val="ctr"/>
        <c:lblOffset val="100"/>
      </c:catAx>
      <c:valAx>
        <c:axId val="9749235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 b="0">
                    <a:latin typeface="Times New Roman"/>
                    <a:cs typeface="Times New Roman"/>
                  </a:defRPr>
                </a:pPr>
                <a:r>
                  <a:rPr lang="en-US" sz="800" b="0">
                    <a:latin typeface="Times New Roman"/>
                    <a:cs typeface="Times New Roman"/>
                  </a:rPr>
                  <a:t>µg</a:t>
                </a:r>
                <a:r>
                  <a:rPr lang="sr-Latn-RS" sz="800" b="0">
                    <a:latin typeface="Times New Roman"/>
                    <a:cs typeface="Times New Roman"/>
                  </a:rPr>
                  <a:t> TPF/ g soil</a:t>
                </a:r>
                <a:endParaRPr lang="en-US" sz="800" b="0">
                  <a:latin typeface="Times New Roman"/>
                  <a:cs typeface="Times New Roman"/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97490432"/>
        <c:crosses val="autoZero"/>
        <c:crossBetween val="between"/>
        <c:majorUnit val="100"/>
      </c:valAx>
    </c:plotArea>
    <c:legend>
      <c:legendPos val="b"/>
      <c:layout>
        <c:manualLayout>
          <c:xMode val="edge"/>
          <c:yMode val="edge"/>
          <c:x val="0.1882238952587067"/>
          <c:y val="0.87072166284532004"/>
          <c:w val="0.7295759082746236"/>
          <c:h val="0.12001932044782625"/>
        </c:manualLayout>
      </c:layout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Latn-RS" sz="1000" b="0">
                <a:latin typeface="Times New Roman" pitchFamily="18" charset="0"/>
                <a:cs typeface="Times New Roman" pitchFamily="18" charset="0"/>
              </a:rPr>
              <a:t>c</a:t>
            </a:r>
            <a:endParaRPr lang="en-US" sz="10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915216216980696"/>
          <c:y val="3.4482758620689655E-2"/>
        </c:manualLayout>
      </c:layout>
      <c:overlay val="1"/>
    </c:title>
    <c:plotArea>
      <c:layout>
        <c:manualLayout>
          <c:layoutTarget val="inner"/>
          <c:xMode val="edge"/>
          <c:yMode val="edge"/>
          <c:x val="0.14685824629715374"/>
          <c:y val="5.0925925925925923E-2"/>
          <c:w val="0.82651830674587601"/>
          <c:h val="0.62531360304099914"/>
        </c:manualLayout>
      </c:layout>
      <c:lineChart>
        <c:grouping val="standard"/>
        <c:ser>
          <c:idx val="0"/>
          <c:order val="0"/>
          <c:tx>
            <c:strRef>
              <c:f>'deh grafici'!$C$39</c:f>
              <c:strCache>
                <c:ptCount val="1"/>
                <c:pt idx="0">
                  <c:v>Control loam</c:v>
                </c:pt>
              </c:strCache>
            </c:strRef>
          </c:tx>
          <c:spPr>
            <a:ln w="12700"/>
          </c:spPr>
          <c:marker>
            <c:symbol val="diamond"/>
            <c:size val="3"/>
          </c:marker>
          <c:cat>
            <c:numRef>
              <c:f>'deh grafici'!$B$40:$B$44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grafici'!$C$40:$C$44</c:f>
              <c:numCache>
                <c:formatCode>General</c:formatCode>
                <c:ptCount val="5"/>
                <c:pt idx="0">
                  <c:v>459.96</c:v>
                </c:pt>
                <c:pt idx="1">
                  <c:v>427.22999999999894</c:v>
                </c:pt>
                <c:pt idx="2">
                  <c:v>411.16</c:v>
                </c:pt>
                <c:pt idx="3">
                  <c:v>437.94</c:v>
                </c:pt>
                <c:pt idx="4">
                  <c:v>415.17</c:v>
                </c:pt>
              </c:numCache>
            </c:numRef>
          </c:val>
        </c:ser>
        <c:ser>
          <c:idx val="1"/>
          <c:order val="1"/>
          <c:tx>
            <c:strRef>
              <c:f>'deh grafici'!$D$39</c:f>
              <c:strCache>
                <c:ptCount val="1"/>
                <c:pt idx="0">
                  <c:v>120 mg/kg loam</c:v>
                </c:pt>
              </c:strCache>
            </c:strRef>
          </c:tx>
          <c:spPr>
            <a:ln w="12700"/>
          </c:spPr>
          <c:marker>
            <c:symbol val="square"/>
            <c:size val="3"/>
          </c:marker>
          <c:cat>
            <c:numRef>
              <c:f>'deh grafici'!$B$40:$B$44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grafici'!$D$40:$D$44</c:f>
              <c:numCache>
                <c:formatCode>General</c:formatCode>
                <c:ptCount val="5"/>
                <c:pt idx="0">
                  <c:v>461.16</c:v>
                </c:pt>
                <c:pt idx="1">
                  <c:v>365</c:v>
                </c:pt>
                <c:pt idx="2">
                  <c:v>384.37</c:v>
                </c:pt>
                <c:pt idx="3">
                  <c:v>333.47999999999894</c:v>
                </c:pt>
                <c:pt idx="4">
                  <c:v>365.62</c:v>
                </c:pt>
              </c:numCache>
            </c:numRef>
          </c:val>
        </c:ser>
        <c:ser>
          <c:idx val="2"/>
          <c:order val="2"/>
          <c:tx>
            <c:strRef>
              <c:f>'deh grafici'!$E$39</c:f>
              <c:strCache>
                <c:ptCount val="1"/>
                <c:pt idx="0">
                  <c:v>Control sand</c:v>
                </c:pt>
              </c:strCache>
            </c:strRef>
          </c:tx>
          <c:spPr>
            <a:ln w="12700"/>
          </c:spPr>
          <c:marker>
            <c:symbol val="triangle"/>
            <c:size val="3"/>
          </c:marker>
          <c:cat>
            <c:numRef>
              <c:f>'deh grafici'!$B$40:$B$44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grafici'!$E$40:$E$44</c:f>
              <c:numCache>
                <c:formatCode>General</c:formatCode>
                <c:ptCount val="5"/>
                <c:pt idx="0">
                  <c:v>160.94999999999999</c:v>
                </c:pt>
                <c:pt idx="1">
                  <c:v>183.79</c:v>
                </c:pt>
                <c:pt idx="2">
                  <c:v>143.83000000000001</c:v>
                </c:pt>
                <c:pt idx="3">
                  <c:v>121</c:v>
                </c:pt>
                <c:pt idx="4">
                  <c:v>138.12</c:v>
                </c:pt>
              </c:numCache>
            </c:numRef>
          </c:val>
        </c:ser>
        <c:ser>
          <c:idx val="3"/>
          <c:order val="3"/>
          <c:tx>
            <c:strRef>
              <c:f>'deh grafici'!$F$39</c:f>
              <c:strCache>
                <c:ptCount val="1"/>
                <c:pt idx="0">
                  <c:v>120 mg/kg sand</c:v>
                </c:pt>
              </c:strCache>
            </c:strRef>
          </c:tx>
          <c:spPr>
            <a:ln w="12700"/>
          </c:spPr>
          <c:marker>
            <c:symbol val="x"/>
            <c:size val="3"/>
          </c:marker>
          <c:cat>
            <c:numRef>
              <c:f>'deh grafici'!$B$40:$B$44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grafici'!$F$40:$F$44</c:f>
              <c:numCache>
                <c:formatCode>General</c:formatCode>
                <c:ptCount val="5"/>
                <c:pt idx="0">
                  <c:v>212.32000000000053</c:v>
                </c:pt>
                <c:pt idx="1">
                  <c:v>229.45000000000007</c:v>
                </c:pt>
                <c:pt idx="2">
                  <c:v>121</c:v>
                </c:pt>
                <c:pt idx="3">
                  <c:v>81.05</c:v>
                </c:pt>
                <c:pt idx="4">
                  <c:v>69.63</c:v>
                </c:pt>
              </c:numCache>
            </c:numRef>
          </c:val>
        </c:ser>
        <c:marker val="1"/>
        <c:axId val="98858880"/>
        <c:axId val="98873344"/>
      </c:lineChart>
      <c:catAx>
        <c:axId val="988588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800" b="0">
                    <a:latin typeface="Times New Roman" pitchFamily="18" charset="0"/>
                    <a:cs typeface="Times New Roman" pitchFamily="18" charset="0"/>
                  </a:rPr>
                  <a:t>Ti</a:t>
                </a:r>
                <a:r>
                  <a:rPr lang="sr-Latn-RS" sz="800" b="0">
                    <a:latin typeface="Times New Roman" pitchFamily="18" charset="0"/>
                    <a:cs typeface="Times New Roman" pitchFamily="18" charset="0"/>
                  </a:rPr>
                  <a:t>me (days</a:t>
                </a:r>
                <a:r>
                  <a:rPr lang="sr-Latn-RS" b="0"/>
                  <a:t>)</a:t>
                </a:r>
                <a:endParaRPr lang="en-US" b="0"/>
              </a:p>
            </c:rich>
          </c:tx>
          <c:layout>
            <c:manualLayout>
              <c:xMode val="edge"/>
              <c:yMode val="edge"/>
              <c:x val="0.43407936430186489"/>
              <c:y val="0.77725450266992724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98873344"/>
        <c:crosses val="autoZero"/>
        <c:auto val="1"/>
        <c:lblAlgn val="ctr"/>
        <c:lblOffset val="100"/>
      </c:catAx>
      <c:valAx>
        <c:axId val="9887334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800" b="0">
                    <a:latin typeface="Times New Roman" pitchFamily="18" charset="0"/>
                    <a:cs typeface="Times New Roman" pitchFamily="18" charset="0"/>
                  </a:rPr>
                  <a:t>µ</a:t>
                </a:r>
                <a:r>
                  <a:rPr lang="sr-Latn-RS" sz="800" b="0">
                    <a:latin typeface="Times New Roman" pitchFamily="18" charset="0"/>
                    <a:cs typeface="Times New Roman" pitchFamily="18" charset="0"/>
                  </a:rPr>
                  <a:t>g TPF/ g soil</a:t>
                </a:r>
                <a:endParaRPr lang="en-US" sz="8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2.1769541340313989E-3"/>
              <c:y val="0.16687521941922864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98858880"/>
        <c:crosses val="autoZero"/>
        <c:crossBetween val="between"/>
        <c:majorUnit val="100"/>
      </c:valAx>
    </c:plotArea>
    <c:legend>
      <c:legendPos val="b"/>
      <c:layout>
        <c:manualLayout>
          <c:xMode val="edge"/>
          <c:yMode val="edge"/>
          <c:x val="0.15484752913950273"/>
          <c:y val="0.87941397411530453"/>
          <c:w val="0.74274406332454379"/>
          <c:h val="9.444927142727845E-2"/>
        </c:manualLayout>
      </c:layout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Latn-RS" sz="1000" b="0">
                <a:latin typeface="Times New Roman" pitchFamily="18" charset="0"/>
                <a:cs typeface="Times New Roman" pitchFamily="18" charset="0"/>
              </a:rPr>
              <a:t>d</a:t>
            </a:r>
            <a:endParaRPr lang="en-US" sz="10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90884718498659522"/>
          <c:y val="4.0935672514619881E-2"/>
        </c:manualLayout>
      </c:layout>
      <c:overlay val="1"/>
    </c:title>
    <c:plotArea>
      <c:layout>
        <c:manualLayout>
          <c:layoutTarget val="inner"/>
          <c:xMode val="edge"/>
          <c:yMode val="edge"/>
          <c:x val="0.17007803649208741"/>
          <c:y val="2.1296296296296278E-2"/>
          <c:w val="0.8049221394242605"/>
          <c:h val="0.62465672054151389"/>
        </c:manualLayout>
      </c:layout>
      <c:lineChart>
        <c:grouping val="standard"/>
        <c:ser>
          <c:idx val="0"/>
          <c:order val="0"/>
          <c:tx>
            <c:strRef>
              <c:f>'deh grafici'!$C$53</c:f>
              <c:strCache>
                <c:ptCount val="1"/>
                <c:pt idx="0">
                  <c:v>Control loam</c:v>
                </c:pt>
              </c:strCache>
            </c:strRef>
          </c:tx>
          <c:spPr>
            <a:ln w="12700"/>
          </c:spPr>
          <c:marker>
            <c:symbol val="diamond"/>
            <c:size val="3"/>
          </c:marker>
          <c:cat>
            <c:numRef>
              <c:f>'deh grafici'!$B$54:$B$59</c:f>
              <c:numCache>
                <c:formatCode>General</c:formatCode>
                <c:ptCount val="6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grafici'!$C$54:$C$59</c:f>
              <c:numCache>
                <c:formatCode>General</c:formatCode>
                <c:ptCount val="6"/>
                <c:pt idx="0">
                  <c:v>459.96</c:v>
                </c:pt>
                <c:pt idx="1">
                  <c:v>427.22999999999894</c:v>
                </c:pt>
                <c:pt idx="2">
                  <c:v>411.16</c:v>
                </c:pt>
                <c:pt idx="3">
                  <c:v>437.94</c:v>
                </c:pt>
                <c:pt idx="4">
                  <c:v>415.17</c:v>
                </c:pt>
              </c:numCache>
            </c:numRef>
          </c:val>
        </c:ser>
        <c:ser>
          <c:idx val="1"/>
          <c:order val="1"/>
          <c:tx>
            <c:strRef>
              <c:f>'deh grafici'!$D$53</c:f>
              <c:strCache>
                <c:ptCount val="1"/>
                <c:pt idx="0">
                  <c:v>1200 mg/kg loam</c:v>
                </c:pt>
              </c:strCache>
            </c:strRef>
          </c:tx>
          <c:spPr>
            <a:ln w="12700"/>
          </c:spPr>
          <c:marker>
            <c:symbol val="square"/>
            <c:size val="3"/>
          </c:marker>
          <c:cat>
            <c:numRef>
              <c:f>'deh grafici'!$B$54:$B$59</c:f>
              <c:numCache>
                <c:formatCode>General</c:formatCode>
                <c:ptCount val="6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grafici'!$D$54:$D$59</c:f>
              <c:numCache>
                <c:formatCode>General</c:formatCode>
                <c:ptCount val="6"/>
                <c:pt idx="0">
                  <c:v>400.44</c:v>
                </c:pt>
                <c:pt idx="1">
                  <c:v>356</c:v>
                </c:pt>
                <c:pt idx="2">
                  <c:v>342</c:v>
                </c:pt>
                <c:pt idx="3">
                  <c:v>358</c:v>
                </c:pt>
                <c:pt idx="4">
                  <c:v>350.89</c:v>
                </c:pt>
              </c:numCache>
            </c:numRef>
          </c:val>
        </c:ser>
        <c:ser>
          <c:idx val="2"/>
          <c:order val="2"/>
          <c:tx>
            <c:strRef>
              <c:f>'deh grafici'!$E$53</c:f>
              <c:strCache>
                <c:ptCount val="1"/>
                <c:pt idx="0">
                  <c:v>Control sand</c:v>
                </c:pt>
              </c:strCache>
            </c:strRef>
          </c:tx>
          <c:spPr>
            <a:ln w="12700"/>
          </c:spPr>
          <c:marker>
            <c:symbol val="triangle"/>
            <c:size val="3"/>
          </c:marker>
          <c:cat>
            <c:numRef>
              <c:f>'deh grafici'!$B$54:$B$59</c:f>
              <c:numCache>
                <c:formatCode>General</c:formatCode>
                <c:ptCount val="6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grafici'!$E$54:$E$59</c:f>
              <c:numCache>
                <c:formatCode>General</c:formatCode>
                <c:ptCount val="6"/>
                <c:pt idx="0">
                  <c:v>160.94999999999999</c:v>
                </c:pt>
                <c:pt idx="1">
                  <c:v>183.79</c:v>
                </c:pt>
                <c:pt idx="2">
                  <c:v>143.83000000000001</c:v>
                </c:pt>
                <c:pt idx="3">
                  <c:v>121</c:v>
                </c:pt>
                <c:pt idx="4">
                  <c:v>138.12</c:v>
                </c:pt>
              </c:numCache>
            </c:numRef>
          </c:val>
        </c:ser>
        <c:ser>
          <c:idx val="3"/>
          <c:order val="3"/>
          <c:tx>
            <c:strRef>
              <c:f>'deh grafici'!$F$53</c:f>
              <c:strCache>
                <c:ptCount val="1"/>
                <c:pt idx="0">
                  <c:v>1200mg/kg sand</c:v>
                </c:pt>
              </c:strCache>
            </c:strRef>
          </c:tx>
          <c:spPr>
            <a:ln w="12700"/>
          </c:spPr>
          <c:marker>
            <c:symbol val="x"/>
            <c:size val="3"/>
          </c:marker>
          <c:cat>
            <c:numRef>
              <c:f>'deh grafici'!$B$54:$B$59</c:f>
              <c:numCache>
                <c:formatCode>General</c:formatCode>
                <c:ptCount val="6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grafici'!$F$54:$F$59</c:f>
              <c:numCache>
                <c:formatCode>General</c:formatCode>
                <c:ptCount val="6"/>
                <c:pt idx="0">
                  <c:v>235.15</c:v>
                </c:pt>
                <c:pt idx="1">
                  <c:v>245</c:v>
                </c:pt>
                <c:pt idx="2">
                  <c:v>200.1</c:v>
                </c:pt>
                <c:pt idx="3">
                  <c:v>170.23999999999998</c:v>
                </c:pt>
                <c:pt idx="4">
                  <c:v>149.20999999999998</c:v>
                </c:pt>
              </c:numCache>
            </c:numRef>
          </c:val>
        </c:ser>
        <c:marker val="1"/>
        <c:axId val="98916608"/>
        <c:axId val="98926976"/>
      </c:lineChart>
      <c:catAx>
        <c:axId val="989166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r-Latn-RS" sz="800" b="0">
                    <a:latin typeface="Times New Roman" pitchFamily="18" charset="0"/>
                    <a:cs typeface="Times New Roman" pitchFamily="18" charset="0"/>
                  </a:rPr>
                  <a:t>Time (days)</a:t>
                </a:r>
                <a:endParaRPr lang="en-US" sz="8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0970987875845288"/>
              <c:y val="0.78008058203250907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98926976"/>
        <c:crosses val="autoZero"/>
        <c:auto val="1"/>
        <c:lblAlgn val="ctr"/>
        <c:lblOffset val="100"/>
      </c:catAx>
      <c:valAx>
        <c:axId val="9892697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/>
                    <a:cs typeface="Times New Roman"/>
                  </a:defRPr>
                </a:pPr>
                <a:r>
                  <a:rPr lang="en-US" sz="800" b="0">
                    <a:latin typeface="Times New Roman"/>
                    <a:cs typeface="Times New Roman"/>
                  </a:rPr>
                  <a:t>µ</a:t>
                </a:r>
                <a:r>
                  <a:rPr lang="sr-Latn-RS" sz="800" b="0">
                    <a:latin typeface="Times New Roman"/>
                    <a:cs typeface="Times New Roman"/>
                  </a:rPr>
                  <a:t>g TPF/ g soil</a:t>
                </a:r>
                <a:endParaRPr lang="en-US" sz="800" b="0">
                  <a:latin typeface="Times New Roman"/>
                  <a:cs typeface="Times New Roman"/>
                </a:endParaRPr>
              </a:p>
            </c:rich>
          </c:tx>
          <c:layout>
            <c:manualLayout>
              <c:xMode val="edge"/>
              <c:yMode val="edge"/>
              <c:x val="8.9366265745174766E-3"/>
              <c:y val="0.1637404334104067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98916608"/>
        <c:crosses val="autoZero"/>
        <c:crossBetween val="between"/>
        <c:majorUnit val="10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6395793499044048"/>
          <c:y val="0.87694432932725519"/>
          <c:w val="0.72944550669216335"/>
          <c:h val="9.3815904590874202E-2"/>
        </c:manualLayout>
      </c:layout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0.67554</cdr:x>
      <cdr:y>0.31199</cdr:y>
    </cdr:from>
    <cdr:to>
      <cdr:x>0.74255</cdr:x>
      <cdr:y>0.41705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961528" y="678869"/>
          <a:ext cx="194573" cy="2286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0.35368</cdr:x>
      <cdr:y>0.57623</cdr:y>
    </cdr:from>
    <cdr:to>
      <cdr:x>0.46343</cdr:x>
      <cdr:y>0.69084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026968" y="1253837"/>
          <a:ext cx="318654" cy="2493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0.51591</cdr:x>
      <cdr:y>0.6017</cdr:y>
    </cdr:from>
    <cdr:to>
      <cdr:x>0.62804</cdr:x>
      <cdr:y>0.71312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498022" y="1309255"/>
          <a:ext cx="325582" cy="2424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0.20256</cdr:x>
      <cdr:y>0.156</cdr:y>
    </cdr:from>
    <cdr:to>
      <cdr:x>0.28334</cdr:x>
      <cdr:y>0.29289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90550" y="339437"/>
          <a:ext cx="235527" cy="2978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0.68726</cdr:x>
      <cdr:y>0.20057</cdr:y>
    </cdr:from>
    <cdr:to>
      <cdr:x>0.77518</cdr:x>
      <cdr:y>0.31517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003713" y="436418"/>
          <a:ext cx="256309" cy="2493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0.52569</cdr:x>
      <cdr:y>0.55076</cdr:y>
    </cdr:from>
    <cdr:to>
      <cdr:x>0.63974</cdr:x>
      <cdr:y>0.6399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532660" y="1198419"/>
          <a:ext cx="332508" cy="1939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0.35186</cdr:x>
      <cdr:y>0.21003</cdr:y>
    </cdr:from>
    <cdr:to>
      <cdr:x>0.44027</cdr:x>
      <cdr:y>0.31975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0039" y="464126"/>
          <a:ext cx="256311" cy="2424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0.68162</cdr:x>
      <cdr:y>0.25078</cdr:y>
    </cdr:from>
    <cdr:to>
      <cdr:x>0.78198</cdr:x>
      <cdr:y>0.34796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976004" y="554182"/>
          <a:ext cx="290945" cy="2147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0.18937</cdr:x>
      <cdr:y>0.31975</cdr:y>
    </cdr:from>
    <cdr:to>
      <cdr:x>0.27779</cdr:x>
      <cdr:y>0.4326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48986" y="706582"/>
          <a:ext cx="256309" cy="2493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0.35186</cdr:x>
      <cdr:y>0.30408</cdr:y>
    </cdr:from>
    <cdr:to>
      <cdr:x>0.44983</cdr:x>
      <cdr:y>0.40125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020040" y="671946"/>
          <a:ext cx="284020" cy="2147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0.68162</cdr:x>
      <cdr:y>0.56113</cdr:y>
    </cdr:from>
    <cdr:to>
      <cdr:x>0.75808</cdr:x>
      <cdr:y>0.6489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1976003" y="1239982"/>
          <a:ext cx="221673" cy="193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0.84411</cdr:x>
      <cdr:y>0.57994</cdr:y>
    </cdr:from>
    <cdr:to>
      <cdr:x>0.9373</cdr:x>
      <cdr:y>0.66458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2447058" y="1281545"/>
          <a:ext cx="270163" cy="1870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0.19543</cdr:x>
      <cdr:y>0.1348</cdr:y>
    </cdr:from>
    <cdr:to>
      <cdr:x>0.29522</cdr:x>
      <cdr:y>0.24451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69769" y="297874"/>
          <a:ext cx="290944" cy="2424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0.32848</cdr:x>
      <cdr:y>0.19436</cdr:y>
    </cdr:from>
    <cdr:to>
      <cdr:x>0.4164</cdr:x>
      <cdr:y>0.35423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957694" y="429491"/>
          <a:ext cx="256309" cy="3532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0.46392</cdr:x>
      <cdr:y>0.2163</cdr:y>
    </cdr:from>
    <cdr:to>
      <cdr:x>0.55183</cdr:x>
      <cdr:y>0.29467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352549" y="477982"/>
          <a:ext cx="256309" cy="1731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0.59935</cdr:x>
      <cdr:y>0.19122</cdr:y>
    </cdr:from>
    <cdr:to>
      <cdr:x>0.69202</cdr:x>
      <cdr:y>0.29467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747404" y="422564"/>
          <a:ext cx="270164" cy="2286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0.73003</cdr:x>
      <cdr:y>0.19749</cdr:y>
    </cdr:from>
    <cdr:to>
      <cdr:x>0.83695</cdr:x>
      <cdr:y>0.38244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2128404" y="436418"/>
          <a:ext cx="311725" cy="4087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0.53757</cdr:x>
      <cdr:y>0.21317</cdr:y>
    </cdr:from>
    <cdr:to>
      <cdr:x>0.99955</cdr:x>
      <cdr:y>0.3605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1567295" y="471055"/>
          <a:ext cx="1346893" cy="3255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0.1978</cdr:x>
      <cdr:y>0.26332</cdr:y>
    </cdr:from>
    <cdr:to>
      <cdr:x>0.27859</cdr:x>
      <cdr:y>0.37618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576695" y="581892"/>
          <a:ext cx="235528" cy="2493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0.32848</cdr:x>
      <cdr:y>0.26332</cdr:y>
    </cdr:from>
    <cdr:to>
      <cdr:x>0.44016</cdr:x>
      <cdr:y>0.34483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957696" y="581892"/>
          <a:ext cx="325582" cy="1801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0.46629</cdr:x>
      <cdr:y>0.31348</cdr:y>
    </cdr:from>
    <cdr:to>
      <cdr:x>0.53995</cdr:x>
      <cdr:y>0.41693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1359477" y="692727"/>
          <a:ext cx="21474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0.60173</cdr:x>
      <cdr:y>0.35737</cdr:y>
    </cdr:from>
    <cdr:to>
      <cdr:x>0.70389</cdr:x>
      <cdr:y>0.46395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1754331" y="789709"/>
          <a:ext cx="297872" cy="2355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Ljiljana Santric</cp:lastModifiedBy>
  <cp:revision>3</cp:revision>
  <cp:lastPrinted>2019-10-31T11:01:00Z</cp:lastPrinted>
  <dcterms:created xsi:type="dcterms:W3CDTF">2019-10-31T11:04:00Z</dcterms:created>
  <dcterms:modified xsi:type="dcterms:W3CDTF">2019-11-04T10:44:00Z</dcterms:modified>
</cp:coreProperties>
</file>