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B2" w:rsidRPr="00BA3DAE" w:rsidRDefault="009A00B2" w:rsidP="009A00B2">
      <w:pPr>
        <w:jc w:val="both"/>
        <w:rPr>
          <w:lang w:val="sr-Latn-CS"/>
        </w:rPr>
      </w:pPr>
      <w:bookmarkStart w:id="0" w:name="_GoBack"/>
      <w:r w:rsidRPr="00BA3DAE">
        <w:rPr>
          <w:b/>
          <w:lang w:val="sr-Latn-CS"/>
        </w:rPr>
        <w:t>Tab</w:t>
      </w:r>
      <w:r>
        <w:rPr>
          <w:b/>
          <w:lang w:val="sr-Latn-CS"/>
        </w:rPr>
        <w:t>le 5</w:t>
      </w:r>
      <w:r w:rsidRPr="00BA3DAE">
        <w:rPr>
          <w:b/>
          <w:lang w:val="sr-Latn-CS"/>
        </w:rPr>
        <w:t>.</w:t>
      </w:r>
      <w:r w:rsidRPr="00BA3DAE">
        <w:rPr>
          <w:lang w:val="sr-Latn-CS"/>
        </w:rPr>
        <w:t xml:space="preserve"> </w:t>
      </w:r>
      <w:bookmarkEnd w:id="0"/>
      <w:r w:rsidRPr="00BA3DAE">
        <w:rPr>
          <w:lang w:val="sr-Latn-CS"/>
        </w:rPr>
        <w:t xml:space="preserve">The average disease severity index </w:t>
      </w:r>
      <w:r>
        <w:rPr>
          <w:lang w:val="sr-Latn-CS"/>
        </w:rPr>
        <w:t xml:space="preserve">(DSI) </w:t>
      </w:r>
      <w:r w:rsidRPr="00BA3DAE">
        <w:rPr>
          <w:lang w:val="sr-Latn-CS"/>
        </w:rPr>
        <w:t>for leaves of vine, sunflower and raspberry</w:t>
      </w:r>
      <w:r w:rsidRPr="00BA3DAE">
        <w:rPr>
          <w:i/>
          <w:lang w:val="sr-Latn-CS"/>
        </w:rPr>
        <w:t xml:space="preserve"> </w:t>
      </w:r>
      <w:r w:rsidRPr="00BA3DAE">
        <w:rPr>
          <w:lang w:val="sr-Latn-CS"/>
        </w:rPr>
        <w:t xml:space="preserve">inoculated with </w:t>
      </w:r>
      <w:r>
        <w:rPr>
          <w:i/>
          <w:lang w:val="sr-Latn-CS"/>
        </w:rPr>
        <w:t xml:space="preserve">Botrytis </w:t>
      </w:r>
      <w:r w:rsidRPr="00BA3DAE">
        <w:rPr>
          <w:i/>
          <w:lang w:val="sr-Latn-CS"/>
        </w:rPr>
        <w:t>cinerea</w:t>
      </w:r>
      <w:r w:rsidRPr="00BA3DAE">
        <w:rPr>
          <w:lang w:val="sr-Latn-CS"/>
        </w:rPr>
        <w:t xml:space="preserve"> isolates from different locations.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113"/>
        <w:gridCol w:w="2113"/>
        <w:gridCol w:w="2113"/>
      </w:tblGrid>
      <w:tr w:rsidR="009A00B2" w:rsidRPr="004B4FE7" w:rsidTr="00D95D8F">
        <w:trPr>
          <w:jc w:val="center"/>
        </w:trPr>
        <w:tc>
          <w:tcPr>
            <w:tcW w:w="2113" w:type="dxa"/>
            <w:vMerge w:val="restart"/>
            <w:tcBorders>
              <w:left w:val="nil"/>
              <w:right w:val="nil"/>
            </w:tcBorders>
            <w:vAlign w:val="center"/>
          </w:tcPr>
          <w:p w:rsidR="009A00B2" w:rsidRPr="004B4FE7" w:rsidRDefault="009A00B2" w:rsidP="00D95D8F">
            <w:pPr>
              <w:rPr>
                <w:b/>
                <w:lang w:val="sr-Latn-CS"/>
              </w:rPr>
            </w:pPr>
            <w:r w:rsidRPr="004B4FE7">
              <w:rPr>
                <w:b/>
              </w:rPr>
              <w:t>Location</w:t>
            </w:r>
          </w:p>
        </w:tc>
        <w:tc>
          <w:tcPr>
            <w:tcW w:w="6339" w:type="dxa"/>
            <w:gridSpan w:val="3"/>
            <w:tcBorders>
              <w:left w:val="nil"/>
              <w:right w:val="nil"/>
            </w:tcBorders>
          </w:tcPr>
          <w:p w:rsidR="009A00B2" w:rsidRPr="004B4FE7" w:rsidRDefault="009A00B2" w:rsidP="00D95D8F">
            <w:pPr>
              <w:jc w:val="center"/>
              <w:rPr>
                <w:b/>
                <w:lang w:val="sr-Latn-CS"/>
              </w:rPr>
            </w:pPr>
            <w:r w:rsidRPr="004B4FE7">
              <w:rPr>
                <w:b/>
              </w:rPr>
              <w:t>DSI</w:t>
            </w:r>
            <w:r w:rsidRPr="004B4FE7">
              <w:rPr>
                <w:b/>
                <w:vertAlign w:val="superscript"/>
              </w:rPr>
              <w:t>1,2</w:t>
            </w:r>
          </w:p>
        </w:tc>
      </w:tr>
      <w:tr w:rsidR="009A00B2" w:rsidRPr="004B4FE7" w:rsidTr="00D95D8F">
        <w:trPr>
          <w:jc w:val="center"/>
        </w:trPr>
        <w:tc>
          <w:tcPr>
            <w:tcW w:w="21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A00B2" w:rsidRPr="004B4FE7" w:rsidRDefault="009A00B2" w:rsidP="00D95D8F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A00B2" w:rsidRPr="004B4FE7" w:rsidRDefault="009A00B2" w:rsidP="00D95D8F">
            <w:pPr>
              <w:jc w:val="center"/>
              <w:rPr>
                <w:b/>
              </w:rPr>
            </w:pPr>
            <w:r w:rsidRPr="004B4FE7">
              <w:rPr>
                <w:b/>
              </w:rPr>
              <w:t>vine</w:t>
            </w: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A00B2" w:rsidRPr="004B4FE7" w:rsidRDefault="009A00B2" w:rsidP="00D95D8F">
            <w:pPr>
              <w:jc w:val="center"/>
              <w:rPr>
                <w:b/>
              </w:rPr>
            </w:pPr>
            <w:r w:rsidRPr="004B4FE7">
              <w:rPr>
                <w:b/>
              </w:rPr>
              <w:t>sunflower</w:t>
            </w: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A00B2" w:rsidRPr="004B4FE7" w:rsidRDefault="009A00B2" w:rsidP="00D95D8F">
            <w:pPr>
              <w:jc w:val="center"/>
              <w:rPr>
                <w:b/>
              </w:rPr>
            </w:pPr>
            <w:r w:rsidRPr="004B4FE7">
              <w:rPr>
                <w:b/>
              </w:rPr>
              <w:t>raspberry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proofErr w:type="spellStart"/>
            <w:r w:rsidRPr="00D65D3E">
              <w:t>Valjevo</w:t>
            </w:r>
            <w:proofErr w:type="spellEnd"/>
          </w:p>
        </w:tc>
        <w:tc>
          <w:tcPr>
            <w:tcW w:w="2113" w:type="dxa"/>
            <w:tcBorders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4.4±3.1 a</w:t>
            </w:r>
          </w:p>
        </w:tc>
        <w:tc>
          <w:tcPr>
            <w:tcW w:w="2113" w:type="dxa"/>
            <w:tcBorders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8.3±3.1 b</w:t>
            </w:r>
          </w:p>
        </w:tc>
        <w:tc>
          <w:tcPr>
            <w:tcW w:w="2113" w:type="dxa"/>
            <w:tcBorders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8.3±3.8 b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proofErr w:type="spellStart"/>
            <w:r w:rsidRPr="00D65D3E">
              <w:t>Požega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2.3±2.1 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4.9±3.3 b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6.4±3.8 c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proofErr w:type="spellStart"/>
            <w:r w:rsidRPr="00D65D3E">
              <w:t>Sabac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4.8±3.1 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6.6±3.3 b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7.5±3.5 c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proofErr w:type="spellStart"/>
            <w:r w:rsidRPr="00D65D3E">
              <w:t>Arilje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1.8±1.8 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6.6±2.3 c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4.5±3.0 b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proofErr w:type="spellStart"/>
            <w:r w:rsidRPr="00D65D3E">
              <w:t>Ivanjica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1.4±1.8 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6.7±3.6 c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4.8±2.6 b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top w:val="nil"/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proofErr w:type="spellStart"/>
            <w:r w:rsidRPr="00D65D3E">
              <w:t>Prilike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1.8±1.7 a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6.7±2.0 c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5.9±3.3 b</w:t>
            </w:r>
          </w:p>
        </w:tc>
      </w:tr>
      <w:tr w:rsidR="009A00B2" w:rsidRPr="00D65D3E" w:rsidTr="00D95D8F">
        <w:trPr>
          <w:jc w:val="center"/>
        </w:trPr>
        <w:tc>
          <w:tcPr>
            <w:tcW w:w="2113" w:type="dxa"/>
            <w:tcBorders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both"/>
            </w:pPr>
            <w:r w:rsidRPr="00D65D3E">
              <w:t>Total</w:t>
            </w:r>
            <w:r w:rsidRPr="00D65D3E">
              <w:rPr>
                <w:vertAlign w:val="superscript"/>
              </w:rPr>
              <w:t>3</w:t>
            </w:r>
          </w:p>
        </w:tc>
        <w:tc>
          <w:tcPr>
            <w:tcW w:w="2113" w:type="dxa"/>
            <w:tcBorders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2.8±1.5 a</w:t>
            </w:r>
          </w:p>
        </w:tc>
        <w:tc>
          <w:tcPr>
            <w:tcW w:w="2113" w:type="dxa"/>
            <w:tcBorders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6.2±2.0 b</w:t>
            </w:r>
          </w:p>
        </w:tc>
        <w:tc>
          <w:tcPr>
            <w:tcW w:w="2113" w:type="dxa"/>
            <w:tcBorders>
              <w:left w:val="nil"/>
              <w:right w:val="nil"/>
            </w:tcBorders>
            <w:vAlign w:val="bottom"/>
          </w:tcPr>
          <w:p w:rsidR="009A00B2" w:rsidRPr="00D65D3E" w:rsidRDefault="009A00B2" w:rsidP="00D95D8F">
            <w:pPr>
              <w:spacing w:before="120"/>
              <w:jc w:val="center"/>
            </w:pPr>
            <w:r w:rsidRPr="00D65D3E">
              <w:t>6.2±1.5 b</w:t>
            </w:r>
          </w:p>
        </w:tc>
      </w:tr>
    </w:tbl>
    <w:p w:rsidR="009A00B2" w:rsidRDefault="009A00B2" w:rsidP="009A00B2">
      <w:pPr>
        <w:jc w:val="both"/>
        <w:rPr>
          <w:sz w:val="20"/>
          <w:szCs w:val="20"/>
          <w:lang w:val="sr-Latn-CS"/>
        </w:rPr>
      </w:pPr>
      <w:r w:rsidRPr="00AA1AEE">
        <w:rPr>
          <w:sz w:val="20"/>
          <w:szCs w:val="20"/>
          <w:vertAlign w:val="superscript"/>
          <w:lang w:val="sr-Latn-CS"/>
        </w:rPr>
        <w:t>1</w:t>
      </w:r>
      <w:r w:rsidRPr="00AA1AEE">
        <w:rPr>
          <w:sz w:val="20"/>
          <w:szCs w:val="20"/>
          <w:lang w:val="sr-Latn-CS"/>
        </w:rPr>
        <w:t xml:space="preserve">Calculated as an average for all isolates from the location, </w:t>
      </w:r>
    </w:p>
    <w:p w:rsidR="009A00B2" w:rsidRDefault="009A00B2" w:rsidP="009A00B2">
      <w:pPr>
        <w:jc w:val="both"/>
        <w:rPr>
          <w:sz w:val="20"/>
          <w:szCs w:val="20"/>
          <w:lang w:val="sr-Latn-CS"/>
        </w:rPr>
      </w:pPr>
      <w:r w:rsidRPr="00AA1AEE">
        <w:rPr>
          <w:sz w:val="20"/>
          <w:szCs w:val="20"/>
          <w:vertAlign w:val="superscript"/>
          <w:lang w:val="sr-Latn-CS"/>
        </w:rPr>
        <w:t>2</w:t>
      </w:r>
      <w:r w:rsidRPr="00AA1AEE">
        <w:rPr>
          <w:sz w:val="20"/>
          <w:szCs w:val="20"/>
          <w:lang w:val="sr-Latn-CS"/>
        </w:rPr>
        <w:t xml:space="preserve">The same letters within row indicate that the difference is not significant, </w:t>
      </w:r>
    </w:p>
    <w:p w:rsidR="009A00B2" w:rsidRPr="004B4FE7" w:rsidRDefault="009A00B2" w:rsidP="009A00B2">
      <w:pPr>
        <w:jc w:val="both"/>
        <w:rPr>
          <w:sz w:val="20"/>
          <w:szCs w:val="20"/>
          <w:lang w:val="sr-Latn-CS" w:eastAsia="sr-Latn-CS"/>
        </w:rPr>
      </w:pPr>
      <w:r w:rsidRPr="00AA1AEE">
        <w:rPr>
          <w:sz w:val="20"/>
          <w:szCs w:val="20"/>
          <w:vertAlign w:val="superscript"/>
          <w:lang w:val="sr-Latn-CS"/>
        </w:rPr>
        <w:t>3</w:t>
      </w:r>
      <w:r w:rsidRPr="00AA1AEE">
        <w:rPr>
          <w:sz w:val="20"/>
          <w:szCs w:val="20"/>
          <w:lang w:val="sr-Latn-CS"/>
        </w:rPr>
        <w:t xml:space="preserve"> The average of all isolates from all locations</w:t>
      </w:r>
    </w:p>
    <w:p w:rsidR="009A00B2" w:rsidRDefault="009A00B2" w:rsidP="009A00B2">
      <w:pPr>
        <w:jc w:val="both"/>
        <w:rPr>
          <w:b/>
          <w:lang w:val="sr-Latn-CS"/>
        </w:rPr>
      </w:pPr>
    </w:p>
    <w:p w:rsidR="00B9686E" w:rsidRDefault="00B9686E"/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B2"/>
    <w:rsid w:val="009A00B2"/>
    <w:rsid w:val="00B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2015-02-27T10:54:00Z</dcterms:created>
  <dcterms:modified xsi:type="dcterms:W3CDTF">2015-02-27T10:55:00Z</dcterms:modified>
</cp:coreProperties>
</file>