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D1" w:rsidRDefault="001D2FD1" w:rsidP="001D2FD1">
      <w:pPr>
        <w:jc w:val="both"/>
        <w:rPr>
          <w:lang w:val="sr-Latn-CS" w:eastAsia="sr-Latn-CS"/>
        </w:rPr>
      </w:pPr>
      <w:r w:rsidRPr="00CE1D9A">
        <w:rPr>
          <w:b/>
          <w:lang w:val="sr-Latn-CS" w:eastAsia="sr-Latn-CS"/>
        </w:rPr>
        <w:t>Table</w:t>
      </w:r>
      <w:r>
        <w:rPr>
          <w:b/>
          <w:lang w:val="sr-Latn-CS" w:eastAsia="sr-Latn-CS"/>
        </w:rPr>
        <w:t xml:space="preserve"> 4</w:t>
      </w:r>
      <w:r>
        <w:rPr>
          <w:lang w:val="sr-Latn-CS" w:eastAsia="sr-Latn-CS"/>
        </w:rPr>
        <w:t>. The lowest and</w:t>
      </w:r>
      <w:r w:rsidRPr="000E49DA">
        <w:rPr>
          <w:lang w:val="sr-Latn-CS" w:eastAsia="sr-Latn-CS"/>
        </w:rPr>
        <w:t xml:space="preserve"> the highest growth rate</w:t>
      </w:r>
      <w:r w:rsidR="008E3B9E">
        <w:rPr>
          <w:lang w:val="sr-Latn-CS" w:eastAsia="sr-Latn-CS"/>
        </w:rPr>
        <w:t>s</w:t>
      </w:r>
      <w:r w:rsidRPr="000E49DA">
        <w:rPr>
          <w:lang w:val="sr-Latn-CS" w:eastAsia="sr-Latn-CS"/>
        </w:rPr>
        <w:t xml:space="preserve"> of</w:t>
      </w:r>
      <w:r>
        <w:rPr>
          <w:lang w:val="sr-Latn-CS" w:eastAsia="sr-Latn-CS"/>
        </w:rPr>
        <w:t xml:space="preserve"> </w:t>
      </w:r>
      <w:r w:rsidRPr="000E49DA">
        <w:rPr>
          <w:i/>
          <w:lang w:val="sr-Latn-CS" w:eastAsia="sr-Latn-CS"/>
        </w:rPr>
        <w:t>Botrytis cinerea</w:t>
      </w:r>
      <w:r w:rsidRPr="000E49DA">
        <w:rPr>
          <w:lang w:val="sr-Latn-CS" w:eastAsia="sr-Latn-CS"/>
        </w:rPr>
        <w:t xml:space="preserve"> isolates belonging to different genetic, morphological and sporulation ability groups</w:t>
      </w:r>
    </w:p>
    <w:tbl>
      <w:tblPr>
        <w:tblpPr w:leftFromText="181" w:rightFromText="181" w:vertAnchor="text" w:horzAnchor="margin" w:tblpY="1"/>
        <w:tblW w:w="93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2126"/>
        <w:gridCol w:w="2268"/>
      </w:tblGrid>
      <w:tr w:rsidR="001D2FD1" w:rsidRPr="003428B0" w:rsidTr="00D95D8F">
        <w:trPr>
          <w:trHeight w:val="562"/>
        </w:trPr>
        <w:tc>
          <w:tcPr>
            <w:tcW w:w="2802" w:type="dxa"/>
            <w:tcBorders>
              <w:bottom w:val="single" w:sz="4" w:space="0" w:color="auto"/>
              <w:right w:val="nil"/>
            </w:tcBorders>
            <w:vAlign w:val="center"/>
          </w:tcPr>
          <w:p w:rsidR="001D2FD1" w:rsidRPr="009E3F47" w:rsidRDefault="001D2FD1" w:rsidP="00D95D8F">
            <w:pPr>
              <w:rPr>
                <w:b/>
                <w:lang w:val="sl-SI"/>
              </w:rPr>
            </w:pPr>
            <w:r w:rsidRPr="009E3F47">
              <w:rPr>
                <w:b/>
                <w:lang w:val="sl-SI"/>
              </w:rPr>
              <w:t xml:space="preserve">Groups 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D2FD1" w:rsidRPr="009E3F47" w:rsidRDefault="001D2FD1" w:rsidP="00D95D8F">
            <w:pPr>
              <w:jc w:val="center"/>
              <w:rPr>
                <w:b/>
                <w:lang w:val="sl-SI"/>
              </w:rPr>
            </w:pPr>
            <w:r w:rsidRPr="009E3F47">
              <w:rPr>
                <w:b/>
                <w:lang w:val="sv-SE"/>
              </w:rPr>
              <w:t>Type of isolates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D2FD1" w:rsidRPr="009E3F47" w:rsidRDefault="001D2FD1" w:rsidP="00D95D8F">
            <w:pPr>
              <w:jc w:val="center"/>
              <w:rPr>
                <w:b/>
                <w:lang w:val="sl-SI"/>
              </w:rPr>
            </w:pPr>
            <w:r w:rsidRPr="009E3F47">
              <w:rPr>
                <w:b/>
                <w:lang w:val="sl-SI"/>
              </w:rPr>
              <w:t>The lowest growth rate (mm/day)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:rsidR="001D2FD1" w:rsidRPr="009E3F47" w:rsidRDefault="001D2FD1" w:rsidP="00D95D8F">
            <w:pPr>
              <w:jc w:val="center"/>
              <w:rPr>
                <w:b/>
                <w:lang w:val="sl-SI"/>
              </w:rPr>
            </w:pPr>
            <w:r w:rsidRPr="009E3F47">
              <w:rPr>
                <w:b/>
                <w:lang w:val="sl-SI"/>
              </w:rPr>
              <w:t>The highest growth rate (mm/day)</w:t>
            </w:r>
          </w:p>
        </w:tc>
      </w:tr>
      <w:tr w:rsidR="001D2FD1" w:rsidRPr="003428B0" w:rsidTr="00D95D8F">
        <w:tc>
          <w:tcPr>
            <w:tcW w:w="2802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D2FD1" w:rsidRPr="003F2AE9" w:rsidRDefault="001D2FD1" w:rsidP="00D95D8F">
            <w:pPr>
              <w:rPr>
                <w:vertAlign w:val="superscript"/>
              </w:rPr>
            </w:pPr>
            <w:r w:rsidRPr="009915DB">
              <w:t>Genetic</w:t>
            </w:r>
            <w:r>
              <w:t xml:space="preserve"> groups</w:t>
            </w:r>
            <w:r>
              <w:rPr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FD1" w:rsidRPr="009915DB" w:rsidRDefault="001D2FD1" w:rsidP="00D95D8F">
            <w:pPr>
              <w:ind w:left="227"/>
              <w:jc w:val="both"/>
              <w:rPr>
                <w:i/>
              </w:rPr>
            </w:pPr>
            <w:proofErr w:type="spellStart"/>
            <w:r w:rsidRPr="009915DB">
              <w:rPr>
                <w:i/>
              </w:rPr>
              <w:t>transposa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8.4±2.8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24.5</w:t>
            </w:r>
            <w:r w:rsidRPr="00F775C4">
              <w:rPr>
                <w:lang w:val="sl-SI"/>
              </w:rPr>
              <w:t>±</w:t>
            </w:r>
            <w:r>
              <w:rPr>
                <w:lang w:val="sl-SI"/>
              </w:rPr>
              <w:t>0.6</w:t>
            </w:r>
          </w:p>
        </w:tc>
      </w:tr>
      <w:tr w:rsidR="001D2FD1" w:rsidRPr="003428B0" w:rsidTr="00D95D8F">
        <w:trPr>
          <w:trHeight w:val="272"/>
        </w:trPr>
        <w:tc>
          <w:tcPr>
            <w:tcW w:w="2802" w:type="dxa"/>
            <w:vMerge/>
            <w:tcBorders>
              <w:top w:val="nil"/>
              <w:right w:val="nil"/>
            </w:tcBorders>
            <w:vAlign w:val="center"/>
          </w:tcPr>
          <w:p w:rsidR="001D2FD1" w:rsidRPr="009915DB" w:rsidRDefault="001D2FD1" w:rsidP="00D95D8F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D2FD1" w:rsidRPr="009915DB" w:rsidRDefault="001D2FD1" w:rsidP="00D95D8F">
            <w:pPr>
              <w:ind w:left="227"/>
              <w:jc w:val="both"/>
              <w:rPr>
                <w:i/>
              </w:rPr>
            </w:pPr>
            <w:proofErr w:type="spellStart"/>
            <w:r w:rsidRPr="009915DB">
              <w:rPr>
                <w:i/>
              </w:rPr>
              <w:t>vacuma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12.3</w:t>
            </w:r>
            <w:r w:rsidRPr="00F775C4">
              <w:rPr>
                <w:lang w:val="sl-SI"/>
              </w:rPr>
              <w:t>±</w:t>
            </w:r>
            <w:r>
              <w:rPr>
                <w:lang w:val="sl-SI"/>
              </w:rPr>
              <w:t>4.1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23.2</w:t>
            </w:r>
            <w:r w:rsidRPr="00F775C4">
              <w:rPr>
                <w:lang w:val="sl-SI"/>
              </w:rPr>
              <w:t>±</w:t>
            </w:r>
            <w:r>
              <w:rPr>
                <w:lang w:val="sl-SI"/>
              </w:rPr>
              <w:t>1.2</w:t>
            </w:r>
          </w:p>
        </w:tc>
      </w:tr>
      <w:tr w:rsidR="001D2FD1" w:rsidRPr="003428B0" w:rsidTr="00D95D8F">
        <w:trPr>
          <w:trHeight w:val="136"/>
        </w:trPr>
        <w:tc>
          <w:tcPr>
            <w:tcW w:w="2802" w:type="dxa"/>
            <w:vMerge/>
            <w:tcBorders>
              <w:top w:val="nil"/>
              <w:right w:val="nil"/>
            </w:tcBorders>
            <w:vAlign w:val="center"/>
          </w:tcPr>
          <w:p w:rsidR="001D2FD1" w:rsidRPr="009915DB" w:rsidRDefault="001D2FD1" w:rsidP="00D95D8F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D2FD1" w:rsidRPr="009915DB" w:rsidRDefault="001D2FD1" w:rsidP="00D95D8F">
            <w:pPr>
              <w:ind w:left="227"/>
              <w:jc w:val="both"/>
              <w:rPr>
                <w:i/>
              </w:rPr>
            </w:pPr>
            <w:proofErr w:type="spellStart"/>
            <w:r w:rsidRPr="009915DB">
              <w:rPr>
                <w:i/>
              </w:rPr>
              <w:t>boty</w:t>
            </w:r>
            <w:proofErr w:type="spellEnd"/>
            <w:r w:rsidRPr="009915DB">
              <w:rPr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8.9</w:t>
            </w:r>
            <w:r w:rsidRPr="00F775C4">
              <w:rPr>
                <w:lang w:val="sl-SI"/>
              </w:rPr>
              <w:t>±</w:t>
            </w:r>
            <w:r>
              <w:rPr>
                <w:lang w:val="sl-SI"/>
              </w:rPr>
              <w:t>1.2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21.8</w:t>
            </w:r>
            <w:r w:rsidRPr="00F775C4">
              <w:rPr>
                <w:lang w:val="sl-SI"/>
              </w:rPr>
              <w:t>±</w:t>
            </w:r>
            <w:r>
              <w:rPr>
                <w:lang w:val="sl-SI"/>
              </w:rPr>
              <w:t>0.4</w:t>
            </w:r>
          </w:p>
        </w:tc>
      </w:tr>
      <w:tr w:rsidR="001D2FD1" w:rsidRPr="003428B0" w:rsidTr="00D95D8F">
        <w:trPr>
          <w:trHeight w:val="125"/>
        </w:trPr>
        <w:tc>
          <w:tcPr>
            <w:tcW w:w="2802" w:type="dxa"/>
            <w:vMerge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1D2FD1" w:rsidRPr="009915DB" w:rsidRDefault="001D2FD1" w:rsidP="00D95D8F"/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D2FD1" w:rsidRPr="003428B0" w:rsidRDefault="001D2FD1" w:rsidP="00D95D8F">
            <w:pPr>
              <w:ind w:left="227"/>
              <w:jc w:val="both"/>
            </w:pPr>
            <w:r w:rsidRPr="009915DB">
              <w:rPr>
                <w:i/>
              </w:rPr>
              <w:t>flipper</w:t>
            </w: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17.3</w:t>
            </w:r>
            <w:r w:rsidRPr="00F775C4">
              <w:rPr>
                <w:lang w:val="sl-SI"/>
              </w:rPr>
              <w:t>±</w:t>
            </w:r>
            <w:r>
              <w:rPr>
                <w:lang w:val="sl-SI"/>
              </w:rPr>
              <w:t>0.3</w:t>
            </w: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17.4</w:t>
            </w:r>
            <w:r w:rsidRPr="00070AE7">
              <w:rPr>
                <w:lang w:val="sl-SI"/>
              </w:rPr>
              <w:t>±</w:t>
            </w:r>
            <w:r>
              <w:rPr>
                <w:lang w:val="sl-SI"/>
              </w:rPr>
              <w:t>1.1</w:t>
            </w:r>
          </w:p>
        </w:tc>
      </w:tr>
      <w:tr w:rsidR="001D2FD1" w:rsidRPr="003428B0" w:rsidTr="00D95D8F">
        <w:trPr>
          <w:trHeight w:val="161"/>
        </w:trPr>
        <w:tc>
          <w:tcPr>
            <w:tcW w:w="2802" w:type="dxa"/>
            <w:vMerge w:val="restart"/>
            <w:tcBorders>
              <w:top w:val="dashSmallGap" w:sz="4" w:space="0" w:color="auto"/>
              <w:right w:val="nil"/>
            </w:tcBorders>
            <w:vAlign w:val="center"/>
          </w:tcPr>
          <w:p w:rsidR="001D2FD1" w:rsidRDefault="001D2FD1" w:rsidP="00D95D8F">
            <w:r>
              <w:t>Morphological groups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1D2FD1" w:rsidRPr="003428B0" w:rsidRDefault="001D2FD1" w:rsidP="00D95D8F">
            <w:pPr>
              <w:ind w:left="227"/>
              <w:jc w:val="both"/>
            </w:pPr>
            <w:proofErr w:type="spellStart"/>
            <w:r>
              <w:t>sclerotial</w:t>
            </w:r>
            <w:proofErr w:type="spellEnd"/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8.4±2.8</w:t>
            </w: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24.5</w:t>
            </w:r>
            <w:r w:rsidRPr="00F775C4">
              <w:rPr>
                <w:lang w:val="sl-SI"/>
              </w:rPr>
              <w:t>±</w:t>
            </w:r>
            <w:r>
              <w:rPr>
                <w:lang w:val="sl-SI"/>
              </w:rPr>
              <w:t>0.6</w:t>
            </w:r>
          </w:p>
        </w:tc>
      </w:tr>
      <w:tr w:rsidR="001D2FD1" w:rsidRPr="003428B0" w:rsidTr="00D95D8F">
        <w:tc>
          <w:tcPr>
            <w:tcW w:w="2802" w:type="dxa"/>
            <w:vMerge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1D2FD1" w:rsidRDefault="001D2FD1" w:rsidP="00D95D8F"/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D2FD1" w:rsidRPr="003428B0" w:rsidRDefault="001D2FD1" w:rsidP="00D95D8F">
            <w:pPr>
              <w:ind w:left="227"/>
              <w:jc w:val="both"/>
            </w:pPr>
            <w:proofErr w:type="spellStart"/>
            <w:r>
              <w:t>mycelial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 w:rsidRPr="00070AE7">
              <w:rPr>
                <w:lang w:val="sl-SI"/>
              </w:rPr>
              <w:t>8.9±1.2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23.1</w:t>
            </w:r>
            <w:r w:rsidRPr="00070AE7">
              <w:rPr>
                <w:lang w:val="sl-SI"/>
              </w:rPr>
              <w:t>±</w:t>
            </w:r>
            <w:r>
              <w:rPr>
                <w:lang w:val="sl-SI"/>
              </w:rPr>
              <w:t>0.5</w:t>
            </w:r>
          </w:p>
        </w:tc>
      </w:tr>
      <w:tr w:rsidR="001D2FD1" w:rsidRPr="003428B0" w:rsidTr="00D95D8F">
        <w:tc>
          <w:tcPr>
            <w:tcW w:w="2802" w:type="dxa"/>
            <w:vMerge w:val="restart"/>
            <w:tcBorders>
              <w:top w:val="dashSmallGap" w:sz="4" w:space="0" w:color="auto"/>
              <w:right w:val="nil"/>
            </w:tcBorders>
            <w:vAlign w:val="center"/>
          </w:tcPr>
          <w:p w:rsidR="001D2FD1" w:rsidRDefault="001D2FD1" w:rsidP="00D95D8F">
            <w:r>
              <w:t>Sporulation ability groups</w:t>
            </w: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1D2FD1" w:rsidRPr="003428B0" w:rsidRDefault="001D2FD1" w:rsidP="00D95D8F">
            <w:pPr>
              <w:ind w:left="227"/>
              <w:jc w:val="both"/>
            </w:pPr>
            <w:proofErr w:type="spellStart"/>
            <w:r>
              <w:t>sporulating</w:t>
            </w:r>
            <w:proofErr w:type="spellEnd"/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 w:rsidRPr="00070AE7">
              <w:rPr>
                <w:lang w:val="sl-SI"/>
              </w:rPr>
              <w:t>8.4±2.8</w:t>
            </w: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 w:rsidRPr="00070AE7">
              <w:rPr>
                <w:lang w:val="sl-SI"/>
              </w:rPr>
              <w:t>23.2±1.2</w:t>
            </w:r>
          </w:p>
        </w:tc>
      </w:tr>
      <w:tr w:rsidR="001D2FD1" w:rsidRPr="003428B0" w:rsidTr="00D95D8F">
        <w:trPr>
          <w:trHeight w:val="240"/>
        </w:trPr>
        <w:tc>
          <w:tcPr>
            <w:tcW w:w="2802" w:type="dxa"/>
            <w:vMerge/>
            <w:tcBorders>
              <w:top w:val="nil"/>
              <w:right w:val="nil"/>
            </w:tcBorders>
            <w:vAlign w:val="center"/>
          </w:tcPr>
          <w:p w:rsidR="001D2FD1" w:rsidRDefault="001D2FD1" w:rsidP="00D95D8F">
            <w:pPr>
              <w:spacing w:before="120"/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1D2FD1" w:rsidRPr="003428B0" w:rsidRDefault="001D2FD1" w:rsidP="00D95D8F">
            <w:pPr>
              <w:ind w:left="227"/>
              <w:jc w:val="both"/>
            </w:pPr>
            <w:proofErr w:type="spellStart"/>
            <w:r>
              <w:t>nonsporulating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 w:rsidRPr="00070AE7">
              <w:rPr>
                <w:lang w:val="sl-SI"/>
              </w:rPr>
              <w:t>8.9±1.2</w:t>
            </w: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1D2FD1" w:rsidRPr="003428B0" w:rsidRDefault="001D2FD1" w:rsidP="00D95D8F">
            <w:pPr>
              <w:jc w:val="center"/>
              <w:rPr>
                <w:lang w:val="sl-SI"/>
              </w:rPr>
            </w:pPr>
            <w:r w:rsidRPr="00070AE7">
              <w:rPr>
                <w:lang w:val="sl-SI"/>
              </w:rPr>
              <w:t>24.5±0.6</w:t>
            </w:r>
          </w:p>
        </w:tc>
      </w:tr>
    </w:tbl>
    <w:p w:rsidR="001D2FD1" w:rsidRPr="003F2AE9" w:rsidRDefault="001D2FD1" w:rsidP="001D2FD1">
      <w:pPr>
        <w:jc w:val="both"/>
        <w:rPr>
          <w:sz w:val="20"/>
          <w:szCs w:val="20"/>
          <w:lang w:val="sr-Latn-CS" w:eastAsia="sr-Latn-CS"/>
        </w:rPr>
      </w:pPr>
      <w:r w:rsidRPr="003F2AE9">
        <w:rPr>
          <w:sz w:val="20"/>
          <w:szCs w:val="20"/>
          <w:vertAlign w:val="superscript"/>
          <w:lang w:val="sr-Latn-CS" w:eastAsia="sr-Latn-CS"/>
        </w:rPr>
        <w:t>1</w:t>
      </w:r>
      <w:r w:rsidRPr="003F2AE9">
        <w:rPr>
          <w:sz w:val="20"/>
          <w:szCs w:val="20"/>
          <w:lang w:val="sr-Latn-CS" w:eastAsia="sr-Latn-CS"/>
        </w:rPr>
        <w:t>Based on all available isolates from each genetic</w:t>
      </w:r>
      <w:r>
        <w:rPr>
          <w:sz w:val="20"/>
          <w:szCs w:val="20"/>
          <w:lang w:val="sr-Latn-CS" w:eastAsia="sr-Latn-CS"/>
        </w:rPr>
        <w:t xml:space="preserve">, morphological and sporulation ability </w:t>
      </w:r>
      <w:r w:rsidRPr="003F2AE9">
        <w:rPr>
          <w:sz w:val="20"/>
          <w:szCs w:val="20"/>
          <w:lang w:val="sr-Latn-CS" w:eastAsia="sr-Latn-CS"/>
        </w:rPr>
        <w:t xml:space="preserve">subgroup: 14 </w:t>
      </w:r>
      <w:r w:rsidRPr="003F2AE9">
        <w:rPr>
          <w:i/>
          <w:sz w:val="20"/>
          <w:szCs w:val="20"/>
          <w:lang w:val="sr-Latn-CS" w:eastAsia="sr-Latn-CS"/>
        </w:rPr>
        <w:t>vacuma</w:t>
      </w:r>
      <w:r w:rsidRPr="003F2AE9">
        <w:rPr>
          <w:sz w:val="20"/>
          <w:szCs w:val="20"/>
          <w:lang w:val="sr-Latn-CS" w:eastAsia="sr-Latn-CS"/>
        </w:rPr>
        <w:t xml:space="preserve">, 58 </w:t>
      </w:r>
      <w:r w:rsidRPr="003F2AE9">
        <w:rPr>
          <w:i/>
          <w:sz w:val="20"/>
          <w:szCs w:val="20"/>
          <w:lang w:val="sr-Latn-CS" w:eastAsia="sr-Latn-CS"/>
        </w:rPr>
        <w:t>boty</w:t>
      </w:r>
      <w:r w:rsidRPr="003F2AE9">
        <w:rPr>
          <w:sz w:val="20"/>
          <w:szCs w:val="20"/>
          <w:lang w:val="sr-Latn-CS" w:eastAsia="sr-Latn-CS"/>
        </w:rPr>
        <w:t xml:space="preserve">, 56 </w:t>
      </w:r>
      <w:r w:rsidRPr="003F2AE9">
        <w:rPr>
          <w:i/>
          <w:sz w:val="20"/>
          <w:szCs w:val="20"/>
          <w:lang w:val="sr-Latn-CS" w:eastAsia="sr-Latn-CS"/>
        </w:rPr>
        <w:t xml:space="preserve">transposa </w:t>
      </w:r>
      <w:r w:rsidRPr="003F2AE9">
        <w:rPr>
          <w:sz w:val="20"/>
          <w:szCs w:val="20"/>
          <w:lang w:val="sr-Latn-CS" w:eastAsia="sr-Latn-CS"/>
        </w:rPr>
        <w:t xml:space="preserve">and 2 </w:t>
      </w:r>
      <w:r w:rsidRPr="003F2AE9">
        <w:rPr>
          <w:i/>
          <w:sz w:val="20"/>
          <w:szCs w:val="20"/>
          <w:lang w:val="sr-Latn-CS" w:eastAsia="sr-Latn-CS"/>
        </w:rPr>
        <w:t>flipper</w:t>
      </w:r>
      <w:r w:rsidR="008E3B9E">
        <w:rPr>
          <w:sz w:val="20"/>
          <w:szCs w:val="20"/>
          <w:lang w:val="sr-Latn-CS" w:eastAsia="sr-Latn-CS"/>
        </w:rPr>
        <w:t>;</w:t>
      </w:r>
      <w:r>
        <w:rPr>
          <w:sz w:val="20"/>
          <w:szCs w:val="20"/>
          <w:lang w:val="sr-Latn-CS" w:eastAsia="sr-Latn-CS"/>
        </w:rPr>
        <w:t xml:space="preserve"> 106 sclerotial and 24 mycelial; 119 nonsporulating and 11 sporulating isolates</w:t>
      </w:r>
    </w:p>
    <w:p w:rsidR="00B9686E" w:rsidRDefault="00B9686E">
      <w:bookmarkStart w:id="0" w:name="_GoBack"/>
      <w:bookmarkEnd w:id="0"/>
    </w:p>
    <w:sectPr w:rsidR="00B96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D1"/>
    <w:rsid w:val="001D2FD1"/>
    <w:rsid w:val="008E3B9E"/>
    <w:rsid w:val="00B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2015-02-27T10:54:00Z</dcterms:created>
  <dcterms:modified xsi:type="dcterms:W3CDTF">2015-02-27T11:14:00Z</dcterms:modified>
</cp:coreProperties>
</file>