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F5" w:rsidRDefault="007847F5" w:rsidP="00784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206EA">
        <w:rPr>
          <w:rFonts w:ascii="Times New Roman" w:eastAsia="Times New Roman" w:hAnsi="Times New Roman" w:cs="Times New Roman"/>
          <w:b/>
          <w:sz w:val="24"/>
        </w:rPr>
        <w:t>Tab</w:t>
      </w:r>
      <w:r>
        <w:rPr>
          <w:rFonts w:ascii="Times New Roman" w:eastAsia="Times New Roman" w:hAnsi="Times New Roman" w:cs="Times New Roman"/>
          <w:b/>
          <w:sz w:val="24"/>
        </w:rPr>
        <w:t>l</w:t>
      </w:r>
      <w:r w:rsidRPr="004206EA">
        <w:rPr>
          <w:rFonts w:ascii="Times New Roman" w:eastAsia="Times New Roman" w:hAnsi="Times New Roman" w:cs="Times New Roman"/>
          <w:b/>
          <w:sz w:val="24"/>
        </w:rPr>
        <w:t>e 2</w:t>
      </w:r>
      <w:r w:rsidR="00D244D6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Assessment of specimen numbers at the beginning of experiment and results of total efficacy of baits in house mouse control, effects of essential oil contents on acceptability of </w:t>
      </w:r>
      <w:proofErr w:type="spellStart"/>
      <w:r>
        <w:rPr>
          <w:rFonts w:ascii="Times New Roman" w:eastAsia="Times New Roman" w:hAnsi="Times New Roman" w:cs="Times New Roman"/>
          <w:sz w:val="24"/>
        </w:rPr>
        <w:t>bromadiolone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</w:rPr>
        <w:t>difenacoum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baits to house mouse (t-test, </w:t>
      </w:r>
      <w:proofErr w:type="spellStart"/>
      <w:r>
        <w:rPr>
          <w:rFonts w:ascii="Times New Roman" w:eastAsia="Times New Roman" w:hAnsi="Times New Roman" w:cs="Times New Roman"/>
          <w:sz w:val="24"/>
        </w:rPr>
        <w:t>df</w:t>
      </w:r>
      <w:proofErr w:type="spellEnd"/>
      <w:r>
        <w:rPr>
          <w:rFonts w:ascii="Times New Roman" w:eastAsia="Times New Roman" w:hAnsi="Times New Roman" w:cs="Times New Roman"/>
          <w:sz w:val="24"/>
        </w:rPr>
        <w:t>=9)</w:t>
      </w:r>
    </w:p>
    <w:p w:rsidR="007847F5" w:rsidRDefault="007847F5" w:rsidP="00784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096"/>
        <w:gridCol w:w="2132"/>
        <w:gridCol w:w="2146"/>
        <w:gridCol w:w="1503"/>
        <w:gridCol w:w="1503"/>
      </w:tblGrid>
      <w:tr w:rsidR="007847F5" w:rsidTr="00C32500">
        <w:trPr>
          <w:trHeight w:val="1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Experiment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Count assessment (specimens) </w:t>
            </w:r>
            <w:r w:rsidRPr="00872AB2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Total efficacy </w:t>
            </w:r>
          </w:p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(%)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</w:t>
            </w:r>
            <w:r w:rsidRPr="00872AB2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3</w:t>
            </w:r>
          </w:p>
        </w:tc>
      </w:tr>
      <w:tr w:rsidR="007847F5" w:rsidTr="00C32500">
        <w:trPr>
          <w:trHeight w:val="319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Default="007847F5" w:rsidP="00C325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Bromadiolon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I</w:t>
            </w:r>
            <w:r w:rsidRPr="00733146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†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Pr="00C216D5" w:rsidRDefault="007847F5" w:rsidP="00C32500">
            <w:pPr>
              <w:spacing w:after="0" w:line="240" w:lineRule="auto"/>
              <w:jc w:val="center"/>
            </w:pPr>
            <w:r w:rsidRPr="00C216D5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95.91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3.2008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0.0108</w:t>
            </w:r>
          </w:p>
        </w:tc>
      </w:tr>
      <w:tr w:rsidR="007847F5" w:rsidTr="00C32500">
        <w:trPr>
          <w:trHeight w:val="319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Default="007847F5" w:rsidP="00C325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Bromadiolon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II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Pr="00C216D5" w:rsidRDefault="007847F5" w:rsidP="00C32500">
            <w:pPr>
              <w:spacing w:after="0" w:line="240" w:lineRule="auto"/>
              <w:jc w:val="center"/>
            </w:pPr>
            <w:r w:rsidRPr="00C216D5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96.08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2.9837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0.0153</w:t>
            </w:r>
          </w:p>
        </w:tc>
      </w:tr>
      <w:tr w:rsidR="007847F5" w:rsidTr="00C32500">
        <w:trPr>
          <w:trHeight w:val="319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Default="007847F5" w:rsidP="00C325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Difenakum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Pr="00C216D5" w:rsidRDefault="007847F5" w:rsidP="00C32500">
            <w:pPr>
              <w:spacing w:after="0" w:line="240" w:lineRule="auto"/>
              <w:jc w:val="center"/>
            </w:pPr>
            <w:r w:rsidRPr="00C216D5"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98.67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2.7813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0.0213</w:t>
            </w:r>
          </w:p>
        </w:tc>
      </w:tr>
      <w:tr w:rsidR="007847F5" w:rsidTr="00C32500">
        <w:trPr>
          <w:trHeight w:val="319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Default="007847F5" w:rsidP="00C325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Difenakum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II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Pr="00C216D5" w:rsidRDefault="007847F5" w:rsidP="00C3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16D5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100.00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2.2892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47F5" w:rsidRDefault="007847F5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0.0478</w:t>
            </w:r>
          </w:p>
        </w:tc>
      </w:tr>
    </w:tbl>
    <w:p w:rsidR="007847F5" w:rsidRPr="00872AB2" w:rsidRDefault="007847F5" w:rsidP="007847F5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872AB2">
        <w:rPr>
          <w:rFonts w:ascii="Times New Roman" w:hAnsi="Times New Roman" w:cs="Times New Roman"/>
          <w:sz w:val="20"/>
          <w:szCs w:val="20"/>
        </w:rPr>
        <w:t xml:space="preserve">* </w:t>
      </w:r>
      <w:r>
        <w:rPr>
          <w:rFonts w:ascii="Times New Roman" w:hAnsi="Times New Roman" w:cs="Times New Roman"/>
          <w:sz w:val="20"/>
          <w:szCs w:val="20"/>
        </w:rPr>
        <w:t xml:space="preserve">Number of house mouse specimens according to </w:t>
      </w:r>
      <w:proofErr w:type="spellStart"/>
      <w:r w:rsidRPr="00872AB2">
        <w:rPr>
          <w:rFonts w:ascii="Times New Roman" w:hAnsi="Times New Roman" w:cs="Times New Roman"/>
          <w:sz w:val="20"/>
          <w:szCs w:val="20"/>
        </w:rPr>
        <w:t>Hrgović</w:t>
      </w:r>
      <w:proofErr w:type="spellEnd"/>
      <w:r w:rsidRPr="00872AB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et al</w:t>
      </w:r>
      <w:r w:rsidRPr="00872AB2">
        <w:rPr>
          <w:rFonts w:ascii="Times New Roman" w:hAnsi="Times New Roman" w:cs="Times New Roman"/>
          <w:sz w:val="20"/>
          <w:szCs w:val="20"/>
        </w:rPr>
        <w:t>. (1991)</w:t>
      </w:r>
      <w:r>
        <w:rPr>
          <w:rFonts w:ascii="Times New Roman" w:hAnsi="Times New Roman" w:cs="Times New Roman"/>
          <w:sz w:val="20"/>
          <w:szCs w:val="20"/>
        </w:rPr>
        <w:t xml:space="preserve"> formula</w:t>
      </w:r>
      <w:r w:rsidRPr="00872AB2">
        <w:rPr>
          <w:rFonts w:ascii="Times New Roman" w:hAnsi="Times New Roman" w:cs="Times New Roman"/>
          <w:sz w:val="20"/>
          <w:szCs w:val="20"/>
        </w:rPr>
        <w:t xml:space="preserve">; </w:t>
      </w:r>
      <w:r w:rsidRPr="00872AB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72AB2">
        <w:rPr>
          <w:rFonts w:ascii="Times New Roman" w:hAnsi="Times New Roman" w:cs="Times New Roman"/>
          <w:sz w:val="20"/>
          <w:szCs w:val="20"/>
        </w:rPr>
        <w:t xml:space="preserve"> Student</w:t>
      </w:r>
      <w:r>
        <w:rPr>
          <w:rFonts w:ascii="Times New Roman" w:hAnsi="Times New Roman" w:cs="Times New Roman"/>
          <w:sz w:val="20"/>
          <w:szCs w:val="20"/>
        </w:rPr>
        <w:t>’s</w:t>
      </w:r>
      <w:r w:rsidRPr="00872AB2">
        <w:rPr>
          <w:rFonts w:ascii="Times New Roman" w:hAnsi="Times New Roman" w:cs="Times New Roman"/>
          <w:sz w:val="20"/>
          <w:szCs w:val="20"/>
        </w:rPr>
        <w:t xml:space="preserve"> t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872AB2">
        <w:rPr>
          <w:rFonts w:ascii="Times New Roman" w:hAnsi="Times New Roman" w:cs="Times New Roman"/>
          <w:sz w:val="20"/>
          <w:szCs w:val="20"/>
        </w:rPr>
        <w:t xml:space="preserve">test; </w:t>
      </w:r>
      <w:r w:rsidRPr="00872AB2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872AB2">
        <w:rPr>
          <w:rFonts w:ascii="Times New Roman" w:hAnsi="Times New Roman" w:cs="Times New Roman"/>
          <w:sz w:val="20"/>
          <w:szCs w:val="20"/>
        </w:rPr>
        <w:t xml:space="preserve"> * </w:t>
      </w:r>
      <w:r>
        <w:rPr>
          <w:rFonts w:ascii="Times New Roman" w:hAnsi="Times New Roman" w:cs="Times New Roman"/>
          <w:sz w:val="20"/>
          <w:szCs w:val="20"/>
        </w:rPr>
        <w:t>Significance at</w:t>
      </w:r>
      <w:r w:rsidRPr="00872AB2">
        <w:rPr>
          <w:rFonts w:ascii="Times New Roman" w:hAnsi="Times New Roman" w:cs="Times New Roman"/>
          <w:sz w:val="20"/>
          <w:szCs w:val="20"/>
        </w:rPr>
        <w:t xml:space="preserve"> P</w:t>
      </w:r>
      <w:r>
        <w:rPr>
          <w:rFonts w:ascii="Times New Roman" w:hAnsi="Times New Roman" w:cs="Times New Roman"/>
          <w:sz w:val="20"/>
          <w:szCs w:val="20"/>
        </w:rPr>
        <w:t>=</w:t>
      </w:r>
      <w:r w:rsidRPr="00872AB2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72AB2">
        <w:rPr>
          <w:rFonts w:ascii="Times New Roman" w:hAnsi="Times New Roman" w:cs="Times New Roman"/>
          <w:sz w:val="20"/>
          <w:szCs w:val="20"/>
        </w:rPr>
        <w:t xml:space="preserve">05; </w:t>
      </w:r>
      <w:r w:rsidRPr="00872AB2">
        <w:rPr>
          <w:rFonts w:ascii="Times New Roman" w:hAnsi="Times New Roman" w:cs="Times New Roman"/>
          <w:b/>
          <w:sz w:val="20"/>
          <w:szCs w:val="20"/>
        </w:rPr>
        <w:t xml:space="preserve">† </w:t>
      </w:r>
      <w:proofErr w:type="spellStart"/>
      <w:r w:rsidRPr="00872AB2">
        <w:rPr>
          <w:rFonts w:ascii="Times New Roman" w:hAnsi="Times New Roman" w:cs="Times New Roman"/>
          <w:sz w:val="20"/>
          <w:szCs w:val="20"/>
        </w:rPr>
        <w:t>Bromadiolon</w:t>
      </w:r>
      <w:r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872AB2">
        <w:rPr>
          <w:rFonts w:ascii="Times New Roman" w:hAnsi="Times New Roman" w:cs="Times New Roman"/>
          <w:sz w:val="20"/>
          <w:szCs w:val="20"/>
        </w:rPr>
        <w:t xml:space="preserve"> I-E</w:t>
      </w:r>
      <w:r>
        <w:rPr>
          <w:rFonts w:ascii="Times New Roman" w:hAnsi="Times New Roman" w:cs="Times New Roman"/>
          <w:sz w:val="20"/>
          <w:szCs w:val="20"/>
        </w:rPr>
        <w:t>x</w:t>
      </w:r>
      <w:r w:rsidRPr="00872AB2">
        <w:rPr>
          <w:rFonts w:ascii="Times New Roman" w:hAnsi="Times New Roman" w:cs="Times New Roman"/>
          <w:sz w:val="20"/>
          <w:szCs w:val="20"/>
        </w:rPr>
        <w:t xml:space="preserve">periment </w:t>
      </w:r>
      <w:r>
        <w:rPr>
          <w:rFonts w:ascii="Times New Roman" w:hAnsi="Times New Roman" w:cs="Times New Roman"/>
          <w:sz w:val="20"/>
          <w:szCs w:val="20"/>
        </w:rPr>
        <w:t>in mill storages</w:t>
      </w:r>
      <w:r w:rsidRPr="00872AB2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872AB2">
        <w:rPr>
          <w:rFonts w:ascii="Times New Roman" w:hAnsi="Times New Roman" w:cs="Times New Roman"/>
          <w:sz w:val="20"/>
          <w:szCs w:val="20"/>
        </w:rPr>
        <w:t>Bromadiolon</w:t>
      </w:r>
      <w:r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872AB2">
        <w:rPr>
          <w:rFonts w:ascii="Times New Roman" w:hAnsi="Times New Roman" w:cs="Times New Roman"/>
          <w:sz w:val="20"/>
          <w:szCs w:val="20"/>
        </w:rPr>
        <w:t xml:space="preserve"> II-E</w:t>
      </w:r>
      <w:r>
        <w:rPr>
          <w:rFonts w:ascii="Times New Roman" w:hAnsi="Times New Roman" w:cs="Times New Roman"/>
          <w:sz w:val="20"/>
          <w:szCs w:val="20"/>
        </w:rPr>
        <w:t>x</w:t>
      </w:r>
      <w:r w:rsidRPr="00872AB2">
        <w:rPr>
          <w:rFonts w:ascii="Times New Roman" w:hAnsi="Times New Roman" w:cs="Times New Roman"/>
          <w:sz w:val="20"/>
          <w:szCs w:val="20"/>
        </w:rPr>
        <w:t xml:space="preserve">periment </w:t>
      </w:r>
      <w:r>
        <w:rPr>
          <w:rFonts w:ascii="Times New Roman" w:hAnsi="Times New Roman" w:cs="Times New Roman"/>
          <w:sz w:val="20"/>
          <w:szCs w:val="20"/>
        </w:rPr>
        <w:t>in farm storages</w:t>
      </w:r>
      <w:r w:rsidRPr="00872AB2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872AB2">
        <w:rPr>
          <w:rFonts w:ascii="Times New Roman" w:hAnsi="Times New Roman" w:cs="Times New Roman"/>
          <w:sz w:val="20"/>
          <w:szCs w:val="20"/>
        </w:rPr>
        <w:t>Difena</w:t>
      </w:r>
      <w:r>
        <w:rPr>
          <w:rFonts w:ascii="Times New Roman" w:hAnsi="Times New Roman" w:cs="Times New Roman"/>
          <w:sz w:val="20"/>
          <w:szCs w:val="20"/>
        </w:rPr>
        <w:t>cou</w:t>
      </w:r>
      <w:r w:rsidRPr="00872AB2">
        <w:rPr>
          <w:rFonts w:ascii="Times New Roman" w:hAnsi="Times New Roman" w:cs="Times New Roman"/>
          <w:sz w:val="20"/>
          <w:szCs w:val="20"/>
        </w:rPr>
        <w:t>m</w:t>
      </w:r>
      <w:proofErr w:type="spellEnd"/>
      <w:r w:rsidRPr="00872AB2">
        <w:rPr>
          <w:rFonts w:ascii="Times New Roman" w:hAnsi="Times New Roman" w:cs="Times New Roman"/>
          <w:sz w:val="20"/>
          <w:szCs w:val="20"/>
        </w:rPr>
        <w:t xml:space="preserve"> I-E</w:t>
      </w:r>
      <w:r>
        <w:rPr>
          <w:rFonts w:ascii="Times New Roman" w:hAnsi="Times New Roman" w:cs="Times New Roman"/>
          <w:sz w:val="20"/>
          <w:szCs w:val="20"/>
        </w:rPr>
        <w:t>x</w:t>
      </w:r>
      <w:r w:rsidRPr="00872AB2">
        <w:rPr>
          <w:rFonts w:ascii="Times New Roman" w:hAnsi="Times New Roman" w:cs="Times New Roman"/>
          <w:sz w:val="20"/>
          <w:szCs w:val="20"/>
        </w:rPr>
        <w:t xml:space="preserve">periment </w:t>
      </w:r>
      <w:r>
        <w:rPr>
          <w:rFonts w:ascii="Times New Roman" w:hAnsi="Times New Roman" w:cs="Times New Roman"/>
          <w:sz w:val="20"/>
          <w:szCs w:val="20"/>
        </w:rPr>
        <w:t>in storages for seeds and seedling materials, and remains of packaging</w:t>
      </w:r>
      <w:r w:rsidRPr="00872AB2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872AB2">
        <w:rPr>
          <w:rFonts w:ascii="Times New Roman" w:hAnsi="Times New Roman" w:cs="Times New Roman"/>
          <w:sz w:val="20"/>
          <w:szCs w:val="20"/>
        </w:rPr>
        <w:t>Difena</w:t>
      </w:r>
      <w:r>
        <w:rPr>
          <w:rFonts w:ascii="Times New Roman" w:hAnsi="Times New Roman" w:cs="Times New Roman"/>
          <w:sz w:val="20"/>
          <w:szCs w:val="20"/>
        </w:rPr>
        <w:t>co</w:t>
      </w:r>
      <w:r w:rsidRPr="00872AB2">
        <w:rPr>
          <w:rFonts w:ascii="Times New Roman" w:hAnsi="Times New Roman" w:cs="Times New Roman"/>
          <w:sz w:val="20"/>
          <w:szCs w:val="20"/>
        </w:rPr>
        <w:t>um</w:t>
      </w:r>
      <w:proofErr w:type="spellEnd"/>
      <w:r w:rsidRPr="00872AB2">
        <w:rPr>
          <w:rFonts w:ascii="Times New Roman" w:hAnsi="Times New Roman" w:cs="Times New Roman"/>
          <w:sz w:val="20"/>
          <w:szCs w:val="20"/>
        </w:rPr>
        <w:t xml:space="preserve"> II-E</w:t>
      </w:r>
      <w:r>
        <w:rPr>
          <w:rFonts w:ascii="Times New Roman" w:hAnsi="Times New Roman" w:cs="Times New Roman"/>
          <w:sz w:val="20"/>
          <w:szCs w:val="20"/>
        </w:rPr>
        <w:t>x</w:t>
      </w:r>
      <w:r w:rsidRPr="00872AB2">
        <w:rPr>
          <w:rFonts w:ascii="Times New Roman" w:hAnsi="Times New Roman" w:cs="Times New Roman"/>
          <w:sz w:val="20"/>
          <w:szCs w:val="20"/>
        </w:rPr>
        <w:t xml:space="preserve">periment </w:t>
      </w:r>
      <w:r>
        <w:rPr>
          <w:rFonts w:ascii="Times New Roman" w:hAnsi="Times New Roman" w:cs="Times New Roman"/>
          <w:sz w:val="20"/>
          <w:szCs w:val="20"/>
        </w:rPr>
        <w:t xml:space="preserve">in storage for various other materials.  </w:t>
      </w:r>
    </w:p>
    <w:p w:rsidR="004D6D49" w:rsidRDefault="004D6D49"/>
    <w:sectPr w:rsidR="004D6D49" w:rsidSect="004D6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7847F5"/>
    <w:rsid w:val="004D6D49"/>
    <w:rsid w:val="007847F5"/>
    <w:rsid w:val="00D24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47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Goran.Jokic</dc:creator>
  <cp:lastModifiedBy>Goran.Jokic</cp:lastModifiedBy>
  <cp:revision>2</cp:revision>
  <dcterms:created xsi:type="dcterms:W3CDTF">2018-10-26T09:38:00Z</dcterms:created>
  <dcterms:modified xsi:type="dcterms:W3CDTF">2018-10-26T09:39:00Z</dcterms:modified>
</cp:coreProperties>
</file>