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3E6C79">
      <w:r w:rsidRPr="003E6C79">
        <w:drawing>
          <wp:inline distT="0" distB="0" distL="0" distR="0">
            <wp:extent cx="3649980" cy="2011680"/>
            <wp:effectExtent l="19050" t="0" r="26670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6C79" w:rsidRDefault="003E6C79" w:rsidP="003E6C79">
      <w:pPr>
        <w:spacing w:after="0"/>
        <w:rPr>
          <w:rFonts w:ascii="Times New Roman" w:hAnsi="Times New Roman" w:cs="Times New Roman"/>
        </w:rPr>
      </w:pPr>
      <w:proofErr w:type="gramStart"/>
      <w:r w:rsidRPr="00074C2F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/>
        </w:rPr>
        <w:t>7</w:t>
      </w:r>
      <w:r w:rsidRPr="00074C2F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Effect of herbicide treatment </w:t>
      </w:r>
      <w:r w:rsidRPr="00074C2F">
        <w:rPr>
          <w:rFonts w:ascii="Times New Roman" w:hAnsi="Times New Roman" w:cs="Times New Roman"/>
          <w:i/>
        </w:rPr>
        <w:t>in vitro</w:t>
      </w:r>
      <w:r w:rsidRPr="00074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the growth of isolate 7/3</w:t>
      </w:r>
    </w:p>
    <w:p w:rsidR="003E6C79" w:rsidRDefault="003E6C79" w:rsidP="003E6C7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074C2F">
        <w:rPr>
          <w:rFonts w:ascii="Times New Roman" w:hAnsi="Times New Roman" w:cs="Times New Roman"/>
          <w:sz w:val="16"/>
          <w:szCs w:val="16"/>
        </w:rPr>
        <w:t>N-</w:t>
      </w:r>
      <w:proofErr w:type="spellStart"/>
      <w:r w:rsidRPr="00074C2F">
        <w:rPr>
          <w:rFonts w:ascii="Times New Roman" w:hAnsi="Times New Roman" w:cs="Times New Roman"/>
          <w:sz w:val="16"/>
          <w:szCs w:val="16"/>
        </w:rPr>
        <w:t>nicosulfuron</w:t>
      </w:r>
      <w:proofErr w:type="spellEnd"/>
      <w:r>
        <w:rPr>
          <w:rFonts w:ascii="Times New Roman" w:hAnsi="Times New Roman" w:cs="Times New Roman"/>
          <w:sz w:val="16"/>
          <w:szCs w:val="16"/>
        </w:rPr>
        <w:t>; M-</w:t>
      </w:r>
      <w:proofErr w:type="spellStart"/>
      <w:r>
        <w:rPr>
          <w:rFonts w:ascii="Times New Roman" w:hAnsi="Times New Roman" w:cs="Times New Roman"/>
          <w:sz w:val="16"/>
          <w:szCs w:val="16"/>
        </w:rPr>
        <w:t>metribuzin;G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glyphosate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3E6C79" w:rsidRPr="00074C2F" w:rsidRDefault="003E6C79" w:rsidP="003E6C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Bars followed by a similar letter in the same herbicidal treatment with all four concentrations are not significantly different (p&lt;0.05)</w:t>
      </w:r>
    </w:p>
    <w:p w:rsidR="003E6C79" w:rsidRDefault="003E6C79"/>
    <w:sectPr w:rsidR="003E6C79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C79"/>
    <w:rsid w:val="003E6C79"/>
    <w:rsid w:val="00D21061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Pesticidi%202016\Inhibici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2934344845725199"/>
          <c:y val="6.4220452557066723E-2"/>
          <c:w val="0.74728902624123972"/>
          <c:h val="0.71482442535592161"/>
        </c:manualLayout>
      </c:layout>
      <c:barChart>
        <c:barDir val="col"/>
        <c:grouping val="clustered"/>
        <c:ser>
          <c:idx val="0"/>
          <c:order val="0"/>
          <c:tx>
            <c:strRef>
              <c:f>Sheet1!$D$89</c:f>
              <c:strCache>
                <c:ptCount val="1"/>
                <c:pt idx="0">
                  <c:v>1x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Sheet1!$E$88:$G$88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Sheet1!$E$89:$G$89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Sheet1!$D$90</c:f>
              <c:strCache>
                <c:ptCount val="1"/>
                <c:pt idx="0">
                  <c:v>5x</c:v>
                </c:pt>
              </c:strCache>
            </c:strRef>
          </c:tx>
          <c:dLbls>
            <c:dLbl>
              <c:idx val="0"/>
              <c:layout>
                <c:manualLayout>
                  <c:x val="-3.479471120389700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bc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d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Sheet1!$E$88:$G$88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Sheet1!$E$90:$G$90</c:f>
              <c:numCache>
                <c:formatCode>General</c:formatCode>
                <c:ptCount val="3"/>
                <c:pt idx="0">
                  <c:v>1</c:v>
                </c:pt>
                <c:pt idx="1">
                  <c:v>20.5</c:v>
                </c:pt>
                <c:pt idx="2">
                  <c:v>30.5</c:v>
                </c:pt>
              </c:numCache>
            </c:numRef>
          </c:val>
        </c:ser>
        <c:ser>
          <c:idx val="2"/>
          <c:order val="2"/>
          <c:tx>
            <c:strRef>
              <c:f>Sheet1!$D$91</c:f>
              <c:strCache>
                <c:ptCount val="1"/>
                <c:pt idx="0">
                  <c:v>10x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-1.2626262626262626E-2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3.479471120389700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e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Sheet1!$E$88:$G$88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Sheet1!$E$91:$G$91</c:f>
              <c:numCache>
                <c:formatCode>General</c:formatCode>
                <c:ptCount val="3"/>
                <c:pt idx="0">
                  <c:v>1</c:v>
                </c:pt>
                <c:pt idx="1">
                  <c:v>23.5</c:v>
                </c:pt>
                <c:pt idx="2">
                  <c:v>47</c:v>
                </c:pt>
              </c:numCache>
            </c:numRef>
          </c:val>
        </c:ser>
        <c:ser>
          <c:idx val="3"/>
          <c:order val="3"/>
          <c:tx>
            <c:strRef>
              <c:f>Sheet1!$D$92</c:f>
              <c:strCache>
                <c:ptCount val="1"/>
                <c:pt idx="0">
                  <c:v>50x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f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g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strRef>
              <c:f>Sheet1!$E$88:$G$88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Sheet1!$E$92:$G$92</c:f>
              <c:numCache>
                <c:formatCode>General</c:formatCode>
                <c:ptCount val="3"/>
                <c:pt idx="0">
                  <c:v>19</c:v>
                </c:pt>
                <c:pt idx="1">
                  <c:v>55.5</c:v>
                </c:pt>
                <c:pt idx="2">
                  <c:v>67.5</c:v>
                </c:pt>
              </c:numCache>
            </c:numRef>
          </c:val>
        </c:ser>
        <c:axId val="93577984"/>
        <c:axId val="93700864"/>
      </c:barChart>
      <c:catAx>
        <c:axId val="93577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0" i="0" baseline="0">
                    <a:latin typeface="Times New Roman" pitchFamily="18" charset="0"/>
                  </a:rPr>
                  <a:t>h</a:t>
                </a:r>
                <a:r>
                  <a:rPr lang="sr-Latn-RS" sz="900" b="0" i="0" baseline="0">
                    <a:latin typeface="Times New Roman" pitchFamily="18" charset="0"/>
                  </a:rPr>
                  <a:t>erbicide</a:t>
                </a:r>
                <a:endParaRPr lang="en-US" sz="9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2928399607669082"/>
              <c:y val="0.9103217211484933"/>
            </c:manualLayout>
          </c:layout>
        </c:title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93700864"/>
        <c:crosses val="autoZero"/>
        <c:auto val="1"/>
        <c:lblAlgn val="ctr"/>
        <c:lblOffset val="100"/>
      </c:catAx>
      <c:valAx>
        <c:axId val="93700864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sz="900" b="0" i="0" baseline="0">
                    <a:latin typeface="Times New Roman" pitchFamily="18" charset="0"/>
                    <a:cs typeface="Times New Roman" pitchFamily="18" charset="0"/>
                  </a:rPr>
                  <a:t>% growth inhibition</a:t>
                </a:r>
                <a:endParaRPr lang="en-US" sz="90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</a:defRPr>
            </a:pPr>
            <a:endParaRPr lang="en-US"/>
          </a:p>
        </c:txPr>
        <c:crossAx val="93577984"/>
        <c:crosses val="autoZero"/>
        <c:crossBetween val="between"/>
      </c:valAx>
    </c:plotArea>
    <c:legend>
      <c:legendPos val="r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2016-10-27T10:11:00Z</dcterms:created>
  <dcterms:modified xsi:type="dcterms:W3CDTF">2016-10-27T10:12:00Z</dcterms:modified>
</cp:coreProperties>
</file>