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  <w:lang w:val="en-GB"/>
        </w:rPr>
      </w:pPr>
      <w:bookmarkStart w:id="0" w:name="_GoBack"/>
      <w:bookmarkEnd w:id="0"/>
    </w:p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b/>
          <w:sz w:val="24"/>
          <w:szCs w:val="24"/>
        </w:rPr>
        <w:t>Table 1: Results of the endoscopic and the open surgical management in all patients</w:t>
      </w:r>
    </w:p>
    <w:p w:rsidR="00C14525" w:rsidRPr="00AD3F63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14525" w:rsidRPr="00AD3F63" w:rsidTr="00B518AB">
        <w:tc>
          <w:tcPr>
            <w:tcW w:w="184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Treatment results</w:t>
            </w:r>
          </w:p>
        </w:tc>
        <w:tc>
          <w:tcPr>
            <w:tcW w:w="7370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Number of patients</w:t>
            </w:r>
          </w:p>
        </w:tc>
      </w:tr>
      <w:tr w:rsidR="00C14525" w:rsidRPr="00AD3F63" w:rsidTr="00B518AB">
        <w:tc>
          <w:tcPr>
            <w:tcW w:w="184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Endoscopic correction of the VUR</w:t>
            </w:r>
          </w:p>
        </w:tc>
        <w:tc>
          <w:tcPr>
            <w:tcW w:w="368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Surgical treatment of the</w:t>
            </w:r>
          </w:p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VUR</w:t>
            </w:r>
          </w:p>
        </w:tc>
      </w:tr>
      <w:tr w:rsidR="00C14525" w:rsidRPr="00AD3F63" w:rsidTr="00B518AB">
        <w:trPr>
          <w:trHeight w:val="880"/>
        </w:trPr>
        <w:tc>
          <w:tcPr>
            <w:tcW w:w="184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14525" w:rsidRPr="00AD3F63" w:rsidTr="00B518AB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Resolved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93.67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290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96.67</w:t>
            </w:r>
          </w:p>
        </w:tc>
      </w:tr>
      <w:tr w:rsidR="00C14525" w:rsidRPr="00AD3F63" w:rsidTr="00B518AB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Downgraded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3.33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2.67</w:t>
            </w:r>
          </w:p>
        </w:tc>
      </w:tr>
      <w:tr w:rsidR="00C14525" w:rsidRPr="00AD3F63" w:rsidTr="00B518AB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Unresolved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0.66</w:t>
            </w:r>
          </w:p>
        </w:tc>
      </w:tr>
      <w:tr w:rsidR="00C14525" w:rsidRPr="00AD3F63" w:rsidTr="00B518AB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after="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b/>
          <w:sz w:val="24"/>
          <w:szCs w:val="24"/>
        </w:rPr>
        <w:t>Table 2: Results of the endoscopic</w:t>
      </w:r>
      <w:r w:rsidRPr="00AD3F63">
        <w:rPr>
          <w:rFonts w:ascii="Times New Roman" w:hAnsi="Times New Roman"/>
          <w:sz w:val="24"/>
          <w:szCs w:val="24"/>
        </w:rPr>
        <w:t xml:space="preserve"> </w:t>
      </w:r>
      <w:r w:rsidRPr="00AD3F63">
        <w:rPr>
          <w:rFonts w:ascii="Times New Roman" w:hAnsi="Times New Roman"/>
          <w:b/>
          <w:sz w:val="24"/>
          <w:szCs w:val="24"/>
        </w:rPr>
        <w:t>and open surgical management per ureteral units</w:t>
      </w:r>
    </w:p>
    <w:p w:rsidR="00C14525" w:rsidRPr="00AD3F63" w:rsidRDefault="00C14525" w:rsidP="00C14525">
      <w:pPr>
        <w:spacing w:before="240" w:after="0" w:line="480" w:lineRule="auto"/>
        <w:rPr>
          <w:rFonts w:ascii="Times New Roman" w:hAnsi="Times New Roman"/>
          <w:sz w:val="24"/>
          <w:szCs w:val="24"/>
          <w:lang w:val="en-GB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C14525" w:rsidRPr="00AD3F63" w:rsidTr="00567BFC">
        <w:tc>
          <w:tcPr>
            <w:tcW w:w="184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Treatment results</w:t>
            </w:r>
          </w:p>
        </w:tc>
        <w:tc>
          <w:tcPr>
            <w:tcW w:w="7370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Number of ureters</w:t>
            </w:r>
          </w:p>
        </w:tc>
      </w:tr>
      <w:tr w:rsidR="00C14525" w:rsidRPr="00AD3F63" w:rsidTr="00567BFC">
        <w:tc>
          <w:tcPr>
            <w:tcW w:w="184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4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Endoscopic correction of the VUR</w:t>
            </w:r>
          </w:p>
        </w:tc>
        <w:tc>
          <w:tcPr>
            <w:tcW w:w="3686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Surgical treatment of the</w:t>
            </w:r>
          </w:p>
          <w:p w:rsidR="00C14525" w:rsidRPr="00AD3F63" w:rsidRDefault="00C14525" w:rsidP="001C4FF9">
            <w:pPr>
              <w:spacing w:before="120" w:after="12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sz w:val="24"/>
                <w:szCs w:val="24"/>
              </w:rPr>
              <w:t>VUR</w:t>
            </w:r>
          </w:p>
        </w:tc>
      </w:tr>
      <w:tr w:rsidR="00C14525" w:rsidRPr="00AD3F63" w:rsidTr="00567BFC">
        <w:trPr>
          <w:trHeight w:val="677"/>
        </w:trPr>
        <w:tc>
          <w:tcPr>
            <w:tcW w:w="184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C14525" w:rsidRPr="00AD3F63" w:rsidRDefault="00C14525" w:rsidP="001C4FF9">
            <w:pPr>
              <w:spacing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14525" w:rsidRPr="00AD3F63" w:rsidTr="00567BFC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Resolved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402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93.49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96.46</w:t>
            </w:r>
          </w:p>
        </w:tc>
      </w:tr>
      <w:tr w:rsidR="00C14525" w:rsidRPr="00AD3F63" w:rsidTr="00567BFC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Downgraded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2.33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2.71</w:t>
            </w:r>
          </w:p>
        </w:tc>
      </w:tr>
      <w:tr w:rsidR="00C14525" w:rsidRPr="00AD3F63" w:rsidTr="00567BFC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Unresolved reflux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4.65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0.83</w:t>
            </w:r>
          </w:p>
        </w:tc>
      </w:tr>
      <w:tr w:rsidR="00C14525" w:rsidRPr="00AD3F63" w:rsidTr="00567BFC"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before="160" w:after="160" w:line="48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3F63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430</w:t>
            </w:r>
          </w:p>
        </w:tc>
        <w:tc>
          <w:tcPr>
            <w:tcW w:w="184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184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:rsidR="00C14525" w:rsidRPr="00AD3F63" w:rsidRDefault="00C14525" w:rsidP="001C4FF9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AD3F6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4167CD36" wp14:editId="4638692F">
            <wp:extent cx="4554220" cy="3352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335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</w:rPr>
      </w:pPr>
    </w:p>
    <w:p w:rsidR="00C14525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b/>
          <w:sz w:val="24"/>
          <w:szCs w:val="24"/>
        </w:rPr>
        <w:t>Graphic 1: Results of endoscopic treatment of all patients.</w:t>
      </w:r>
    </w:p>
    <w:p w:rsidR="00C14525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sz w:val="24"/>
          <w:szCs w:val="24"/>
          <w:lang w:val="en-GB"/>
        </w:rPr>
        <w:lastRenderedPageBreak/>
        <w:t xml:space="preserve"> </w:t>
      </w: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4450715" cy="3615055"/>
            <wp:effectExtent l="0" t="0" r="698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3615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noProof/>
          <w:sz w:val="24"/>
          <w:szCs w:val="24"/>
          <w:lang w:val="fr-FR" w:eastAsia="fr-FR"/>
        </w:rPr>
      </w:pPr>
    </w:p>
    <w:p w:rsidR="00C14525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b/>
          <w:sz w:val="24"/>
          <w:szCs w:val="24"/>
        </w:rPr>
        <w:t>Graphic 2: Results of endoscopic treatment per ureteral units.</w:t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554220" cy="35909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3590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noProof/>
          <w:sz w:val="24"/>
          <w:szCs w:val="24"/>
          <w:lang w:eastAsia="fr-FR"/>
        </w:rPr>
      </w:pPr>
      <w:r w:rsidRPr="00AD3F63">
        <w:rPr>
          <w:rFonts w:ascii="Times New Roman" w:hAnsi="Times New Roman"/>
          <w:b/>
          <w:noProof/>
          <w:sz w:val="24"/>
          <w:szCs w:val="24"/>
          <w:lang w:eastAsia="fr-FR"/>
        </w:rPr>
        <w:t>Graphic 3 : Resuts of surgical correction of the VUR in all patients.</w:t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  <w:lang w:val="en-GB"/>
        </w:rPr>
      </w:pPr>
    </w:p>
    <w:p w:rsidR="00C14525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GB" w:eastAsia="en-GB"/>
        </w:rPr>
        <w:lastRenderedPageBreak/>
        <w:drawing>
          <wp:inline distT="0" distB="0" distL="0" distR="0">
            <wp:extent cx="4657725" cy="3377565"/>
            <wp:effectExtent l="0" t="0" r="9525" b="13335"/>
            <wp:docPr id="1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sz w:val="24"/>
          <w:szCs w:val="24"/>
        </w:rPr>
      </w:pPr>
    </w:p>
    <w:p w:rsidR="00C14525" w:rsidRPr="00AD3F63" w:rsidRDefault="00C14525" w:rsidP="00C14525">
      <w:pPr>
        <w:spacing w:before="240" w:line="480" w:lineRule="auto"/>
        <w:rPr>
          <w:rFonts w:ascii="Times New Roman" w:hAnsi="Times New Roman"/>
          <w:b/>
          <w:sz w:val="24"/>
          <w:szCs w:val="24"/>
        </w:rPr>
      </w:pPr>
      <w:r w:rsidRPr="00AD3F63">
        <w:rPr>
          <w:rFonts w:ascii="Times New Roman" w:hAnsi="Times New Roman"/>
          <w:b/>
          <w:sz w:val="24"/>
          <w:szCs w:val="24"/>
        </w:rPr>
        <w:t>Graphic 4: Results of surgical treatment of the VUR per ureteral units.</w:t>
      </w:r>
    </w:p>
    <w:p w:rsidR="006C6203" w:rsidRDefault="006C6203"/>
    <w:sectPr w:rsidR="006C6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525"/>
    <w:rsid w:val="006C6203"/>
    <w:rsid w:val="00C1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2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25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525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52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Chart%20in%20G%20%20.Efficiency%20of%20endoscopic%20treatment%20%20%20compared%20to%20surgical%20management%20of%20the%20Vesicoureteral%20reflux.doc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'[Chart in G  .Efficiency of endoscopic treatment   compared to surgical management of the Vesicoureteral reflux.doc]Feuil1'!$B$1</c:f>
              <c:strCache>
                <c:ptCount val="1"/>
                <c:pt idx="0">
                  <c:v>Resolved reflux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189316636686873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96.46</a:t>
                    </a:r>
                    <a:r>
                      <a:rPr lang="sr-Latn-RS"/>
                      <a:t>%</a:t>
                    </a:r>
                    <a:endParaRPr lang="en-US"/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'[Chart in G  .Efficiency of endoscopic treatment   compared to surgical management of the Vesicoureteral reflux.doc]Feuil1'!$A$2:$A$5</c:f>
              <c:numCache>
                <c:formatCode>General</c:formatCode>
                <c:ptCount val="4"/>
              </c:numCache>
            </c:numRef>
          </c:cat>
          <c:val>
            <c:numRef>
              <c:f>'[Chart in G  .Efficiency of endoscopic treatment   compared to surgical management of the Vesicoureteral reflux.doc]Feuil1'!$B$2:$B$5</c:f>
              <c:numCache>
                <c:formatCode>General</c:formatCode>
                <c:ptCount val="4"/>
                <c:pt idx="0">
                  <c:v>96.46</c:v>
                </c:pt>
              </c:numCache>
            </c:numRef>
          </c:val>
        </c:ser>
        <c:ser>
          <c:idx val="1"/>
          <c:order val="1"/>
          <c:tx>
            <c:strRef>
              <c:f>'[Chart in G  .Efficiency of endoscopic treatment   compared to surgical management of the Vesicoureteral reflux.doc]Feuil1'!$C$1</c:f>
              <c:strCache>
                <c:ptCount val="1"/>
                <c:pt idx="0">
                  <c:v>Downgraded reflux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348376917951016E-2"/>
                  <c:y val="-3.612317664672840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2.71</a:t>
                    </a:r>
                    <a:r>
                      <a:rPr lang="sr-Latn-RS"/>
                      <a:t>%</a:t>
                    </a:r>
                    <a:endParaRPr lang="en-US"/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'[Chart in G  .Efficiency of endoscopic treatment   compared to surgical management of the Vesicoureteral reflux.doc]Feuil1'!$A$2:$A$5</c:f>
              <c:numCache>
                <c:formatCode>General</c:formatCode>
                <c:ptCount val="4"/>
              </c:numCache>
            </c:numRef>
          </c:cat>
          <c:val>
            <c:numRef>
              <c:f>'[Chart in G  .Efficiency of endoscopic treatment   compared to surgical management of the Vesicoureteral reflux.doc]Feuil1'!$C$2:$C$5</c:f>
              <c:numCache>
                <c:formatCode>General</c:formatCode>
                <c:ptCount val="4"/>
                <c:pt idx="0">
                  <c:v>2.71</c:v>
                </c:pt>
              </c:numCache>
            </c:numRef>
          </c:val>
        </c:ser>
        <c:ser>
          <c:idx val="2"/>
          <c:order val="2"/>
          <c:tx>
            <c:strRef>
              <c:f>'[Chart in G  .Efficiency of endoscopic treatment   compared to surgical management of the Vesicoureteral reflux.doc]Feuil1'!$D$1</c:f>
              <c:strCache>
                <c:ptCount val="1"/>
                <c:pt idx="0">
                  <c:v>Unresolved reflux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3393067336553735E-2"/>
                  <c:y val="7.936628051347332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0.83</a:t>
                    </a:r>
                    <a:r>
                      <a:rPr lang="sr-Latn-RS"/>
                      <a:t>%</a:t>
                    </a:r>
                    <a:endParaRPr lang="en-US"/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'[Chart in G  .Efficiency of endoscopic treatment   compared to surgical management of the Vesicoureteral reflux.doc]Feuil1'!$A$2:$A$5</c:f>
              <c:numCache>
                <c:formatCode>General</c:formatCode>
                <c:ptCount val="4"/>
              </c:numCache>
            </c:numRef>
          </c:cat>
          <c:val>
            <c:numRef>
              <c:f>'[Chart in G  .Efficiency of endoscopic treatment   compared to surgical management of the Vesicoureteral reflux.doc]Feuil1'!$D$2:$D$5</c:f>
              <c:numCache>
                <c:formatCode>General</c:formatCode>
                <c:ptCount val="4"/>
                <c:pt idx="0">
                  <c:v>0.83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68900992"/>
        <c:axId val="268919168"/>
      </c:barChart>
      <c:catAx>
        <c:axId val="268900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68919168"/>
        <c:crosses val="autoZero"/>
        <c:auto val="1"/>
        <c:lblAlgn val="ctr"/>
        <c:lblOffset val="100"/>
        <c:noMultiLvlLbl val="0"/>
      </c:catAx>
      <c:valAx>
        <c:axId val="26891916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268900992"/>
        <c:crosses val="autoZero"/>
        <c:crossBetween val="between"/>
      </c:valAx>
      <c:spPr>
        <a:gradFill rotWithShape="1">
          <a:gsLst>
            <a:gs pos="0">
              <a:schemeClr val="accent1">
                <a:tint val="50000"/>
                <a:satMod val="300000"/>
              </a:schemeClr>
            </a:gs>
            <a:gs pos="35000">
              <a:schemeClr val="accent1">
                <a:tint val="37000"/>
                <a:satMod val="300000"/>
              </a:schemeClr>
            </a:gs>
            <a:gs pos="100000">
              <a:schemeClr val="accent1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tx2">
              <a:lumMod val="60000"/>
              <a:lumOff val="4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c:spPr>
    </c:plotArea>
    <c:legend>
      <c:legendPos val="r"/>
      <c:layout>
        <c:manualLayout>
          <c:xMode val="edge"/>
          <c:yMode val="edge"/>
          <c:x val="0.70347648261758688"/>
          <c:y val="0.41348977856641161"/>
          <c:w val="0.25971370143149286"/>
          <c:h val="0.21114369154559903"/>
        </c:manualLayout>
      </c:layout>
      <c:overlay val="0"/>
      <c:spPr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c:spPr>
      <c:txPr>
        <a:bodyPr/>
        <a:lstStyle/>
        <a:p>
          <a:pPr>
            <a:defRPr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solidFill>
        <a:schemeClr val="accent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MUGABE Herbert</dc:creator>
  <cp:lastModifiedBy>MUGABE Herbert</cp:lastModifiedBy>
  <cp:revision>1</cp:revision>
  <dcterms:created xsi:type="dcterms:W3CDTF">2018-01-02T17:55:00Z</dcterms:created>
  <dcterms:modified xsi:type="dcterms:W3CDTF">2018-01-02T18:00:00Z</dcterms:modified>
</cp:coreProperties>
</file>