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96" w:rsidRDefault="003679A6">
      <w:r w:rsidRPr="003679A6">
        <w:rPr>
          <w:noProof/>
        </w:rPr>
        <w:drawing>
          <wp:inline distT="0" distB="0" distL="0" distR="0">
            <wp:extent cx="5943600" cy="2378644"/>
            <wp:effectExtent l="57150" t="19050" r="38100" b="2606"/>
            <wp:docPr id="1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47586" w:rsidRDefault="00147586" w:rsidP="00147586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Grafikon 5. Prikaz odnosa poboljšanja oštrine vida i smanjenja CMD, po tretiranom oku</w:t>
      </w:r>
    </w:p>
    <w:p w:rsidR="00147586" w:rsidRDefault="00147586"/>
    <w:sectPr w:rsidR="00147586" w:rsidSect="0050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47586"/>
    <w:rsid w:val="00147586"/>
    <w:rsid w:val="003679A6"/>
    <w:rsid w:val="0050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iso\Desktop\Ocne%20rad\obrada%20oct%20i%20v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4082002519610889"/>
          <c:y val="0.18993079431845292"/>
          <c:w val="0.8286245087508467"/>
          <c:h val="0.53359224835662655"/>
        </c:manualLayout>
      </c:layout>
      <c:lineChart>
        <c:grouping val="standard"/>
        <c:ser>
          <c:idx val="0"/>
          <c:order val="0"/>
          <c:tx>
            <c:strRef>
              <c:f>Sheet1!$C$1</c:f>
              <c:strCache>
                <c:ptCount val="1"/>
                <c:pt idx="0">
                  <c:v>Poboljšanje oštrine vida</c:v>
                </c:pt>
              </c:strCache>
            </c:strRef>
          </c:tx>
          <c:marker>
            <c:symbol val="none"/>
          </c:marker>
          <c:val>
            <c:numRef>
              <c:f>Sheet1!$C$2:$C$53</c:f>
              <c:numCache>
                <c:formatCode>0.00</c:formatCode>
                <c:ptCount val="52"/>
                <c:pt idx="0">
                  <c:v>0.19999999999999998</c:v>
                </c:pt>
                <c:pt idx="1">
                  <c:v>1.7000000000000001E-2</c:v>
                </c:pt>
                <c:pt idx="2">
                  <c:v>0.1</c:v>
                </c:pt>
                <c:pt idx="3">
                  <c:v>1.7000000000000001E-2</c:v>
                </c:pt>
                <c:pt idx="4">
                  <c:v>0.1</c:v>
                </c:pt>
                <c:pt idx="5">
                  <c:v>0</c:v>
                </c:pt>
                <c:pt idx="6">
                  <c:v>0.1</c:v>
                </c:pt>
                <c:pt idx="7">
                  <c:v>0.1</c:v>
                </c:pt>
                <c:pt idx="8">
                  <c:v>0.05</c:v>
                </c:pt>
                <c:pt idx="9">
                  <c:v>0</c:v>
                </c:pt>
                <c:pt idx="10">
                  <c:v>0.10000000000000003</c:v>
                </c:pt>
                <c:pt idx="11">
                  <c:v>8.3000000000000018E-2</c:v>
                </c:pt>
                <c:pt idx="12">
                  <c:v>0</c:v>
                </c:pt>
                <c:pt idx="13">
                  <c:v>1.7000000000000001E-2</c:v>
                </c:pt>
                <c:pt idx="14">
                  <c:v>0.10000000000000003</c:v>
                </c:pt>
                <c:pt idx="15">
                  <c:v>0</c:v>
                </c:pt>
                <c:pt idx="16">
                  <c:v>1.6000000000000004E-2</c:v>
                </c:pt>
                <c:pt idx="17">
                  <c:v>3.3000000000000002E-2</c:v>
                </c:pt>
                <c:pt idx="18">
                  <c:v>0.2</c:v>
                </c:pt>
                <c:pt idx="19">
                  <c:v>0.10000000000000003</c:v>
                </c:pt>
                <c:pt idx="20">
                  <c:v>0.3000000000000001</c:v>
                </c:pt>
                <c:pt idx="21">
                  <c:v>0.1</c:v>
                </c:pt>
                <c:pt idx="22">
                  <c:v>3.3000000000000002E-2</c:v>
                </c:pt>
                <c:pt idx="23">
                  <c:v>3.3000000000000002E-2</c:v>
                </c:pt>
                <c:pt idx="24">
                  <c:v>0.20000000000000009</c:v>
                </c:pt>
                <c:pt idx="25">
                  <c:v>0.40000000000000008</c:v>
                </c:pt>
                <c:pt idx="26">
                  <c:v>0</c:v>
                </c:pt>
                <c:pt idx="27">
                  <c:v>0.13300000000000001</c:v>
                </c:pt>
                <c:pt idx="28">
                  <c:v>0</c:v>
                </c:pt>
                <c:pt idx="29">
                  <c:v>0.1</c:v>
                </c:pt>
                <c:pt idx="30">
                  <c:v>0.1</c:v>
                </c:pt>
                <c:pt idx="31">
                  <c:v>0.2</c:v>
                </c:pt>
                <c:pt idx="32">
                  <c:v>0.1</c:v>
                </c:pt>
                <c:pt idx="33">
                  <c:v>0.1</c:v>
                </c:pt>
                <c:pt idx="34">
                  <c:v>-0.1</c:v>
                </c:pt>
                <c:pt idx="35">
                  <c:v>0.1</c:v>
                </c:pt>
                <c:pt idx="36">
                  <c:v>0</c:v>
                </c:pt>
                <c:pt idx="37">
                  <c:v>0.45</c:v>
                </c:pt>
                <c:pt idx="38">
                  <c:v>0</c:v>
                </c:pt>
                <c:pt idx="39">
                  <c:v>0</c:v>
                </c:pt>
                <c:pt idx="40">
                  <c:v>6.6000000000000003E-2</c:v>
                </c:pt>
                <c:pt idx="41">
                  <c:v>0</c:v>
                </c:pt>
                <c:pt idx="42">
                  <c:v>-0.1</c:v>
                </c:pt>
                <c:pt idx="43">
                  <c:v>0</c:v>
                </c:pt>
                <c:pt idx="44">
                  <c:v>0</c:v>
                </c:pt>
                <c:pt idx="45">
                  <c:v>0.1</c:v>
                </c:pt>
                <c:pt idx="46">
                  <c:v>0.19999999999999998</c:v>
                </c:pt>
                <c:pt idx="47">
                  <c:v>0.2</c:v>
                </c:pt>
                <c:pt idx="48">
                  <c:v>0.10000000000000003</c:v>
                </c:pt>
                <c:pt idx="49">
                  <c:v>0</c:v>
                </c:pt>
                <c:pt idx="50">
                  <c:v>0</c:v>
                </c:pt>
                <c:pt idx="51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Smanjenje CMD</c:v>
                </c:pt>
              </c:strCache>
            </c:strRef>
          </c:tx>
          <c:marker>
            <c:symbol val="none"/>
          </c:marker>
          <c:val>
            <c:numRef>
              <c:f>Sheet1!$D$2:$D$53</c:f>
              <c:numCache>
                <c:formatCode>0.00</c:formatCode>
                <c:ptCount val="52"/>
                <c:pt idx="0">
                  <c:v>0.2</c:v>
                </c:pt>
                <c:pt idx="1">
                  <c:v>1.61</c:v>
                </c:pt>
                <c:pt idx="2">
                  <c:v>0.97000000000000008</c:v>
                </c:pt>
                <c:pt idx="3">
                  <c:v>2.66</c:v>
                </c:pt>
                <c:pt idx="4">
                  <c:v>0.53</c:v>
                </c:pt>
                <c:pt idx="5">
                  <c:v>0.53</c:v>
                </c:pt>
                <c:pt idx="6">
                  <c:v>1.04</c:v>
                </c:pt>
                <c:pt idx="7">
                  <c:v>7</c:v>
                </c:pt>
                <c:pt idx="8">
                  <c:v>1.41</c:v>
                </c:pt>
                <c:pt idx="9">
                  <c:v>0.28000000000000008</c:v>
                </c:pt>
                <c:pt idx="10">
                  <c:v>0.4</c:v>
                </c:pt>
                <c:pt idx="11">
                  <c:v>0.27</c:v>
                </c:pt>
                <c:pt idx="12">
                  <c:v>0.51</c:v>
                </c:pt>
                <c:pt idx="13">
                  <c:v>3.16</c:v>
                </c:pt>
                <c:pt idx="14">
                  <c:v>1.3900000000000001</c:v>
                </c:pt>
                <c:pt idx="15">
                  <c:v>3.21</c:v>
                </c:pt>
                <c:pt idx="16">
                  <c:v>1.41</c:v>
                </c:pt>
                <c:pt idx="17">
                  <c:v>1.58</c:v>
                </c:pt>
                <c:pt idx="18">
                  <c:v>0.43000000000000005</c:v>
                </c:pt>
                <c:pt idx="19">
                  <c:v>0.91</c:v>
                </c:pt>
                <c:pt idx="20">
                  <c:v>0.7400000000000001</c:v>
                </c:pt>
                <c:pt idx="21">
                  <c:v>0.67000000000000015</c:v>
                </c:pt>
                <c:pt idx="22">
                  <c:v>1.59</c:v>
                </c:pt>
                <c:pt idx="23">
                  <c:v>0.34</c:v>
                </c:pt>
                <c:pt idx="24">
                  <c:v>3.51</c:v>
                </c:pt>
                <c:pt idx="25">
                  <c:v>0.85000000000000009</c:v>
                </c:pt>
                <c:pt idx="26">
                  <c:v>0.21000000000000002</c:v>
                </c:pt>
                <c:pt idx="27">
                  <c:v>0.2</c:v>
                </c:pt>
                <c:pt idx="28">
                  <c:v>2.04</c:v>
                </c:pt>
                <c:pt idx="29">
                  <c:v>2.8899999999999997</c:v>
                </c:pt>
                <c:pt idx="30">
                  <c:v>0.26</c:v>
                </c:pt>
                <c:pt idx="31">
                  <c:v>1.47</c:v>
                </c:pt>
                <c:pt idx="32">
                  <c:v>0.44</c:v>
                </c:pt>
                <c:pt idx="33">
                  <c:v>0.23</c:v>
                </c:pt>
                <c:pt idx="34">
                  <c:v>1.26</c:v>
                </c:pt>
                <c:pt idx="35">
                  <c:v>0.44</c:v>
                </c:pt>
                <c:pt idx="36">
                  <c:v>0.51</c:v>
                </c:pt>
                <c:pt idx="37">
                  <c:v>0.7400000000000001</c:v>
                </c:pt>
                <c:pt idx="38">
                  <c:v>0.58000000000000007</c:v>
                </c:pt>
                <c:pt idx="39">
                  <c:v>0.77000000000000013</c:v>
                </c:pt>
                <c:pt idx="40">
                  <c:v>2.69</c:v>
                </c:pt>
                <c:pt idx="41">
                  <c:v>0.51</c:v>
                </c:pt>
                <c:pt idx="42">
                  <c:v>1.1499999999999997</c:v>
                </c:pt>
                <c:pt idx="43">
                  <c:v>0.45</c:v>
                </c:pt>
                <c:pt idx="44">
                  <c:v>-0.15000000000000002</c:v>
                </c:pt>
                <c:pt idx="45">
                  <c:v>0.73000000000000009</c:v>
                </c:pt>
                <c:pt idx="46">
                  <c:v>0.64000000000000012</c:v>
                </c:pt>
                <c:pt idx="47">
                  <c:v>2.2599999999999998</c:v>
                </c:pt>
                <c:pt idx="48">
                  <c:v>1.82</c:v>
                </c:pt>
                <c:pt idx="49">
                  <c:v>1.1200000000000001</c:v>
                </c:pt>
                <c:pt idx="50">
                  <c:v>1.8</c:v>
                </c:pt>
                <c:pt idx="51">
                  <c:v>2.5499999999999998</c:v>
                </c:pt>
              </c:numCache>
            </c:numRef>
          </c:val>
        </c:ser>
        <c:marker val="1"/>
        <c:axId val="112478848"/>
        <c:axId val="133288704"/>
      </c:lineChart>
      <c:catAx>
        <c:axId val="1124788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BA"/>
                  <a:t>Prikaz</a:t>
                </a:r>
                <a:r>
                  <a:rPr lang="sr-Latn-BA" baseline="0"/>
                  <a:t> po oku</a:t>
                </a:r>
                <a:endParaRPr lang="en-US"/>
              </a:p>
            </c:rich>
          </c:tx>
        </c:title>
        <c:tickLblPos val="nextTo"/>
        <c:crossAx val="133288704"/>
        <c:crosses val="autoZero"/>
        <c:auto val="1"/>
        <c:lblAlgn val="ctr"/>
        <c:lblOffset val="100"/>
      </c:catAx>
      <c:valAx>
        <c:axId val="1332887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BA"/>
                  <a:t>Promena</a:t>
                </a:r>
                <a:r>
                  <a:rPr lang="sr-Latn-BA" baseline="0"/>
                  <a:t> oštrine vida i CMD pre i dva meseca nakon terapije</a:t>
                </a:r>
                <a:endParaRPr lang="en-US"/>
              </a:p>
            </c:rich>
          </c:tx>
        </c:title>
        <c:numFmt formatCode="0.00" sourceLinked="1"/>
        <c:tickLblPos val="nextTo"/>
        <c:crossAx val="112478848"/>
        <c:crosses val="autoZero"/>
        <c:crossBetween val="between"/>
      </c:valAx>
    </c:plotArea>
    <c:legend>
      <c:legendPos val="b"/>
    </c:legend>
    <c:plotVisOnly val="1"/>
  </c:chart>
  <c:spPr>
    <a:scene3d>
      <a:camera prst="orthographicFront"/>
      <a:lightRig rig="threePt" dir="t"/>
    </a:scene3d>
    <a:sp3d>
      <a:bevelT w="165100" prst="coolSlant"/>
    </a:sp3d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0.15348</cdr:x>
      <cdr:y>0.04514</cdr:y>
    </cdr:from>
    <cdr:to>
      <cdr:x>0.80148</cdr:x>
      <cdr:y>0.13195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23925" y="123822"/>
          <a:ext cx="3900825" cy="238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sr-Latn-BA" sz="1800">
              <a:latin typeface="Gill Sans MT" pitchFamily="34" charset="0"/>
            </a:rPr>
            <a:t>Odnos promene oštrine vida i CMD</a:t>
          </a:r>
          <a:endParaRPr lang="en-US" sz="1800">
            <a:latin typeface="Gill Sans MT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Grizli777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2017-04-28T15:02:00Z</dcterms:created>
  <dcterms:modified xsi:type="dcterms:W3CDTF">2017-04-29T12:18:00Z</dcterms:modified>
</cp:coreProperties>
</file>