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3E" w:rsidRDefault="00D7791E">
      <w:r w:rsidRPr="00D7791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811676"/>
            <wp:effectExtent l="19050" t="0" r="19050" b="7724"/>
            <wp:docPr id="10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84B5A" w:rsidRPr="00784B5A" w:rsidRDefault="00784B5A" w:rsidP="00784B5A">
      <w:pPr>
        <w:rPr>
          <w:rFonts w:ascii="Times New Roman" w:hAnsi="Times New Roman" w:cs="Times New Roman"/>
          <w:sz w:val="24"/>
          <w:szCs w:val="24"/>
          <w:lang w:val="sr-Latn-BA"/>
        </w:rPr>
      </w:pPr>
      <w:r w:rsidRPr="00784B5A">
        <w:rPr>
          <w:rFonts w:ascii="Times New Roman" w:hAnsi="Times New Roman" w:cs="Times New Roman"/>
          <w:sz w:val="24"/>
          <w:szCs w:val="24"/>
          <w:lang w:val="sr-Latn-BA"/>
        </w:rPr>
        <w:t>Grafikon 3. Prikaz oštrine vida pre intervencije i nakon dva meseca, po tretiranom oku</w:t>
      </w:r>
    </w:p>
    <w:p w:rsidR="00784B5A" w:rsidRDefault="00784B5A"/>
    <w:sectPr w:rsidR="00784B5A" w:rsidSect="00E8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84B5A"/>
    <w:rsid w:val="00784B5A"/>
    <w:rsid w:val="009407AB"/>
    <w:rsid w:val="00B37A7D"/>
    <w:rsid w:val="00D7791E"/>
    <w:rsid w:val="00E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iso\Desktop\Ocne%20rad\obrada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Promena oš</a:t>
            </a:r>
            <a:r>
              <a:rPr lang="sr-Latn-BA"/>
              <a:t>trine vida</a:t>
            </a:r>
            <a:r>
              <a:rPr lang="sr-Latn-BA" baseline="0"/>
              <a:t> pre inetervencije i na kontroli</a:t>
            </a:r>
            <a:endParaRPr lang="en-US"/>
          </a:p>
        </c:rich>
      </c:tx>
    </c:title>
    <c:plotArea>
      <c:layout/>
      <c:lineChart>
        <c:grouping val="stacked"/>
        <c:ser>
          <c:idx val="0"/>
          <c:order val="0"/>
          <c:tx>
            <c:strRef>
              <c:f>Sheet1!$A$1</c:f>
              <c:strCache>
                <c:ptCount val="1"/>
                <c:pt idx="0">
                  <c:v>Oštrina vida na prijemu</c:v>
                </c:pt>
              </c:strCache>
            </c:strRef>
          </c:tx>
          <c:marker>
            <c:symbol val="none"/>
          </c:marker>
          <c:val>
            <c:numRef>
              <c:f>Sheet1!$A$2:$A$82</c:f>
              <c:numCache>
                <c:formatCode>0.000</c:formatCode>
                <c:ptCount val="81"/>
                <c:pt idx="0">
                  <c:v>0.5</c:v>
                </c:pt>
                <c:pt idx="1">
                  <c:v>0.30000000000000016</c:v>
                </c:pt>
                <c:pt idx="2">
                  <c:v>8.3000000000000046E-2</c:v>
                </c:pt>
                <c:pt idx="3">
                  <c:v>0.4</c:v>
                </c:pt>
                <c:pt idx="4">
                  <c:v>8.3000000000000046E-2</c:v>
                </c:pt>
                <c:pt idx="5">
                  <c:v>0.1</c:v>
                </c:pt>
                <c:pt idx="6">
                  <c:v>0.30000000000000016</c:v>
                </c:pt>
                <c:pt idx="7">
                  <c:v>0.5</c:v>
                </c:pt>
                <c:pt idx="8">
                  <c:v>0.9</c:v>
                </c:pt>
                <c:pt idx="9">
                  <c:v>8.3000000000000046E-2</c:v>
                </c:pt>
                <c:pt idx="10">
                  <c:v>0.2</c:v>
                </c:pt>
                <c:pt idx="11">
                  <c:v>0.05</c:v>
                </c:pt>
                <c:pt idx="12">
                  <c:v>0.2</c:v>
                </c:pt>
                <c:pt idx="13">
                  <c:v>0.30000000000000016</c:v>
                </c:pt>
                <c:pt idx="14">
                  <c:v>8.3000000000000046E-2</c:v>
                </c:pt>
                <c:pt idx="15">
                  <c:v>1.7000000000000001E-2</c:v>
                </c:pt>
                <c:pt idx="16">
                  <c:v>0.30000000000000016</c:v>
                </c:pt>
                <c:pt idx="17">
                  <c:v>0.4</c:v>
                </c:pt>
                <c:pt idx="18">
                  <c:v>8.3000000000000046E-2</c:v>
                </c:pt>
                <c:pt idx="19">
                  <c:v>0.30000000000000016</c:v>
                </c:pt>
                <c:pt idx="20">
                  <c:v>0.30000000000000016</c:v>
                </c:pt>
                <c:pt idx="21">
                  <c:v>6.7000000000000004E-2</c:v>
                </c:pt>
                <c:pt idx="22">
                  <c:v>8.3000000000000046E-2</c:v>
                </c:pt>
                <c:pt idx="23">
                  <c:v>1.7000000000000001E-2</c:v>
                </c:pt>
                <c:pt idx="24">
                  <c:v>0.5</c:v>
                </c:pt>
                <c:pt idx="25">
                  <c:v>0.05</c:v>
                </c:pt>
                <c:pt idx="26">
                  <c:v>0.1</c:v>
                </c:pt>
                <c:pt idx="27">
                  <c:v>0.30000000000000016</c:v>
                </c:pt>
                <c:pt idx="28">
                  <c:v>0.60000000000000031</c:v>
                </c:pt>
                <c:pt idx="29">
                  <c:v>0.5</c:v>
                </c:pt>
                <c:pt idx="30">
                  <c:v>0.1</c:v>
                </c:pt>
                <c:pt idx="31">
                  <c:v>0.05</c:v>
                </c:pt>
                <c:pt idx="32">
                  <c:v>0.2</c:v>
                </c:pt>
                <c:pt idx="33">
                  <c:v>6.7000000000000004E-2</c:v>
                </c:pt>
                <c:pt idx="34">
                  <c:v>6.7000000000000004E-2</c:v>
                </c:pt>
                <c:pt idx="35">
                  <c:v>0.30000000000000016</c:v>
                </c:pt>
                <c:pt idx="36">
                  <c:v>0.2</c:v>
                </c:pt>
                <c:pt idx="37">
                  <c:v>0.5</c:v>
                </c:pt>
                <c:pt idx="38">
                  <c:v>0.30000000000000016</c:v>
                </c:pt>
                <c:pt idx="39">
                  <c:v>0.60000000000000031</c:v>
                </c:pt>
                <c:pt idx="40">
                  <c:v>3.4000000000000002E-2</c:v>
                </c:pt>
                <c:pt idx="41" formatCode="General">
                  <c:v>0.2</c:v>
                </c:pt>
                <c:pt idx="42" formatCode="General">
                  <c:v>0.8</c:v>
                </c:pt>
                <c:pt idx="43" formatCode="General">
                  <c:v>0.30000000000000016</c:v>
                </c:pt>
                <c:pt idx="44" formatCode="General">
                  <c:v>6.7000000000000004E-2</c:v>
                </c:pt>
                <c:pt idx="45" formatCode="General">
                  <c:v>0.5</c:v>
                </c:pt>
                <c:pt idx="46" formatCode="General">
                  <c:v>0.1</c:v>
                </c:pt>
                <c:pt idx="47" formatCode="General">
                  <c:v>0.8</c:v>
                </c:pt>
                <c:pt idx="48" formatCode="General">
                  <c:v>0.30000000000000016</c:v>
                </c:pt>
                <c:pt idx="49" formatCode="General">
                  <c:v>1.7000000000000001E-2</c:v>
                </c:pt>
                <c:pt idx="50" formatCode="General">
                  <c:v>0.2</c:v>
                </c:pt>
                <c:pt idx="51" formatCode="General">
                  <c:v>0.1</c:v>
                </c:pt>
                <c:pt idx="52" formatCode="General">
                  <c:v>0.2</c:v>
                </c:pt>
                <c:pt idx="53" formatCode="General">
                  <c:v>0.2</c:v>
                </c:pt>
                <c:pt idx="54" formatCode="General">
                  <c:v>0.4</c:v>
                </c:pt>
                <c:pt idx="55" formatCode="General">
                  <c:v>0.4</c:v>
                </c:pt>
                <c:pt idx="56" formatCode="General">
                  <c:v>0.05</c:v>
                </c:pt>
                <c:pt idx="57" formatCode="General">
                  <c:v>0.30000000000000016</c:v>
                </c:pt>
                <c:pt idx="58" formatCode="General">
                  <c:v>0.5</c:v>
                </c:pt>
                <c:pt idx="59" formatCode="General">
                  <c:v>3.4000000000000002E-2</c:v>
                </c:pt>
                <c:pt idx="60" formatCode="General">
                  <c:v>0.1</c:v>
                </c:pt>
                <c:pt idx="61" formatCode="General">
                  <c:v>0.60000000000000031</c:v>
                </c:pt>
                <c:pt idx="62" formatCode="General">
                  <c:v>0.60000000000000031</c:v>
                </c:pt>
                <c:pt idx="63" formatCode="General">
                  <c:v>0.70000000000000029</c:v>
                </c:pt>
                <c:pt idx="64" formatCode="General">
                  <c:v>0.30000000000000016</c:v>
                </c:pt>
                <c:pt idx="65" formatCode="General">
                  <c:v>0.60000000000000031</c:v>
                </c:pt>
                <c:pt idx="66" formatCode="General">
                  <c:v>0.2</c:v>
                </c:pt>
                <c:pt idx="67" formatCode="General">
                  <c:v>0.9</c:v>
                </c:pt>
                <c:pt idx="68" formatCode="General">
                  <c:v>0.5</c:v>
                </c:pt>
                <c:pt idx="69" formatCode="General">
                  <c:v>0.8</c:v>
                </c:pt>
                <c:pt idx="70" formatCode="General">
                  <c:v>0.1</c:v>
                </c:pt>
                <c:pt idx="71" formatCode="General">
                  <c:v>0.30000000000000016</c:v>
                </c:pt>
                <c:pt idx="72" formatCode="General">
                  <c:v>0.30000000000000016</c:v>
                </c:pt>
                <c:pt idx="73" formatCode="General">
                  <c:v>0.2</c:v>
                </c:pt>
                <c:pt idx="74" formatCode="General">
                  <c:v>0.60000000000000031</c:v>
                </c:pt>
                <c:pt idx="75" formatCode="General">
                  <c:v>0.8</c:v>
                </c:pt>
                <c:pt idx="76" formatCode="General">
                  <c:v>0.1</c:v>
                </c:pt>
                <c:pt idx="77" formatCode="General">
                  <c:v>0.70000000000000029</c:v>
                </c:pt>
                <c:pt idx="78" formatCode="General">
                  <c:v>0.2</c:v>
                </c:pt>
                <c:pt idx="79" formatCode="General">
                  <c:v>0.1</c:v>
                </c:pt>
                <c:pt idx="80" formatCode="General">
                  <c:v>8.3000000000000046E-2</c:v>
                </c:pt>
              </c:numCache>
            </c:numRef>
          </c:val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Oštrina vida za dva meseca</c:v>
                </c:pt>
              </c:strCache>
            </c:strRef>
          </c:tx>
          <c:marker>
            <c:symbol val="none"/>
          </c:marker>
          <c:val>
            <c:numRef>
              <c:f>Sheet1!$B$2:$B$82</c:f>
              <c:numCache>
                <c:formatCode>0.00</c:formatCode>
                <c:ptCount val="81"/>
                <c:pt idx="0">
                  <c:v>0.70000000000000029</c:v>
                </c:pt>
                <c:pt idx="1">
                  <c:v>0.8</c:v>
                </c:pt>
                <c:pt idx="2">
                  <c:v>0.1</c:v>
                </c:pt>
                <c:pt idx="3">
                  <c:v>0.5</c:v>
                </c:pt>
                <c:pt idx="4">
                  <c:v>0.1</c:v>
                </c:pt>
                <c:pt idx="5">
                  <c:v>0.2</c:v>
                </c:pt>
                <c:pt idx="6">
                  <c:v>0.30000000000000016</c:v>
                </c:pt>
                <c:pt idx="7">
                  <c:v>0.60000000000000031</c:v>
                </c:pt>
                <c:pt idx="8">
                  <c:v>1</c:v>
                </c:pt>
                <c:pt idx="9">
                  <c:v>8.3000000000000046E-2</c:v>
                </c:pt>
                <c:pt idx="10">
                  <c:v>0.30000000000000016</c:v>
                </c:pt>
                <c:pt idx="11">
                  <c:v>0.1</c:v>
                </c:pt>
                <c:pt idx="12">
                  <c:v>0.2</c:v>
                </c:pt>
                <c:pt idx="13">
                  <c:v>0.4</c:v>
                </c:pt>
                <c:pt idx="14">
                  <c:v>0.1</c:v>
                </c:pt>
                <c:pt idx="15">
                  <c:v>0.1</c:v>
                </c:pt>
                <c:pt idx="16">
                  <c:v>0.2</c:v>
                </c:pt>
                <c:pt idx="17">
                  <c:v>0.4</c:v>
                </c:pt>
                <c:pt idx="18">
                  <c:v>0.1</c:v>
                </c:pt>
                <c:pt idx="19">
                  <c:v>0.4</c:v>
                </c:pt>
                <c:pt idx="20">
                  <c:v>0.30000000000000016</c:v>
                </c:pt>
                <c:pt idx="21">
                  <c:v>8.3000000000000046E-2</c:v>
                </c:pt>
                <c:pt idx="22">
                  <c:v>0.2</c:v>
                </c:pt>
                <c:pt idx="23">
                  <c:v>0.05</c:v>
                </c:pt>
                <c:pt idx="24">
                  <c:v>0.5</c:v>
                </c:pt>
                <c:pt idx="26">
                  <c:v>0.30000000000000016</c:v>
                </c:pt>
                <c:pt idx="27">
                  <c:v>0.4</c:v>
                </c:pt>
                <c:pt idx="28">
                  <c:v>0.9</c:v>
                </c:pt>
                <c:pt idx="29">
                  <c:v>0.60000000000000031</c:v>
                </c:pt>
                <c:pt idx="30">
                  <c:v>0.2</c:v>
                </c:pt>
                <c:pt idx="31">
                  <c:v>8.3000000000000046E-2</c:v>
                </c:pt>
                <c:pt idx="32">
                  <c:v>0.2</c:v>
                </c:pt>
                <c:pt idx="33">
                  <c:v>0.1</c:v>
                </c:pt>
                <c:pt idx="34">
                  <c:v>0.1</c:v>
                </c:pt>
                <c:pt idx="35">
                  <c:v>0.4</c:v>
                </c:pt>
                <c:pt idx="36">
                  <c:v>0.2</c:v>
                </c:pt>
                <c:pt idx="37">
                  <c:v>0.5</c:v>
                </c:pt>
                <c:pt idx="38">
                  <c:v>0.30000000000000016</c:v>
                </c:pt>
                <c:pt idx="39">
                  <c:v>0.8</c:v>
                </c:pt>
                <c:pt idx="41" formatCode="General">
                  <c:v>0.60000000000000031</c:v>
                </c:pt>
                <c:pt idx="42" formatCode="General">
                  <c:v>0.8</c:v>
                </c:pt>
                <c:pt idx="43" formatCode="General">
                  <c:v>0.30000000000000016</c:v>
                </c:pt>
                <c:pt idx="44" formatCode="General">
                  <c:v>0.2</c:v>
                </c:pt>
                <c:pt idx="45" formatCode="General">
                  <c:v>0.5</c:v>
                </c:pt>
                <c:pt idx="46" formatCode="General">
                  <c:v>0.2</c:v>
                </c:pt>
                <c:pt idx="47" formatCode="General">
                  <c:v>0.9</c:v>
                </c:pt>
                <c:pt idx="48" formatCode="General">
                  <c:v>0.5</c:v>
                </c:pt>
                <c:pt idx="49">
                  <c:v>8.3000000000000046E-2</c:v>
                </c:pt>
                <c:pt idx="50" formatCode="General">
                  <c:v>0.30000000000000016</c:v>
                </c:pt>
                <c:pt idx="51" formatCode="General">
                  <c:v>0.2</c:v>
                </c:pt>
                <c:pt idx="52" formatCode="General">
                  <c:v>0.30000000000000016</c:v>
                </c:pt>
                <c:pt idx="53" formatCode="General">
                  <c:v>0.1</c:v>
                </c:pt>
                <c:pt idx="54" formatCode="General">
                  <c:v>0.5</c:v>
                </c:pt>
                <c:pt idx="55" formatCode="General">
                  <c:v>0.4</c:v>
                </c:pt>
                <c:pt idx="56" formatCode="General">
                  <c:v>0.5</c:v>
                </c:pt>
                <c:pt idx="57" formatCode="General">
                  <c:v>0.30000000000000016</c:v>
                </c:pt>
                <c:pt idx="58" formatCode="General">
                  <c:v>0.5</c:v>
                </c:pt>
                <c:pt idx="59" formatCode="General">
                  <c:v>0.1</c:v>
                </c:pt>
                <c:pt idx="60" formatCode="General">
                  <c:v>0.2</c:v>
                </c:pt>
                <c:pt idx="61" formatCode="General">
                  <c:v>0.60000000000000031</c:v>
                </c:pt>
                <c:pt idx="62" formatCode="General">
                  <c:v>0.5</c:v>
                </c:pt>
                <c:pt idx="63" formatCode="General">
                  <c:v>1</c:v>
                </c:pt>
                <c:pt idx="64" formatCode="General">
                  <c:v>0.30000000000000016</c:v>
                </c:pt>
                <c:pt idx="66" formatCode="General">
                  <c:v>0.2</c:v>
                </c:pt>
                <c:pt idx="67" formatCode="General">
                  <c:v>1</c:v>
                </c:pt>
                <c:pt idx="68" formatCode="General">
                  <c:v>0.60000000000000031</c:v>
                </c:pt>
                <c:pt idx="69" formatCode="General">
                  <c:v>1</c:v>
                </c:pt>
                <c:pt idx="70" formatCode="General">
                  <c:v>0.1</c:v>
                </c:pt>
                <c:pt idx="71" formatCode="General">
                  <c:v>0.5</c:v>
                </c:pt>
                <c:pt idx="72" formatCode="General">
                  <c:v>0.4</c:v>
                </c:pt>
                <c:pt idx="73" formatCode="General">
                  <c:v>0.30000000000000016</c:v>
                </c:pt>
                <c:pt idx="74" formatCode="General">
                  <c:v>1</c:v>
                </c:pt>
                <c:pt idx="75" formatCode="General">
                  <c:v>1</c:v>
                </c:pt>
                <c:pt idx="76" formatCode="General">
                  <c:v>0.1</c:v>
                </c:pt>
                <c:pt idx="77" formatCode="General">
                  <c:v>0.5</c:v>
                </c:pt>
                <c:pt idx="78" formatCode="General">
                  <c:v>0.2</c:v>
                </c:pt>
                <c:pt idx="79" formatCode="General">
                  <c:v>0.2</c:v>
                </c:pt>
              </c:numCache>
            </c:numRef>
          </c:val>
        </c:ser>
        <c:marker val="1"/>
        <c:axId val="113416064"/>
        <c:axId val="113418240"/>
      </c:lineChart>
      <c:catAx>
        <c:axId val="1134160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Prikaz</a:t>
                </a:r>
                <a:r>
                  <a:rPr lang="en-US" baseline="0"/>
                  <a:t>  promene o</a:t>
                </a:r>
                <a:r>
                  <a:rPr lang="sr-Latn-BA" baseline="0"/>
                  <a:t>š</a:t>
                </a:r>
                <a:r>
                  <a:rPr lang="en-US" baseline="0"/>
                  <a:t>trine vida po oku</a:t>
                </a:r>
              </a:p>
              <a:p>
                <a:pPr>
                  <a:defRPr/>
                </a:pPr>
                <a:endParaRPr lang="en-US"/>
              </a:p>
            </c:rich>
          </c:tx>
        </c:title>
        <c:majorTickMark val="none"/>
        <c:tickLblPos val="nextTo"/>
        <c:crossAx val="113418240"/>
        <c:crosses val="autoZero"/>
        <c:auto val="1"/>
        <c:lblAlgn val="ctr"/>
        <c:lblOffset val="100"/>
      </c:catAx>
      <c:valAx>
        <c:axId val="11341824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Odre</a:t>
                </a:r>
                <a:r>
                  <a:rPr lang="sr-Latn-BA"/>
                  <a:t>đena oštrina vida</a:t>
                </a:r>
              </a:p>
            </c:rich>
          </c:tx>
          <c:layout>
            <c:manualLayout>
              <c:xMode val="edge"/>
              <c:yMode val="edge"/>
              <c:x val="3.0555555555555582E-2"/>
              <c:y val="0.27339129483814528"/>
            </c:manualLayout>
          </c:layout>
        </c:title>
        <c:numFmt formatCode="0.000" sourceLinked="1"/>
        <c:majorTickMark val="none"/>
        <c:tickLblPos val="nextTo"/>
        <c:spPr>
          <a:ln w="9525">
            <a:noFill/>
          </a:ln>
        </c:spPr>
        <c:crossAx val="113416064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Grizli777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4</cp:revision>
  <dcterms:created xsi:type="dcterms:W3CDTF">2017-04-28T14:52:00Z</dcterms:created>
  <dcterms:modified xsi:type="dcterms:W3CDTF">2017-04-29T17:41:00Z</dcterms:modified>
</cp:coreProperties>
</file>