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36" w:rsidRDefault="00265A36" w:rsidP="00265A36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PRILOG I</w:t>
      </w:r>
    </w:p>
    <w:p w:rsidR="00265A36" w:rsidRDefault="00265A36" w:rsidP="00265A36">
      <w:pPr>
        <w:spacing w:after="120"/>
        <w:rPr>
          <w:rFonts w:ascii="Times New Roman" w:hAnsi="Times New Roman" w:cs="Times New Roman"/>
          <w:b/>
        </w:rPr>
      </w:pPr>
    </w:p>
    <w:p w:rsidR="00265A36" w:rsidRDefault="00265A36" w:rsidP="00265A36">
      <w:pPr>
        <w:spacing w:after="120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Tablea</w:t>
      </w:r>
      <w:proofErr w:type="spellEnd"/>
      <w:r>
        <w:rPr>
          <w:rFonts w:ascii="Times New Roman" w:hAnsi="Times New Roman" w:cs="Times New Roman"/>
          <w:b/>
        </w:rPr>
        <w:t xml:space="preserve"> 1.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Demografske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kliničke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karakteristike</w:t>
      </w:r>
      <w:proofErr w:type="spellEnd"/>
    </w:p>
    <w:p w:rsidR="00265A36" w:rsidRDefault="00265A36" w:rsidP="00265A36">
      <w:pPr>
        <w:spacing w:after="12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196"/>
        <w:gridCol w:w="2426"/>
      </w:tblGrid>
      <w:tr w:rsidR="00265A36" w:rsidRPr="00316C7A" w:rsidTr="00AD040E">
        <w:tc>
          <w:tcPr>
            <w:tcW w:w="7196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 xml:space="preserve">DEMOGRAFSKE I KLINIČKE KARAKTERISTIKE </w:t>
            </w:r>
          </w:p>
        </w:tc>
        <w:tc>
          <w:tcPr>
            <w:tcW w:w="2426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 xml:space="preserve"> N=202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Starost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6C7A">
              <w:rPr>
                <w:rFonts w:ascii="Times New Roman" w:hAnsi="Times New Roman" w:cs="Times New Roman"/>
              </w:rPr>
              <w:t>godine</w:t>
            </w:r>
            <w:proofErr w:type="spellEnd"/>
            <w:r w:rsidRPr="00316C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64,5 (12,4)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Pol</w:t>
            </w:r>
            <w:proofErr w:type="spellEnd"/>
            <w:r w:rsidRPr="00316C7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16C7A">
              <w:rPr>
                <w:rFonts w:ascii="Times New Roman" w:hAnsi="Times New Roman" w:cs="Times New Roman"/>
              </w:rPr>
              <w:t>Ženski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pol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75 (37,1)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16C7A">
              <w:rPr>
                <w:rFonts w:ascii="Times New Roman" w:hAnsi="Times New Roman" w:cs="Times New Roman"/>
              </w:rPr>
              <w:t>Muški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pol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127 (62,9)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Školska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sprema</w:t>
            </w:r>
            <w:proofErr w:type="spellEnd"/>
            <w:r w:rsidRPr="00316C7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16C7A">
              <w:rPr>
                <w:rFonts w:ascii="Times New Roman" w:hAnsi="Times New Roman" w:cs="Times New Roman"/>
              </w:rPr>
              <w:t>Osnovna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škola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35 (17,3)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16C7A">
              <w:rPr>
                <w:rFonts w:ascii="Times New Roman" w:hAnsi="Times New Roman" w:cs="Times New Roman"/>
              </w:rPr>
              <w:t>Srednja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škola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87 (43,1)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16C7A">
              <w:rPr>
                <w:rFonts w:ascii="Times New Roman" w:hAnsi="Times New Roman" w:cs="Times New Roman"/>
              </w:rPr>
              <w:t>Viša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škola</w:t>
            </w:r>
            <w:proofErr w:type="spellEnd"/>
            <w:r w:rsidRPr="00316C7A">
              <w:rPr>
                <w:rFonts w:ascii="Times New Roman" w:hAnsi="Times New Roman" w:cs="Times New Roman"/>
              </w:rPr>
              <w:t>/</w:t>
            </w:r>
            <w:proofErr w:type="spellStart"/>
            <w:r w:rsidRPr="00316C7A">
              <w:rPr>
                <w:rFonts w:ascii="Times New Roman" w:hAnsi="Times New Roman" w:cs="Times New Roman"/>
              </w:rPr>
              <w:t>fakulet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82 (40,6)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Indeks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telesne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mase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(kg/m</w:t>
            </w:r>
            <w:r w:rsidRPr="00316C7A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6C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27,3 (3,9)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Gojaznost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6C7A">
              <w:rPr>
                <w:rFonts w:ascii="Times New Roman" w:hAnsi="Times New Roman" w:cs="Times New Roman"/>
              </w:rPr>
              <w:t>indeks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telesne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mase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≥30 kg/m</w:t>
            </w:r>
            <w:r w:rsidRPr="00316C7A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6C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44 (21,8)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Pušači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28 (13,9)</w:t>
            </w:r>
          </w:p>
        </w:tc>
      </w:tr>
      <w:tr w:rsidR="00265A36" w:rsidRPr="00316C7A" w:rsidTr="00AD040E">
        <w:tc>
          <w:tcPr>
            <w:tcW w:w="7196" w:type="dxa"/>
            <w:tcBorders>
              <w:bottom w:val="single" w:sz="4" w:space="0" w:color="000000" w:themeColor="text1"/>
            </w:tcBorders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Svakodnevno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konzumiranje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alkoholnih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pića</w:t>
            </w:r>
            <w:proofErr w:type="spellEnd"/>
          </w:p>
        </w:tc>
        <w:tc>
          <w:tcPr>
            <w:tcW w:w="2426" w:type="dxa"/>
            <w:tcBorders>
              <w:bottom w:val="single" w:sz="4" w:space="0" w:color="000000" w:themeColor="text1"/>
            </w:tcBorders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14 (6,9)</w:t>
            </w:r>
          </w:p>
        </w:tc>
      </w:tr>
      <w:tr w:rsidR="00265A36" w:rsidRPr="00316C7A" w:rsidTr="00AD040E">
        <w:tc>
          <w:tcPr>
            <w:tcW w:w="7196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>KLINIČKE KARAKTERISTIKE AF</w:t>
            </w:r>
          </w:p>
        </w:tc>
        <w:tc>
          <w:tcPr>
            <w:tcW w:w="2426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Srčani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ritam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pri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uključenju</w:t>
            </w:r>
            <w:proofErr w:type="spellEnd"/>
            <w:r w:rsidRPr="00316C7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AF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95 (47.0)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16C7A">
              <w:rPr>
                <w:rFonts w:ascii="Times New Roman" w:hAnsi="Times New Roman" w:cs="Times New Roman"/>
              </w:rPr>
              <w:t>Sinusni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ritam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107 (53,0)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Novo-</w:t>
            </w:r>
            <w:proofErr w:type="spellStart"/>
            <w:r w:rsidRPr="00316C7A">
              <w:rPr>
                <w:rFonts w:ascii="Times New Roman" w:hAnsi="Times New Roman" w:cs="Times New Roman"/>
              </w:rPr>
              <w:t>otkrivena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AF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52 (25,7)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Paroksizmalna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AF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109 (54,0)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Perzistentna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AF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32 (15,8)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Permanentna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AF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60 (29,7)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EHRA </w:t>
            </w:r>
            <w:proofErr w:type="spellStart"/>
            <w:r w:rsidRPr="00316C7A">
              <w:rPr>
                <w:rFonts w:ascii="Times New Roman" w:hAnsi="Times New Roman" w:cs="Times New Roman"/>
              </w:rPr>
              <w:t>klasa</w:t>
            </w:r>
            <w:proofErr w:type="spellEnd"/>
            <w:r w:rsidRPr="00316C7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I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49 (24,3)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II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72 (35,6)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III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67 (33,2)</w:t>
            </w:r>
          </w:p>
        </w:tc>
      </w:tr>
      <w:tr w:rsidR="00265A36" w:rsidRPr="00316C7A" w:rsidTr="00AD040E">
        <w:tc>
          <w:tcPr>
            <w:tcW w:w="7196" w:type="dxa"/>
            <w:tcBorders>
              <w:bottom w:val="single" w:sz="4" w:space="0" w:color="000000" w:themeColor="text1"/>
            </w:tcBorders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 xml:space="preserve">  IV</w:t>
            </w:r>
          </w:p>
        </w:tc>
        <w:tc>
          <w:tcPr>
            <w:tcW w:w="2426" w:type="dxa"/>
            <w:tcBorders>
              <w:bottom w:val="single" w:sz="4" w:space="0" w:color="000000" w:themeColor="text1"/>
            </w:tcBorders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14 (16,9)</w:t>
            </w:r>
          </w:p>
        </w:tc>
      </w:tr>
      <w:tr w:rsidR="00265A36" w:rsidRPr="00316C7A" w:rsidTr="00AD040E">
        <w:tc>
          <w:tcPr>
            <w:tcW w:w="7196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>PRIDRUŽENE BOLESTI</w:t>
            </w:r>
          </w:p>
        </w:tc>
        <w:tc>
          <w:tcPr>
            <w:tcW w:w="2426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Arterijska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hipertenzija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164 (81,2)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Dijabetes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mellitus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29 (14,4)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Hiperlipoproteinemija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96 (47,5)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Infarkt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miokarda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29 (14,4)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Angina pectoris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19 (9,4)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Periferna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arterijska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bolest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5 (2,5)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lastRenderedPageBreak/>
              <w:t>Srčana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insuficijencija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37 (18,3)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Bolest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srčanih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zalistaka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31 (15,3)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Dilatativna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kardiomiopatija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18 (8,9)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Hipertrofična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kardiomiopatija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3 (1,5)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Ejekciona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frakcija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leve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komore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57,9 (9,9)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Raniji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moždani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udar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ili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TIA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21 (10,4)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Hronično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oboljenje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jetre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3 (1,5)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HOBP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7 (3,5)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HBI (</w:t>
            </w:r>
            <w:proofErr w:type="spellStart"/>
            <w:r w:rsidRPr="00316C7A">
              <w:rPr>
                <w:rFonts w:ascii="Times New Roman" w:hAnsi="Times New Roman" w:cs="Times New Roman"/>
              </w:rPr>
              <w:t>CrCl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&lt;60 </w:t>
            </w:r>
            <w:proofErr w:type="spellStart"/>
            <w:r w:rsidRPr="00316C7A">
              <w:rPr>
                <w:rFonts w:ascii="Times New Roman" w:hAnsi="Times New Roman" w:cs="Times New Roman"/>
              </w:rPr>
              <w:t>mL</w:t>
            </w:r>
            <w:proofErr w:type="spellEnd"/>
            <w:r w:rsidRPr="00316C7A">
              <w:rPr>
                <w:rFonts w:ascii="Times New Roman" w:hAnsi="Times New Roman" w:cs="Times New Roman"/>
              </w:rPr>
              <w:t>/min)</w:t>
            </w:r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41 (20,3)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Hipertireoidizam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5 (2,5)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16C7A">
              <w:rPr>
                <w:rFonts w:ascii="Times New Roman" w:hAnsi="Times New Roman" w:cs="Times New Roman"/>
              </w:rPr>
              <w:t>Hipotireoidizam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21 (10,4)</w:t>
            </w:r>
          </w:p>
        </w:tc>
      </w:tr>
      <w:tr w:rsidR="00265A36" w:rsidRPr="00316C7A" w:rsidTr="00AD040E">
        <w:tc>
          <w:tcPr>
            <w:tcW w:w="719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CHA</w:t>
            </w:r>
            <w:r w:rsidRPr="00316C7A">
              <w:rPr>
                <w:rFonts w:ascii="Times New Roman" w:hAnsi="Times New Roman" w:cs="Times New Roman"/>
                <w:vertAlign w:val="subscript"/>
              </w:rPr>
              <w:t>2</w:t>
            </w:r>
            <w:r w:rsidRPr="00316C7A">
              <w:rPr>
                <w:rFonts w:ascii="Times New Roman" w:hAnsi="Times New Roman" w:cs="Times New Roman"/>
              </w:rPr>
              <w:t>DS</w:t>
            </w:r>
            <w:r w:rsidRPr="00316C7A">
              <w:rPr>
                <w:rFonts w:ascii="Times New Roman" w:hAnsi="Times New Roman" w:cs="Times New Roman"/>
                <w:vertAlign w:val="subscript"/>
              </w:rPr>
              <w:t>2</w:t>
            </w:r>
            <w:r w:rsidRPr="00316C7A">
              <w:rPr>
                <w:rFonts w:ascii="Times New Roman" w:hAnsi="Times New Roman" w:cs="Times New Roman"/>
              </w:rPr>
              <w:t xml:space="preserve">-VASc </w:t>
            </w:r>
            <w:proofErr w:type="spellStart"/>
            <w:r w:rsidRPr="00316C7A">
              <w:rPr>
                <w:rFonts w:ascii="Times New Roman" w:hAnsi="Times New Roman" w:cs="Times New Roman"/>
              </w:rPr>
              <w:t>tromboembolijski</w:t>
            </w:r>
            <w:proofErr w:type="spellEnd"/>
            <w:r w:rsidRPr="00316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C7A">
              <w:rPr>
                <w:rFonts w:ascii="Times New Roman" w:hAnsi="Times New Roman" w:cs="Times New Roman"/>
              </w:rPr>
              <w:t>skor</w:t>
            </w:r>
            <w:proofErr w:type="spellEnd"/>
          </w:p>
        </w:tc>
        <w:tc>
          <w:tcPr>
            <w:tcW w:w="2426" w:type="dxa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316C7A">
              <w:rPr>
                <w:rFonts w:ascii="Times New Roman" w:hAnsi="Times New Roman" w:cs="Times New Roman"/>
              </w:rPr>
              <w:t>2,7 (1,7)</w:t>
            </w:r>
          </w:p>
        </w:tc>
      </w:tr>
    </w:tbl>
    <w:p w:rsidR="00265A36" w:rsidRDefault="00265A36" w:rsidP="00265A36">
      <w:pPr>
        <w:rPr>
          <w:rFonts w:ascii="Times New Roman" w:hAnsi="Times New Roman" w:cs="Times New Roman"/>
          <w:sz w:val="20"/>
        </w:rPr>
      </w:pPr>
      <w:proofErr w:type="spellStart"/>
      <w:r w:rsidRPr="0084321E">
        <w:rPr>
          <w:rFonts w:ascii="Times New Roman" w:hAnsi="Times New Roman" w:cs="Times New Roman"/>
          <w:sz w:val="20"/>
        </w:rPr>
        <w:t>Podaci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su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prikazani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kao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srednja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vrednost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84321E">
        <w:rPr>
          <w:rFonts w:ascii="Times New Roman" w:hAnsi="Times New Roman" w:cs="Times New Roman"/>
          <w:sz w:val="20"/>
        </w:rPr>
        <w:t>standardna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devijacija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), </w:t>
      </w:r>
      <w:proofErr w:type="spellStart"/>
      <w:r w:rsidRPr="0084321E">
        <w:rPr>
          <w:rFonts w:ascii="Times New Roman" w:hAnsi="Times New Roman" w:cs="Times New Roman"/>
          <w:sz w:val="20"/>
        </w:rPr>
        <w:t>medijana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(IQR) </w:t>
      </w:r>
      <w:proofErr w:type="spellStart"/>
      <w:proofErr w:type="gramStart"/>
      <w:r w:rsidRPr="0084321E">
        <w:rPr>
          <w:rFonts w:ascii="Times New Roman" w:hAnsi="Times New Roman" w:cs="Times New Roman"/>
          <w:sz w:val="20"/>
        </w:rPr>
        <w:t>ili</w:t>
      </w:r>
      <w:proofErr w:type="spellEnd"/>
      <w:proofErr w:type="gramEnd"/>
      <w:r w:rsidRPr="0084321E">
        <w:rPr>
          <w:rFonts w:ascii="Times New Roman" w:hAnsi="Times New Roman" w:cs="Times New Roman"/>
          <w:sz w:val="20"/>
        </w:rPr>
        <w:t xml:space="preserve"> n (%).</w:t>
      </w:r>
    </w:p>
    <w:p w:rsidR="00265A36" w:rsidRDefault="00265A36" w:rsidP="00265A3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AF - </w:t>
      </w:r>
      <w:proofErr w:type="spellStart"/>
      <w:r>
        <w:rPr>
          <w:rFonts w:ascii="Times New Roman" w:hAnsi="Times New Roman" w:cs="Times New Roman"/>
          <w:sz w:val="20"/>
        </w:rPr>
        <w:t>atrijalna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fibrilacija</w:t>
      </w:r>
      <w:proofErr w:type="spellEnd"/>
      <w:r>
        <w:rPr>
          <w:rFonts w:ascii="Times New Roman" w:hAnsi="Times New Roman" w:cs="Times New Roman"/>
          <w:sz w:val="20"/>
        </w:rPr>
        <w:t xml:space="preserve">; EHRA - </w:t>
      </w:r>
      <w:r w:rsidRPr="0033529B">
        <w:rPr>
          <w:rFonts w:ascii="Times New Roman" w:hAnsi="Times New Roman" w:cs="Times New Roman"/>
          <w:sz w:val="20"/>
          <w:szCs w:val="20"/>
        </w:rPr>
        <w:t>European Heart Rhythm Association</w:t>
      </w:r>
      <w:r>
        <w:rPr>
          <w:rFonts w:ascii="Times New Roman" w:hAnsi="Times New Roman" w:cs="Times New Roman"/>
          <w:sz w:val="20"/>
          <w:szCs w:val="20"/>
        </w:rPr>
        <w:t xml:space="preserve">; TIA - </w:t>
      </w:r>
      <w:proofErr w:type="spellStart"/>
      <w:r>
        <w:rPr>
          <w:rFonts w:ascii="Times New Roman" w:hAnsi="Times New Roman" w:cs="Times New Roman"/>
          <w:sz w:val="20"/>
          <w:szCs w:val="20"/>
        </w:rPr>
        <w:t>tranzitorni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ishemijski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HOBP - </w:t>
      </w:r>
      <w:proofErr w:type="spellStart"/>
      <w:r>
        <w:rPr>
          <w:rFonts w:ascii="Times New Roman" w:hAnsi="Times New Roman" w:cs="Times New Roman"/>
          <w:sz w:val="20"/>
          <w:szCs w:val="20"/>
        </w:rPr>
        <w:t>hronična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opstruktivna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bolest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pluća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HBI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hronična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bubrežna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slabost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  <w:szCs w:val="20"/>
        </w:rPr>
        <w:t>CrCl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sz w:val="20"/>
          <w:szCs w:val="20"/>
        </w:rPr>
        <w:t>kliren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kreatinina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3529B">
        <w:rPr>
          <w:rFonts w:ascii="Times New Roman" w:hAnsi="Times New Roman" w:cs="Times New Roman"/>
          <w:sz w:val="20"/>
          <w:szCs w:val="20"/>
        </w:rPr>
        <w:t>CHA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>DS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 xml:space="preserve">-VASc: C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srčana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slabost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, H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hipertenzija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>, A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starost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≥75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godina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; D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dijabetes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melitus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>, S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moždani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udar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/TIA, A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statorst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65-74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godina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, Sc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ženski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pol</w:t>
      </w:r>
      <w:proofErr w:type="spellEnd"/>
    </w:p>
    <w:p w:rsidR="00265A36" w:rsidRDefault="00265A36" w:rsidP="00265A36">
      <w:pPr>
        <w:rPr>
          <w:rFonts w:ascii="Times New Roman" w:hAnsi="Times New Roman" w:cs="Times New Roman"/>
          <w:sz w:val="20"/>
        </w:rPr>
      </w:pPr>
    </w:p>
    <w:p w:rsidR="00265A36" w:rsidRDefault="00265A36" w:rsidP="00265A36">
      <w:pPr>
        <w:pageBreakBefore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PRILOG II</w:t>
      </w:r>
    </w:p>
    <w:p w:rsidR="00265A36" w:rsidRDefault="00265A36" w:rsidP="00265A36">
      <w:pPr>
        <w:rPr>
          <w:rFonts w:ascii="Times New Roman" w:hAnsi="Times New Roman" w:cs="Times New Roman"/>
          <w:b/>
        </w:rPr>
      </w:pPr>
    </w:p>
    <w:p w:rsidR="00265A36" w:rsidRDefault="00265A36" w:rsidP="00265A36">
      <w:pPr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Tabela</w:t>
      </w:r>
      <w:proofErr w:type="spellEnd"/>
      <w:r>
        <w:rPr>
          <w:rFonts w:ascii="Times New Roman" w:hAnsi="Times New Roman" w:cs="Times New Roman"/>
          <w:b/>
        </w:rPr>
        <w:t xml:space="preserve"> 2.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Terapijski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pristup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primenjeni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lekovi</w:t>
      </w:r>
      <w:proofErr w:type="spellEnd"/>
    </w:p>
    <w:p w:rsidR="00265A36" w:rsidRDefault="00265A36" w:rsidP="00265A36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054"/>
        <w:gridCol w:w="2568"/>
      </w:tblGrid>
      <w:tr w:rsidR="00265A36" w:rsidRPr="00316C7A" w:rsidTr="00AD040E">
        <w:tc>
          <w:tcPr>
            <w:tcW w:w="7054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>TERAPIJSKI PRISTUP</w:t>
            </w:r>
          </w:p>
        </w:tc>
        <w:tc>
          <w:tcPr>
            <w:tcW w:w="2568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>N=202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Kontrola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srčanog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ritma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136 (67,3)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Kontrola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frekvencije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64 (31,7)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 xml:space="preserve">DC </w:t>
            </w:r>
            <w:proofErr w:type="spellStart"/>
            <w:r w:rsidRPr="00FE1AC4">
              <w:rPr>
                <w:rFonts w:ascii="Times New Roman" w:hAnsi="Times New Roman" w:cs="Times New Roman"/>
              </w:rPr>
              <w:t>kardioverzija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AF</w:t>
            </w:r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35 (17,3)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Ablacija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AF</w:t>
            </w:r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17 (8,4)</w:t>
            </w:r>
          </w:p>
        </w:tc>
      </w:tr>
      <w:tr w:rsidR="00265A36" w:rsidRPr="00FE1AC4" w:rsidTr="00AD040E">
        <w:tc>
          <w:tcPr>
            <w:tcW w:w="7054" w:type="dxa"/>
            <w:tcBorders>
              <w:bottom w:val="single" w:sz="4" w:space="0" w:color="000000" w:themeColor="text1"/>
            </w:tcBorders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Ablacija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atrioventrikularnog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čvora</w:t>
            </w:r>
            <w:proofErr w:type="spellEnd"/>
          </w:p>
        </w:tc>
        <w:tc>
          <w:tcPr>
            <w:tcW w:w="2568" w:type="dxa"/>
            <w:tcBorders>
              <w:bottom w:val="single" w:sz="4" w:space="0" w:color="000000" w:themeColor="text1"/>
            </w:tcBorders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1 (0,5)</w:t>
            </w:r>
          </w:p>
        </w:tc>
      </w:tr>
      <w:tr w:rsidR="00265A36" w:rsidRPr="00316C7A" w:rsidTr="00AD040E">
        <w:tc>
          <w:tcPr>
            <w:tcW w:w="7054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316C7A">
              <w:rPr>
                <w:rFonts w:ascii="Times New Roman" w:hAnsi="Times New Roman" w:cs="Times New Roman"/>
                <w:b/>
              </w:rPr>
              <w:t>MEDIKAMENTNA TERAPIJA</w:t>
            </w:r>
          </w:p>
        </w:tc>
        <w:tc>
          <w:tcPr>
            <w:tcW w:w="2568" w:type="dxa"/>
            <w:shd w:val="clear" w:color="auto" w:fill="FFCC99"/>
          </w:tcPr>
          <w:p w:rsidR="00265A36" w:rsidRPr="00316C7A" w:rsidRDefault="00265A36" w:rsidP="00AD040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Beta-</w:t>
            </w:r>
            <w:proofErr w:type="spellStart"/>
            <w:r w:rsidRPr="00FE1AC4">
              <w:rPr>
                <w:rFonts w:ascii="Times New Roman" w:hAnsi="Times New Roman" w:cs="Times New Roman"/>
              </w:rPr>
              <w:t>blokatori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103 (51,0)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Digoksin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19 (9,4)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Nedihidropiridinski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Ca</w:t>
            </w:r>
            <w:r w:rsidRPr="00FE1AC4">
              <w:rPr>
                <w:rFonts w:ascii="Times New Roman" w:hAnsi="Times New Roman" w:cs="Times New Roman"/>
                <w:vertAlign w:val="superscript"/>
              </w:rPr>
              <w:t>2+</w:t>
            </w:r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antagonisti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22 (10,9)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Propafenon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44 (21,8)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Sotalol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2 (1)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Amiodaron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87 (43,1)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 xml:space="preserve">ACE </w:t>
            </w:r>
            <w:proofErr w:type="spellStart"/>
            <w:r w:rsidRPr="00FE1AC4">
              <w:rPr>
                <w:rFonts w:ascii="Times New Roman" w:hAnsi="Times New Roman" w:cs="Times New Roman"/>
              </w:rPr>
              <w:t>inhibitori</w:t>
            </w:r>
            <w:proofErr w:type="spellEnd"/>
            <w:r w:rsidRPr="00FE1AC4">
              <w:rPr>
                <w:rFonts w:ascii="Times New Roman" w:hAnsi="Times New Roman" w:cs="Times New Roman"/>
              </w:rPr>
              <w:t>/</w:t>
            </w:r>
            <w:proofErr w:type="spellStart"/>
            <w:r w:rsidRPr="00FE1AC4">
              <w:rPr>
                <w:rFonts w:ascii="Times New Roman" w:hAnsi="Times New Roman" w:cs="Times New Roman"/>
              </w:rPr>
              <w:t>Antagonisti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AT</w:t>
            </w:r>
            <w:r w:rsidRPr="00FE1AC4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proofErr w:type="spellStart"/>
            <w:r w:rsidRPr="00FE1AC4">
              <w:rPr>
                <w:rFonts w:ascii="Times New Roman" w:hAnsi="Times New Roman" w:cs="Times New Roman"/>
              </w:rPr>
              <w:t>receptora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142 (70,3)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Dihidropiridinski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Ca</w:t>
            </w:r>
            <w:r w:rsidRPr="00FE1AC4">
              <w:rPr>
                <w:rFonts w:ascii="Times New Roman" w:hAnsi="Times New Roman" w:cs="Times New Roman"/>
                <w:vertAlign w:val="superscript"/>
              </w:rPr>
              <w:t xml:space="preserve">2+ </w:t>
            </w:r>
            <w:proofErr w:type="spellStart"/>
            <w:r w:rsidRPr="00FE1AC4">
              <w:rPr>
                <w:rFonts w:ascii="Times New Roman" w:hAnsi="Times New Roman" w:cs="Times New Roman"/>
              </w:rPr>
              <w:t>antagonisti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62 (30,7)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Diuretici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Henleove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petlje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62 (30,7)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Tiazidni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diuretici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68 (33,8)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Spironolakton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51 (25,2)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Statini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88 (43,6)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Aspirin</w:t>
            </w:r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29 (14,4)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Klopidogrel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9 (4,5)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Antagonisti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vitamina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48 (23,8)</w:t>
            </w:r>
          </w:p>
        </w:tc>
      </w:tr>
      <w:tr w:rsidR="00265A36" w:rsidRPr="00FE1AC4" w:rsidTr="00AD040E">
        <w:tc>
          <w:tcPr>
            <w:tcW w:w="7054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FE1AC4">
              <w:rPr>
                <w:rFonts w:ascii="Times New Roman" w:hAnsi="Times New Roman" w:cs="Times New Roman"/>
              </w:rPr>
              <w:t>Direktni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oralni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AC4">
              <w:rPr>
                <w:rFonts w:ascii="Times New Roman" w:hAnsi="Times New Roman" w:cs="Times New Roman"/>
              </w:rPr>
              <w:t>inhibitori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II </w:t>
            </w:r>
            <w:proofErr w:type="spellStart"/>
            <w:r w:rsidRPr="00FE1AC4">
              <w:rPr>
                <w:rFonts w:ascii="Times New Roman" w:hAnsi="Times New Roman" w:cs="Times New Roman"/>
              </w:rPr>
              <w:t>ili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FE1AC4">
              <w:rPr>
                <w:rFonts w:ascii="Times New Roman" w:hAnsi="Times New Roman" w:cs="Times New Roman"/>
              </w:rPr>
              <w:t>faktora</w:t>
            </w:r>
            <w:proofErr w:type="spellEnd"/>
            <w:r w:rsidRPr="00FE1AC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E1AC4">
              <w:rPr>
                <w:rFonts w:ascii="Times New Roman" w:hAnsi="Times New Roman" w:cs="Times New Roman"/>
              </w:rPr>
              <w:t>koagulacije</w:t>
            </w:r>
            <w:proofErr w:type="spellEnd"/>
          </w:p>
        </w:tc>
        <w:tc>
          <w:tcPr>
            <w:tcW w:w="2568" w:type="dxa"/>
          </w:tcPr>
          <w:p w:rsidR="00265A36" w:rsidRPr="00FE1AC4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 w:rsidRPr="00FE1AC4">
              <w:rPr>
                <w:rFonts w:ascii="Times New Roman" w:hAnsi="Times New Roman" w:cs="Times New Roman"/>
              </w:rPr>
              <w:t>37 (18,3)</w:t>
            </w:r>
          </w:p>
        </w:tc>
      </w:tr>
    </w:tbl>
    <w:p w:rsidR="00265A36" w:rsidRPr="0084321E" w:rsidRDefault="00265A36" w:rsidP="00265A36">
      <w:pPr>
        <w:rPr>
          <w:rFonts w:ascii="Times New Roman" w:hAnsi="Times New Roman" w:cs="Times New Roman"/>
          <w:sz w:val="20"/>
        </w:rPr>
      </w:pPr>
      <w:proofErr w:type="spellStart"/>
      <w:r w:rsidRPr="0084321E">
        <w:rPr>
          <w:rFonts w:ascii="Times New Roman" w:hAnsi="Times New Roman" w:cs="Times New Roman"/>
          <w:sz w:val="20"/>
        </w:rPr>
        <w:t>Podaci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su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prikazani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kao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srednja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vrednost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84321E">
        <w:rPr>
          <w:rFonts w:ascii="Times New Roman" w:hAnsi="Times New Roman" w:cs="Times New Roman"/>
          <w:sz w:val="20"/>
        </w:rPr>
        <w:t>standardna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4321E">
        <w:rPr>
          <w:rFonts w:ascii="Times New Roman" w:hAnsi="Times New Roman" w:cs="Times New Roman"/>
          <w:sz w:val="20"/>
        </w:rPr>
        <w:t>devijacija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), </w:t>
      </w:r>
      <w:proofErr w:type="spellStart"/>
      <w:r w:rsidRPr="0084321E">
        <w:rPr>
          <w:rFonts w:ascii="Times New Roman" w:hAnsi="Times New Roman" w:cs="Times New Roman"/>
          <w:sz w:val="20"/>
        </w:rPr>
        <w:t>medijana</w:t>
      </w:r>
      <w:proofErr w:type="spellEnd"/>
      <w:r w:rsidRPr="0084321E">
        <w:rPr>
          <w:rFonts w:ascii="Times New Roman" w:hAnsi="Times New Roman" w:cs="Times New Roman"/>
          <w:sz w:val="20"/>
        </w:rPr>
        <w:t xml:space="preserve"> (IQR) </w:t>
      </w:r>
      <w:proofErr w:type="spellStart"/>
      <w:proofErr w:type="gramStart"/>
      <w:r w:rsidRPr="0084321E">
        <w:rPr>
          <w:rFonts w:ascii="Times New Roman" w:hAnsi="Times New Roman" w:cs="Times New Roman"/>
          <w:sz w:val="20"/>
        </w:rPr>
        <w:t>ili</w:t>
      </w:r>
      <w:proofErr w:type="spellEnd"/>
      <w:proofErr w:type="gramEnd"/>
      <w:r w:rsidRPr="0084321E">
        <w:rPr>
          <w:rFonts w:ascii="Times New Roman" w:hAnsi="Times New Roman" w:cs="Times New Roman"/>
          <w:sz w:val="20"/>
        </w:rPr>
        <w:t xml:space="preserve"> n (%).</w:t>
      </w:r>
    </w:p>
    <w:p w:rsidR="00265A36" w:rsidRDefault="00265A36" w:rsidP="00265A36">
      <w:pPr>
        <w:rPr>
          <w:rFonts w:ascii="Times New Roman" w:hAnsi="Times New Roman" w:cs="Times New Roman"/>
          <w:sz w:val="20"/>
          <w:vertAlign w:val="subscript"/>
        </w:rPr>
      </w:pPr>
      <w:r>
        <w:rPr>
          <w:rFonts w:ascii="Times New Roman" w:hAnsi="Times New Roman" w:cs="Times New Roman"/>
          <w:sz w:val="20"/>
        </w:rPr>
        <w:t xml:space="preserve">DC - direct current; </w:t>
      </w:r>
      <w:r w:rsidRPr="0084321E">
        <w:rPr>
          <w:rFonts w:ascii="Times New Roman" w:hAnsi="Times New Roman" w:cs="Times New Roman"/>
          <w:sz w:val="20"/>
        </w:rPr>
        <w:t xml:space="preserve">AF - </w:t>
      </w:r>
      <w:proofErr w:type="spellStart"/>
      <w:r>
        <w:rPr>
          <w:rFonts w:ascii="Times New Roman" w:hAnsi="Times New Roman" w:cs="Times New Roman"/>
          <w:sz w:val="20"/>
        </w:rPr>
        <w:t>atrijalna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fibrilacija</w:t>
      </w:r>
      <w:proofErr w:type="spellEnd"/>
      <w:r>
        <w:rPr>
          <w:rFonts w:ascii="Times New Roman" w:hAnsi="Times New Roman" w:cs="Times New Roman"/>
          <w:sz w:val="20"/>
        </w:rPr>
        <w:t xml:space="preserve">; ACE - </w:t>
      </w:r>
      <w:proofErr w:type="spellStart"/>
      <w:r>
        <w:rPr>
          <w:rFonts w:ascii="Times New Roman" w:hAnsi="Times New Roman" w:cs="Times New Roman"/>
          <w:sz w:val="20"/>
        </w:rPr>
        <w:t>angiotenzin-konvertujući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enzim</w:t>
      </w:r>
      <w:proofErr w:type="spellEnd"/>
      <w:r>
        <w:rPr>
          <w:rFonts w:ascii="Times New Roman" w:hAnsi="Times New Roman" w:cs="Times New Roman"/>
          <w:sz w:val="20"/>
        </w:rPr>
        <w:t>; AT1 - angiotenzin</w:t>
      </w:r>
      <w:r w:rsidRPr="00A8102A">
        <w:rPr>
          <w:rFonts w:ascii="Times New Roman" w:hAnsi="Times New Roman" w:cs="Times New Roman"/>
          <w:sz w:val="20"/>
          <w:vertAlign w:val="subscript"/>
        </w:rPr>
        <w:t>1</w:t>
      </w:r>
    </w:p>
    <w:p w:rsidR="00265A36" w:rsidRPr="00316C7A" w:rsidRDefault="00265A36" w:rsidP="00265A36">
      <w:pPr>
        <w:rPr>
          <w:rFonts w:ascii="Times New Roman" w:hAnsi="Times New Roman" w:cs="Times New Roman"/>
          <w:b/>
        </w:rPr>
      </w:pPr>
    </w:p>
    <w:p w:rsidR="00265A36" w:rsidRDefault="00265A36" w:rsidP="00265A36">
      <w:pPr>
        <w:spacing w:after="120" w:line="360" w:lineRule="auto"/>
        <w:rPr>
          <w:rFonts w:ascii="Times New Roman" w:hAnsi="Times New Roman" w:cs="Times New Roman"/>
          <w:b/>
        </w:rPr>
      </w:pPr>
    </w:p>
    <w:p w:rsidR="00265A36" w:rsidRDefault="00265A36" w:rsidP="00265A36">
      <w:pPr>
        <w:spacing w:after="120" w:line="360" w:lineRule="auto"/>
        <w:rPr>
          <w:rFonts w:ascii="Times New Roman" w:hAnsi="Times New Roman" w:cs="Times New Roman"/>
          <w:b/>
        </w:rPr>
      </w:pPr>
    </w:p>
    <w:p w:rsidR="00265A36" w:rsidRDefault="00265A36" w:rsidP="00265A36">
      <w:pPr>
        <w:pageBreakBefore/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PRILOG III</w:t>
      </w:r>
    </w:p>
    <w:p w:rsidR="00265A36" w:rsidRDefault="00265A36" w:rsidP="00265A36">
      <w:pPr>
        <w:spacing w:after="120" w:line="360" w:lineRule="auto"/>
        <w:rPr>
          <w:rFonts w:ascii="Times New Roman" w:hAnsi="Times New Roman" w:cs="Times New Roman"/>
          <w:b/>
        </w:rPr>
      </w:pPr>
      <w:r w:rsidRPr="004B6A1C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97806" cy="2979034"/>
            <wp:effectExtent l="0" t="0" r="15875" b="184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5A36" w:rsidRDefault="00265A36" w:rsidP="00265A36">
      <w:pPr>
        <w:spacing w:after="12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Grafik</w:t>
      </w:r>
      <w:proofErr w:type="spellEnd"/>
      <w:r>
        <w:rPr>
          <w:rFonts w:ascii="Times New Roman" w:hAnsi="Times New Roman" w:cs="Times New Roman"/>
          <w:b/>
        </w:rPr>
        <w:t xml:space="preserve"> 1.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Ukupni</w:t>
      </w:r>
      <w:proofErr w:type="spellEnd"/>
      <w:r w:rsidRPr="00A74CC0">
        <w:rPr>
          <w:rFonts w:ascii="Times New Roman" w:hAnsi="Times New Roman" w:cs="Times New Roman"/>
          <w:b/>
        </w:rPr>
        <w:t xml:space="preserve"> AFEQT </w:t>
      </w:r>
      <w:proofErr w:type="spellStart"/>
      <w:r w:rsidRPr="00A74CC0">
        <w:rPr>
          <w:rFonts w:ascii="Times New Roman" w:hAnsi="Times New Roman" w:cs="Times New Roman"/>
          <w:b/>
        </w:rPr>
        <w:t>skor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i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komponente</w:t>
      </w:r>
      <w:proofErr w:type="spellEnd"/>
      <w:r w:rsidRPr="00A74CC0">
        <w:rPr>
          <w:rFonts w:ascii="Times New Roman" w:hAnsi="Times New Roman" w:cs="Times New Roman"/>
          <w:b/>
        </w:rPr>
        <w:t xml:space="preserve"> AFEQT </w:t>
      </w:r>
      <w:proofErr w:type="spellStart"/>
      <w:r w:rsidRPr="00A74CC0">
        <w:rPr>
          <w:rFonts w:ascii="Times New Roman" w:hAnsi="Times New Roman" w:cs="Times New Roman"/>
          <w:b/>
        </w:rPr>
        <w:t>skora</w:t>
      </w:r>
      <w:proofErr w:type="spellEnd"/>
      <w:r w:rsidRPr="00A74CC0">
        <w:rPr>
          <w:rFonts w:ascii="Times New Roman" w:hAnsi="Times New Roman" w:cs="Times New Roman"/>
          <w:b/>
        </w:rPr>
        <w:t xml:space="preserve"> - </w:t>
      </w:r>
      <w:proofErr w:type="spellStart"/>
      <w:r w:rsidRPr="00A74CC0">
        <w:rPr>
          <w:rFonts w:ascii="Times New Roman" w:hAnsi="Times New Roman" w:cs="Times New Roman"/>
          <w:b/>
        </w:rPr>
        <w:t>simptomi</w:t>
      </w:r>
      <w:proofErr w:type="spellEnd"/>
      <w:r w:rsidRPr="00A74CC0">
        <w:rPr>
          <w:rFonts w:ascii="Times New Roman" w:hAnsi="Times New Roman" w:cs="Times New Roman"/>
          <w:b/>
        </w:rPr>
        <w:t xml:space="preserve">, </w:t>
      </w:r>
      <w:proofErr w:type="spellStart"/>
      <w:r w:rsidRPr="00A74CC0">
        <w:rPr>
          <w:rFonts w:ascii="Times New Roman" w:hAnsi="Times New Roman" w:cs="Times New Roman"/>
          <w:b/>
        </w:rPr>
        <w:t>ograničenje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aktivnosti</w:t>
      </w:r>
      <w:proofErr w:type="spellEnd"/>
      <w:r w:rsidRPr="00A74CC0">
        <w:rPr>
          <w:rFonts w:ascii="Times New Roman" w:hAnsi="Times New Roman" w:cs="Times New Roman"/>
          <w:b/>
        </w:rPr>
        <w:t xml:space="preserve">, </w:t>
      </w:r>
      <w:proofErr w:type="spellStart"/>
      <w:r w:rsidRPr="00A74CC0">
        <w:rPr>
          <w:rFonts w:ascii="Times New Roman" w:hAnsi="Times New Roman" w:cs="Times New Roman"/>
          <w:b/>
        </w:rPr>
        <w:t>zabrinutost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zbog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posledica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aritmije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i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primenje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terapije</w:t>
      </w:r>
      <w:proofErr w:type="spellEnd"/>
      <w:r w:rsidRPr="00A74CC0">
        <w:rPr>
          <w:rFonts w:ascii="Times New Roman" w:hAnsi="Times New Roman" w:cs="Times New Roman"/>
          <w:b/>
        </w:rPr>
        <w:t xml:space="preserve">, </w:t>
      </w:r>
      <w:proofErr w:type="spellStart"/>
      <w:r w:rsidRPr="00A74CC0">
        <w:rPr>
          <w:rFonts w:ascii="Times New Roman" w:hAnsi="Times New Roman" w:cs="Times New Roman"/>
          <w:b/>
        </w:rPr>
        <w:t>zadovoljsto</w:t>
      </w:r>
      <w:proofErr w:type="spellEnd"/>
      <w:r w:rsidRPr="00A74CC0">
        <w:rPr>
          <w:rFonts w:ascii="Times New Roman" w:hAnsi="Times New Roman" w:cs="Times New Roman"/>
          <w:b/>
        </w:rPr>
        <w:t xml:space="preserve"> </w:t>
      </w:r>
      <w:proofErr w:type="spellStart"/>
      <w:r w:rsidRPr="00A74CC0">
        <w:rPr>
          <w:rFonts w:ascii="Times New Roman" w:hAnsi="Times New Roman" w:cs="Times New Roman"/>
          <w:b/>
        </w:rPr>
        <w:t>lečenjem</w:t>
      </w:r>
      <w:proofErr w:type="spellEnd"/>
    </w:p>
    <w:p w:rsidR="00265A36" w:rsidRDefault="00265A36" w:rsidP="00265A36">
      <w:pPr>
        <w:spacing w:after="120" w:line="360" w:lineRule="auto"/>
        <w:rPr>
          <w:rFonts w:ascii="Times New Roman" w:hAnsi="Times New Roman" w:cs="Times New Roman"/>
          <w:b/>
        </w:rPr>
      </w:pPr>
    </w:p>
    <w:p w:rsidR="00265A36" w:rsidRPr="00B6339C" w:rsidRDefault="00265A36" w:rsidP="00265A36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PRILOG IV</w:t>
      </w:r>
    </w:p>
    <w:p w:rsidR="00265A36" w:rsidRDefault="00265A36" w:rsidP="00265A36">
      <w:pPr>
        <w:spacing w:after="12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70500" cy="3074458"/>
            <wp:effectExtent l="0" t="0" r="12700" b="247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65A36" w:rsidRDefault="00265A36" w:rsidP="00265A36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B6339C">
        <w:rPr>
          <w:rFonts w:ascii="Times New Roman" w:hAnsi="Times New Roman" w:cs="Times New Roman"/>
          <w:b/>
        </w:rPr>
        <w:t>Grafik</w:t>
      </w:r>
      <w:proofErr w:type="spellEnd"/>
      <w:r w:rsidRPr="00B6339C">
        <w:rPr>
          <w:rFonts w:ascii="Times New Roman" w:hAnsi="Times New Roman" w:cs="Times New Roman"/>
          <w:b/>
        </w:rPr>
        <w:t xml:space="preserve"> 2.</w:t>
      </w:r>
      <w:proofErr w:type="gramEnd"/>
      <w:r w:rsidRPr="00B6339C">
        <w:rPr>
          <w:rFonts w:ascii="Times New Roman" w:hAnsi="Times New Roman" w:cs="Times New Roman"/>
          <w:b/>
        </w:rPr>
        <w:t xml:space="preserve"> </w:t>
      </w:r>
      <w:proofErr w:type="spellStart"/>
      <w:r w:rsidRPr="00B6339C">
        <w:rPr>
          <w:rFonts w:ascii="Times New Roman" w:hAnsi="Times New Roman" w:cs="Times New Roman"/>
          <w:b/>
        </w:rPr>
        <w:t>Distribucija</w:t>
      </w:r>
      <w:proofErr w:type="spellEnd"/>
      <w:r w:rsidRPr="00B6339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vrednosti</w:t>
      </w:r>
      <w:proofErr w:type="spellEnd"/>
      <w:r>
        <w:rPr>
          <w:rFonts w:ascii="Times New Roman" w:hAnsi="Times New Roman" w:cs="Times New Roman"/>
          <w:b/>
        </w:rPr>
        <w:t xml:space="preserve"> AFEQT </w:t>
      </w:r>
      <w:proofErr w:type="spellStart"/>
      <w:r w:rsidRPr="00B6339C">
        <w:rPr>
          <w:rFonts w:ascii="Times New Roman" w:hAnsi="Times New Roman" w:cs="Times New Roman"/>
          <w:b/>
        </w:rPr>
        <w:t>skora</w:t>
      </w:r>
      <w:proofErr w:type="spellEnd"/>
      <w:r w:rsidRPr="00B6339C">
        <w:rPr>
          <w:rFonts w:ascii="Times New Roman" w:hAnsi="Times New Roman" w:cs="Times New Roman"/>
          <w:b/>
        </w:rPr>
        <w:t xml:space="preserve"> </w:t>
      </w:r>
      <w:proofErr w:type="spellStart"/>
      <w:r w:rsidRPr="00B6339C">
        <w:rPr>
          <w:rFonts w:ascii="Times New Roman" w:hAnsi="Times New Roman" w:cs="Times New Roman"/>
          <w:b/>
        </w:rPr>
        <w:t>prema</w:t>
      </w:r>
      <w:proofErr w:type="spellEnd"/>
      <w:r w:rsidRPr="00B6339C">
        <w:rPr>
          <w:rFonts w:ascii="Times New Roman" w:hAnsi="Times New Roman" w:cs="Times New Roman"/>
          <w:b/>
        </w:rPr>
        <w:t xml:space="preserve"> EHRA </w:t>
      </w:r>
      <w:proofErr w:type="spellStart"/>
      <w:r w:rsidRPr="00B6339C">
        <w:rPr>
          <w:rFonts w:ascii="Times New Roman" w:hAnsi="Times New Roman" w:cs="Times New Roman"/>
          <w:b/>
        </w:rPr>
        <w:t>klasi</w:t>
      </w:r>
      <w:proofErr w:type="spellEnd"/>
    </w:p>
    <w:p w:rsidR="00265A36" w:rsidRDefault="00265A36" w:rsidP="00265A36">
      <w:pPr>
        <w:pageBreakBefore/>
        <w:spacing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PRILOG V</w:t>
      </w:r>
    </w:p>
    <w:p w:rsidR="00265A36" w:rsidRDefault="00265A36" w:rsidP="00265A36">
      <w:pPr>
        <w:spacing w:after="12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Tabela</w:t>
      </w:r>
      <w:proofErr w:type="spellEnd"/>
      <w:r>
        <w:rPr>
          <w:rFonts w:ascii="Times New Roman" w:hAnsi="Times New Roman" w:cs="Times New Roman"/>
          <w:b/>
        </w:rPr>
        <w:t xml:space="preserve"> 3.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Logistička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regresiona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analiza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povezanosti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kvaliteta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života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kliničkih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karakteristika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značajnim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kardiovaskularnim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događajem</w:t>
      </w:r>
      <w:proofErr w:type="spellEnd"/>
    </w:p>
    <w:p w:rsidR="00265A36" w:rsidRDefault="00265A36" w:rsidP="00265A36">
      <w:pPr>
        <w:spacing w:after="12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924" w:type="dxa"/>
        <w:tblInd w:w="-885" w:type="dxa"/>
        <w:tblLayout w:type="fixed"/>
        <w:tblLook w:val="04A0"/>
      </w:tblPr>
      <w:tblGrid>
        <w:gridCol w:w="2553"/>
        <w:gridCol w:w="2126"/>
        <w:gridCol w:w="1417"/>
        <w:gridCol w:w="1985"/>
        <w:gridCol w:w="1843"/>
      </w:tblGrid>
      <w:tr w:rsidR="00265A36" w:rsidRPr="00E54263" w:rsidTr="00AD040E">
        <w:trPr>
          <w:trHeight w:val="708"/>
        </w:trPr>
        <w:tc>
          <w:tcPr>
            <w:tcW w:w="2553" w:type="dxa"/>
            <w:vMerge w:val="restart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Karakteristike</w:t>
            </w:r>
            <w:proofErr w:type="spellEnd"/>
          </w:p>
        </w:tc>
        <w:tc>
          <w:tcPr>
            <w:tcW w:w="3543" w:type="dxa"/>
            <w:gridSpan w:val="2"/>
            <w:tcBorders>
              <w:bottom w:val="single" w:sz="4" w:space="0" w:color="000000" w:themeColor="text1"/>
            </w:tcBorders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UNIVARIJANTNA ANALIZA</w:t>
            </w:r>
          </w:p>
        </w:tc>
        <w:tc>
          <w:tcPr>
            <w:tcW w:w="3828" w:type="dxa"/>
            <w:gridSpan w:val="2"/>
            <w:tcBorders>
              <w:bottom w:val="single" w:sz="4" w:space="0" w:color="000000" w:themeColor="text1"/>
            </w:tcBorders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MULTIVARIJANTNA ANALIZA</w:t>
            </w:r>
          </w:p>
        </w:tc>
      </w:tr>
      <w:tr w:rsidR="00265A36" w:rsidRPr="00E54263" w:rsidTr="00AD040E">
        <w:tc>
          <w:tcPr>
            <w:tcW w:w="2553" w:type="dxa"/>
            <w:vMerge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OR (95% CI)</w:t>
            </w:r>
          </w:p>
        </w:tc>
        <w:tc>
          <w:tcPr>
            <w:tcW w:w="1417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vrednost</w:t>
            </w:r>
            <w:proofErr w:type="spellEnd"/>
          </w:p>
        </w:tc>
        <w:tc>
          <w:tcPr>
            <w:tcW w:w="1985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OR (95% CI)</w:t>
            </w:r>
          </w:p>
        </w:tc>
        <w:tc>
          <w:tcPr>
            <w:tcW w:w="1843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vrednost</w:t>
            </w:r>
            <w:proofErr w:type="spellEnd"/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Starost</w:t>
            </w:r>
            <w:proofErr w:type="spellEnd"/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1,13 (1,07 - 1,20)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 (1,09 - 1,37)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Asimptomatska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(EHRA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=1)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2,43 (1,00 -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5,87)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Dijabetes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mellitus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4,01 (1,51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10,60)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 (1,64 - 13,77)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Ishemijska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bolest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srca</w:t>
            </w:r>
            <w:proofErr w:type="spellEnd"/>
          </w:p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raniji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infark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miokarda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toris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8,38 (3,31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21,25)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7,32 (1,30 - 11,2)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Ranija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revaskularizacija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hirurška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perkutana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5,78 (2,25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14,84)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Bolest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srčanih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zalistaka</w:t>
            </w:r>
            <w:proofErr w:type="spellEnd"/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3,61 (1,38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9,47)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Srčana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insuficijencija</w:t>
            </w:r>
            <w:proofErr w:type="spellEnd"/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5,64 (2,24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14,18)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leve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komore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 &lt;40%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6,66 (2,11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20,99)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HOBP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6,56 (1,37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31,44)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HBI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CrCl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&lt;60 ml/min)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4,55 (1,83 -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11,28)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Lečenje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frekvencije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3,26 (1,34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7,91)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553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CHA</w:t>
            </w:r>
            <w:r w:rsidRPr="00E542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E542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-VASc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2,25 (1,62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3,14)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 (1,41 - 3,11)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265A36" w:rsidRPr="00E54263" w:rsidTr="00AD0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553" w:type="dxa"/>
            <w:vAlign w:val="center"/>
          </w:tcPr>
          <w:p w:rsidR="00265A36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AFEQT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adovoljstvo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terapijom</w:t>
            </w:r>
            <w:proofErr w:type="spellEnd"/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0,97 (0,96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0,99)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985" w:type="dxa"/>
            <w:vAlign w:val="center"/>
          </w:tcPr>
          <w:p w:rsidR="00265A36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 (0,94 - 0,99)</w:t>
            </w:r>
          </w:p>
        </w:tc>
        <w:tc>
          <w:tcPr>
            <w:tcW w:w="1843" w:type="dxa"/>
            <w:vAlign w:val="center"/>
          </w:tcPr>
          <w:p w:rsidR="00265A36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</w:tr>
      <w:tr w:rsidR="00265A36" w:rsidRPr="00E54263" w:rsidTr="00AD0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553" w:type="dxa"/>
            <w:vAlign w:val="center"/>
          </w:tcPr>
          <w:p w:rsidR="00265A36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AFEQT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adovoljstvo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terapijom</w:t>
            </w:r>
            <w:proofErr w:type="spellEnd"/>
          </w:p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 (0,31 - 0,78)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985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 (0,38 - 0,76)</w:t>
            </w:r>
          </w:p>
        </w:tc>
        <w:tc>
          <w:tcPr>
            <w:tcW w:w="1843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</w:tr>
    </w:tbl>
    <w:p w:rsidR="00265A36" w:rsidRPr="00B54995" w:rsidRDefault="00265A36" w:rsidP="00265A36">
      <w:pPr>
        <w:spacing w:after="120"/>
        <w:jc w:val="both"/>
        <w:rPr>
          <w:rFonts w:ascii="Times New Roman" w:hAnsi="Times New Roman" w:cs="Times New Roman"/>
          <w:sz w:val="20"/>
        </w:rPr>
      </w:pPr>
      <w:r w:rsidRPr="00762C3C">
        <w:rPr>
          <w:rFonts w:ascii="Times New Roman" w:hAnsi="Times New Roman" w:cs="Times New Roman"/>
          <w:sz w:val="20"/>
        </w:rPr>
        <w:t xml:space="preserve">OR </w:t>
      </w:r>
      <w:r>
        <w:rPr>
          <w:rFonts w:ascii="Times New Roman" w:hAnsi="Times New Roman" w:cs="Times New Roman"/>
          <w:sz w:val="20"/>
        </w:rPr>
        <w:t xml:space="preserve">- Odds Ratio, CI - interval </w:t>
      </w:r>
      <w:proofErr w:type="spellStart"/>
      <w:r>
        <w:rPr>
          <w:rFonts w:ascii="Times New Roman" w:hAnsi="Times New Roman" w:cs="Times New Roman"/>
          <w:sz w:val="20"/>
        </w:rPr>
        <w:t>poverenja</w:t>
      </w:r>
      <w:proofErr w:type="spellEnd"/>
      <w:r>
        <w:rPr>
          <w:rFonts w:ascii="Times New Roman" w:hAnsi="Times New Roman" w:cs="Times New Roman"/>
          <w:sz w:val="20"/>
        </w:rPr>
        <w:t xml:space="preserve">; AF- </w:t>
      </w:r>
      <w:proofErr w:type="spellStart"/>
      <w:r>
        <w:rPr>
          <w:rFonts w:ascii="Times New Roman" w:hAnsi="Times New Roman" w:cs="Times New Roman"/>
          <w:sz w:val="20"/>
        </w:rPr>
        <w:t>atrijalna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fibrilacija</w:t>
      </w:r>
      <w:proofErr w:type="spellEnd"/>
      <w:r>
        <w:rPr>
          <w:rFonts w:ascii="Times New Roman" w:hAnsi="Times New Roman" w:cs="Times New Roman"/>
          <w:sz w:val="20"/>
        </w:rPr>
        <w:t xml:space="preserve">; HOBP - </w:t>
      </w:r>
      <w:proofErr w:type="spellStart"/>
      <w:r>
        <w:rPr>
          <w:rFonts w:ascii="Times New Roman" w:hAnsi="Times New Roman" w:cs="Times New Roman"/>
          <w:sz w:val="20"/>
        </w:rPr>
        <w:t>hronična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opstruktivna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bolest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pluća</w:t>
      </w:r>
      <w:proofErr w:type="spellEnd"/>
      <w:r>
        <w:rPr>
          <w:rFonts w:ascii="Times New Roman" w:hAnsi="Times New Roman" w:cs="Times New Roman"/>
          <w:sz w:val="20"/>
        </w:rPr>
        <w:t xml:space="preserve">; HBI - </w:t>
      </w:r>
      <w:proofErr w:type="spellStart"/>
      <w:r>
        <w:rPr>
          <w:rFonts w:ascii="Times New Roman" w:hAnsi="Times New Roman" w:cs="Times New Roman"/>
          <w:sz w:val="20"/>
        </w:rPr>
        <w:t>hronična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bubrežna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slabosti</w:t>
      </w:r>
      <w:proofErr w:type="spellEnd"/>
      <w:r>
        <w:rPr>
          <w:rFonts w:ascii="Times New Roman" w:hAnsi="Times New Roman" w:cs="Times New Roman"/>
          <w:sz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</w:rPr>
        <w:t>CrCl</w:t>
      </w:r>
      <w:proofErr w:type="spellEnd"/>
      <w:r>
        <w:rPr>
          <w:rFonts w:ascii="Times New Roman" w:hAnsi="Times New Roman" w:cs="Times New Roman"/>
          <w:sz w:val="20"/>
        </w:rPr>
        <w:t xml:space="preserve"> - </w:t>
      </w:r>
      <w:proofErr w:type="spellStart"/>
      <w:r>
        <w:rPr>
          <w:rFonts w:ascii="Times New Roman" w:hAnsi="Times New Roman" w:cs="Times New Roman"/>
          <w:sz w:val="20"/>
        </w:rPr>
        <w:t>klirens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kreatinina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r w:rsidRPr="00B54995">
        <w:rPr>
          <w:rFonts w:ascii="Times New Roman" w:hAnsi="Times New Roman" w:cs="Times New Roman"/>
          <w:sz w:val="20"/>
        </w:rPr>
        <w:t>CHA</w:t>
      </w:r>
      <w:r w:rsidRPr="00B54995">
        <w:rPr>
          <w:rFonts w:ascii="Times New Roman" w:hAnsi="Times New Roman" w:cs="Times New Roman"/>
          <w:sz w:val="20"/>
          <w:vertAlign w:val="subscript"/>
        </w:rPr>
        <w:t>2</w:t>
      </w:r>
      <w:r w:rsidRPr="00B54995">
        <w:rPr>
          <w:rFonts w:ascii="Times New Roman" w:hAnsi="Times New Roman" w:cs="Times New Roman"/>
          <w:sz w:val="20"/>
        </w:rPr>
        <w:t>DS</w:t>
      </w:r>
      <w:r w:rsidRPr="00B54995">
        <w:rPr>
          <w:rFonts w:ascii="Times New Roman" w:hAnsi="Times New Roman" w:cs="Times New Roman"/>
          <w:sz w:val="20"/>
          <w:vertAlign w:val="subscript"/>
        </w:rPr>
        <w:t>2</w:t>
      </w:r>
      <w:r w:rsidRPr="00B54995">
        <w:rPr>
          <w:rFonts w:ascii="Times New Roman" w:hAnsi="Times New Roman" w:cs="Times New Roman"/>
          <w:sz w:val="20"/>
        </w:rPr>
        <w:t xml:space="preserve">-VASc: C - </w:t>
      </w:r>
      <w:proofErr w:type="spellStart"/>
      <w:r w:rsidRPr="00B54995">
        <w:rPr>
          <w:rFonts w:ascii="Times New Roman" w:hAnsi="Times New Roman" w:cs="Times New Roman"/>
          <w:sz w:val="20"/>
        </w:rPr>
        <w:t>srčana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4995">
        <w:rPr>
          <w:rFonts w:ascii="Times New Roman" w:hAnsi="Times New Roman" w:cs="Times New Roman"/>
          <w:sz w:val="20"/>
        </w:rPr>
        <w:t>slabost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, H - </w:t>
      </w:r>
      <w:proofErr w:type="spellStart"/>
      <w:r w:rsidRPr="00B54995">
        <w:rPr>
          <w:rFonts w:ascii="Times New Roman" w:hAnsi="Times New Roman" w:cs="Times New Roman"/>
          <w:sz w:val="20"/>
        </w:rPr>
        <w:t>hipertenzija</w:t>
      </w:r>
      <w:proofErr w:type="spellEnd"/>
      <w:r w:rsidRPr="00B54995">
        <w:rPr>
          <w:rFonts w:ascii="Times New Roman" w:hAnsi="Times New Roman" w:cs="Times New Roman"/>
          <w:sz w:val="20"/>
        </w:rPr>
        <w:t>, A</w:t>
      </w:r>
      <w:r w:rsidRPr="00B54995">
        <w:rPr>
          <w:rFonts w:ascii="Times New Roman" w:hAnsi="Times New Roman" w:cs="Times New Roman"/>
          <w:sz w:val="20"/>
          <w:vertAlign w:val="subscript"/>
        </w:rPr>
        <w:t>2</w:t>
      </w:r>
      <w:r w:rsidRPr="00B54995">
        <w:rPr>
          <w:rFonts w:ascii="Times New Roman" w:hAnsi="Times New Roman" w:cs="Times New Roman"/>
          <w:sz w:val="20"/>
        </w:rPr>
        <w:t xml:space="preserve"> - </w:t>
      </w:r>
      <w:proofErr w:type="spellStart"/>
      <w:r w:rsidRPr="00B54995">
        <w:rPr>
          <w:rFonts w:ascii="Times New Roman" w:hAnsi="Times New Roman" w:cs="Times New Roman"/>
          <w:sz w:val="20"/>
        </w:rPr>
        <w:t>starost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≥75 </w:t>
      </w:r>
      <w:proofErr w:type="spellStart"/>
      <w:r w:rsidRPr="00B54995">
        <w:rPr>
          <w:rFonts w:ascii="Times New Roman" w:hAnsi="Times New Roman" w:cs="Times New Roman"/>
          <w:sz w:val="20"/>
        </w:rPr>
        <w:t>godina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; D - </w:t>
      </w:r>
      <w:proofErr w:type="spellStart"/>
      <w:r w:rsidRPr="00B54995">
        <w:rPr>
          <w:rFonts w:ascii="Times New Roman" w:hAnsi="Times New Roman" w:cs="Times New Roman"/>
          <w:sz w:val="20"/>
        </w:rPr>
        <w:t>dijabetes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4995">
        <w:rPr>
          <w:rFonts w:ascii="Times New Roman" w:hAnsi="Times New Roman" w:cs="Times New Roman"/>
          <w:sz w:val="20"/>
        </w:rPr>
        <w:t>melitus</w:t>
      </w:r>
      <w:proofErr w:type="spellEnd"/>
      <w:r w:rsidRPr="00B54995">
        <w:rPr>
          <w:rFonts w:ascii="Times New Roman" w:hAnsi="Times New Roman" w:cs="Times New Roman"/>
          <w:sz w:val="20"/>
        </w:rPr>
        <w:t>, S</w:t>
      </w:r>
      <w:r w:rsidRPr="00B54995">
        <w:rPr>
          <w:rFonts w:ascii="Times New Roman" w:hAnsi="Times New Roman" w:cs="Times New Roman"/>
          <w:sz w:val="20"/>
          <w:vertAlign w:val="subscript"/>
        </w:rPr>
        <w:t>2</w:t>
      </w:r>
      <w:r w:rsidRPr="00B54995">
        <w:rPr>
          <w:rFonts w:ascii="Times New Roman" w:hAnsi="Times New Roman" w:cs="Times New Roman"/>
          <w:sz w:val="20"/>
        </w:rPr>
        <w:t xml:space="preserve"> - </w:t>
      </w:r>
      <w:proofErr w:type="spellStart"/>
      <w:r w:rsidRPr="00B54995">
        <w:rPr>
          <w:rFonts w:ascii="Times New Roman" w:hAnsi="Times New Roman" w:cs="Times New Roman"/>
          <w:sz w:val="20"/>
        </w:rPr>
        <w:t>moždani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4995">
        <w:rPr>
          <w:rFonts w:ascii="Times New Roman" w:hAnsi="Times New Roman" w:cs="Times New Roman"/>
          <w:sz w:val="20"/>
        </w:rPr>
        <w:t>udar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/TIA, A - </w:t>
      </w:r>
      <w:proofErr w:type="spellStart"/>
      <w:r w:rsidRPr="00B54995">
        <w:rPr>
          <w:rFonts w:ascii="Times New Roman" w:hAnsi="Times New Roman" w:cs="Times New Roman"/>
          <w:sz w:val="20"/>
        </w:rPr>
        <w:t>statorst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65-74 </w:t>
      </w:r>
      <w:proofErr w:type="spellStart"/>
      <w:r w:rsidRPr="00B54995">
        <w:rPr>
          <w:rFonts w:ascii="Times New Roman" w:hAnsi="Times New Roman" w:cs="Times New Roman"/>
          <w:sz w:val="20"/>
        </w:rPr>
        <w:t>godina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, Sc - </w:t>
      </w:r>
      <w:proofErr w:type="spellStart"/>
      <w:r w:rsidRPr="00B54995">
        <w:rPr>
          <w:rFonts w:ascii="Times New Roman" w:hAnsi="Times New Roman" w:cs="Times New Roman"/>
          <w:sz w:val="20"/>
        </w:rPr>
        <w:t>ženski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4995">
        <w:rPr>
          <w:rFonts w:ascii="Times New Roman" w:hAnsi="Times New Roman" w:cs="Times New Roman"/>
          <w:sz w:val="20"/>
        </w:rPr>
        <w:t>pol</w:t>
      </w:r>
      <w:proofErr w:type="spellEnd"/>
      <w:r w:rsidRPr="00B54995">
        <w:rPr>
          <w:rFonts w:ascii="Times New Roman" w:hAnsi="Times New Roman" w:cs="Times New Roman"/>
          <w:sz w:val="20"/>
        </w:rPr>
        <w:t>;</w:t>
      </w:r>
      <w:r>
        <w:rPr>
          <w:rFonts w:ascii="Times New Roman" w:hAnsi="Times New Roman" w:cs="Times New Roman"/>
          <w:sz w:val="20"/>
        </w:rPr>
        <w:t xml:space="preserve"> </w:t>
      </w:r>
      <w:r w:rsidRPr="00B54995">
        <w:rPr>
          <w:rFonts w:ascii="Times New Roman" w:hAnsi="Times New Roman" w:cs="Times New Roman"/>
          <w:sz w:val="20"/>
        </w:rPr>
        <w:t xml:space="preserve">AFEQT - </w:t>
      </w:r>
      <w:proofErr w:type="spellStart"/>
      <w:r w:rsidRPr="00B54995">
        <w:rPr>
          <w:rFonts w:ascii="Times New Roman" w:hAnsi="Times New Roman" w:cs="Times New Roman"/>
          <w:sz w:val="20"/>
        </w:rPr>
        <w:t>Atrial</w:t>
      </w:r>
      <w:proofErr w:type="spellEnd"/>
      <w:r w:rsidRPr="00B54995">
        <w:rPr>
          <w:rFonts w:ascii="Times New Roman" w:hAnsi="Times New Roman" w:cs="Times New Roman"/>
          <w:sz w:val="20"/>
        </w:rPr>
        <w:t xml:space="preserve"> Fibrillation Effect on Quality of Life</w:t>
      </w:r>
    </w:p>
    <w:p w:rsidR="00265A36" w:rsidRDefault="00265A36" w:rsidP="00265A36">
      <w:pPr>
        <w:spacing w:after="120"/>
        <w:jc w:val="both"/>
        <w:rPr>
          <w:rFonts w:ascii="Times New Roman" w:hAnsi="Times New Roman" w:cs="Times New Roman"/>
          <w:sz w:val="20"/>
        </w:rPr>
      </w:pPr>
    </w:p>
    <w:p w:rsidR="00265A36" w:rsidRDefault="00265A36" w:rsidP="00265A36">
      <w:pPr>
        <w:spacing w:after="120"/>
        <w:jc w:val="both"/>
        <w:rPr>
          <w:rFonts w:ascii="Times New Roman" w:hAnsi="Times New Roman" w:cs="Times New Roman"/>
          <w:sz w:val="20"/>
        </w:rPr>
      </w:pPr>
    </w:p>
    <w:p w:rsidR="00265A36" w:rsidRDefault="00265A36" w:rsidP="00265A36">
      <w:pPr>
        <w:pageBreakBefore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PRILOG VI</w:t>
      </w:r>
    </w:p>
    <w:p w:rsidR="00265A36" w:rsidRDefault="00265A36" w:rsidP="00265A36">
      <w:pPr>
        <w:spacing w:after="12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Tabela</w:t>
      </w:r>
      <w:proofErr w:type="spellEnd"/>
      <w:r>
        <w:rPr>
          <w:rFonts w:ascii="Times New Roman" w:hAnsi="Times New Roman" w:cs="Times New Roman"/>
          <w:b/>
        </w:rPr>
        <w:t xml:space="preserve"> 4.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Logistička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regresiona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analiza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povezanosti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kvaliteta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života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kliničkih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karakteristika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hospitalizacijom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zbog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srčane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slabosti</w:t>
      </w:r>
      <w:proofErr w:type="spellEnd"/>
    </w:p>
    <w:p w:rsidR="00265A36" w:rsidRDefault="00265A36" w:rsidP="00265A36">
      <w:pPr>
        <w:spacing w:after="120"/>
        <w:jc w:val="both"/>
      </w:pPr>
    </w:p>
    <w:tbl>
      <w:tblPr>
        <w:tblStyle w:val="TableGrid"/>
        <w:tblW w:w="10065" w:type="dxa"/>
        <w:tblInd w:w="-885" w:type="dxa"/>
        <w:tblLayout w:type="fixed"/>
        <w:tblLook w:val="04A0"/>
      </w:tblPr>
      <w:tblGrid>
        <w:gridCol w:w="2694"/>
        <w:gridCol w:w="2127"/>
        <w:gridCol w:w="1417"/>
        <w:gridCol w:w="2126"/>
        <w:gridCol w:w="1701"/>
      </w:tblGrid>
      <w:tr w:rsidR="00265A36" w:rsidRPr="00E54263" w:rsidTr="00AD040E">
        <w:trPr>
          <w:trHeight w:val="708"/>
        </w:trPr>
        <w:tc>
          <w:tcPr>
            <w:tcW w:w="2694" w:type="dxa"/>
            <w:vMerge w:val="restart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Karakteristike</w:t>
            </w:r>
            <w:proofErr w:type="spellEnd"/>
          </w:p>
        </w:tc>
        <w:tc>
          <w:tcPr>
            <w:tcW w:w="3544" w:type="dxa"/>
            <w:gridSpan w:val="2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UNIVARIJANTNA ANALIZA</w:t>
            </w:r>
          </w:p>
        </w:tc>
        <w:tc>
          <w:tcPr>
            <w:tcW w:w="3827" w:type="dxa"/>
            <w:gridSpan w:val="2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MULTIVARIJANTNA ANALIZA</w:t>
            </w:r>
          </w:p>
        </w:tc>
      </w:tr>
      <w:tr w:rsidR="00265A36" w:rsidRPr="00E54263" w:rsidTr="00AD040E">
        <w:tc>
          <w:tcPr>
            <w:tcW w:w="2694" w:type="dxa"/>
            <w:vMerge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OR (95% CI)</w:t>
            </w:r>
          </w:p>
        </w:tc>
        <w:tc>
          <w:tcPr>
            <w:tcW w:w="1417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vrednost</w:t>
            </w:r>
            <w:proofErr w:type="spellEnd"/>
          </w:p>
        </w:tc>
        <w:tc>
          <w:tcPr>
            <w:tcW w:w="2126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OR (95% CI)</w:t>
            </w:r>
          </w:p>
        </w:tc>
        <w:tc>
          <w:tcPr>
            <w:tcW w:w="1701" w:type="dxa"/>
            <w:shd w:val="clear" w:color="auto" w:fill="FFCC99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 w:rsidRPr="00E54263">
              <w:rPr>
                <w:rFonts w:ascii="Times New Roman" w:hAnsi="Times New Roman" w:cs="Times New Roman"/>
                <w:b/>
                <w:sz w:val="24"/>
                <w:szCs w:val="24"/>
              </w:rPr>
              <w:t>vrednost</w:t>
            </w:r>
            <w:proofErr w:type="spellEnd"/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Starost</w:t>
            </w:r>
            <w:proofErr w:type="spellEnd"/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 (1,01 - 1,20)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 (0,95 - 0,99)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Asimptomatska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(EHRA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=1)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 (1,12 - 5,10)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Dijabetes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mellitus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 (1,13 - 13,03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 (1,26 - 1,32)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Ishemijska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bolest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srca</w:t>
            </w:r>
            <w:proofErr w:type="spellEnd"/>
          </w:p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raniji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infark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miokarda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toris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5,51 (1,18 - 15,65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7,06 (1,26 - 14,53)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Ranija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revaskularizacija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hirurška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perkutana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 (3,76 - 19,13)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Srčana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insuficijencija</w:t>
            </w:r>
            <w:proofErr w:type="spellEnd"/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 (3,83 - 10,11)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 (2,56 - 8,36)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leve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komore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 &lt;40%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 (1,99 - 11,70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HOBP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 (2,35 - 8,11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HBI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CrCl</w:t>
            </w:r>
            <w:proofErr w:type="spellEnd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&lt;60 ml/min)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1,07 - 7,20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694" w:type="dxa"/>
            <w:vAlign w:val="center"/>
          </w:tcPr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CHA</w:t>
            </w:r>
            <w:r w:rsidRPr="00E542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E542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 xml:space="preserve">-VASc </w:t>
            </w:r>
            <w:proofErr w:type="spellStart"/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 (1,62 - 5,04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65A36" w:rsidRPr="00E54263" w:rsidTr="00AD0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2694" w:type="dxa"/>
            <w:vAlign w:val="center"/>
          </w:tcPr>
          <w:p w:rsidR="00265A36" w:rsidRDefault="00265A36" w:rsidP="00AD040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Ukupni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AFEQT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2127" w:type="dxa"/>
            <w:vAlign w:val="center"/>
          </w:tcPr>
          <w:p w:rsidR="00265A36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0,94 (0,89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0,99)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5426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65A36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 (0,95 - 0,99)</w:t>
            </w:r>
          </w:p>
        </w:tc>
        <w:tc>
          <w:tcPr>
            <w:tcW w:w="1701" w:type="dxa"/>
            <w:vAlign w:val="center"/>
          </w:tcPr>
          <w:p w:rsidR="00265A36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265A36" w:rsidRPr="00E54263" w:rsidTr="00AD0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2694" w:type="dxa"/>
            <w:vAlign w:val="center"/>
          </w:tcPr>
          <w:p w:rsidR="00265A36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Ukupni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AFEQT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A36" w:rsidRPr="00E54263" w:rsidRDefault="00265A36" w:rsidP="00AD04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 (0,15 - 0,97)</w:t>
            </w:r>
          </w:p>
        </w:tc>
        <w:tc>
          <w:tcPr>
            <w:tcW w:w="1417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126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 (0,20 - 0,93)</w:t>
            </w:r>
          </w:p>
        </w:tc>
        <w:tc>
          <w:tcPr>
            <w:tcW w:w="1701" w:type="dxa"/>
            <w:vAlign w:val="center"/>
          </w:tcPr>
          <w:p w:rsidR="00265A36" w:rsidRPr="00E54263" w:rsidRDefault="00265A36" w:rsidP="00AD040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</w:tbl>
    <w:p w:rsidR="00265A36" w:rsidRPr="0033529B" w:rsidRDefault="00265A36" w:rsidP="00265A36">
      <w:pPr>
        <w:rPr>
          <w:rFonts w:ascii="Times New Roman" w:hAnsi="Times New Roman" w:cs="Times New Roman"/>
          <w:sz w:val="20"/>
          <w:szCs w:val="20"/>
        </w:rPr>
      </w:pPr>
      <w:r w:rsidRPr="0033529B">
        <w:rPr>
          <w:rFonts w:ascii="Times New Roman" w:hAnsi="Times New Roman" w:cs="Times New Roman"/>
          <w:sz w:val="20"/>
          <w:szCs w:val="20"/>
        </w:rPr>
        <w:t xml:space="preserve">OR  - Odds ratio; CI - interval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poverenja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; EHRA - European Heart Rhythm Association; HOBP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hronična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opstruktivna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bolest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pluća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; HBI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hronična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bubrežna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slabost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>, CHA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>DS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 xml:space="preserve">-VASc: C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srčana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slabost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, H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hipertenzija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>, A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starost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≥75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godina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; D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dijabetes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melitus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>, S</w:t>
      </w:r>
      <w:r w:rsidRPr="0033529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3529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moždani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udar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/TIA, A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statorst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65-74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godina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, Sc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ženski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pol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; AFEQT - </w:t>
      </w:r>
      <w:proofErr w:type="spellStart"/>
      <w:r w:rsidRPr="0033529B">
        <w:rPr>
          <w:rFonts w:ascii="Times New Roman" w:hAnsi="Times New Roman" w:cs="Times New Roman"/>
          <w:sz w:val="20"/>
          <w:szCs w:val="20"/>
        </w:rPr>
        <w:t>Atrial</w:t>
      </w:r>
      <w:proofErr w:type="spellEnd"/>
      <w:r w:rsidRPr="0033529B">
        <w:rPr>
          <w:rFonts w:ascii="Times New Roman" w:hAnsi="Times New Roman" w:cs="Times New Roman"/>
          <w:sz w:val="20"/>
          <w:szCs w:val="20"/>
        </w:rPr>
        <w:t xml:space="preserve"> Fibrillation Effect on Quality of Life</w:t>
      </w:r>
    </w:p>
    <w:p w:rsidR="00265A36" w:rsidRDefault="00265A36" w:rsidP="00265A36">
      <w:pPr>
        <w:spacing w:after="120"/>
        <w:jc w:val="both"/>
        <w:rPr>
          <w:rFonts w:ascii="Times New Roman" w:hAnsi="Times New Roman" w:cs="Times New Roman"/>
          <w:b/>
        </w:rPr>
      </w:pPr>
    </w:p>
    <w:p w:rsidR="00265A36" w:rsidRPr="00B54995" w:rsidRDefault="00265A36" w:rsidP="00265A36">
      <w:pPr>
        <w:spacing w:after="120"/>
        <w:jc w:val="both"/>
        <w:rPr>
          <w:rFonts w:ascii="Times New Roman" w:hAnsi="Times New Roman" w:cs="Times New Roman"/>
          <w:b/>
        </w:rPr>
      </w:pPr>
    </w:p>
    <w:p w:rsidR="007B6827" w:rsidRDefault="007B6827"/>
    <w:sectPr w:rsidR="007B68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65A36"/>
    <w:rsid w:val="00265A36"/>
    <w:rsid w:val="007B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Work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8"/>
  <c:chart>
    <c:plotArea>
      <c:layout/>
      <c:barChart>
        <c:barDir val="col"/>
        <c:grouping val="clustered"/>
        <c:ser>
          <c:idx val="0"/>
          <c:order val="0"/>
          <c:tx>
            <c:v>Ukupni AFEQT</c:v>
          </c:tx>
          <c:spPr>
            <a:effectLst>
              <a:outerShdw blurRad="50800" dist="38100" dir="2700000" rotWithShape="0">
                <a:srgbClr val="000000">
                  <a:alpha val="43000"/>
                </a:srgbClr>
              </a:outerShdw>
            </a:effectLst>
          </c:spPr>
          <c:cat>
            <c:numRef>
              <c:f>Sheet1!$C$6</c:f>
              <c:numCache>
                <c:formatCode>General</c:formatCode>
                <c:ptCount val="1"/>
              </c:numCache>
            </c:numRef>
          </c:cat>
          <c:val>
            <c:numRef>
              <c:f>Sheet1!$A$3</c:f>
              <c:numCache>
                <c:formatCode>General</c:formatCode>
                <c:ptCount val="1"/>
                <c:pt idx="0">
                  <c:v>64.3</c:v>
                </c:pt>
              </c:numCache>
            </c:numRef>
          </c:val>
        </c:ser>
        <c:ser>
          <c:idx val="1"/>
          <c:order val="1"/>
          <c:tx>
            <c:v>Simptomi</c:v>
          </c:tx>
          <c:spPr>
            <a:effectLst>
              <a:outerShdw blurRad="50800" dist="38100" dir="2700000" rotWithShape="0">
                <a:srgbClr val="000000">
                  <a:alpha val="43000"/>
                </a:srgbClr>
              </a:outerShdw>
            </a:effectLst>
          </c:spPr>
          <c:cat>
            <c:numRef>
              <c:f>Sheet1!$C$6</c:f>
              <c:numCache>
                <c:formatCode>General</c:formatCode>
                <c:ptCount val="1"/>
              </c:numCache>
            </c:numRef>
          </c:cat>
          <c:val>
            <c:numRef>
              <c:f>Sheet1!$B$3</c:f>
              <c:numCache>
                <c:formatCode>General</c:formatCode>
                <c:ptCount val="1"/>
                <c:pt idx="0">
                  <c:v>62.4</c:v>
                </c:pt>
              </c:numCache>
            </c:numRef>
          </c:val>
        </c:ser>
        <c:ser>
          <c:idx val="2"/>
          <c:order val="2"/>
          <c:tx>
            <c:v>Dnevna aktivnost</c:v>
          </c:tx>
          <c:spPr>
            <a:effectLst>
              <a:outerShdw blurRad="50800" dist="38100" dir="2700000" rotWithShape="0">
                <a:srgbClr val="000000">
                  <a:alpha val="43000"/>
                </a:srgbClr>
              </a:outerShdw>
            </a:effectLst>
          </c:spPr>
          <c:cat>
            <c:numRef>
              <c:f>Sheet1!$C$6</c:f>
              <c:numCache>
                <c:formatCode>General</c:formatCode>
                <c:ptCount val="1"/>
              </c:numCache>
            </c:numRef>
          </c:cat>
          <c:val>
            <c:numRef>
              <c:f>Sheet1!$C$3</c:f>
              <c:numCache>
                <c:formatCode>General</c:formatCode>
                <c:ptCount val="1"/>
                <c:pt idx="0">
                  <c:v>51.6</c:v>
                </c:pt>
              </c:numCache>
            </c:numRef>
          </c:val>
        </c:ser>
        <c:ser>
          <c:idx val="3"/>
          <c:order val="3"/>
          <c:tx>
            <c:v>Zabrinutost</c:v>
          </c:tx>
          <c:spPr>
            <a:effectLst>
              <a:outerShdw blurRad="50800" dist="38100" dir="2700000" rotWithShape="0">
                <a:srgbClr val="000000">
                  <a:alpha val="43000"/>
                </a:srgbClr>
              </a:outerShdw>
            </a:effectLst>
          </c:spPr>
          <c:cat>
            <c:numRef>
              <c:f>Sheet1!$C$6</c:f>
              <c:numCache>
                <c:formatCode>General</c:formatCode>
                <c:ptCount val="1"/>
              </c:numCache>
            </c:numRef>
          </c:cat>
          <c:val>
            <c:numRef>
              <c:f>Sheet1!$D$3</c:f>
              <c:numCache>
                <c:formatCode>General</c:formatCode>
                <c:ptCount val="1"/>
                <c:pt idx="0">
                  <c:v>78.900000000000006</c:v>
                </c:pt>
              </c:numCache>
            </c:numRef>
          </c:val>
        </c:ser>
        <c:ser>
          <c:idx val="4"/>
          <c:order val="4"/>
          <c:tx>
            <c:v>Zadovoljstvo</c:v>
          </c:tx>
          <c:spPr>
            <a:effectLst>
              <a:outerShdw blurRad="50800" dist="38100" dir="2700000" rotWithShape="0">
                <a:srgbClr val="000000">
                  <a:alpha val="43000"/>
                </a:srgbClr>
              </a:outerShdw>
            </a:effectLst>
          </c:spPr>
          <c:cat>
            <c:numRef>
              <c:f>Sheet1!$C$6</c:f>
              <c:numCache>
                <c:formatCode>General</c:formatCode>
                <c:ptCount val="1"/>
              </c:numCache>
            </c:numRef>
          </c:cat>
          <c:val>
            <c:numRef>
              <c:f>Sheet1!$E$3</c:f>
              <c:numCache>
                <c:formatCode>General</c:formatCode>
                <c:ptCount val="1"/>
                <c:pt idx="0">
                  <c:v>75.2</c:v>
                </c:pt>
              </c:numCache>
            </c:numRef>
          </c:val>
        </c:ser>
        <c:gapWidth val="100"/>
        <c:overlap val="-40"/>
        <c:axId val="162810496"/>
        <c:axId val="109207936"/>
      </c:barChart>
      <c:catAx>
        <c:axId val="162810496"/>
        <c:scaling>
          <c:orientation val="minMax"/>
        </c:scaling>
        <c:axPos val="b"/>
        <c:numFmt formatCode="General" sourceLinked="1"/>
        <c:tickLblPos val="nextTo"/>
        <c:crossAx val="109207936"/>
        <c:crosses val="autoZero"/>
        <c:auto val="1"/>
        <c:lblAlgn val="ctr"/>
        <c:lblOffset val="100"/>
      </c:catAx>
      <c:valAx>
        <c:axId val="109207936"/>
        <c:scaling>
          <c:orientation val="minMax"/>
        </c:scaling>
        <c:axPos val="l"/>
        <c:majorGridlines>
          <c:spPr>
            <a:ln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 b="1" i="0">
                    <a:latin typeface="Arial"/>
                    <a:cs typeface="Arial"/>
                  </a:defRPr>
                </a:pPr>
                <a:r>
                  <a:rPr lang="en-US" sz="1200" b="1" i="0">
                    <a:latin typeface="Arial"/>
                    <a:cs typeface="Arial"/>
                  </a:rPr>
                  <a:t>AFEQT</a:t>
                </a:r>
                <a:r>
                  <a:rPr lang="en-US" sz="1200" b="1" i="0" baseline="0">
                    <a:latin typeface="Arial"/>
                    <a:cs typeface="Arial"/>
                  </a:rPr>
                  <a:t> skor</a:t>
                </a:r>
                <a:endParaRPr lang="en-US" sz="1200" b="1" i="0">
                  <a:latin typeface="Arial"/>
                  <a:cs typeface="Arial"/>
                </a:endParaRPr>
              </a:p>
            </c:rich>
          </c:tx>
        </c:title>
        <c:numFmt formatCode="General" sourceLinked="0"/>
        <c:tickLblPos val="nextTo"/>
        <c:txPr>
          <a:bodyPr/>
          <a:lstStyle/>
          <a:p>
            <a:pPr>
              <a:defRPr sz="1200">
                <a:latin typeface="Arial"/>
                <a:cs typeface="Arial"/>
              </a:defRPr>
            </a:pPr>
            <a:endParaRPr lang="en-US"/>
          </a:p>
        </c:txPr>
        <c:crossAx val="1628104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1282990228631168E-2"/>
          <c:y val="0.86695812241141479"/>
          <c:w val="0.92237052685487664"/>
          <c:h val="6.5523371568766017E-2"/>
        </c:manualLayout>
      </c:layout>
      <c:txPr>
        <a:bodyPr/>
        <a:lstStyle/>
        <a:p>
          <a:pPr>
            <a:defRPr sz="1000" b="1" i="0">
              <a:latin typeface="Arial"/>
              <a:cs typeface="Arial"/>
            </a:defRPr>
          </a:pPr>
          <a:endParaRPr lang="en-US"/>
        </a:p>
      </c:txPr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effectLst>
              <a:outerShdw blurRad="50800" dist="38100" dir="2700000" algn="tl" rotWithShape="0">
                <a:srgbClr val="000000">
                  <a:alpha val="4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50800" h="12700" prst="softRound"/>
            </a:sp3d>
          </c:spPr>
          <c:cat>
            <c:strRef>
              <c:f>Sheet1!$A$2:$A$5</c:f>
              <c:strCache>
                <c:ptCount val="4"/>
                <c:pt idx="0">
                  <c:v>EHRA I</c:v>
                </c:pt>
                <c:pt idx="1">
                  <c:v>EHRA II</c:v>
                </c:pt>
                <c:pt idx="2">
                  <c:v>EHRA III</c:v>
                </c:pt>
                <c:pt idx="3">
                  <c:v>EHRA IV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77.2</c:v>
                </c:pt>
                <c:pt idx="1">
                  <c:v>66.599999999999994</c:v>
                </c:pt>
                <c:pt idx="2">
                  <c:v>55.1</c:v>
                </c:pt>
                <c:pt idx="3">
                  <c:v>51</c:v>
                </c:pt>
              </c:numCache>
            </c:numRef>
          </c:val>
        </c:ser>
        <c:gapWidth val="95"/>
        <c:overlap val="100"/>
        <c:axId val="109213184"/>
        <c:axId val="109214720"/>
      </c:barChart>
      <c:catAx>
        <c:axId val="1092131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="1">
                <a:latin typeface="Arial"/>
                <a:cs typeface="Arial"/>
              </a:defRPr>
            </a:pPr>
            <a:endParaRPr lang="en-US"/>
          </a:p>
        </c:txPr>
        <c:crossAx val="109214720"/>
        <c:crosses val="autoZero"/>
        <c:auto val="1"/>
        <c:lblAlgn val="ctr"/>
        <c:lblOffset val="100"/>
      </c:catAx>
      <c:valAx>
        <c:axId val="109214720"/>
        <c:scaling>
          <c:orientation val="minMax"/>
        </c:scaling>
        <c:axPos val="l"/>
        <c:majorGridlines>
          <c:spPr>
            <a:ln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>
                    <a:latin typeface="Arial"/>
                    <a:cs typeface="Arial"/>
                  </a:rPr>
                  <a:t>AFEQT skor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200">
                <a:latin typeface="Arial"/>
              </a:defRPr>
            </a:pPr>
            <a:endParaRPr lang="en-US"/>
          </a:p>
        </c:txPr>
        <c:crossAx val="1092131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 i="0">
                <a:latin typeface="Arial"/>
              </a:defRPr>
            </a:pPr>
            <a:endParaRPr lang="en-US"/>
          </a:p>
        </c:txPr>
      </c:dTable>
    </c:plotArea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0.14242</cdr:x>
      <cdr:y>0.11754</cdr:y>
    </cdr:from>
    <cdr:to>
      <cdr:x>0.33269</cdr:x>
      <cdr:y>0.2418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7206" y="350134"/>
          <a:ext cx="1065041" cy="3701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1" dirty="0" smtClean="0">
              <a:latin typeface="Arial"/>
              <a:cs typeface="Arial"/>
            </a:rPr>
            <a:t>64,3 ± 18,8</a:t>
          </a:r>
          <a:endParaRPr lang="en-US" sz="1100" b="1" dirty="0"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0.30578</cdr:x>
      <cdr:y>0.19429</cdr:y>
    </cdr:from>
    <cdr:to>
      <cdr:x>0.50154</cdr:x>
      <cdr:y>0.26901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711606" y="578734"/>
          <a:ext cx="1095771" cy="222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 dirty="0">
              <a:latin typeface="Arial"/>
              <a:cs typeface="Arial"/>
            </a:rPr>
            <a:t>62,4 </a:t>
          </a:r>
          <a:r>
            <a:rPr lang="en-US" sz="1100" b="1" dirty="0" smtClean="0">
              <a:latin typeface="Arial"/>
              <a:cs typeface="Arial"/>
            </a:rPr>
            <a:t>± 24,1 </a:t>
          </a:r>
          <a:endParaRPr lang="en-US" sz="1100" b="1" dirty="0"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0.44872</cdr:x>
      <cdr:y>0.27103</cdr:y>
    </cdr:from>
    <cdr:to>
      <cdr:x>0.64552</cdr:x>
      <cdr:y>0.36259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511706" y="807334"/>
          <a:ext cx="1101593" cy="272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 dirty="0" smtClean="0">
              <a:latin typeface="Arial"/>
              <a:cs typeface="Arial"/>
            </a:rPr>
            <a:t>51,6 ± 29,3 </a:t>
          </a:r>
          <a:endParaRPr lang="en-US" sz="1100" b="1" dirty="0"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0.59166</cdr:x>
      <cdr:y>0.0408</cdr:y>
    </cdr:from>
    <cdr:to>
      <cdr:x>0.80852</cdr:x>
      <cdr:y>0.11522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311806" y="121534"/>
          <a:ext cx="1213879" cy="221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 dirty="0" smtClean="0">
              <a:latin typeface="Arial"/>
              <a:cs typeface="Arial"/>
            </a:rPr>
            <a:t>78,9 ± 20,5 </a:t>
          </a:r>
          <a:endParaRPr lang="en-US" sz="1100" b="1" dirty="0"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0.75849</cdr:x>
      <cdr:y>0.08388</cdr:y>
    </cdr:from>
    <cdr:to>
      <cdr:x>0.95117</cdr:x>
      <cdr:y>0.1827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997606" y="231494"/>
          <a:ext cx="1015544" cy="2726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 dirty="0" smtClean="0">
              <a:latin typeface="Arial"/>
              <a:cs typeface="Arial"/>
            </a:rPr>
            <a:t>75,2 ± 22,4 </a:t>
          </a:r>
          <a:endParaRPr lang="en-US" sz="1100" b="1" dirty="0">
            <a:latin typeface="Arial"/>
            <a:cs typeface="Arial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0.12847</cdr:x>
      <cdr:y>0.10119</cdr:y>
    </cdr:from>
    <cdr:to>
      <cdr:x>0.21875</cdr:x>
      <cdr:y>0.13988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04850" y="323850"/>
          <a:ext cx="4953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0.57465</cdr:x>
      <cdr:y>0.3006</cdr:y>
    </cdr:from>
    <cdr:to>
      <cdr:x>0.68403</cdr:x>
      <cdr:y>0.37202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152775" y="962025"/>
          <a:ext cx="6000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0.80208</cdr:x>
      <cdr:y>0.33631</cdr:y>
    </cdr:from>
    <cdr:to>
      <cdr:x>0.90972</cdr:x>
      <cdr:y>0.40476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400550" y="1076325"/>
          <a:ext cx="5905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5299</Characters>
  <Application>Microsoft Office Word</Application>
  <DocSecurity>0</DocSecurity>
  <Lines>44</Lines>
  <Paragraphs>12</Paragraphs>
  <ScaleCrop>false</ScaleCrop>
  <Company>Grizli777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2017-04-27T21:55:00Z</dcterms:created>
  <dcterms:modified xsi:type="dcterms:W3CDTF">2017-04-27T21:55:00Z</dcterms:modified>
</cp:coreProperties>
</file>