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EF" w:rsidRDefault="005365EF" w:rsidP="005365EF">
      <w:pPr>
        <w:rPr>
          <w:rFonts w:ascii="Times New Roman" w:hAnsi="Times New Roman" w:cs="Times New Roman"/>
          <w:sz w:val="24"/>
          <w:szCs w:val="24"/>
        </w:rPr>
      </w:pPr>
      <w:r w:rsidRPr="006558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454272"/>
            <wp:effectExtent l="19050" t="0" r="19050" b="0"/>
            <wp:docPr id="6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365EF" w:rsidRDefault="005365EF" w:rsidP="005365E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Grafikon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Vrsta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korišćena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lečenju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zavisnosti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sočiva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PVR-a</w:t>
      </w:r>
    </w:p>
    <w:p w:rsidR="00C022F6" w:rsidRDefault="00C022F6"/>
    <w:sectPr w:rsidR="00C022F6" w:rsidSect="00C0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365EF"/>
    <w:rsid w:val="005365EF"/>
    <w:rsid w:val="00C0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autoTitleDeleted val="1"/>
    <c:plotArea>
      <c:layout/>
      <c:barChart>
        <c:barDir val="col"/>
        <c:grouping val="percentStacked"/>
        <c:ser>
          <c:idx val="0"/>
          <c:order val="0"/>
          <c:tx>
            <c:strRef>
              <c:f>Sheet1!$B$1</c:f>
              <c:strCache>
                <c:ptCount val="1"/>
                <c:pt idx="0">
                  <c:v>Klasična metoda</c:v>
                </c:pt>
              </c:strCache>
            </c:strRef>
          </c:tx>
          <c:dLbls>
            <c:dLbl>
              <c:idx val="3"/>
              <c:delete val="1"/>
            </c:dLbl>
            <c:txPr>
              <a:bodyPr/>
              <a:lstStyle/>
              <a:p>
                <a:pPr>
                  <a:defRPr sz="950"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Providno sočivo</c:v>
                </c:pt>
                <c:pt idx="1">
                  <c:v>Katarakta</c:v>
                </c:pt>
                <c:pt idx="2">
                  <c:v>Pseudofakija</c:v>
                </c:pt>
                <c:pt idx="3">
                  <c:v>Afakija</c:v>
                </c:pt>
                <c:pt idx="5">
                  <c:v>Prisutan PVR</c:v>
                </c:pt>
                <c:pt idx="6">
                  <c:v>Odsutan PVR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0.70909999999999995</c:v>
                </c:pt>
                <c:pt idx="1">
                  <c:v>0.38330000000000425</c:v>
                </c:pt>
                <c:pt idx="2">
                  <c:v>0.48280000000000317</c:v>
                </c:pt>
                <c:pt idx="3" formatCode="General">
                  <c:v>0</c:v>
                </c:pt>
                <c:pt idx="5">
                  <c:v>0.43480000000000363</c:v>
                </c:pt>
                <c:pt idx="6">
                  <c:v>0.58329999999999949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Pars plana vitrektomija</c:v>
                </c:pt>
              </c:strCache>
            </c:strRef>
          </c:tx>
          <c:dLbls>
            <c:txPr>
              <a:bodyPr/>
              <a:lstStyle/>
              <a:p>
                <a:pPr>
                  <a:defRPr sz="950"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Providno sočivo</c:v>
                </c:pt>
                <c:pt idx="1">
                  <c:v>Katarakta</c:v>
                </c:pt>
                <c:pt idx="2">
                  <c:v>Pseudofakija</c:v>
                </c:pt>
                <c:pt idx="3">
                  <c:v>Afakija</c:v>
                </c:pt>
                <c:pt idx="5">
                  <c:v>Prisutan PVR</c:v>
                </c:pt>
                <c:pt idx="6">
                  <c:v>Odsutan PVR</c:v>
                </c:pt>
              </c:strCache>
            </c:strRef>
          </c:cat>
          <c:val>
            <c:numRef>
              <c:f>Sheet1!$C$2:$C$8</c:f>
              <c:numCache>
                <c:formatCode>0.00%</c:formatCode>
                <c:ptCount val="7"/>
                <c:pt idx="0">
                  <c:v>0.29090000000000032</c:v>
                </c:pt>
                <c:pt idx="1">
                  <c:v>0.61670000000000713</c:v>
                </c:pt>
                <c:pt idx="2">
                  <c:v>0.51719999999999999</c:v>
                </c:pt>
                <c:pt idx="3" formatCode="0%">
                  <c:v>1</c:v>
                </c:pt>
                <c:pt idx="5">
                  <c:v>0.56520000000000004</c:v>
                </c:pt>
                <c:pt idx="6">
                  <c:v>0.41670000000000001</c:v>
                </c:pt>
              </c:numCache>
            </c:numRef>
          </c:val>
        </c:ser>
        <c:gapWidth val="75"/>
        <c:overlap val="100"/>
        <c:axId val="51142656"/>
        <c:axId val="51144192"/>
      </c:barChart>
      <c:catAx>
        <c:axId val="511426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51144192"/>
        <c:crosses val="autoZero"/>
        <c:auto val="1"/>
        <c:lblAlgn val="ctr"/>
        <c:lblOffset val="100"/>
      </c:catAx>
      <c:valAx>
        <c:axId val="5114419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51142656"/>
        <c:crosses val="autoZero"/>
        <c:crossBetween val="between"/>
      </c:valAx>
    </c:plotArea>
    <c:legend>
      <c:legendPos val="b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1</cp:revision>
  <dcterms:created xsi:type="dcterms:W3CDTF">2017-04-27T21:10:00Z</dcterms:created>
  <dcterms:modified xsi:type="dcterms:W3CDTF">2017-04-27T21:10:00Z</dcterms:modified>
</cp:coreProperties>
</file>