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2-Accent2"/>
        <w:tblpPr w:leftFromText="180" w:rightFromText="180" w:vertAnchor="text" w:horzAnchor="margin" w:tblpXSpec="center" w:tblpY="714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1628"/>
        <w:gridCol w:w="1283"/>
        <w:gridCol w:w="1813"/>
        <w:gridCol w:w="1748"/>
        <w:gridCol w:w="1317"/>
      </w:tblGrid>
      <w:tr w:rsidR="00D70A2E" w:rsidRPr="00EE1705" w:rsidTr="00D70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1705">
              <w:rPr>
                <w:rFonts w:ascii="Times New Roman" w:hAnsi="Times New Roman" w:cs="Times New Roman"/>
              </w:rPr>
              <w:t>TIMI (</w:t>
            </w:r>
            <w:r w:rsidRPr="00EE1705">
              <w:rPr>
                <w:rFonts w:ascii="Times New Roman" w:hAnsi="Times New Roman" w:cs="Times New Roman"/>
              </w:rPr>
              <w:fldChar w:fldCharType="begin"/>
            </w:r>
            <w:r w:rsidRPr="00EE1705">
              <w:rPr>
                <w:rFonts w:ascii="Times New Roman" w:hAnsi="Times New Roman" w:cs="Times New Roman"/>
              </w:rPr>
              <w:instrText xml:space="preserve"> REF _Ref473976291 \r \h  \* MERGEFORMAT </w:instrText>
            </w:r>
            <w:r w:rsidRPr="00EE1705">
              <w:rPr>
                <w:rFonts w:ascii="Times New Roman" w:hAnsi="Times New Roman" w:cs="Times New Roman"/>
              </w:rPr>
            </w:r>
            <w:r w:rsidRPr="00EE170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9</w:t>
            </w:r>
            <w:r w:rsidRPr="00EE1705">
              <w:rPr>
                <w:rFonts w:ascii="Times New Roman" w:hAnsi="Times New Roman" w:cs="Times New Roman"/>
              </w:rPr>
              <w:fldChar w:fldCharType="end"/>
            </w:r>
            <w:r w:rsidRPr="00EE1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1705">
              <w:rPr>
                <w:rFonts w:ascii="Times New Roman" w:hAnsi="Times New Roman" w:cs="Times New Roman"/>
              </w:rPr>
              <w:t>PAMI (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_Ref480808493 \r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EE1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1705">
              <w:rPr>
                <w:rFonts w:ascii="Times New Roman" w:hAnsi="Times New Roman" w:cs="Times New Roman"/>
              </w:rPr>
              <w:t>CADILLAC (</w:t>
            </w:r>
            <w:r w:rsidRPr="00EE1705">
              <w:rPr>
                <w:rFonts w:ascii="Times New Roman" w:hAnsi="Times New Roman" w:cs="Times New Roman"/>
              </w:rPr>
              <w:fldChar w:fldCharType="begin"/>
            </w:r>
            <w:r w:rsidRPr="00EE1705">
              <w:rPr>
                <w:rFonts w:ascii="Times New Roman" w:hAnsi="Times New Roman" w:cs="Times New Roman"/>
              </w:rPr>
              <w:instrText xml:space="preserve"> REF _Ref473975503 \r \h  \* MERGEFORMAT </w:instrText>
            </w:r>
            <w:r w:rsidRPr="00EE1705">
              <w:rPr>
                <w:rFonts w:ascii="Times New Roman" w:hAnsi="Times New Roman" w:cs="Times New Roman"/>
              </w:rPr>
            </w:r>
            <w:r w:rsidRPr="00EE170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 w:rsidRPr="00EE1705">
              <w:rPr>
                <w:rFonts w:ascii="Times New Roman" w:hAnsi="Times New Roman" w:cs="Times New Roman"/>
              </w:rPr>
              <w:fldChar w:fldCharType="end"/>
            </w:r>
            <w:r w:rsidRPr="00EE1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1705">
              <w:rPr>
                <w:rFonts w:ascii="Times New Roman" w:hAnsi="Times New Roman" w:cs="Times New Roman"/>
              </w:rPr>
              <w:t>ZWOLLE (</w:t>
            </w:r>
            <w:r w:rsidRPr="00EE1705">
              <w:rPr>
                <w:rFonts w:ascii="Times New Roman" w:hAnsi="Times New Roman" w:cs="Times New Roman"/>
              </w:rPr>
              <w:fldChar w:fldCharType="begin"/>
            </w:r>
            <w:r w:rsidRPr="00EE1705">
              <w:rPr>
                <w:rFonts w:ascii="Times New Roman" w:hAnsi="Times New Roman" w:cs="Times New Roman"/>
              </w:rPr>
              <w:instrText xml:space="preserve"> REF _Ref473976288 \r \h  \* MERGEFORMAT </w:instrText>
            </w:r>
            <w:r w:rsidRPr="00EE1705">
              <w:rPr>
                <w:rFonts w:ascii="Times New Roman" w:hAnsi="Times New Roman" w:cs="Times New Roman"/>
              </w:rPr>
            </w:r>
            <w:r w:rsidRPr="00EE170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8</w:t>
            </w:r>
            <w:r w:rsidRPr="00EE1705">
              <w:rPr>
                <w:rFonts w:ascii="Times New Roman" w:hAnsi="Times New Roman" w:cs="Times New Roman"/>
              </w:rPr>
              <w:fldChar w:fldCharType="end"/>
            </w:r>
            <w:r w:rsidRPr="00EE1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ACEF </w:t>
            </w:r>
            <w:r>
              <w:rPr>
                <w:rFonts w:ascii="Times New Roman" w:hAnsi="Times New Roman" w:cs="Times New Roman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lang w:val="sr-Latn-RS"/>
              </w:rPr>
              <w:instrText xml:space="preserve"> REF _Ref480808602 \r \h </w:instrText>
            </w:r>
            <w:r>
              <w:rPr>
                <w:rFonts w:ascii="Times New Roman" w:hAnsi="Times New Roman" w:cs="Times New Roman"/>
                <w:lang w:val="sr-Latn-RS"/>
              </w:rPr>
            </w:r>
            <w:r>
              <w:rPr>
                <w:rFonts w:ascii="Times New Roman" w:hAnsi="Times New Roman" w:cs="Times New Roman"/>
                <w:lang w:val="sr-Latn-RS"/>
              </w:rPr>
              <w:fldChar w:fldCharType="separate"/>
            </w:r>
            <w:r>
              <w:rPr>
                <w:rFonts w:ascii="Times New Roman" w:hAnsi="Times New Roman" w:cs="Times New Roman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lang w:val="sr-Latn-RS"/>
              </w:rPr>
              <w:fldChar w:fldCharType="end"/>
            </w:r>
            <w:r w:rsidRPr="00EE1705">
              <w:rPr>
                <w:rFonts w:ascii="Times New Roman" w:hAnsi="Times New Roman" w:cs="Times New Roman"/>
              </w:rPr>
              <w:t>)</w:t>
            </w: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Vreme posmatranja ishoda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6 meseci</w:t>
            </w: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70A2E" w:rsidRPr="00EE1705" w:rsidTr="00D70A2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Šećerna bolest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Hipertenzija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Angina pectoris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Nizak sistolni krvni pritisak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Srčana frekvenca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Srčana insuficijencija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Prekomerena težina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Infarkt prednjeg zida ili blok leve grane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Vreme trajanja ishemije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Bubrežna insuficijencija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TIMI protok nakon PCI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Trosudovna koronarna bolest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D7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Ejekciona frakcija leve komore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70A2E" w:rsidRPr="00EE1705" w:rsidTr="00D70A2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Anemija</w:t>
            </w:r>
          </w:p>
        </w:tc>
        <w:tc>
          <w:tcPr>
            <w:tcW w:w="162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48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70A2E" w:rsidRPr="00EE1705" w:rsidRDefault="00D70A2E" w:rsidP="00D70A2E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A2E" w:rsidRPr="00EE39F8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</w:rPr>
      </w:pPr>
      <w:r w:rsidRPr="00EE39F8">
        <w:rPr>
          <w:rFonts w:ascii="Times New Roman" w:hAnsi="Times New Roman" w:cs="Times New Roman"/>
          <w:sz w:val="24"/>
          <w:szCs w:val="24"/>
          <w:u w:val="single"/>
        </w:rPr>
        <w:t>Tab</w:t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ela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instrText xml:space="preserve"> SEQ Table \* ARABIC </w:instrTex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1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. Skorovi rizika i kliničke varijable koje obuhvataju</w:t>
      </w:r>
    </w:p>
    <w:p w:rsidR="00B76C3C" w:rsidRDefault="00B76C3C" w:rsidP="00D70A2E">
      <w:pPr>
        <w:rPr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70A2E" w:rsidRPr="00EE39F8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</w:rPr>
      </w:pPr>
      <w:r w:rsidRPr="00EE39F8">
        <w:rPr>
          <w:rFonts w:ascii="Times New Roman" w:hAnsi="Times New Roman" w:cs="Times New Roman"/>
          <w:sz w:val="24"/>
          <w:szCs w:val="24"/>
          <w:u w:val="single"/>
        </w:rPr>
        <w:lastRenderedPageBreak/>
        <w:t>Tab</w:t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ela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instrText xml:space="preserve"> SEQ Table \* ARABIC </w:instrTex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2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. Osnovni klinički podaci bolesnika registrovani pri prijemu</w:t>
      </w:r>
    </w:p>
    <w:tbl>
      <w:tblPr>
        <w:tblStyle w:val="LightShading-Accent2"/>
        <w:tblpPr w:leftFromText="180" w:rightFromText="180" w:vertAnchor="text" w:horzAnchor="margin" w:tblpY="646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2. Osnovni klinički podaci bolesnika registrovani pri prijemu"/>
      </w:tblPr>
      <w:tblGrid>
        <w:gridCol w:w="5090"/>
        <w:gridCol w:w="4233"/>
      </w:tblGrid>
      <w:tr w:rsidR="00D70A2E" w:rsidRPr="00EE1705" w:rsidTr="00485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N=497</w:t>
            </w:r>
          </w:p>
        </w:tc>
        <w:tc>
          <w:tcPr>
            <w:tcW w:w="4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%/mean/medijana ± sd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Pol (ženski)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32.6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Starost (godine)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61.07 ± 11.55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Visina (cm)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172.91 ± 8.6</w:t>
            </w:r>
          </w:p>
        </w:tc>
      </w:tr>
      <w:tr w:rsidR="00D70A2E" w:rsidRPr="00EE1705" w:rsidTr="00485E9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Težina (kg)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80.79 ± 15.85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TA sistolni (mmHg)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136.75 ± 26.01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TA dijastolni (mmHg)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86.31 ± 14.71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Srčana frekvenca prijem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78.95 ± 16.42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Pušač/bivše pušenje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Hipertenzija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77.7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Šećerna bolest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Hiperlipoproteinemija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69.2</w:t>
            </w:r>
          </w:p>
        </w:tc>
      </w:tr>
      <w:tr w:rsidR="00D70A2E" w:rsidRPr="00EE1705" w:rsidTr="00485E9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Nasleđe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46.1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Prethodni infarct miokarda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Prethodna PCI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9.9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Prethodna PCI na infarktnoj arteriji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Prethodni koronarni bajpas graft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Prethodni šlog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7.4</w:t>
            </w:r>
          </w:p>
        </w:tc>
      </w:tr>
      <w:tr w:rsidR="00D70A2E" w:rsidRPr="00EE1705" w:rsidTr="00485E9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Hronična obstruktivna bolest pluća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Prethodna atrijalna fibrilacija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Periferna vaskularna bolest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4.6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STEMI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92.2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Killip klasa I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82.5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Killip klasa II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15.3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Edem pluća (Killip III)/Kardiogeni šok (Killip IV)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Ukupno vreme ishemije (min)</w:t>
            </w:r>
          </w:p>
        </w:tc>
        <w:tc>
          <w:tcPr>
            <w:tcW w:w="423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270.0 ± 295.11</w:t>
            </w:r>
          </w:p>
        </w:tc>
      </w:tr>
      <w:tr w:rsidR="00D70A2E" w:rsidRPr="00EE1705" w:rsidTr="00485E9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Procedure van radnog vremena </w:t>
            </w:r>
          </w:p>
        </w:tc>
        <w:tc>
          <w:tcPr>
            <w:tcW w:w="4233" w:type="dxa"/>
            <w:shd w:val="clear" w:color="auto" w:fill="auto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53.9</w:t>
            </w:r>
          </w:p>
        </w:tc>
      </w:tr>
    </w:tbl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Pr="00EE39F8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E39F8">
        <w:rPr>
          <w:rFonts w:ascii="Times New Roman" w:hAnsi="Times New Roman" w:cs="Times New Roman"/>
          <w:sz w:val="24"/>
          <w:szCs w:val="24"/>
        </w:rPr>
        <w:lastRenderedPageBreak/>
        <w:t>Tab</w:t>
      </w:r>
      <w:r w:rsidRPr="00EE39F8">
        <w:rPr>
          <w:rFonts w:ascii="Times New Roman" w:hAnsi="Times New Roman" w:cs="Times New Roman"/>
          <w:sz w:val="24"/>
          <w:szCs w:val="24"/>
          <w:lang w:val="sr-Latn-RS"/>
        </w:rPr>
        <w:t>ela</w:t>
      </w:r>
      <w:r w:rsidRPr="00EE39F8">
        <w:rPr>
          <w:rFonts w:ascii="Times New Roman" w:hAnsi="Times New Roman" w:cs="Times New Roman"/>
          <w:sz w:val="24"/>
          <w:szCs w:val="24"/>
        </w:rPr>
        <w:t xml:space="preserve"> </w:t>
      </w:r>
      <w:r w:rsidRPr="00EE39F8">
        <w:rPr>
          <w:rFonts w:ascii="Times New Roman" w:hAnsi="Times New Roman" w:cs="Times New Roman"/>
          <w:sz w:val="24"/>
          <w:szCs w:val="24"/>
        </w:rPr>
        <w:fldChar w:fldCharType="begin"/>
      </w:r>
      <w:r w:rsidRPr="00EE39F8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EE39F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EE39F8">
        <w:rPr>
          <w:rFonts w:ascii="Times New Roman" w:hAnsi="Times New Roman" w:cs="Times New Roman"/>
          <w:sz w:val="24"/>
          <w:szCs w:val="24"/>
        </w:rPr>
        <w:fldChar w:fldCharType="end"/>
      </w:r>
      <w:r w:rsidRPr="00EE39F8">
        <w:rPr>
          <w:rFonts w:ascii="Times New Roman" w:hAnsi="Times New Roman" w:cs="Times New Roman"/>
          <w:sz w:val="24"/>
          <w:szCs w:val="24"/>
          <w:lang w:val="sr-Latn-RS"/>
        </w:rPr>
        <w:t>. Periproceduralni podaci, ehokardiografska i laboratorijska analiza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5070"/>
        <w:gridCol w:w="4216"/>
      </w:tblGrid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N=497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%/mean (sd)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Rađena pPCI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Implantacija stenta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</w:tr>
      <w:tr w:rsidR="00D70A2E" w:rsidRPr="00EE1705" w:rsidTr="00485E9F">
        <w:trPr>
          <w:trHeight w:val="130"/>
        </w:trPr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Višesudovna bolest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CTO nonculprit lezija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Broj bolesnih krvnih sudova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46.5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EE17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Radijalni pristup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IABP (intraaortna balonska pumpa)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Antagonisti Gp IIb/IIIa receptora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Aspiracija tromba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Usporen koronarni protok nakon implantacije stenta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Distalna embolizacija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Bifurkacija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Direktna implantacija stenta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Postdilatacija nakon implantacije stenta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Angiografski uspeh na kraju procedure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97.2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Trajanje PCI (min)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45.02 ± 33.41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Ukupna duzina implantiranih stentova (mm)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28.65 ± 15.78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Jodno kontrastno sredstvo (vol)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177.67 ± 82.39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Kontrast(ml)/Klirens kreatinina odnos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2.68 ± 2.128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Infarkt prednjeg zida LK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40.04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Kontrastna nefropatija (absolutno povećanje kreatinina od 0.5 µ</w:t>
            </w:r>
            <w:r w:rsidRPr="00EE17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mol/l</w:t>
            </w: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 xml:space="preserve"> nakon pPCI)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 xml:space="preserve">TIMI protok pre PCI 0-1 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TIMI protok post PCI  3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Enddijastolni dijametar leve komore (mm)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55.94 ± 5.96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Endsistolni dijametar (mm)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39.94 ± 6.75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Ejekciona frakcija leve komore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45.11 ± 11.52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Sistolni pritisak u desnoj komori (mmHg)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36.05± 8.47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Glikemija na prijemu (mmol/l)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8.33 ± 5.11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Serumski kreatinin bazalno (µmol/l)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86.69 ± 49.51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Serumski kreatinin maksimalno (µmol/l)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97.29 ± 71.12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Prijemni hemoglobin (g/l)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139.16 ± 15.73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Najniži hemoglobin (g/l)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127.83 ± 17.15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Kreatin kinaza (U/l)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1864.33 ± 1880.078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Kreatin kinaza MB (U/l)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167.26 ± 254.59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Leukociti (x10</w:t>
            </w:r>
            <w:r w:rsidRPr="00EE17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12.01 ± 3.96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Trombociti (x10</w:t>
            </w:r>
            <w:r w:rsidRPr="00EE17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223.42 ± 62.46</w:t>
            </w:r>
          </w:p>
        </w:tc>
      </w:tr>
      <w:tr w:rsidR="00D70A2E" w:rsidRPr="00EE1705" w:rsidTr="00485E9F">
        <w:tc>
          <w:tcPr>
            <w:tcW w:w="5070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Trigliceridi (mmol/l)</w:t>
            </w:r>
          </w:p>
        </w:tc>
        <w:tc>
          <w:tcPr>
            <w:tcW w:w="4216" w:type="dxa"/>
          </w:tcPr>
          <w:p w:rsidR="00D70A2E" w:rsidRPr="00EE1705" w:rsidRDefault="00D70A2E" w:rsidP="00485E9F">
            <w:pPr>
              <w:pStyle w:val="NoSpacing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05">
              <w:rPr>
                <w:rFonts w:ascii="Times New Roman" w:hAnsi="Times New Roman" w:cs="Times New Roman"/>
                <w:sz w:val="24"/>
                <w:szCs w:val="24"/>
              </w:rPr>
              <w:t>2.57 ± 16.12</w:t>
            </w:r>
          </w:p>
        </w:tc>
      </w:tr>
    </w:tbl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Pr="00EE39F8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</w:rPr>
      </w:pPr>
      <w:r w:rsidRPr="00EE39F8">
        <w:rPr>
          <w:rFonts w:ascii="Times New Roman" w:hAnsi="Times New Roman" w:cs="Times New Roman"/>
          <w:sz w:val="24"/>
          <w:szCs w:val="24"/>
          <w:u w:val="single"/>
        </w:rPr>
        <w:lastRenderedPageBreak/>
        <w:t>Tab</w:t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ela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instrText xml:space="preserve"> SEQ Table \* ARABIC </w:instrTex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. Intrahospitalni podaci i terapija na otpustu</w:t>
      </w:r>
    </w:p>
    <w:tbl>
      <w:tblPr>
        <w:tblStyle w:val="LightShading-Accent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64"/>
      </w:tblGrid>
      <w:tr w:rsidR="00D70A2E" w:rsidRPr="00EE1705" w:rsidTr="00485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N=497</w:t>
            </w:r>
          </w:p>
        </w:tc>
        <w:tc>
          <w:tcPr>
            <w:tcW w:w="3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Killip u toku hospitalnog lečenja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82.9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13.9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2.2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1.0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Intrahospitalna smrt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1.2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Instrahospitalni šlog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Intrahospitalni reinfarkt miokarda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3.0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Intrahospitalna ponovna revaskularizacija arterije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2.8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Poremećaj ritma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16.3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Srčani zastoj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1.0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Nefrakcionisani heparin nakon pPCI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45.1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Frakcionisani heparin nakon  pPCI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73.0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Aspirin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99.4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Adenozin di-fosfat receptorni antagonisti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98.8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Oralna antikoagulantna terapija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6.6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Beta blokatori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87.7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Inhibitori angiotensin konvertujućeg enzima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89.1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Blokatori angiotenzinskih receptora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1.6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Blokatori Ca kanala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4.2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Diuretici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32.8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Amiodaron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6.0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Digitalis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4.8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Insulin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6.2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Oralna terapija šećerne bolesti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15.3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Donori NO 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30.0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Trimetazidin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5.2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Statin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94.6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Inhbitori protonske pumpe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81.1</w:t>
            </w:r>
          </w:p>
        </w:tc>
      </w:tr>
      <w:tr w:rsidR="00D70A2E" w:rsidRPr="00EE1705" w:rsidTr="00485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H2 antagonisti</w:t>
            </w:r>
          </w:p>
        </w:tc>
        <w:tc>
          <w:tcPr>
            <w:tcW w:w="346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32.0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Krvarenje</w:t>
            </w:r>
          </w:p>
        </w:tc>
        <w:tc>
          <w:tcPr>
            <w:tcW w:w="34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8.2</w:t>
            </w:r>
          </w:p>
        </w:tc>
      </w:tr>
    </w:tbl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Pr="00EE39F8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Tab</w:t>
      </w: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>ela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instrText xml:space="preserve"> SEQ Table \* ARABIC </w:instrTex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5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. Uporedni prikaz prediktivnih vrednosti svih pet skorova rizika</w:t>
      </w:r>
    </w:p>
    <w:tbl>
      <w:tblPr>
        <w:tblStyle w:val="LightShading-Accent22"/>
        <w:tblW w:w="10551" w:type="dxa"/>
        <w:jc w:val="center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6"/>
        <w:gridCol w:w="896"/>
        <w:gridCol w:w="1035"/>
        <w:gridCol w:w="896"/>
        <w:gridCol w:w="1000"/>
        <w:gridCol w:w="35"/>
        <w:gridCol w:w="862"/>
        <w:gridCol w:w="1114"/>
        <w:gridCol w:w="41"/>
        <w:gridCol w:w="859"/>
        <w:gridCol w:w="1402"/>
        <w:gridCol w:w="31"/>
        <w:gridCol w:w="874"/>
      </w:tblGrid>
      <w:tr w:rsidR="00D70A2E" w:rsidRPr="00EE1705" w:rsidTr="00485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God</w:t>
            </w:r>
          </w:p>
        </w:tc>
        <w:tc>
          <w:tcPr>
            <w:tcW w:w="17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CADILLAC</w:t>
            </w:r>
          </w:p>
        </w:tc>
        <w:tc>
          <w:tcPr>
            <w:tcW w:w="193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ZWOLLE</w:t>
            </w:r>
          </w:p>
        </w:tc>
        <w:tc>
          <w:tcPr>
            <w:tcW w:w="189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ACEF</w:t>
            </w:r>
          </w:p>
        </w:tc>
        <w:tc>
          <w:tcPr>
            <w:tcW w:w="201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TIMI</w:t>
            </w:r>
          </w:p>
        </w:tc>
        <w:tc>
          <w:tcPr>
            <w:tcW w:w="230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PAMI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AUC</w:t>
            </w:r>
          </w:p>
        </w:tc>
        <w:tc>
          <w:tcPr>
            <w:tcW w:w="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95%CI</w:t>
            </w:r>
          </w:p>
        </w:tc>
        <w:tc>
          <w:tcPr>
            <w:tcW w:w="10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AUC</w:t>
            </w:r>
          </w:p>
        </w:tc>
        <w:tc>
          <w:tcPr>
            <w:tcW w:w="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95%CI</w:t>
            </w:r>
          </w:p>
        </w:tc>
        <w:tc>
          <w:tcPr>
            <w:tcW w:w="100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AUC</w:t>
            </w:r>
          </w:p>
        </w:tc>
        <w:tc>
          <w:tcPr>
            <w:tcW w:w="897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95%CI</w:t>
            </w:r>
          </w:p>
        </w:tc>
        <w:tc>
          <w:tcPr>
            <w:tcW w:w="111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AUC</w:t>
            </w:r>
          </w:p>
        </w:tc>
        <w:tc>
          <w:tcPr>
            <w:tcW w:w="90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95%CI</w:t>
            </w:r>
          </w:p>
        </w:tc>
        <w:tc>
          <w:tcPr>
            <w:tcW w:w="14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AUC</w:t>
            </w:r>
          </w:p>
        </w:tc>
        <w:tc>
          <w:tcPr>
            <w:tcW w:w="90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95%CI</w:t>
            </w:r>
          </w:p>
        </w:tc>
      </w:tr>
      <w:tr w:rsidR="00D70A2E" w:rsidRPr="00EE1705" w:rsidTr="00485E9F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0.822*</w:t>
            </w:r>
          </w:p>
        </w:tc>
        <w:tc>
          <w:tcPr>
            <w:tcW w:w="89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0.786-0.855</w:t>
            </w:r>
          </w:p>
        </w:tc>
        <w:tc>
          <w:tcPr>
            <w:tcW w:w="1035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0.742*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▲</w:t>
            </w:r>
          </w:p>
        </w:tc>
        <w:tc>
          <w:tcPr>
            <w:tcW w:w="89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0.701-0.780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0.742*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▲</w:t>
            </w:r>
          </w:p>
        </w:tc>
        <w:tc>
          <w:tcPr>
            <w:tcW w:w="862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0.701-0.780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0.685**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▲</w:t>
            </w:r>
          </w:p>
        </w:tc>
        <w:tc>
          <w:tcPr>
            <w:tcW w:w="859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0.642-0.725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0.605***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▲▲</w:t>
            </w:r>
          </w:p>
        </w:tc>
        <w:tc>
          <w:tcPr>
            <w:tcW w:w="87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0.560-0.648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0.819*</w:t>
            </w:r>
          </w:p>
        </w:tc>
        <w:tc>
          <w:tcPr>
            <w:tcW w:w="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0.783-0.852</w:t>
            </w:r>
          </w:p>
        </w:tc>
        <w:tc>
          <w:tcPr>
            <w:tcW w:w="10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0.728*♦</w:t>
            </w:r>
          </w:p>
        </w:tc>
        <w:tc>
          <w:tcPr>
            <w:tcW w:w="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0.687-0.767</w:t>
            </w:r>
          </w:p>
        </w:tc>
        <w:tc>
          <w:tcPr>
            <w:tcW w:w="103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0.741*♦</w:t>
            </w:r>
          </w:p>
        </w:tc>
        <w:tc>
          <w:tcPr>
            <w:tcW w:w="86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0.700-0.779</w:t>
            </w:r>
          </w:p>
        </w:tc>
        <w:tc>
          <w:tcPr>
            <w:tcW w:w="115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0.706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●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♦</w:t>
            </w:r>
          </w:p>
        </w:tc>
        <w:tc>
          <w:tcPr>
            <w:tcW w:w="8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0.664-0.746</w:t>
            </w:r>
          </w:p>
        </w:tc>
        <w:tc>
          <w:tcPr>
            <w:tcW w:w="143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0.599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●●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♦♦</w:t>
            </w:r>
          </w:p>
        </w:tc>
        <w:tc>
          <w:tcPr>
            <w:tcW w:w="87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0.554-0.642</w:t>
            </w:r>
          </w:p>
        </w:tc>
      </w:tr>
      <w:tr w:rsidR="00D70A2E" w:rsidRPr="00EE1705" w:rsidTr="00485E9F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0.815*</w:t>
            </w:r>
          </w:p>
        </w:tc>
        <w:tc>
          <w:tcPr>
            <w:tcW w:w="89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0.778-0.848</w:t>
            </w:r>
          </w:p>
        </w:tc>
        <w:tc>
          <w:tcPr>
            <w:tcW w:w="1035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0.721*♦</w:t>
            </w:r>
          </w:p>
        </w:tc>
        <w:tc>
          <w:tcPr>
            <w:tcW w:w="89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0.679-0.760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0.743*♦</w:t>
            </w:r>
          </w:p>
        </w:tc>
        <w:tc>
          <w:tcPr>
            <w:tcW w:w="862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0.702-0.781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0.700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●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♦</w:t>
            </w:r>
          </w:p>
        </w:tc>
        <w:tc>
          <w:tcPr>
            <w:tcW w:w="859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0.657-0.740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0.598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●●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♦♦</w:t>
            </w:r>
          </w:p>
        </w:tc>
        <w:tc>
          <w:tcPr>
            <w:tcW w:w="874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0.553-0.641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1" w:type="dxa"/>
            <w:gridSpan w:val="14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*/**/***/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●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●●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Statistička značajnost AUC vrednosti p&lt;0.001/p&lt;0.05/p=ns/p&lt;0.01/p&gt;0.05</w:t>
            </w:r>
          </w:p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▲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▲▲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/♦/♦♦Statistička značajnost razlike među AUC vrednostima različitih skorova (CADILLAC referentni skor) p&lt;0.05/p&lt;0.001/p&lt;0.01/p&lt;0.0001</w:t>
            </w:r>
          </w:p>
        </w:tc>
      </w:tr>
    </w:tbl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Default="00D70A2E" w:rsidP="00D70A2E">
      <w:pPr>
        <w:rPr>
          <w:lang w:val="sr-Latn-RS"/>
        </w:rPr>
      </w:pPr>
    </w:p>
    <w:p w:rsidR="00D70A2E" w:rsidRPr="00EF111E" w:rsidRDefault="00D70A2E" w:rsidP="00D70A2E">
      <w:pPr>
        <w:pStyle w:val="Caption"/>
        <w:keepNext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Tab</w:t>
      </w: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>ela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instrText xml:space="preserve"> SEQ Table \* ARABIC </w:instrTex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6</w:t>
      </w:r>
      <w:r w:rsidRPr="00EE39F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EE39F8">
        <w:rPr>
          <w:rFonts w:ascii="Times New Roman" w:hAnsi="Times New Roman" w:cs="Times New Roman"/>
          <w:sz w:val="24"/>
          <w:szCs w:val="24"/>
          <w:u w:val="single"/>
          <w:lang w:val="sr-Latn-RS"/>
        </w:rPr>
        <w:t>. Univarijantna i multivarijantna analiza prediktora smrtnosti</w:t>
      </w:r>
    </w:p>
    <w:tbl>
      <w:tblPr>
        <w:tblStyle w:val="LightShading-Accent23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977"/>
        <w:gridCol w:w="2036"/>
      </w:tblGrid>
      <w:tr w:rsidR="00D70A2E" w:rsidRPr="00EE1705" w:rsidTr="00485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01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Trogodišnji mortalitet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AUC (95% CI)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P</w:t>
            </w: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Starost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0.717 (0.644-0.790)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Pol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0.499 (0.416-0.582)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0.990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Prethodni infarkt miokarda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0.553 (0.466-0.640)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0.210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Prethodni šlog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0.577 (0.487-0.666)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0.071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Bubrežna slabost per anamnesis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0.594 (0.504-0.685)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0.026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Prethodna atrijalna fibrilacija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0.545 (0.458-0.633)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0.285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Šećerna bolest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0.524 (0.440-0.608)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0.571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Težina u kilogramima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0.663 (0.584-0.752)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0.000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STEMI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0.533 (0.454-0.612)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0.435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Sistolni krvni pritisak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0.402 (0.317-0.487)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0.020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Frekvenca na prijemu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0.508 (0.424-0.592)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0.846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Višesudovna bolest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0.595 (0.517-0.674)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0.025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Direktna implantacija stenta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0.417 (0.326-0.508)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0.079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Jodno kontrastno sredstvo (vol)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0.580 (0.496-0.664)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0.060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Ejekciona frakcija leve komore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0.693 (0.781-0.605)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Diuretska terapija na otpustu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0.603 (0.517-0.690)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0.017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Krvarenje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0.551 (0.463-0.638)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0.233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Infarkt prednjeg zida leve komore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0.553 (0.470-0.637)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0.208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Glikemija pri prijemu 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0.614 (0.529-0.699)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0.007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Serumski kreatinin pri prijemu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0.628 (0.544-0.712)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0.003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Hemoglobin pri prijemu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0.663 (0.578-0.748)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Ukupno vreme ishemije (min)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0.585 (0.497-0.674)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0.044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Trajanje pPCI (min)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0.619 (0.530-0.707)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0.006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sr-Latn-RS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Klirens kreatinina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0.628 (0.544-0.712)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0.003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Kontrastna nefropatija (absolutno povećanje kreatinina od 0.5 µ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sr-Latn-RS"/>
              </w:rPr>
              <w:t xml:space="preserve">mol/l 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nakon pPCI)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0.575 (0.486-0.665)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0.075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TIMI protok pre PCI 0-1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0.573 (0.497-0.649)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0.086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TIMI protok posle PCI 3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0.433 (0.344-0.522)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0.115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Killip klasa na prijemu 3-4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0.531 (0.444-0.617)</w:t>
            </w:r>
          </w:p>
        </w:tc>
        <w:tc>
          <w:tcPr>
            <w:tcW w:w="20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0.470</w:t>
            </w:r>
          </w:p>
        </w:tc>
      </w:tr>
      <w:tr w:rsidR="00D70A2E" w:rsidRPr="00EE1705" w:rsidTr="00485E9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Multivarijantni model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0.824 (0.758-0.891)</w:t>
            </w:r>
          </w:p>
        </w:tc>
        <w:tc>
          <w:tcPr>
            <w:tcW w:w="2036" w:type="dxa"/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0.000</w:t>
            </w:r>
          </w:p>
        </w:tc>
      </w:tr>
      <w:tr w:rsidR="00D70A2E" w:rsidRPr="00EE1705" w:rsidTr="0048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9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1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Statistička značajnost AUC</w:t>
            </w:r>
          </w:p>
          <w:p w:rsidR="00D70A2E" w:rsidRPr="00EE1705" w:rsidRDefault="00D70A2E" w:rsidP="00485E9F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  <w:r w:rsidRPr="00EE170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Multivarijantni model se sastoji značajnih prediktora uključenih u univarijantnu analizu</w:t>
            </w:r>
          </w:p>
        </w:tc>
      </w:tr>
    </w:tbl>
    <w:p w:rsidR="00D70A2E" w:rsidRPr="00D70A2E" w:rsidRDefault="00D70A2E" w:rsidP="00D70A2E">
      <w:pPr>
        <w:rPr>
          <w:lang w:val="sr-Latn-RS"/>
        </w:rPr>
      </w:pPr>
      <w:bookmarkStart w:id="0" w:name="_GoBack"/>
      <w:bookmarkEnd w:id="0"/>
    </w:p>
    <w:sectPr w:rsidR="00D70A2E" w:rsidRPr="00D7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2E"/>
    <w:rsid w:val="00B76C3C"/>
    <w:rsid w:val="00D7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2E"/>
    <w:rPr>
      <w:rFonts w:eastAsiaTheme="minorEastAsia"/>
      <w:lang w:val="uz-Cyrl-UZ"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2">
    <w:name w:val="Medium List 2 Accent 2"/>
    <w:basedOn w:val="TableNormal"/>
    <w:uiPriority w:val="66"/>
    <w:rsid w:val="00D70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D70A2E"/>
    <w:pPr>
      <w:spacing w:after="0" w:line="240" w:lineRule="auto"/>
    </w:pPr>
    <w:rPr>
      <w:rFonts w:eastAsiaTheme="minorEastAsia"/>
      <w:lang w:val="uz-Cyrl-UZ" w:eastAsia="uz-Cyrl-UZ"/>
    </w:rPr>
  </w:style>
  <w:style w:type="paragraph" w:styleId="Caption">
    <w:name w:val="caption"/>
    <w:basedOn w:val="Normal"/>
    <w:next w:val="Normal"/>
    <w:uiPriority w:val="35"/>
    <w:unhideWhenUsed/>
    <w:qFormat/>
    <w:rsid w:val="00D70A2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D70A2E"/>
    <w:pPr>
      <w:spacing w:after="0" w:line="240" w:lineRule="auto"/>
    </w:pPr>
    <w:rPr>
      <w:rFonts w:eastAsiaTheme="minorEastAsia"/>
      <w:color w:val="943634" w:themeColor="accent2" w:themeShade="BF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D70A2E"/>
    <w:pPr>
      <w:spacing w:after="0" w:line="240" w:lineRule="auto"/>
    </w:pPr>
    <w:rPr>
      <w:rFonts w:eastAsiaTheme="minorEastAsia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D70A2E"/>
    <w:pPr>
      <w:spacing w:after="0" w:line="240" w:lineRule="auto"/>
    </w:pPr>
    <w:rPr>
      <w:rFonts w:eastAsiaTheme="minorEastAsia"/>
      <w:color w:val="943634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D70A2E"/>
    <w:pPr>
      <w:spacing w:after="0" w:line="240" w:lineRule="auto"/>
    </w:pPr>
    <w:rPr>
      <w:rFonts w:eastAsiaTheme="minorEastAsia"/>
      <w:color w:val="943634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3">
    <w:name w:val="Light Shading - Accent 23"/>
    <w:basedOn w:val="TableNormal"/>
    <w:next w:val="LightShading-Accent2"/>
    <w:uiPriority w:val="60"/>
    <w:rsid w:val="00D70A2E"/>
    <w:pPr>
      <w:spacing w:after="0" w:line="240" w:lineRule="auto"/>
    </w:pPr>
    <w:rPr>
      <w:rFonts w:eastAsiaTheme="minorEastAsia"/>
      <w:color w:val="943634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2E"/>
    <w:rPr>
      <w:rFonts w:eastAsiaTheme="minorEastAsia"/>
      <w:lang w:val="uz-Cyrl-UZ"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2">
    <w:name w:val="Medium List 2 Accent 2"/>
    <w:basedOn w:val="TableNormal"/>
    <w:uiPriority w:val="66"/>
    <w:rsid w:val="00D70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D70A2E"/>
    <w:pPr>
      <w:spacing w:after="0" w:line="240" w:lineRule="auto"/>
    </w:pPr>
    <w:rPr>
      <w:rFonts w:eastAsiaTheme="minorEastAsia"/>
      <w:lang w:val="uz-Cyrl-UZ" w:eastAsia="uz-Cyrl-UZ"/>
    </w:rPr>
  </w:style>
  <w:style w:type="paragraph" w:styleId="Caption">
    <w:name w:val="caption"/>
    <w:basedOn w:val="Normal"/>
    <w:next w:val="Normal"/>
    <w:uiPriority w:val="35"/>
    <w:unhideWhenUsed/>
    <w:qFormat/>
    <w:rsid w:val="00D70A2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D70A2E"/>
    <w:pPr>
      <w:spacing w:after="0" w:line="240" w:lineRule="auto"/>
    </w:pPr>
    <w:rPr>
      <w:rFonts w:eastAsiaTheme="minorEastAsia"/>
      <w:color w:val="943634" w:themeColor="accent2" w:themeShade="BF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D70A2E"/>
    <w:pPr>
      <w:spacing w:after="0" w:line="240" w:lineRule="auto"/>
    </w:pPr>
    <w:rPr>
      <w:rFonts w:eastAsiaTheme="minorEastAsia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D70A2E"/>
    <w:pPr>
      <w:spacing w:after="0" w:line="240" w:lineRule="auto"/>
    </w:pPr>
    <w:rPr>
      <w:rFonts w:eastAsiaTheme="minorEastAsia"/>
      <w:color w:val="943634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D70A2E"/>
    <w:pPr>
      <w:spacing w:after="0" w:line="240" w:lineRule="auto"/>
    </w:pPr>
    <w:rPr>
      <w:rFonts w:eastAsiaTheme="minorEastAsia"/>
      <w:color w:val="943634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3">
    <w:name w:val="Light Shading - Accent 23"/>
    <w:basedOn w:val="TableNormal"/>
    <w:next w:val="LightShading-Accent2"/>
    <w:uiPriority w:val="60"/>
    <w:rsid w:val="00D70A2E"/>
    <w:pPr>
      <w:spacing w:after="0" w:line="240" w:lineRule="auto"/>
    </w:pPr>
    <w:rPr>
      <w:rFonts w:eastAsiaTheme="minorEastAsia"/>
      <w:color w:val="943634"/>
      <w:lang w:val="uz-Cyrl-UZ" w:eastAsia="uz-Cyrl-UZ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Stevanovic</dc:creator>
  <cp:lastModifiedBy>Marija Stevanovic</cp:lastModifiedBy>
  <cp:revision>1</cp:revision>
  <dcterms:created xsi:type="dcterms:W3CDTF">2017-04-27T15:40:00Z</dcterms:created>
  <dcterms:modified xsi:type="dcterms:W3CDTF">2017-04-27T15:46:00Z</dcterms:modified>
</cp:coreProperties>
</file>