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610109" w:rsidRDefault="00586822" w:rsidP="00586822">
      <w:pPr>
        <w:jc w:val="center"/>
        <w:rPr>
          <w:rFonts w:ascii="Arial" w:hAnsi="Arial" w:cs="Arial"/>
          <w:b/>
          <w:sz w:val="36"/>
          <w:szCs w:val="36"/>
        </w:rPr>
      </w:pPr>
      <w:r w:rsidRPr="00586822">
        <w:rPr>
          <w:rFonts w:ascii="Arial" w:hAnsi="Arial" w:cs="Arial"/>
          <w:b/>
          <w:sz w:val="36"/>
          <w:szCs w:val="36"/>
        </w:rPr>
        <w:t>Procena rizika za suicid u odnosu na strukturu ličnosti kod obolelih od depresije</w:t>
      </w: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36"/>
          <w:szCs w:val="36"/>
        </w:rPr>
      </w:pPr>
    </w:p>
    <w:p w:rsidR="00586822" w:rsidRDefault="00586822" w:rsidP="00586822">
      <w:pPr>
        <w:jc w:val="center"/>
        <w:rPr>
          <w:rFonts w:ascii="Arial" w:hAnsi="Arial" w:cs="Arial"/>
          <w:b/>
          <w:sz w:val="24"/>
          <w:szCs w:val="24"/>
        </w:rPr>
      </w:pPr>
    </w:p>
    <w:p w:rsidR="00586822" w:rsidRDefault="00586822" w:rsidP="00586822">
      <w:pPr>
        <w:jc w:val="center"/>
        <w:rPr>
          <w:rFonts w:ascii="Arial" w:hAnsi="Arial" w:cs="Arial"/>
          <w:b/>
          <w:sz w:val="24"/>
          <w:szCs w:val="24"/>
        </w:rPr>
      </w:pPr>
    </w:p>
    <w:p w:rsidR="00586822" w:rsidRDefault="00586822" w:rsidP="00586822">
      <w:pPr>
        <w:jc w:val="center"/>
        <w:rPr>
          <w:rFonts w:ascii="Arial" w:hAnsi="Arial" w:cs="Arial"/>
          <w:b/>
          <w:sz w:val="24"/>
          <w:szCs w:val="24"/>
        </w:rPr>
      </w:pPr>
    </w:p>
    <w:p w:rsidR="00586822" w:rsidRDefault="00586822" w:rsidP="00586822">
      <w:pPr>
        <w:jc w:val="center"/>
        <w:rPr>
          <w:rFonts w:ascii="Arial" w:hAnsi="Arial" w:cs="Arial"/>
          <w:b/>
          <w:sz w:val="24"/>
          <w:szCs w:val="24"/>
        </w:rPr>
      </w:pPr>
    </w:p>
    <w:p w:rsidR="00586822" w:rsidRDefault="00854033" w:rsidP="00586822">
      <w:pPr>
        <w:jc w:val="center"/>
        <w:rPr>
          <w:rFonts w:ascii="Arial" w:hAnsi="Arial" w:cs="Arial"/>
          <w:b/>
          <w:sz w:val="24"/>
          <w:szCs w:val="24"/>
        </w:rPr>
      </w:pPr>
      <w:r>
        <w:rPr>
          <w:rFonts w:ascii="Arial" w:hAnsi="Arial" w:cs="Arial"/>
          <w:b/>
          <w:sz w:val="24"/>
          <w:szCs w:val="24"/>
        </w:rPr>
        <w:t>Klinika</w:t>
      </w:r>
      <w:r w:rsidR="00586822" w:rsidRPr="00586822">
        <w:rPr>
          <w:rFonts w:ascii="Arial" w:hAnsi="Arial" w:cs="Arial"/>
          <w:b/>
          <w:sz w:val="24"/>
          <w:szCs w:val="24"/>
        </w:rPr>
        <w:t xml:space="preserve"> za psihijatriju, Klinički centar Srbije</w:t>
      </w:r>
      <w:r w:rsidR="00314675">
        <w:rPr>
          <w:rFonts w:ascii="Arial" w:hAnsi="Arial" w:cs="Arial"/>
          <w:b/>
          <w:sz w:val="24"/>
          <w:szCs w:val="24"/>
        </w:rPr>
        <w:t>,</w:t>
      </w:r>
    </w:p>
    <w:p w:rsidR="00854033" w:rsidRDefault="00314675" w:rsidP="00854033">
      <w:pPr>
        <w:jc w:val="center"/>
        <w:rPr>
          <w:rFonts w:ascii="Arial" w:hAnsi="Arial" w:cs="Arial"/>
          <w:b/>
          <w:sz w:val="24"/>
          <w:szCs w:val="24"/>
        </w:rPr>
      </w:pPr>
      <w:r>
        <w:rPr>
          <w:rFonts w:ascii="Arial" w:hAnsi="Arial" w:cs="Arial"/>
          <w:b/>
          <w:sz w:val="24"/>
          <w:szCs w:val="24"/>
        </w:rPr>
        <w:t>Beograd</w:t>
      </w:r>
    </w:p>
    <w:p w:rsidR="00854033" w:rsidRPr="00854033" w:rsidRDefault="00860F9B" w:rsidP="00854033">
      <w:pPr>
        <w:jc w:val="both"/>
        <w:rPr>
          <w:rFonts w:ascii="Times New Roman" w:hAnsi="Times New Roman" w:cs="Times New Roman"/>
          <w:b/>
          <w:sz w:val="24"/>
          <w:szCs w:val="24"/>
        </w:rPr>
      </w:pPr>
      <w:r>
        <w:rPr>
          <w:rFonts w:ascii="Times New Roman" w:hAnsi="Times New Roman" w:cs="Times New Roman"/>
          <w:b/>
          <w:sz w:val="24"/>
          <w:szCs w:val="24"/>
        </w:rPr>
        <w:lastRenderedPageBreak/>
        <w:t>Sažetak</w:t>
      </w:r>
    </w:p>
    <w:p w:rsidR="00860F9B" w:rsidRDefault="00860F9B" w:rsidP="00D30F6D">
      <w:pPr>
        <w:spacing w:after="0" w:line="480" w:lineRule="auto"/>
        <w:jc w:val="both"/>
        <w:rPr>
          <w:rFonts w:ascii="Times New Roman" w:hAnsi="Times New Roman" w:cs="Times New Roman"/>
          <w:sz w:val="24"/>
          <w:szCs w:val="24"/>
        </w:rPr>
      </w:pPr>
      <w:r w:rsidRPr="000B081F">
        <w:rPr>
          <w:rFonts w:ascii="Times New Roman" w:hAnsi="Times New Roman" w:cs="Times New Roman"/>
          <w:b/>
          <w:sz w:val="24"/>
          <w:szCs w:val="24"/>
        </w:rPr>
        <w:t>Uvod</w:t>
      </w:r>
      <w:r w:rsidRPr="000B081F">
        <w:rPr>
          <w:rFonts w:ascii="Times New Roman" w:hAnsi="Times New Roman" w:cs="Times New Roman"/>
          <w:sz w:val="24"/>
          <w:szCs w:val="24"/>
        </w:rPr>
        <w:t>. Pitanje suicidalnog rizika i uopšte suicidalnosti predstavlja jedan od najvećih iz</w:t>
      </w:r>
      <w:r w:rsidR="0001019E">
        <w:rPr>
          <w:rFonts w:ascii="Times New Roman" w:hAnsi="Times New Roman" w:cs="Times New Roman"/>
          <w:sz w:val="24"/>
          <w:szCs w:val="24"/>
        </w:rPr>
        <w:t>azova u psihijatrijskoj proceni.</w:t>
      </w:r>
      <w:r w:rsidRPr="000B081F">
        <w:rPr>
          <w:rFonts w:ascii="Times New Roman" w:hAnsi="Times New Roman" w:cs="Times New Roman"/>
          <w:sz w:val="24"/>
          <w:szCs w:val="24"/>
        </w:rPr>
        <w:t xml:space="preserve"> Ovo pitanje je praćeno obimnim naučn</w:t>
      </w:r>
      <w:r>
        <w:rPr>
          <w:rFonts w:ascii="Times New Roman" w:hAnsi="Times New Roman" w:cs="Times New Roman"/>
          <w:sz w:val="24"/>
          <w:szCs w:val="24"/>
        </w:rPr>
        <w:t>o - istraživačkim</w:t>
      </w:r>
      <w:r w:rsidRPr="000B081F">
        <w:rPr>
          <w:rFonts w:ascii="Times New Roman" w:hAnsi="Times New Roman" w:cs="Times New Roman"/>
          <w:sz w:val="24"/>
          <w:szCs w:val="24"/>
        </w:rPr>
        <w:t xml:space="preserve"> stremljinjima u cilju ostvarivanja što preciznij</w:t>
      </w:r>
      <w:r>
        <w:rPr>
          <w:rFonts w:ascii="Times New Roman" w:hAnsi="Times New Roman" w:cs="Times New Roman"/>
          <w:sz w:val="24"/>
          <w:szCs w:val="24"/>
        </w:rPr>
        <w:t>e procene suicidalnosti i suicidalnog rizika.</w:t>
      </w:r>
    </w:p>
    <w:p w:rsidR="00860F9B" w:rsidRPr="000B081F" w:rsidRDefault="00860F9B" w:rsidP="00D30F6D">
      <w:pPr>
        <w:spacing w:after="0" w:line="480" w:lineRule="auto"/>
        <w:jc w:val="both"/>
        <w:rPr>
          <w:rFonts w:ascii="Times New Roman" w:hAnsi="Times New Roman" w:cs="Times New Roman"/>
          <w:sz w:val="24"/>
          <w:szCs w:val="24"/>
        </w:rPr>
      </w:pPr>
      <w:r w:rsidRPr="000B081F">
        <w:rPr>
          <w:rFonts w:ascii="Times New Roman" w:hAnsi="Times New Roman" w:cs="Times New Roman"/>
          <w:b/>
          <w:sz w:val="24"/>
          <w:szCs w:val="24"/>
        </w:rPr>
        <w:t xml:space="preserve">Cilj. </w:t>
      </w:r>
      <w:r w:rsidRPr="000B081F">
        <w:rPr>
          <w:rFonts w:ascii="Times New Roman" w:hAnsi="Times New Roman" w:cs="Times New Roman"/>
          <w:sz w:val="24"/>
          <w:szCs w:val="24"/>
        </w:rPr>
        <w:t xml:space="preserve">Ovo istraživanje ima za cilj validaciju psihopatoloških konstukata ličnosti izolovanih putem </w:t>
      </w:r>
      <w:r w:rsidRPr="00860F9B">
        <w:rPr>
          <w:rFonts w:ascii="Times New Roman" w:hAnsi="Times New Roman" w:cs="Times New Roman"/>
          <w:i/>
          <w:sz w:val="24"/>
          <w:szCs w:val="24"/>
        </w:rPr>
        <w:t>MMPI-a</w:t>
      </w:r>
      <w:r>
        <w:rPr>
          <w:rFonts w:ascii="Times New Roman" w:hAnsi="Times New Roman" w:cs="Times New Roman"/>
          <w:sz w:val="24"/>
          <w:szCs w:val="24"/>
        </w:rPr>
        <w:t xml:space="preserve"> (</w:t>
      </w:r>
      <w:r w:rsidRPr="00860F9B">
        <w:rPr>
          <w:rFonts w:ascii="Times New Roman" w:hAnsi="Times New Roman" w:cs="Times New Roman"/>
          <w:i/>
          <w:sz w:val="24"/>
          <w:szCs w:val="24"/>
        </w:rPr>
        <w:t>Minesota multifazni inventar ličnosti</w:t>
      </w:r>
      <w:r>
        <w:rPr>
          <w:rFonts w:ascii="Times New Roman" w:hAnsi="Times New Roman" w:cs="Times New Roman"/>
          <w:sz w:val="24"/>
          <w:szCs w:val="24"/>
        </w:rPr>
        <w:t>)</w:t>
      </w:r>
      <w:r w:rsidRPr="000B081F">
        <w:rPr>
          <w:rFonts w:ascii="Times New Roman" w:hAnsi="Times New Roman" w:cs="Times New Roman"/>
          <w:sz w:val="24"/>
          <w:szCs w:val="24"/>
        </w:rPr>
        <w:t xml:space="preserve"> </w:t>
      </w:r>
      <w:r>
        <w:rPr>
          <w:rFonts w:ascii="Times New Roman" w:hAnsi="Times New Roman" w:cs="Times New Roman"/>
          <w:sz w:val="24"/>
          <w:szCs w:val="24"/>
        </w:rPr>
        <w:t xml:space="preserve"> i </w:t>
      </w:r>
      <w:r w:rsidRPr="00860F9B">
        <w:rPr>
          <w:rFonts w:ascii="Times New Roman" w:hAnsi="Times New Roman" w:cs="Times New Roman"/>
          <w:i/>
          <w:sz w:val="24"/>
          <w:szCs w:val="24"/>
        </w:rPr>
        <w:t>HAM</w:t>
      </w:r>
      <w:r>
        <w:rPr>
          <w:rFonts w:ascii="Times New Roman" w:hAnsi="Times New Roman" w:cs="Times New Roman"/>
          <w:i/>
          <w:sz w:val="24"/>
          <w:szCs w:val="24"/>
        </w:rPr>
        <w:t>-</w:t>
      </w:r>
      <w:r w:rsidRPr="00860F9B">
        <w:rPr>
          <w:rFonts w:ascii="Times New Roman" w:hAnsi="Times New Roman" w:cs="Times New Roman"/>
          <w:i/>
          <w:sz w:val="24"/>
          <w:szCs w:val="24"/>
        </w:rPr>
        <w:t>D</w:t>
      </w:r>
      <w:r>
        <w:rPr>
          <w:rFonts w:ascii="Times New Roman" w:hAnsi="Times New Roman" w:cs="Times New Roman"/>
          <w:i/>
          <w:sz w:val="24"/>
          <w:szCs w:val="24"/>
        </w:rPr>
        <w:t xml:space="preserve"> (Hamiltonova skala depresivnosti)</w:t>
      </w:r>
      <w:r w:rsidRPr="000B081F">
        <w:rPr>
          <w:rFonts w:ascii="Times New Roman" w:hAnsi="Times New Roman" w:cs="Times New Roman"/>
          <w:sz w:val="24"/>
          <w:szCs w:val="24"/>
        </w:rPr>
        <w:t xml:space="preserve"> u odnosu na  zabeleženu suicidalnost kod ispitanika.</w:t>
      </w:r>
      <w:r>
        <w:rPr>
          <w:rFonts w:ascii="Times New Roman" w:hAnsi="Times New Roman" w:cs="Times New Roman"/>
          <w:sz w:val="24"/>
          <w:szCs w:val="24"/>
        </w:rPr>
        <w:t xml:space="preserve"> Takođe, ispituje se povezanost standardnih kliničih varijabli, sociodemografskih varijabli i stepena suicidalnosti.</w:t>
      </w:r>
      <w:r w:rsidRPr="000B081F">
        <w:rPr>
          <w:rFonts w:ascii="Times New Roman" w:hAnsi="Times New Roman" w:cs="Times New Roman"/>
          <w:sz w:val="24"/>
          <w:szCs w:val="24"/>
        </w:rPr>
        <w:t xml:space="preserve"> </w:t>
      </w:r>
    </w:p>
    <w:p w:rsidR="00860F9B" w:rsidRPr="000B081F" w:rsidRDefault="00860F9B" w:rsidP="00D30F6D">
      <w:pPr>
        <w:spacing w:after="0" w:line="480" w:lineRule="auto"/>
        <w:jc w:val="both"/>
        <w:rPr>
          <w:rFonts w:ascii="Times New Roman" w:hAnsi="Times New Roman" w:cs="Times New Roman"/>
          <w:sz w:val="24"/>
          <w:szCs w:val="24"/>
        </w:rPr>
      </w:pPr>
      <w:r w:rsidRPr="000B081F">
        <w:rPr>
          <w:rFonts w:ascii="Times New Roman" w:hAnsi="Times New Roman" w:cs="Times New Roman"/>
          <w:b/>
          <w:sz w:val="24"/>
          <w:szCs w:val="24"/>
        </w:rPr>
        <w:t>Materijal i metode.</w:t>
      </w:r>
      <w:r>
        <w:rPr>
          <w:rFonts w:ascii="Times New Roman" w:hAnsi="Times New Roman" w:cs="Times New Roman"/>
          <w:sz w:val="24"/>
          <w:szCs w:val="24"/>
        </w:rPr>
        <w:t xml:space="preserve"> Uzorak sačinjavaju </w:t>
      </w:r>
      <w:r w:rsidR="00335D3F">
        <w:rPr>
          <w:rFonts w:ascii="Times New Roman" w:hAnsi="Times New Roman" w:cs="Times New Roman"/>
          <w:sz w:val="24"/>
          <w:szCs w:val="24"/>
        </w:rPr>
        <w:t xml:space="preserve"> pacijenti</w:t>
      </w:r>
      <w:r>
        <w:rPr>
          <w:rFonts w:ascii="Times New Roman" w:hAnsi="Times New Roman" w:cs="Times New Roman"/>
          <w:sz w:val="24"/>
          <w:szCs w:val="24"/>
        </w:rPr>
        <w:t xml:space="preserve"> na stacionarnom lečenju</w:t>
      </w:r>
      <w:r w:rsidRPr="000B081F">
        <w:rPr>
          <w:rFonts w:ascii="Times New Roman" w:hAnsi="Times New Roman" w:cs="Times New Roman"/>
          <w:sz w:val="24"/>
          <w:szCs w:val="24"/>
        </w:rPr>
        <w:t xml:space="preserve"> </w:t>
      </w:r>
      <w:r>
        <w:rPr>
          <w:rFonts w:ascii="Times New Roman" w:hAnsi="Times New Roman" w:cs="Times New Roman"/>
          <w:sz w:val="24"/>
          <w:szCs w:val="24"/>
        </w:rPr>
        <w:t xml:space="preserve">na Klinici za psihijatriju, sa dijagnozma F32 i F33. </w:t>
      </w:r>
      <w:r w:rsidRPr="000B081F">
        <w:rPr>
          <w:rFonts w:ascii="Times New Roman" w:hAnsi="Times New Roman" w:cs="Times New Roman"/>
          <w:sz w:val="24"/>
          <w:szCs w:val="24"/>
        </w:rPr>
        <w:t xml:space="preserve">Podaci su prikupljeni intervjuom, upitničkom metodom i iz zvanične medicinske dokumentacije. Prediktorske varijable predstavljaju skorovi na </w:t>
      </w:r>
      <w:r w:rsidRPr="00860F9B">
        <w:rPr>
          <w:rFonts w:ascii="Times New Roman" w:hAnsi="Times New Roman" w:cs="Times New Roman"/>
          <w:i/>
          <w:sz w:val="24"/>
          <w:szCs w:val="24"/>
        </w:rPr>
        <w:t xml:space="preserve">MMPI-202 </w:t>
      </w:r>
      <w:r w:rsidRPr="000B081F">
        <w:rPr>
          <w:rFonts w:ascii="Times New Roman" w:hAnsi="Times New Roman" w:cs="Times New Roman"/>
          <w:sz w:val="24"/>
          <w:szCs w:val="24"/>
        </w:rPr>
        <w:t xml:space="preserve">i </w:t>
      </w:r>
      <w:r w:rsidRPr="00860F9B">
        <w:rPr>
          <w:rFonts w:ascii="Times New Roman" w:hAnsi="Times New Roman" w:cs="Times New Roman"/>
          <w:i/>
          <w:sz w:val="24"/>
          <w:szCs w:val="24"/>
        </w:rPr>
        <w:t>HAM-D</w:t>
      </w:r>
      <w:r w:rsidRPr="000B081F">
        <w:rPr>
          <w:rFonts w:ascii="Times New Roman" w:hAnsi="Times New Roman" w:cs="Times New Roman"/>
          <w:sz w:val="24"/>
          <w:szCs w:val="24"/>
        </w:rPr>
        <w:t>-u</w:t>
      </w:r>
      <w:r>
        <w:rPr>
          <w:rFonts w:ascii="Times New Roman" w:hAnsi="Times New Roman" w:cs="Times New Roman"/>
          <w:sz w:val="24"/>
          <w:szCs w:val="24"/>
        </w:rPr>
        <w:t>, standardne kliničke i sociodemografske varijable</w:t>
      </w:r>
      <w:r w:rsidRPr="000B081F">
        <w:rPr>
          <w:rFonts w:ascii="Times New Roman" w:hAnsi="Times New Roman" w:cs="Times New Roman"/>
          <w:sz w:val="24"/>
          <w:szCs w:val="24"/>
        </w:rPr>
        <w:t xml:space="preserve">. Kriterijumske varijable predstavljaju skor na </w:t>
      </w:r>
      <w:r w:rsidRPr="00860F9B">
        <w:rPr>
          <w:rFonts w:ascii="Times New Roman" w:hAnsi="Times New Roman" w:cs="Times New Roman"/>
          <w:i/>
          <w:sz w:val="24"/>
          <w:szCs w:val="24"/>
        </w:rPr>
        <w:t>SBQ-R</w:t>
      </w:r>
      <w:r>
        <w:rPr>
          <w:rFonts w:ascii="Times New Roman" w:hAnsi="Times New Roman" w:cs="Times New Roman"/>
          <w:i/>
          <w:sz w:val="24"/>
          <w:szCs w:val="24"/>
        </w:rPr>
        <w:t xml:space="preserve"> (Upitnik suicidalnih ponašanja)</w:t>
      </w:r>
      <w:r w:rsidRPr="00860F9B">
        <w:rPr>
          <w:rFonts w:ascii="Times New Roman" w:hAnsi="Times New Roman" w:cs="Times New Roman"/>
          <w:i/>
          <w:sz w:val="24"/>
          <w:szCs w:val="24"/>
        </w:rPr>
        <w:t>,</w:t>
      </w:r>
      <w:r>
        <w:rPr>
          <w:rFonts w:ascii="Times New Roman" w:hAnsi="Times New Roman" w:cs="Times New Roman"/>
          <w:sz w:val="24"/>
          <w:szCs w:val="24"/>
        </w:rPr>
        <w:t xml:space="preserve"> kao mera suicidalnosti, i </w:t>
      </w:r>
      <w:r w:rsidRPr="000B081F">
        <w:rPr>
          <w:rFonts w:ascii="Times New Roman" w:hAnsi="Times New Roman" w:cs="Times New Roman"/>
          <w:sz w:val="24"/>
          <w:szCs w:val="24"/>
        </w:rPr>
        <w:t xml:space="preserve">kategorička varijablja kojom </w:t>
      </w:r>
      <w:r>
        <w:rPr>
          <w:rFonts w:ascii="Times New Roman" w:hAnsi="Times New Roman" w:cs="Times New Roman"/>
          <w:sz w:val="24"/>
          <w:szCs w:val="24"/>
        </w:rPr>
        <w:t xml:space="preserve">se </w:t>
      </w:r>
      <w:r w:rsidRPr="000B081F">
        <w:rPr>
          <w:rFonts w:ascii="Times New Roman" w:hAnsi="Times New Roman" w:cs="Times New Roman"/>
          <w:sz w:val="24"/>
          <w:szCs w:val="24"/>
        </w:rPr>
        <w:t>izražava prisustvo suicidalnih pokušaja u prošlosti. U obradi rezultata korišćene su: deskriptivna statistika, bivarijantna korelacija, regresiona analiza, poređenje aritmetičkih sredina i kanonička diskriminaciona analiza.</w:t>
      </w:r>
    </w:p>
    <w:p w:rsidR="00860F9B" w:rsidRPr="000B081F" w:rsidRDefault="00860F9B" w:rsidP="00D30F6D">
      <w:pPr>
        <w:spacing w:after="0" w:line="480" w:lineRule="auto"/>
        <w:jc w:val="both"/>
        <w:rPr>
          <w:rFonts w:ascii="Times New Roman" w:hAnsi="Times New Roman" w:cs="Times New Roman"/>
          <w:sz w:val="24"/>
          <w:szCs w:val="24"/>
        </w:rPr>
      </w:pPr>
      <w:r w:rsidRPr="000B081F">
        <w:rPr>
          <w:rFonts w:ascii="Times New Roman" w:hAnsi="Times New Roman" w:cs="Times New Roman"/>
          <w:b/>
          <w:sz w:val="24"/>
          <w:szCs w:val="24"/>
        </w:rPr>
        <w:t>Rezultati</w:t>
      </w:r>
      <w:r w:rsidRPr="000B081F">
        <w:rPr>
          <w:rFonts w:ascii="Times New Roman" w:hAnsi="Times New Roman" w:cs="Times New Roman"/>
          <w:sz w:val="24"/>
          <w:szCs w:val="24"/>
        </w:rPr>
        <w:t>. Dobijena je pozitivna značajna korelacija  između sucidalnosti i  skala depresivnosti, paranodnosti, shizofrenije, anksioznosti</w:t>
      </w:r>
      <w:r>
        <w:rPr>
          <w:rFonts w:ascii="Times New Roman" w:hAnsi="Times New Roman" w:cs="Times New Roman"/>
          <w:sz w:val="24"/>
          <w:szCs w:val="24"/>
        </w:rPr>
        <w:t>, socijalne izolacije, psihoast</w:t>
      </w:r>
      <w:r w:rsidRPr="000B081F">
        <w:rPr>
          <w:rFonts w:ascii="Times New Roman" w:hAnsi="Times New Roman" w:cs="Times New Roman"/>
          <w:sz w:val="24"/>
          <w:szCs w:val="24"/>
        </w:rPr>
        <w:t>ničnosti, kao i broja hospitalizacija. Kao jedini pouzdani pre</w:t>
      </w:r>
      <w:r w:rsidR="00724C17">
        <w:rPr>
          <w:rFonts w:ascii="Times New Roman" w:hAnsi="Times New Roman" w:cs="Times New Roman"/>
          <w:sz w:val="24"/>
          <w:szCs w:val="24"/>
        </w:rPr>
        <w:t>diktor suicidalnosti izdvaja se d</w:t>
      </w:r>
      <w:r w:rsidRPr="000B081F">
        <w:rPr>
          <w:rFonts w:ascii="Times New Roman" w:hAnsi="Times New Roman" w:cs="Times New Roman"/>
          <w:sz w:val="24"/>
          <w:szCs w:val="24"/>
        </w:rPr>
        <w:t>epresivnost.</w:t>
      </w:r>
      <w:r w:rsidR="00724C17">
        <w:rPr>
          <w:rFonts w:ascii="Times New Roman" w:hAnsi="Times New Roman" w:cs="Times New Roman"/>
          <w:sz w:val="24"/>
          <w:szCs w:val="24"/>
        </w:rPr>
        <w:t xml:space="preserve"> </w:t>
      </w:r>
    </w:p>
    <w:p w:rsidR="00860F9B" w:rsidRPr="000B081F" w:rsidRDefault="00860F9B" w:rsidP="00D30F6D">
      <w:pPr>
        <w:spacing w:after="0" w:line="480" w:lineRule="auto"/>
        <w:jc w:val="both"/>
        <w:rPr>
          <w:rFonts w:ascii="Times New Roman" w:hAnsi="Times New Roman" w:cs="Times New Roman"/>
          <w:sz w:val="24"/>
          <w:szCs w:val="24"/>
        </w:rPr>
      </w:pPr>
      <w:r w:rsidRPr="000B081F">
        <w:rPr>
          <w:rFonts w:ascii="Times New Roman" w:hAnsi="Times New Roman" w:cs="Times New Roman"/>
          <w:b/>
          <w:sz w:val="24"/>
          <w:szCs w:val="24"/>
        </w:rPr>
        <w:t xml:space="preserve">Zaključak. </w:t>
      </w:r>
      <w:r w:rsidRPr="000B081F">
        <w:rPr>
          <w:rFonts w:ascii="Times New Roman" w:hAnsi="Times New Roman" w:cs="Times New Roman"/>
          <w:sz w:val="24"/>
          <w:szCs w:val="24"/>
        </w:rPr>
        <w:t xml:space="preserve">Pokazano je da psihopatološki konstrukti izolovani </w:t>
      </w:r>
      <w:r w:rsidRPr="00860F9B">
        <w:rPr>
          <w:rFonts w:ascii="Times New Roman" w:hAnsi="Times New Roman" w:cs="Times New Roman"/>
          <w:i/>
          <w:sz w:val="24"/>
          <w:szCs w:val="24"/>
        </w:rPr>
        <w:t>MMPI</w:t>
      </w:r>
      <w:r w:rsidRPr="000B081F">
        <w:rPr>
          <w:rFonts w:ascii="Times New Roman" w:hAnsi="Times New Roman" w:cs="Times New Roman"/>
          <w:sz w:val="24"/>
          <w:szCs w:val="24"/>
        </w:rPr>
        <w:t xml:space="preserve">-em jesu povezani sa suicidalnošću, ipak, zaključuje se da su neophodna dodatna istraživanja u cilju preciznije identifikacije kvaliteta i načina povezanosti koje se ostvaruju između testa </w:t>
      </w:r>
      <w:r w:rsidR="00D30F6D">
        <w:rPr>
          <w:rFonts w:ascii="Times New Roman" w:hAnsi="Times New Roman" w:cs="Times New Roman"/>
          <w:sz w:val="24"/>
          <w:szCs w:val="24"/>
        </w:rPr>
        <w:t>i suicidalnosti.</w:t>
      </w:r>
    </w:p>
    <w:p w:rsidR="00335D3F" w:rsidRDefault="00860F9B" w:rsidP="00854033">
      <w:pPr>
        <w:spacing w:after="0" w:line="480" w:lineRule="auto"/>
        <w:jc w:val="both"/>
        <w:rPr>
          <w:rFonts w:ascii="Times New Roman" w:hAnsi="Times New Roman" w:cs="Times New Roman"/>
          <w:i/>
          <w:sz w:val="24"/>
          <w:szCs w:val="24"/>
        </w:rPr>
      </w:pPr>
      <w:r w:rsidRPr="00860F9B">
        <w:rPr>
          <w:rFonts w:ascii="Times New Roman" w:hAnsi="Times New Roman" w:cs="Times New Roman"/>
          <w:i/>
          <w:sz w:val="24"/>
          <w:szCs w:val="24"/>
        </w:rPr>
        <w:t>Ključne reči: Suicidalni rizik, depresija, MMPI, HAM</w:t>
      </w:r>
      <w:r w:rsidR="00FA5AB1">
        <w:rPr>
          <w:rFonts w:ascii="Times New Roman" w:hAnsi="Times New Roman" w:cs="Times New Roman"/>
          <w:i/>
          <w:sz w:val="24"/>
          <w:szCs w:val="24"/>
        </w:rPr>
        <w:t>-</w:t>
      </w:r>
      <w:r w:rsidRPr="00860F9B">
        <w:rPr>
          <w:rFonts w:ascii="Times New Roman" w:hAnsi="Times New Roman" w:cs="Times New Roman"/>
          <w:i/>
          <w:sz w:val="24"/>
          <w:szCs w:val="24"/>
        </w:rPr>
        <w:t>D, faktori ličnosti</w:t>
      </w:r>
    </w:p>
    <w:p w:rsidR="00D30F6D" w:rsidRDefault="00D30F6D" w:rsidP="00854033">
      <w:pPr>
        <w:spacing w:after="0" w:line="480" w:lineRule="auto"/>
        <w:jc w:val="both"/>
        <w:rPr>
          <w:rFonts w:ascii="Times New Roman" w:hAnsi="Times New Roman" w:cs="Times New Roman"/>
          <w:b/>
          <w:sz w:val="24"/>
          <w:szCs w:val="24"/>
        </w:rPr>
      </w:pPr>
    </w:p>
    <w:p w:rsidR="001C4AFB" w:rsidRPr="00335D3F" w:rsidRDefault="001C4AFB" w:rsidP="00854033">
      <w:pPr>
        <w:spacing w:after="0" w:line="480" w:lineRule="auto"/>
        <w:jc w:val="both"/>
        <w:rPr>
          <w:rFonts w:ascii="Times New Roman" w:hAnsi="Times New Roman" w:cs="Times New Roman"/>
          <w:i/>
          <w:sz w:val="24"/>
          <w:szCs w:val="24"/>
        </w:rPr>
      </w:pPr>
      <w:r>
        <w:rPr>
          <w:rFonts w:ascii="Times New Roman" w:hAnsi="Times New Roman" w:cs="Times New Roman"/>
          <w:b/>
          <w:sz w:val="24"/>
          <w:szCs w:val="24"/>
        </w:rPr>
        <w:lastRenderedPageBreak/>
        <w:t>Abstract</w:t>
      </w:r>
    </w:p>
    <w:p w:rsidR="001C4AFB" w:rsidRDefault="001C4AFB" w:rsidP="00D30F6D">
      <w:pPr>
        <w:spacing w:after="0" w:line="480" w:lineRule="auto"/>
        <w:jc w:val="both"/>
        <w:rPr>
          <w:rFonts w:ascii="Times New Roman" w:hAnsi="Times New Roman" w:cs="Times New Roman"/>
          <w:sz w:val="24"/>
          <w:szCs w:val="24"/>
        </w:rPr>
      </w:pPr>
      <w:r w:rsidRPr="001C4AFB">
        <w:rPr>
          <w:rFonts w:ascii="Times New Roman" w:hAnsi="Times New Roman" w:cs="Times New Roman"/>
          <w:b/>
          <w:sz w:val="24"/>
          <w:szCs w:val="24"/>
        </w:rPr>
        <w:t>Introduction.</w:t>
      </w:r>
      <w:r w:rsidRPr="001C4AFB">
        <w:rPr>
          <w:rFonts w:ascii="Times New Roman" w:hAnsi="Times New Roman" w:cs="Times New Roman"/>
          <w:sz w:val="24"/>
          <w:szCs w:val="24"/>
        </w:rPr>
        <w:t xml:space="preserve"> The issue of suicidal risk ,and suicide in general, represents one of the biggest challenges in psychiatric evaluation. This issue is covered by an extensive scientific work with the purpose of creating the most precise evaluation of suicide and suicide risk.</w:t>
      </w:r>
    </w:p>
    <w:p w:rsidR="001C4AFB" w:rsidRDefault="001C4AFB" w:rsidP="00D30F6D">
      <w:pPr>
        <w:spacing w:after="0" w:line="480" w:lineRule="auto"/>
        <w:jc w:val="both"/>
        <w:rPr>
          <w:rFonts w:ascii="Times New Roman" w:hAnsi="Times New Roman" w:cs="Times New Roman"/>
          <w:sz w:val="24"/>
          <w:szCs w:val="24"/>
        </w:rPr>
      </w:pPr>
      <w:r w:rsidRPr="001C4AFB">
        <w:rPr>
          <w:rFonts w:ascii="Times New Roman" w:hAnsi="Times New Roman" w:cs="Times New Roman"/>
          <w:b/>
          <w:sz w:val="24"/>
          <w:szCs w:val="24"/>
        </w:rPr>
        <w:t>Aim.</w:t>
      </w:r>
      <w:r w:rsidRPr="001C4AFB">
        <w:rPr>
          <w:rFonts w:ascii="Times New Roman" w:hAnsi="Times New Roman" w:cs="Times New Roman"/>
          <w:sz w:val="24"/>
          <w:szCs w:val="24"/>
        </w:rPr>
        <w:t xml:space="preserve"> The main goal of this research is to validate psychopatological constructs of a personality isolated by </w:t>
      </w:r>
      <w:r w:rsidRPr="001C4AFB">
        <w:rPr>
          <w:rFonts w:ascii="Times New Roman" w:hAnsi="Times New Roman" w:cs="Times New Roman"/>
          <w:i/>
          <w:sz w:val="24"/>
          <w:szCs w:val="24"/>
        </w:rPr>
        <w:t>MMPI-a</w:t>
      </w:r>
      <w:r w:rsidRPr="001C4AFB">
        <w:rPr>
          <w:rFonts w:ascii="Times New Roman" w:hAnsi="Times New Roman" w:cs="Times New Roman"/>
          <w:sz w:val="24"/>
          <w:szCs w:val="24"/>
        </w:rPr>
        <w:t xml:space="preserve"> and </w:t>
      </w:r>
      <w:r w:rsidRPr="001C4AFB">
        <w:rPr>
          <w:rFonts w:ascii="Times New Roman" w:hAnsi="Times New Roman" w:cs="Times New Roman"/>
          <w:i/>
          <w:sz w:val="24"/>
          <w:szCs w:val="24"/>
        </w:rPr>
        <w:t>HAMD</w:t>
      </w:r>
      <w:r w:rsidRPr="001C4AFB">
        <w:rPr>
          <w:rFonts w:ascii="Times New Roman" w:hAnsi="Times New Roman" w:cs="Times New Roman"/>
          <w:sz w:val="24"/>
          <w:szCs w:val="24"/>
        </w:rPr>
        <w:t xml:space="preserve"> in </w:t>
      </w:r>
      <w:r>
        <w:rPr>
          <w:rFonts w:ascii="Times New Roman" w:hAnsi="Times New Roman" w:cs="Times New Roman"/>
          <w:sz w:val="24"/>
          <w:szCs w:val="24"/>
        </w:rPr>
        <w:t>relation with measured</w:t>
      </w:r>
      <w:r w:rsidRPr="001C4AFB">
        <w:rPr>
          <w:rFonts w:ascii="Times New Roman" w:hAnsi="Times New Roman" w:cs="Times New Roman"/>
          <w:sz w:val="24"/>
          <w:szCs w:val="24"/>
        </w:rPr>
        <w:t xml:space="preserve"> suicidal rate among the subjects in question</w:t>
      </w:r>
      <w:r>
        <w:rPr>
          <w:rFonts w:ascii="Times New Roman" w:hAnsi="Times New Roman" w:cs="Times New Roman"/>
          <w:sz w:val="24"/>
          <w:szCs w:val="24"/>
        </w:rPr>
        <w:t>. Also, goal of this research is to explore possible connecitons beetween standard clinical and sociodemographic variables with rate of suicidality.</w:t>
      </w:r>
    </w:p>
    <w:p w:rsidR="001C4AFB" w:rsidRDefault="001C4AFB" w:rsidP="00D30F6D">
      <w:pPr>
        <w:spacing w:after="0" w:line="480" w:lineRule="auto"/>
        <w:jc w:val="both"/>
        <w:rPr>
          <w:rFonts w:ascii="Times New Roman" w:hAnsi="Times New Roman" w:cs="Times New Roman"/>
          <w:sz w:val="24"/>
          <w:szCs w:val="24"/>
        </w:rPr>
      </w:pPr>
      <w:r w:rsidRPr="001C4AFB">
        <w:rPr>
          <w:rFonts w:ascii="Times New Roman" w:hAnsi="Times New Roman" w:cs="Times New Roman"/>
          <w:b/>
          <w:sz w:val="24"/>
          <w:szCs w:val="24"/>
        </w:rPr>
        <w:t>Materials and methods.</w:t>
      </w:r>
      <w:r w:rsidRPr="001C4AFB">
        <w:rPr>
          <w:rFonts w:ascii="Times New Roman" w:hAnsi="Times New Roman" w:cs="Times New Roman"/>
          <w:sz w:val="24"/>
          <w:szCs w:val="24"/>
        </w:rPr>
        <w:t xml:space="preserve"> The sample group consists of  patients that are based on the stationary ward of a psychiatric clinic</w:t>
      </w:r>
      <w:r w:rsidR="009C734E">
        <w:rPr>
          <w:rFonts w:ascii="Times New Roman" w:hAnsi="Times New Roman" w:cs="Times New Roman"/>
          <w:sz w:val="24"/>
          <w:szCs w:val="24"/>
        </w:rPr>
        <w:t>,</w:t>
      </w:r>
      <w:r w:rsidRPr="001C4AFB">
        <w:rPr>
          <w:rFonts w:ascii="Times New Roman" w:hAnsi="Times New Roman" w:cs="Times New Roman"/>
          <w:sz w:val="24"/>
          <w:szCs w:val="24"/>
        </w:rPr>
        <w:t xml:space="preserve"> diagnosed with F32 and F33.</w:t>
      </w:r>
      <w:r w:rsidR="00335D3F">
        <w:rPr>
          <w:rFonts w:ascii="Times New Roman" w:hAnsi="Times New Roman" w:cs="Times New Roman"/>
          <w:sz w:val="24"/>
          <w:szCs w:val="24"/>
        </w:rPr>
        <w:t xml:space="preserve"> </w:t>
      </w:r>
      <w:r w:rsidRPr="001C4AFB">
        <w:rPr>
          <w:rFonts w:ascii="Times New Roman" w:hAnsi="Times New Roman" w:cs="Times New Roman"/>
          <w:sz w:val="24"/>
          <w:szCs w:val="24"/>
        </w:rPr>
        <w:t>All the data was collected by interview, questionnaire and official medical documentation.</w:t>
      </w:r>
      <w:r w:rsidR="009C734E">
        <w:rPr>
          <w:rFonts w:ascii="Times New Roman" w:hAnsi="Times New Roman" w:cs="Times New Roman"/>
          <w:sz w:val="24"/>
          <w:szCs w:val="24"/>
        </w:rPr>
        <w:t xml:space="preserve"> </w:t>
      </w:r>
      <w:r w:rsidRPr="001C4AFB">
        <w:rPr>
          <w:rFonts w:ascii="Times New Roman" w:hAnsi="Times New Roman" w:cs="Times New Roman"/>
          <w:sz w:val="24"/>
          <w:szCs w:val="24"/>
        </w:rPr>
        <w:t xml:space="preserve">The prediction variables are presented by the score on </w:t>
      </w:r>
      <w:r w:rsidRPr="009C734E">
        <w:rPr>
          <w:rFonts w:ascii="Times New Roman" w:hAnsi="Times New Roman" w:cs="Times New Roman"/>
          <w:i/>
          <w:sz w:val="24"/>
          <w:szCs w:val="24"/>
        </w:rPr>
        <w:t>MMPI-202</w:t>
      </w:r>
      <w:r w:rsidRPr="001C4AFB">
        <w:rPr>
          <w:rFonts w:ascii="Times New Roman" w:hAnsi="Times New Roman" w:cs="Times New Roman"/>
          <w:sz w:val="24"/>
          <w:szCs w:val="24"/>
        </w:rPr>
        <w:t xml:space="preserve"> </w:t>
      </w:r>
      <w:r w:rsidR="009C734E">
        <w:rPr>
          <w:rFonts w:ascii="Times New Roman" w:hAnsi="Times New Roman" w:cs="Times New Roman"/>
          <w:sz w:val="24"/>
          <w:szCs w:val="24"/>
        </w:rPr>
        <w:t>and</w:t>
      </w:r>
      <w:r w:rsidRPr="001C4AFB">
        <w:rPr>
          <w:rFonts w:ascii="Times New Roman" w:hAnsi="Times New Roman" w:cs="Times New Roman"/>
          <w:sz w:val="24"/>
          <w:szCs w:val="24"/>
        </w:rPr>
        <w:t xml:space="preserve"> </w:t>
      </w:r>
      <w:r w:rsidRPr="009C734E">
        <w:rPr>
          <w:rFonts w:ascii="Times New Roman" w:hAnsi="Times New Roman" w:cs="Times New Roman"/>
          <w:i/>
          <w:sz w:val="24"/>
          <w:szCs w:val="24"/>
        </w:rPr>
        <w:t>HAM-D</w:t>
      </w:r>
      <w:r w:rsidRPr="001C4AFB">
        <w:rPr>
          <w:rFonts w:ascii="Times New Roman" w:hAnsi="Times New Roman" w:cs="Times New Roman"/>
          <w:sz w:val="24"/>
          <w:szCs w:val="24"/>
        </w:rPr>
        <w:t xml:space="preserve">, </w:t>
      </w:r>
      <w:r w:rsidR="00854033">
        <w:rPr>
          <w:rFonts w:ascii="Times New Roman" w:hAnsi="Times New Roman" w:cs="Times New Roman"/>
          <w:sz w:val="24"/>
          <w:szCs w:val="24"/>
        </w:rPr>
        <w:t xml:space="preserve">and </w:t>
      </w:r>
      <w:r w:rsidRPr="001C4AFB">
        <w:rPr>
          <w:rFonts w:ascii="Times New Roman" w:hAnsi="Times New Roman" w:cs="Times New Roman"/>
          <w:sz w:val="24"/>
          <w:szCs w:val="24"/>
        </w:rPr>
        <w:t xml:space="preserve">standard clinical and sociodemographic </w:t>
      </w:r>
      <w:r w:rsidR="00854033">
        <w:rPr>
          <w:rFonts w:ascii="Times New Roman" w:hAnsi="Times New Roman" w:cs="Times New Roman"/>
          <w:sz w:val="24"/>
          <w:szCs w:val="24"/>
        </w:rPr>
        <w:t>variables</w:t>
      </w:r>
      <w:r w:rsidRPr="001C4AFB">
        <w:rPr>
          <w:rFonts w:ascii="Times New Roman" w:hAnsi="Times New Roman" w:cs="Times New Roman"/>
          <w:sz w:val="24"/>
          <w:szCs w:val="24"/>
        </w:rPr>
        <w:t xml:space="preserve">. Criteria variables represent the score on </w:t>
      </w:r>
      <w:r w:rsidRPr="009C734E">
        <w:rPr>
          <w:rFonts w:ascii="Times New Roman" w:hAnsi="Times New Roman" w:cs="Times New Roman"/>
          <w:i/>
          <w:sz w:val="24"/>
          <w:szCs w:val="24"/>
        </w:rPr>
        <w:t>SBQ-R</w:t>
      </w:r>
      <w:r w:rsidRPr="001C4AFB">
        <w:rPr>
          <w:rFonts w:ascii="Times New Roman" w:hAnsi="Times New Roman" w:cs="Times New Roman"/>
          <w:sz w:val="24"/>
          <w:szCs w:val="24"/>
        </w:rPr>
        <w:t>, as a measure of suicidal tendencies, and a category variable which marks the presence of suicide attempts in the past. During the data analysis, the following methods were used: descriptive statistics, bivariate correlation, regression analysis, comparisment of arithmetic mean and canonical discriminant analysis.</w:t>
      </w:r>
    </w:p>
    <w:p w:rsidR="00854033" w:rsidRPr="00854033" w:rsidRDefault="00854033" w:rsidP="00D30F6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Results.</w:t>
      </w:r>
      <w:r w:rsidRPr="00854033">
        <w:rPr>
          <w:rFonts w:ascii="Times New Roman" w:hAnsi="Times New Roman" w:cs="Times New Roman"/>
          <w:b/>
          <w:sz w:val="24"/>
          <w:szCs w:val="24"/>
        </w:rPr>
        <w:t xml:space="preserve"> </w:t>
      </w:r>
      <w:r w:rsidRPr="00854033">
        <w:rPr>
          <w:rFonts w:ascii="Times New Roman" w:hAnsi="Times New Roman" w:cs="Times New Roman"/>
          <w:sz w:val="24"/>
          <w:szCs w:val="24"/>
        </w:rPr>
        <w:t>The research showed  a positive and significant correlation between suicidal tendencies and the scales of: depression, paranoia, schizophrenia, anxiety, social isolation,  psychoastenia and the hospitalization count. The only one reliable predictor of suicidalty is depression.</w:t>
      </w:r>
    </w:p>
    <w:p w:rsidR="00D30F6D" w:rsidRDefault="00854033" w:rsidP="00854033">
      <w:pPr>
        <w:spacing w:after="0" w:line="480" w:lineRule="auto"/>
        <w:jc w:val="both"/>
        <w:rPr>
          <w:rFonts w:ascii="Times New Roman" w:hAnsi="Times New Roman" w:cs="Times New Roman"/>
          <w:sz w:val="24"/>
          <w:szCs w:val="24"/>
        </w:rPr>
      </w:pPr>
      <w:r w:rsidRPr="00854033">
        <w:rPr>
          <w:rFonts w:ascii="Times New Roman" w:hAnsi="Times New Roman" w:cs="Times New Roman"/>
          <w:b/>
          <w:sz w:val="24"/>
          <w:szCs w:val="24"/>
        </w:rPr>
        <w:t>Conclusion</w:t>
      </w:r>
      <w:r w:rsidRPr="00854033">
        <w:rPr>
          <w:rFonts w:ascii="Times New Roman" w:hAnsi="Times New Roman" w:cs="Times New Roman"/>
          <w:sz w:val="24"/>
          <w:szCs w:val="24"/>
        </w:rPr>
        <w:t>. The research concludes that th</w:t>
      </w:r>
      <w:r>
        <w:rPr>
          <w:rFonts w:ascii="Times New Roman" w:hAnsi="Times New Roman" w:cs="Times New Roman"/>
          <w:sz w:val="24"/>
          <w:szCs w:val="24"/>
        </w:rPr>
        <w:t>e psychopathological constructs</w:t>
      </w:r>
      <w:r w:rsidRPr="00854033">
        <w:rPr>
          <w:rFonts w:ascii="Times New Roman" w:hAnsi="Times New Roman" w:cs="Times New Roman"/>
          <w:sz w:val="24"/>
          <w:szCs w:val="24"/>
        </w:rPr>
        <w:t>,</w:t>
      </w:r>
      <w:r>
        <w:rPr>
          <w:rFonts w:ascii="Times New Roman" w:hAnsi="Times New Roman" w:cs="Times New Roman"/>
          <w:sz w:val="24"/>
          <w:szCs w:val="24"/>
        </w:rPr>
        <w:t xml:space="preserve"> </w:t>
      </w:r>
      <w:r w:rsidRPr="00854033">
        <w:rPr>
          <w:rFonts w:ascii="Times New Roman" w:hAnsi="Times New Roman" w:cs="Times New Roman"/>
          <w:sz w:val="24"/>
          <w:szCs w:val="24"/>
        </w:rPr>
        <w:t xml:space="preserve">isolated by </w:t>
      </w:r>
      <w:r w:rsidRPr="009C734E">
        <w:rPr>
          <w:rFonts w:ascii="Times New Roman" w:hAnsi="Times New Roman" w:cs="Times New Roman"/>
          <w:i/>
          <w:sz w:val="24"/>
          <w:szCs w:val="24"/>
        </w:rPr>
        <w:t>MMPI</w:t>
      </w:r>
      <w:r w:rsidRPr="00854033">
        <w:rPr>
          <w:rFonts w:ascii="Times New Roman" w:hAnsi="Times New Roman" w:cs="Times New Roman"/>
          <w:sz w:val="24"/>
          <w:szCs w:val="24"/>
        </w:rPr>
        <w:t>, are connected with suicidal tendencies. However, the con</w:t>
      </w:r>
      <w:r w:rsidR="00335D3F">
        <w:rPr>
          <w:rFonts w:ascii="Times New Roman" w:hAnsi="Times New Roman" w:cs="Times New Roman"/>
          <w:sz w:val="24"/>
          <w:szCs w:val="24"/>
        </w:rPr>
        <w:t xml:space="preserve">clusion is that further research </w:t>
      </w:r>
      <w:r w:rsidRPr="00854033">
        <w:rPr>
          <w:rFonts w:ascii="Times New Roman" w:hAnsi="Times New Roman" w:cs="Times New Roman"/>
          <w:sz w:val="24"/>
          <w:szCs w:val="24"/>
        </w:rPr>
        <w:t xml:space="preserve">is necessary in terms of determining the quality and way of the connections that are achieved between the test and the </w:t>
      </w:r>
      <w:r w:rsidR="00D30F6D">
        <w:rPr>
          <w:rFonts w:ascii="Times New Roman" w:hAnsi="Times New Roman" w:cs="Times New Roman"/>
          <w:sz w:val="24"/>
          <w:szCs w:val="24"/>
        </w:rPr>
        <w:t>suicidality</w:t>
      </w:r>
      <w:r w:rsidRPr="00854033">
        <w:rPr>
          <w:rFonts w:ascii="Times New Roman" w:hAnsi="Times New Roman" w:cs="Times New Roman"/>
          <w:sz w:val="24"/>
          <w:szCs w:val="24"/>
        </w:rPr>
        <w:t>.</w:t>
      </w:r>
    </w:p>
    <w:p w:rsidR="00854033" w:rsidRPr="00D30F6D" w:rsidRDefault="00854033" w:rsidP="00854033">
      <w:pPr>
        <w:spacing w:after="0" w:line="480" w:lineRule="auto"/>
        <w:jc w:val="both"/>
        <w:rPr>
          <w:rFonts w:ascii="Times New Roman" w:hAnsi="Times New Roman" w:cs="Times New Roman"/>
          <w:sz w:val="24"/>
          <w:szCs w:val="24"/>
        </w:rPr>
      </w:pPr>
      <w:r w:rsidRPr="00854033">
        <w:rPr>
          <w:rFonts w:ascii="Times New Roman" w:hAnsi="Times New Roman" w:cs="Times New Roman"/>
          <w:i/>
          <w:sz w:val="24"/>
          <w:szCs w:val="24"/>
        </w:rPr>
        <w:lastRenderedPageBreak/>
        <w:t>Key words: Suicidal risk, depression, MMPI, HAM</w:t>
      </w:r>
      <w:r>
        <w:rPr>
          <w:rFonts w:ascii="Times New Roman" w:hAnsi="Times New Roman" w:cs="Times New Roman"/>
          <w:i/>
          <w:sz w:val="24"/>
          <w:szCs w:val="24"/>
        </w:rPr>
        <w:t>-</w:t>
      </w:r>
      <w:r w:rsidRPr="00854033">
        <w:rPr>
          <w:rFonts w:ascii="Times New Roman" w:hAnsi="Times New Roman" w:cs="Times New Roman"/>
          <w:i/>
          <w:sz w:val="24"/>
          <w:szCs w:val="24"/>
        </w:rPr>
        <w:t>D, peronality factors</w:t>
      </w:r>
    </w:p>
    <w:p w:rsidR="00854033" w:rsidRPr="00854033" w:rsidRDefault="00854033" w:rsidP="00854033">
      <w:pPr>
        <w:spacing w:after="0" w:line="480" w:lineRule="auto"/>
        <w:ind w:firstLine="720"/>
        <w:jc w:val="both"/>
        <w:rPr>
          <w:rFonts w:ascii="Times New Roman" w:hAnsi="Times New Roman" w:cs="Times New Roman"/>
          <w:sz w:val="24"/>
          <w:szCs w:val="24"/>
        </w:rPr>
      </w:pPr>
    </w:p>
    <w:p w:rsidR="00854033" w:rsidRPr="00854033" w:rsidRDefault="00854033" w:rsidP="00854033">
      <w:pPr>
        <w:spacing w:after="0" w:line="480" w:lineRule="auto"/>
        <w:ind w:firstLine="720"/>
        <w:jc w:val="both"/>
        <w:rPr>
          <w:rFonts w:ascii="Times New Roman" w:hAnsi="Times New Roman" w:cs="Times New Roman"/>
          <w:sz w:val="24"/>
          <w:szCs w:val="24"/>
        </w:rPr>
      </w:pPr>
    </w:p>
    <w:p w:rsidR="00854033" w:rsidRPr="00854033" w:rsidRDefault="00854033" w:rsidP="00854033">
      <w:pPr>
        <w:spacing w:after="0" w:line="480" w:lineRule="auto"/>
        <w:ind w:firstLine="720"/>
        <w:jc w:val="both"/>
        <w:rPr>
          <w:rFonts w:ascii="Times New Roman" w:hAnsi="Times New Roman" w:cs="Times New Roman"/>
          <w:sz w:val="24"/>
          <w:szCs w:val="24"/>
        </w:rPr>
      </w:pPr>
    </w:p>
    <w:p w:rsidR="00854033" w:rsidRPr="001C4AFB" w:rsidRDefault="00854033" w:rsidP="00854033">
      <w:pPr>
        <w:spacing w:after="0" w:line="480" w:lineRule="auto"/>
        <w:ind w:firstLine="720"/>
        <w:jc w:val="both"/>
        <w:rPr>
          <w:rFonts w:ascii="Times New Roman" w:hAnsi="Times New Roman" w:cs="Times New Roman"/>
          <w:sz w:val="24"/>
          <w:szCs w:val="24"/>
        </w:rPr>
      </w:pPr>
    </w:p>
    <w:p w:rsidR="001C4AFB" w:rsidRPr="001C4AFB" w:rsidRDefault="001C4AFB" w:rsidP="00854033">
      <w:pPr>
        <w:spacing w:after="0" w:line="480" w:lineRule="auto"/>
        <w:ind w:firstLine="720"/>
        <w:jc w:val="both"/>
        <w:rPr>
          <w:rFonts w:ascii="Times New Roman" w:hAnsi="Times New Roman" w:cs="Times New Roman"/>
          <w:sz w:val="24"/>
          <w:szCs w:val="24"/>
        </w:rPr>
      </w:pPr>
    </w:p>
    <w:p w:rsidR="001C4AFB" w:rsidRPr="001C4AFB" w:rsidRDefault="001C4AFB" w:rsidP="00854033">
      <w:pPr>
        <w:spacing w:after="0" w:line="480" w:lineRule="auto"/>
        <w:ind w:firstLine="720"/>
        <w:jc w:val="both"/>
        <w:rPr>
          <w:rFonts w:ascii="Times New Roman" w:hAnsi="Times New Roman" w:cs="Times New Roman"/>
          <w:sz w:val="24"/>
          <w:szCs w:val="24"/>
        </w:rPr>
      </w:pPr>
    </w:p>
    <w:p w:rsidR="001C4AFB" w:rsidRPr="001C4AFB" w:rsidRDefault="001C4AFB" w:rsidP="00854033">
      <w:pPr>
        <w:tabs>
          <w:tab w:val="left" w:pos="2746"/>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1C4AFB" w:rsidRDefault="001C4AF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60F9B" w:rsidRDefault="00860F9B" w:rsidP="002E0222">
      <w:pPr>
        <w:spacing w:after="0" w:line="240" w:lineRule="auto"/>
        <w:jc w:val="both"/>
        <w:rPr>
          <w:rFonts w:ascii="Times New Roman" w:hAnsi="Times New Roman" w:cs="Times New Roman"/>
          <w:b/>
          <w:sz w:val="24"/>
          <w:szCs w:val="24"/>
        </w:rPr>
      </w:pPr>
    </w:p>
    <w:p w:rsidR="00854033" w:rsidRDefault="00854033" w:rsidP="002E0222">
      <w:pPr>
        <w:spacing w:after="0" w:line="240" w:lineRule="auto"/>
        <w:jc w:val="both"/>
        <w:rPr>
          <w:rFonts w:ascii="Times New Roman" w:hAnsi="Times New Roman" w:cs="Times New Roman"/>
          <w:b/>
          <w:sz w:val="24"/>
          <w:szCs w:val="24"/>
        </w:rPr>
      </w:pPr>
    </w:p>
    <w:p w:rsidR="00D30F6D" w:rsidRDefault="00D30F6D" w:rsidP="002E0222">
      <w:pPr>
        <w:spacing w:after="0" w:line="240" w:lineRule="auto"/>
        <w:jc w:val="both"/>
        <w:rPr>
          <w:rFonts w:ascii="Times New Roman" w:hAnsi="Times New Roman" w:cs="Times New Roman"/>
          <w:b/>
          <w:sz w:val="24"/>
          <w:szCs w:val="24"/>
        </w:rPr>
      </w:pPr>
    </w:p>
    <w:p w:rsidR="00D30F6D" w:rsidRDefault="00D30F6D" w:rsidP="002E0222">
      <w:pPr>
        <w:spacing w:after="0" w:line="240" w:lineRule="auto"/>
        <w:jc w:val="both"/>
        <w:rPr>
          <w:rFonts w:ascii="Times New Roman" w:hAnsi="Times New Roman" w:cs="Times New Roman"/>
          <w:b/>
          <w:sz w:val="24"/>
          <w:szCs w:val="24"/>
        </w:rPr>
      </w:pPr>
    </w:p>
    <w:p w:rsidR="00D30F6D" w:rsidRDefault="00D30F6D" w:rsidP="002E0222">
      <w:pPr>
        <w:spacing w:after="0" w:line="240" w:lineRule="auto"/>
        <w:jc w:val="both"/>
        <w:rPr>
          <w:rFonts w:ascii="Times New Roman" w:hAnsi="Times New Roman" w:cs="Times New Roman"/>
          <w:b/>
          <w:sz w:val="24"/>
          <w:szCs w:val="24"/>
        </w:rPr>
      </w:pPr>
    </w:p>
    <w:p w:rsidR="00D30F6D" w:rsidRDefault="00D30F6D" w:rsidP="002E0222">
      <w:pPr>
        <w:spacing w:after="0" w:line="240" w:lineRule="auto"/>
        <w:jc w:val="both"/>
        <w:rPr>
          <w:rFonts w:ascii="Times New Roman" w:hAnsi="Times New Roman" w:cs="Times New Roman"/>
          <w:b/>
          <w:sz w:val="24"/>
          <w:szCs w:val="24"/>
        </w:rPr>
      </w:pPr>
    </w:p>
    <w:p w:rsidR="00D30F6D" w:rsidRDefault="00D30F6D" w:rsidP="002E0222">
      <w:pPr>
        <w:spacing w:after="0" w:line="240" w:lineRule="auto"/>
        <w:jc w:val="both"/>
        <w:rPr>
          <w:rFonts w:ascii="Times New Roman" w:hAnsi="Times New Roman" w:cs="Times New Roman"/>
          <w:b/>
          <w:sz w:val="24"/>
          <w:szCs w:val="24"/>
        </w:rPr>
      </w:pPr>
    </w:p>
    <w:p w:rsidR="00D30F6D" w:rsidRDefault="00D30F6D" w:rsidP="002E0222">
      <w:pPr>
        <w:spacing w:after="0" w:line="240" w:lineRule="auto"/>
        <w:jc w:val="both"/>
        <w:rPr>
          <w:rFonts w:ascii="Times New Roman" w:hAnsi="Times New Roman" w:cs="Times New Roman"/>
          <w:b/>
          <w:sz w:val="24"/>
          <w:szCs w:val="24"/>
        </w:rPr>
      </w:pPr>
    </w:p>
    <w:p w:rsidR="00984C71" w:rsidRDefault="00984C71" w:rsidP="002E02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Uvod</w:t>
      </w:r>
    </w:p>
    <w:p w:rsidR="001C6011" w:rsidRDefault="001C6011" w:rsidP="002E0222">
      <w:pPr>
        <w:spacing w:after="0" w:line="240" w:lineRule="auto"/>
        <w:jc w:val="both"/>
        <w:rPr>
          <w:rFonts w:ascii="Times New Roman" w:hAnsi="Times New Roman" w:cs="Times New Roman"/>
          <w:b/>
          <w:sz w:val="24"/>
          <w:szCs w:val="24"/>
        </w:rPr>
      </w:pPr>
    </w:p>
    <w:p w:rsidR="00205331" w:rsidRDefault="00984C71" w:rsidP="004E4909">
      <w:pPr>
        <w:spacing w:after="0" w:line="480" w:lineRule="auto"/>
        <w:ind w:firstLine="720"/>
        <w:jc w:val="both"/>
        <w:rPr>
          <w:rFonts w:ascii="Times New Roman" w:hAnsi="Times New Roman" w:cs="Times New Roman"/>
          <w:sz w:val="24"/>
          <w:szCs w:val="24"/>
        </w:rPr>
      </w:pPr>
      <w:r w:rsidRPr="002A140F">
        <w:rPr>
          <w:rFonts w:ascii="Times New Roman" w:hAnsi="Times New Roman" w:cs="Times New Roman"/>
          <w:sz w:val="24"/>
          <w:szCs w:val="24"/>
        </w:rPr>
        <w:t>S</w:t>
      </w:r>
      <w:r w:rsidR="00DE0F5F" w:rsidRPr="002A140F">
        <w:rPr>
          <w:rFonts w:ascii="Times New Roman" w:hAnsi="Times New Roman" w:cs="Times New Roman"/>
          <w:sz w:val="24"/>
          <w:szCs w:val="24"/>
        </w:rPr>
        <w:t>uicid</w:t>
      </w:r>
      <w:r w:rsidR="004B2873" w:rsidRPr="002A140F">
        <w:rPr>
          <w:rFonts w:ascii="Times New Roman" w:hAnsi="Times New Roman" w:cs="Times New Roman"/>
          <w:sz w:val="24"/>
          <w:szCs w:val="24"/>
        </w:rPr>
        <w:t xml:space="preserve"> se definiše kao </w:t>
      </w:r>
      <w:r w:rsidR="000D3702" w:rsidRPr="002A140F">
        <w:rPr>
          <w:rFonts w:ascii="Times New Roman" w:hAnsi="Times New Roman" w:cs="Times New Roman"/>
          <w:sz w:val="24"/>
          <w:szCs w:val="24"/>
        </w:rPr>
        <w:t xml:space="preserve">autodestruktivno ponašanje praćeno namerom da se </w:t>
      </w:r>
      <w:r w:rsidR="005B64A9" w:rsidRPr="002A140F">
        <w:rPr>
          <w:rFonts w:ascii="Times New Roman" w:hAnsi="Times New Roman" w:cs="Times New Roman"/>
          <w:sz w:val="24"/>
          <w:szCs w:val="24"/>
        </w:rPr>
        <w:t>uzrokuje sopstvena smrt i fatalnim ishodom kao posledicom</w:t>
      </w:r>
      <w:r w:rsidR="00B1283E">
        <w:rPr>
          <w:rFonts w:ascii="Times New Roman" w:hAnsi="Times New Roman" w:cs="Times New Roman"/>
          <w:sz w:val="24"/>
          <w:szCs w:val="24"/>
        </w:rPr>
        <w:t xml:space="preserve"> </w:t>
      </w:r>
      <w:r w:rsidR="001C6F00" w:rsidRPr="002A140F">
        <w:rPr>
          <w:rFonts w:ascii="Times New Roman" w:hAnsi="Times New Roman" w:cs="Times New Roman"/>
          <w:sz w:val="24"/>
          <w:szCs w:val="24"/>
        </w:rPr>
        <w:t>(1)</w:t>
      </w:r>
      <w:r w:rsidR="005B64A9" w:rsidRPr="002A140F">
        <w:rPr>
          <w:rFonts w:ascii="Times New Roman" w:hAnsi="Times New Roman" w:cs="Times New Roman"/>
          <w:sz w:val="24"/>
          <w:szCs w:val="24"/>
        </w:rPr>
        <w:t>.</w:t>
      </w:r>
      <w:r w:rsidR="00EF30BC">
        <w:rPr>
          <w:rFonts w:ascii="Times New Roman" w:hAnsi="Times New Roman" w:cs="Times New Roman"/>
          <w:sz w:val="24"/>
          <w:szCs w:val="24"/>
        </w:rPr>
        <w:t xml:space="preserve"> </w:t>
      </w:r>
      <w:r w:rsidR="00DE0F5F" w:rsidRPr="002A140F">
        <w:rPr>
          <w:rFonts w:ascii="Times New Roman" w:hAnsi="Times New Roman" w:cs="Times New Roman"/>
          <w:sz w:val="24"/>
          <w:szCs w:val="24"/>
        </w:rPr>
        <w:t>Za odluku o samoubistvu potrebni su suicidogena dispozicija i suicidogeni uzroci odnosno faktori rizika za suicid. O etiologiji samoubistva se dosta izučava ali i dalje ne postoje jasni empirijski dokazi o tome zašto i pod kojim uslovima neki faktori iniciraju ovu pojavu</w:t>
      </w:r>
      <w:r w:rsidR="00B1283E">
        <w:rPr>
          <w:rFonts w:ascii="Times New Roman" w:hAnsi="Times New Roman" w:cs="Times New Roman"/>
          <w:sz w:val="24"/>
          <w:szCs w:val="24"/>
        </w:rPr>
        <w:t xml:space="preserve"> </w:t>
      </w:r>
      <w:r w:rsidR="001C6F00" w:rsidRPr="002A140F">
        <w:rPr>
          <w:rFonts w:ascii="Times New Roman" w:hAnsi="Times New Roman" w:cs="Times New Roman"/>
          <w:sz w:val="24"/>
          <w:szCs w:val="24"/>
        </w:rPr>
        <w:t>(2)</w:t>
      </w:r>
      <w:r w:rsidR="00DE0F5F" w:rsidRPr="002A140F">
        <w:rPr>
          <w:rFonts w:ascii="Times New Roman" w:hAnsi="Times New Roman" w:cs="Times New Roman"/>
          <w:sz w:val="24"/>
          <w:szCs w:val="24"/>
        </w:rPr>
        <w:t>.</w:t>
      </w:r>
      <w:r w:rsidR="001C6F00" w:rsidRPr="002A140F">
        <w:rPr>
          <w:rFonts w:ascii="Times New Roman" w:hAnsi="Times New Roman" w:cs="Times New Roman"/>
          <w:sz w:val="24"/>
          <w:szCs w:val="24"/>
        </w:rPr>
        <w:t xml:space="preserve"> </w:t>
      </w:r>
      <w:r w:rsidR="00AC17D8" w:rsidRPr="002A140F">
        <w:rPr>
          <w:rFonts w:ascii="Times New Roman" w:hAnsi="Times New Roman" w:cs="Times New Roman"/>
          <w:sz w:val="24"/>
          <w:szCs w:val="24"/>
        </w:rPr>
        <w:t xml:space="preserve">U </w:t>
      </w:r>
      <w:r w:rsidR="005B64A9" w:rsidRPr="002A140F">
        <w:rPr>
          <w:rFonts w:ascii="Times New Roman" w:hAnsi="Times New Roman" w:cs="Times New Roman"/>
          <w:sz w:val="24"/>
          <w:szCs w:val="24"/>
        </w:rPr>
        <w:t>naučno-kliničkoj praksi fokus interesovanja se postavlja na praktične pojmove koji su relevantni u prevenciji suicida</w:t>
      </w:r>
      <w:r w:rsidR="00205331" w:rsidRPr="002A140F">
        <w:rPr>
          <w:rFonts w:ascii="Times New Roman" w:hAnsi="Times New Roman" w:cs="Times New Roman"/>
          <w:sz w:val="24"/>
          <w:szCs w:val="24"/>
        </w:rPr>
        <w:t>, kao što su sucida</w:t>
      </w:r>
      <w:r w:rsidR="00AC17D8" w:rsidRPr="002A140F">
        <w:rPr>
          <w:rFonts w:ascii="Times New Roman" w:hAnsi="Times New Roman" w:cs="Times New Roman"/>
          <w:sz w:val="24"/>
          <w:szCs w:val="24"/>
        </w:rPr>
        <w:t>lno</w:t>
      </w:r>
      <w:r w:rsidR="00205331" w:rsidRPr="002A140F">
        <w:rPr>
          <w:rFonts w:ascii="Times New Roman" w:hAnsi="Times New Roman" w:cs="Times New Roman"/>
          <w:sz w:val="24"/>
          <w:szCs w:val="24"/>
        </w:rPr>
        <w:t>st i suicidalni rizik</w:t>
      </w:r>
      <w:r w:rsidR="005B64A9" w:rsidRPr="002A140F">
        <w:rPr>
          <w:rFonts w:ascii="Times New Roman" w:hAnsi="Times New Roman" w:cs="Times New Roman"/>
          <w:sz w:val="24"/>
          <w:szCs w:val="24"/>
        </w:rPr>
        <w:t>. Pa tako, suicidalnost predstavlja sve sucidialne tendencije uključujući misli, želje, ponašanja, kao i neuspele pokušaje suicida i sam suicid</w:t>
      </w:r>
      <w:r w:rsidR="00B1283E">
        <w:rPr>
          <w:rFonts w:ascii="Times New Roman" w:hAnsi="Times New Roman" w:cs="Times New Roman"/>
          <w:sz w:val="24"/>
          <w:szCs w:val="24"/>
        </w:rPr>
        <w:t xml:space="preserve"> </w:t>
      </w:r>
      <w:r w:rsidR="001C6F00" w:rsidRPr="002A140F">
        <w:rPr>
          <w:rFonts w:ascii="Times New Roman" w:hAnsi="Times New Roman" w:cs="Times New Roman"/>
          <w:sz w:val="24"/>
          <w:szCs w:val="24"/>
        </w:rPr>
        <w:t>(3)</w:t>
      </w:r>
      <w:r w:rsidR="005B64A9" w:rsidRPr="002A140F">
        <w:rPr>
          <w:rFonts w:ascii="Times New Roman" w:hAnsi="Times New Roman" w:cs="Times New Roman"/>
          <w:sz w:val="24"/>
          <w:szCs w:val="24"/>
        </w:rPr>
        <w:t>.</w:t>
      </w:r>
      <w:r w:rsidR="001C6F00" w:rsidRPr="002A140F">
        <w:rPr>
          <w:rFonts w:ascii="Times New Roman" w:hAnsi="Times New Roman" w:cs="Times New Roman"/>
          <w:sz w:val="24"/>
          <w:szCs w:val="24"/>
        </w:rPr>
        <w:t xml:space="preserve"> </w:t>
      </w:r>
      <w:r w:rsidR="004E4909" w:rsidRPr="002A140F">
        <w:rPr>
          <w:rFonts w:ascii="Times New Roman" w:hAnsi="Times New Roman" w:cs="Times New Roman"/>
          <w:sz w:val="24"/>
          <w:szCs w:val="24"/>
        </w:rPr>
        <w:t>Suicidalni rizik označava procenjenu verovatnoću da će osoba pokušati ili izvršiti suicid u naznačenom periodu pod prisutnim okolnostima</w:t>
      </w:r>
      <w:r w:rsidR="00B1283E">
        <w:rPr>
          <w:rFonts w:ascii="Times New Roman" w:hAnsi="Times New Roman" w:cs="Times New Roman"/>
          <w:sz w:val="24"/>
          <w:szCs w:val="24"/>
        </w:rPr>
        <w:t xml:space="preserve"> </w:t>
      </w:r>
      <w:r w:rsidR="008A0B2D" w:rsidRPr="002A140F">
        <w:rPr>
          <w:rFonts w:ascii="Times New Roman" w:hAnsi="Times New Roman" w:cs="Times New Roman"/>
          <w:sz w:val="24"/>
          <w:szCs w:val="24"/>
        </w:rPr>
        <w:fldChar w:fldCharType="begin"/>
      </w:r>
      <w:r w:rsidR="001C6F00" w:rsidRPr="002A140F">
        <w:rPr>
          <w:rFonts w:ascii="Times New Roman" w:hAnsi="Times New Roman" w:cs="Times New Roman"/>
          <w:sz w:val="24"/>
          <w:szCs w:val="24"/>
        </w:rPr>
        <w:instrText xml:space="preserve"> ADDIN EN.CITE &lt;EndNote&gt;&lt;Cite&gt;&lt;Author&gt;Gangwisch&lt;/Author&gt;&lt;Year&gt;2009&lt;/Year&gt;&lt;RecNum&gt;2&lt;/RecNum&gt;&lt;DisplayText&gt;(1)&lt;/DisplayText&gt;&lt;record&gt;&lt;rec-number&gt;2&lt;/rec-number&gt;&lt;foreign-keys&gt;&lt;key app="EN" db-id="pastf0e5bd59sfetv9jvttexv5z9xzsxps9v" timestamp="1488388008"&gt;2&lt;/key&gt;&lt;/foreign-keys&gt;&lt;ref-type name="Journal Article"&gt;17&lt;/ref-type&gt;&lt;contributors&gt;&lt;authors&gt;&lt;author&gt;Gangwisch, J. E.&lt;/author&gt;&lt;author&gt;Jacobson, C. M.&lt;/author&gt;&lt;/authors&gt;&lt;/contributors&gt;&lt;auth-address&gt;James E. Gangwisch, PhD Department of Psychiatry, Division of Cognitive Neuroscience, Columbia University College of Physicians and Surgeons, 1051 Riverside Drive, Unit 74, New York, NY 10032, USA. jeg64@columbia.edu.&lt;/auth-address&gt;&lt;titles&gt;&lt;title&gt;New perspectives on assessment of suicide risk&lt;/title&gt;&lt;secondary-title&gt;Curr Treat Options Neurol&lt;/secondary-title&gt;&lt;/titles&gt;&lt;periodical&gt;&lt;full-title&gt;Curr Treat Options Neurol&lt;/full-title&gt;&lt;/periodical&gt;&lt;pages&gt;371-6&lt;/pages&gt;&lt;volume&gt;11&lt;/volume&gt;&lt;number&gt;5&lt;/number&gt;&lt;dates&gt;&lt;year&gt;2009&lt;/year&gt;&lt;pub-dates&gt;&lt;date&gt;Sep&lt;/date&gt;&lt;/pub-dates&gt;&lt;/dates&gt;&lt;isbn&gt;1092-8480 (Print)&amp;#xD;1092-8480 (Linking)&lt;/isbn&gt;&lt;accession-num&gt;19744403&lt;/accession-num&gt;&lt;urls&gt;&lt;related-urls&gt;&lt;url&gt;https://www.ncbi.nlm.nih.gov/pubmed/19744403&lt;/url&gt;&lt;/related-urls&gt;&lt;/urls&gt;&lt;/record&gt;&lt;/Cite&gt;&lt;/EndNote&gt;</w:instrText>
      </w:r>
      <w:r w:rsidR="008A0B2D" w:rsidRPr="002A140F">
        <w:rPr>
          <w:rFonts w:ascii="Times New Roman" w:hAnsi="Times New Roman" w:cs="Times New Roman"/>
          <w:sz w:val="24"/>
          <w:szCs w:val="24"/>
        </w:rPr>
        <w:fldChar w:fldCharType="separate"/>
      </w:r>
      <w:r w:rsidR="00AE3DB7">
        <w:rPr>
          <w:rFonts w:ascii="Times New Roman" w:hAnsi="Times New Roman" w:cs="Times New Roman"/>
          <w:noProof/>
          <w:sz w:val="24"/>
          <w:szCs w:val="24"/>
        </w:rPr>
        <w:t>(4</w:t>
      </w:r>
      <w:r w:rsidR="001C6F00" w:rsidRPr="002A140F">
        <w:rPr>
          <w:rFonts w:ascii="Times New Roman" w:hAnsi="Times New Roman" w:cs="Times New Roman"/>
          <w:noProof/>
          <w:sz w:val="24"/>
          <w:szCs w:val="24"/>
        </w:rPr>
        <w:t>)</w:t>
      </w:r>
      <w:r w:rsidR="008A0B2D" w:rsidRPr="002A140F">
        <w:rPr>
          <w:rFonts w:ascii="Times New Roman" w:hAnsi="Times New Roman" w:cs="Times New Roman"/>
          <w:sz w:val="24"/>
          <w:szCs w:val="24"/>
        </w:rPr>
        <w:fldChar w:fldCharType="end"/>
      </w:r>
      <w:r w:rsidR="004E4909" w:rsidRPr="002A140F">
        <w:rPr>
          <w:rFonts w:ascii="Times New Roman" w:hAnsi="Times New Roman" w:cs="Times New Roman"/>
          <w:sz w:val="24"/>
          <w:szCs w:val="24"/>
        </w:rPr>
        <w:t>.</w:t>
      </w:r>
    </w:p>
    <w:p w:rsidR="00AC17D8" w:rsidRDefault="00AC17D8" w:rsidP="00DD210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D2104">
        <w:rPr>
          <w:rFonts w:ascii="Times New Roman" w:hAnsi="Times New Roman" w:cs="Times New Roman"/>
          <w:sz w:val="24"/>
          <w:szCs w:val="24"/>
        </w:rPr>
        <w:t xml:space="preserve">U okviru </w:t>
      </w:r>
      <w:r w:rsidRPr="00AC17D8">
        <w:rPr>
          <w:rFonts w:ascii="Times New Roman" w:hAnsi="Times New Roman" w:cs="Times New Roman"/>
          <w:sz w:val="24"/>
          <w:szCs w:val="24"/>
        </w:rPr>
        <w:t>pros</w:t>
      </w:r>
      <w:r w:rsidR="00DD2104">
        <w:rPr>
          <w:rFonts w:ascii="Times New Roman" w:hAnsi="Times New Roman" w:cs="Times New Roman"/>
          <w:sz w:val="24"/>
          <w:szCs w:val="24"/>
        </w:rPr>
        <w:t>pektivne studije</w:t>
      </w:r>
      <w:r w:rsidR="005F2F34">
        <w:rPr>
          <w:rFonts w:ascii="Times New Roman" w:hAnsi="Times New Roman" w:cs="Times New Roman"/>
          <w:sz w:val="24"/>
          <w:szCs w:val="24"/>
        </w:rPr>
        <w:t xml:space="preserve"> </w:t>
      </w:r>
      <w:r w:rsidR="00DD2104">
        <w:rPr>
          <w:rFonts w:ascii="Times New Roman" w:hAnsi="Times New Roman" w:cs="Times New Roman"/>
          <w:sz w:val="24"/>
          <w:szCs w:val="24"/>
        </w:rPr>
        <w:t>identifikovani su osećaj beznadežnosti, viši nivo suicidalne ideacije</w:t>
      </w:r>
      <w:r w:rsidRPr="00AC17D8">
        <w:rPr>
          <w:rFonts w:ascii="Times New Roman" w:hAnsi="Times New Roman" w:cs="Times New Roman"/>
          <w:sz w:val="24"/>
          <w:szCs w:val="24"/>
        </w:rPr>
        <w:t>,</w:t>
      </w:r>
      <w:r w:rsidR="00DD2104">
        <w:rPr>
          <w:rFonts w:ascii="Times New Roman" w:hAnsi="Times New Roman" w:cs="Times New Roman"/>
          <w:sz w:val="24"/>
          <w:szCs w:val="24"/>
        </w:rPr>
        <w:t xml:space="preserve"> ponavljane epizode</w:t>
      </w:r>
      <w:r w:rsidRPr="00AC17D8">
        <w:rPr>
          <w:rFonts w:ascii="Times New Roman" w:hAnsi="Times New Roman" w:cs="Times New Roman"/>
          <w:sz w:val="24"/>
          <w:szCs w:val="24"/>
        </w:rPr>
        <w:t xml:space="preserve"> depresije, prisustvo poremećaja ličnosti,</w:t>
      </w:r>
      <w:r w:rsidR="005F2F34">
        <w:rPr>
          <w:rFonts w:ascii="Times New Roman" w:hAnsi="Times New Roman" w:cs="Times New Roman"/>
          <w:sz w:val="24"/>
          <w:szCs w:val="24"/>
        </w:rPr>
        <w:t xml:space="preserve"> </w:t>
      </w:r>
      <w:r w:rsidRPr="00AC17D8">
        <w:rPr>
          <w:rFonts w:ascii="Times New Roman" w:hAnsi="Times New Roman" w:cs="Times New Roman"/>
          <w:sz w:val="24"/>
          <w:szCs w:val="24"/>
        </w:rPr>
        <w:t>prethodna psihijatrijska hospitalizac</w:t>
      </w:r>
      <w:r w:rsidR="00DD2104">
        <w:rPr>
          <w:rFonts w:ascii="Times New Roman" w:hAnsi="Times New Roman" w:cs="Times New Roman"/>
          <w:sz w:val="24"/>
          <w:szCs w:val="24"/>
        </w:rPr>
        <w:t>ija, stariji uzrast, nezaposlenost</w:t>
      </w:r>
      <w:r w:rsidRPr="00AC17D8">
        <w:rPr>
          <w:rFonts w:ascii="Times New Roman" w:hAnsi="Times New Roman" w:cs="Times New Roman"/>
          <w:sz w:val="24"/>
          <w:szCs w:val="24"/>
        </w:rPr>
        <w:t xml:space="preserve"> i porodična istorija samoubistv</w:t>
      </w:r>
      <w:r w:rsidR="00DD2104">
        <w:rPr>
          <w:rFonts w:ascii="Times New Roman" w:hAnsi="Times New Roman" w:cs="Times New Roman"/>
          <w:sz w:val="24"/>
          <w:szCs w:val="24"/>
        </w:rPr>
        <w:t>a kao značajni markeri</w:t>
      </w:r>
      <w:r w:rsidRPr="00AC17D8">
        <w:rPr>
          <w:rFonts w:ascii="Times New Roman" w:hAnsi="Times New Roman" w:cs="Times New Roman"/>
          <w:sz w:val="24"/>
          <w:szCs w:val="24"/>
        </w:rPr>
        <w:t xml:space="preserve"> za</w:t>
      </w:r>
      <w:r w:rsidR="00DD2104">
        <w:rPr>
          <w:rFonts w:ascii="Times New Roman" w:hAnsi="Times New Roman" w:cs="Times New Roman"/>
          <w:sz w:val="24"/>
          <w:szCs w:val="24"/>
        </w:rPr>
        <w:t xml:space="preserve"> samoubistvo</w:t>
      </w:r>
      <w:r w:rsidR="00AE3DB7">
        <w:rPr>
          <w:rFonts w:ascii="Times New Roman" w:hAnsi="Times New Roman" w:cs="Times New Roman"/>
          <w:sz w:val="24"/>
          <w:szCs w:val="24"/>
        </w:rPr>
        <w:t xml:space="preserve"> (5)</w:t>
      </w:r>
      <w:r w:rsidR="00DD2104">
        <w:rPr>
          <w:rFonts w:ascii="Times New Roman" w:hAnsi="Times New Roman" w:cs="Times New Roman"/>
          <w:sz w:val="24"/>
          <w:szCs w:val="24"/>
        </w:rPr>
        <w:t>. Takođe,</w:t>
      </w:r>
      <w:r w:rsidR="001C64A2">
        <w:rPr>
          <w:rFonts w:ascii="Times New Roman" w:hAnsi="Times New Roman" w:cs="Times New Roman"/>
          <w:sz w:val="24"/>
          <w:szCs w:val="24"/>
        </w:rPr>
        <w:t xml:space="preserve"> </w:t>
      </w:r>
      <w:r w:rsidR="00DD2104">
        <w:rPr>
          <w:rFonts w:ascii="Times New Roman" w:hAnsi="Times New Roman" w:cs="Times New Roman"/>
          <w:sz w:val="24"/>
          <w:szCs w:val="24"/>
        </w:rPr>
        <w:t xml:space="preserve">prisustvo jednog ili više </w:t>
      </w:r>
      <w:r w:rsidRPr="00AC17D8">
        <w:rPr>
          <w:rFonts w:ascii="Times New Roman" w:hAnsi="Times New Roman" w:cs="Times New Roman"/>
          <w:sz w:val="24"/>
          <w:szCs w:val="24"/>
        </w:rPr>
        <w:t>p</w:t>
      </w:r>
      <w:r w:rsidR="00DD2104">
        <w:rPr>
          <w:rFonts w:ascii="Times New Roman" w:hAnsi="Times New Roman" w:cs="Times New Roman"/>
          <w:sz w:val="24"/>
          <w:szCs w:val="24"/>
        </w:rPr>
        <w:t>rethodnih pokušaja samoubistva</w:t>
      </w:r>
      <w:r w:rsidR="001C64A2">
        <w:rPr>
          <w:rFonts w:ascii="Times New Roman" w:hAnsi="Times New Roman" w:cs="Times New Roman"/>
          <w:sz w:val="24"/>
          <w:szCs w:val="24"/>
        </w:rPr>
        <w:t xml:space="preserve"> </w:t>
      </w:r>
      <w:r w:rsidR="00DD2104">
        <w:rPr>
          <w:rFonts w:ascii="Times New Roman" w:hAnsi="Times New Roman" w:cs="Times New Roman"/>
          <w:sz w:val="24"/>
          <w:szCs w:val="24"/>
        </w:rPr>
        <w:t xml:space="preserve">predstavlja čvrst </w:t>
      </w:r>
      <w:r w:rsidRPr="00AC17D8">
        <w:rPr>
          <w:rFonts w:ascii="Times New Roman" w:hAnsi="Times New Roman" w:cs="Times New Roman"/>
          <w:sz w:val="24"/>
          <w:szCs w:val="24"/>
        </w:rPr>
        <w:t>p</w:t>
      </w:r>
      <w:r w:rsidR="00AE3DB7">
        <w:rPr>
          <w:rFonts w:ascii="Times New Roman" w:hAnsi="Times New Roman" w:cs="Times New Roman"/>
          <w:sz w:val="24"/>
          <w:szCs w:val="24"/>
        </w:rPr>
        <w:t>rediktor suicidalnog rizika (6)</w:t>
      </w:r>
      <w:r>
        <w:rPr>
          <w:rFonts w:ascii="Times New Roman" w:hAnsi="Times New Roman" w:cs="Times New Roman"/>
          <w:sz w:val="24"/>
          <w:szCs w:val="24"/>
        </w:rPr>
        <w:t>.</w:t>
      </w:r>
    </w:p>
    <w:p w:rsidR="005B4761" w:rsidRDefault="0059339A" w:rsidP="005B476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E4909">
        <w:rPr>
          <w:rFonts w:ascii="Times New Roman" w:hAnsi="Times New Roman" w:cs="Times New Roman"/>
          <w:sz w:val="24"/>
          <w:szCs w:val="24"/>
        </w:rPr>
        <w:t xml:space="preserve">straživanja ukazuju na visoku povezanost između postojanja mentalne bolesti kod osobe i </w:t>
      </w:r>
      <w:r>
        <w:rPr>
          <w:rFonts w:ascii="Times New Roman" w:hAnsi="Times New Roman" w:cs="Times New Roman"/>
          <w:sz w:val="24"/>
          <w:szCs w:val="24"/>
        </w:rPr>
        <w:t>sucidalnosti</w:t>
      </w:r>
      <w:r w:rsidR="00AE3DB7">
        <w:rPr>
          <w:rFonts w:ascii="Times New Roman" w:hAnsi="Times New Roman" w:cs="Times New Roman"/>
          <w:sz w:val="24"/>
          <w:szCs w:val="24"/>
        </w:rPr>
        <w:t xml:space="preserve">. Meta-analitičkim pristupom  </w:t>
      </w:r>
      <w:r w:rsidR="004E4909">
        <w:rPr>
          <w:rFonts w:ascii="Times New Roman" w:hAnsi="Times New Roman" w:cs="Times New Roman"/>
          <w:sz w:val="24"/>
          <w:szCs w:val="24"/>
        </w:rPr>
        <w:t>dolazi se do zaključka koji ukazuje da</w:t>
      </w:r>
      <w:r w:rsidR="005F2F34">
        <w:rPr>
          <w:rFonts w:ascii="Times New Roman" w:hAnsi="Times New Roman" w:cs="Times New Roman"/>
          <w:sz w:val="24"/>
          <w:szCs w:val="24"/>
        </w:rPr>
        <w:t xml:space="preserve"> </w:t>
      </w:r>
      <w:r>
        <w:rPr>
          <w:rFonts w:ascii="Times New Roman" w:hAnsi="Times New Roman" w:cs="Times New Roman"/>
          <w:sz w:val="24"/>
          <w:szCs w:val="24"/>
        </w:rPr>
        <w:t xml:space="preserve">je </w:t>
      </w:r>
      <w:r w:rsidR="004E4909">
        <w:rPr>
          <w:rFonts w:ascii="Times New Roman" w:hAnsi="Times New Roman" w:cs="Times New Roman"/>
          <w:sz w:val="24"/>
          <w:szCs w:val="24"/>
        </w:rPr>
        <w:t xml:space="preserve"> oko 90% osoba koje su izvršile</w:t>
      </w:r>
      <w:r w:rsidR="00E05352">
        <w:rPr>
          <w:rFonts w:ascii="Times New Roman" w:hAnsi="Times New Roman" w:cs="Times New Roman"/>
          <w:sz w:val="24"/>
          <w:szCs w:val="24"/>
        </w:rPr>
        <w:t xml:space="preserve"> ili pokušale</w:t>
      </w:r>
      <w:r w:rsidR="004E4909">
        <w:rPr>
          <w:rFonts w:ascii="Times New Roman" w:hAnsi="Times New Roman" w:cs="Times New Roman"/>
          <w:sz w:val="24"/>
          <w:szCs w:val="24"/>
        </w:rPr>
        <w:t xml:space="preserve"> suicid patilo od odre</w:t>
      </w:r>
      <w:r w:rsidR="00B1283E">
        <w:rPr>
          <w:rFonts w:ascii="Times New Roman" w:hAnsi="Times New Roman" w:cs="Times New Roman"/>
          <w:sz w:val="24"/>
          <w:szCs w:val="24"/>
        </w:rPr>
        <w:t>đenog psihijatrijskog poremećaj (7, 8)</w:t>
      </w:r>
      <w:r w:rsidR="004E4909">
        <w:rPr>
          <w:rFonts w:ascii="Times New Roman" w:hAnsi="Times New Roman" w:cs="Times New Roman"/>
          <w:sz w:val="24"/>
          <w:szCs w:val="24"/>
        </w:rPr>
        <w:t>. Prvenstveno se izdvajaju poremećaji iz depresivnog spektra. Negde između 40</w:t>
      </w:r>
      <w:r w:rsidR="00856026" w:rsidRPr="00856026">
        <w:rPr>
          <w:rFonts w:ascii="Times New Roman" w:hAnsi="Times New Roman" w:cs="Times New Roman"/>
          <w:sz w:val="24"/>
          <w:szCs w:val="24"/>
        </w:rPr>
        <w:t>%</w:t>
      </w:r>
      <w:r w:rsidR="004E4909">
        <w:rPr>
          <w:rFonts w:ascii="Times New Roman" w:hAnsi="Times New Roman" w:cs="Times New Roman"/>
          <w:sz w:val="24"/>
          <w:szCs w:val="24"/>
        </w:rPr>
        <w:t xml:space="preserve"> i 60% suicida su upravo počinile osobe koje su bolovale od depresije</w:t>
      </w:r>
      <w:r w:rsidR="00B1283E">
        <w:rPr>
          <w:rFonts w:ascii="Times New Roman" w:hAnsi="Times New Roman" w:cs="Times New Roman"/>
          <w:sz w:val="24"/>
          <w:szCs w:val="24"/>
        </w:rPr>
        <w:t xml:space="preserve"> (9)</w:t>
      </w:r>
      <w:r w:rsidR="004E4909">
        <w:rPr>
          <w:rFonts w:ascii="Times New Roman" w:hAnsi="Times New Roman" w:cs="Times New Roman"/>
          <w:sz w:val="24"/>
          <w:szCs w:val="24"/>
        </w:rPr>
        <w:t>.</w:t>
      </w:r>
      <w:r w:rsidR="00063A28">
        <w:rPr>
          <w:rFonts w:ascii="Times New Roman" w:hAnsi="Times New Roman" w:cs="Times New Roman"/>
          <w:sz w:val="24"/>
          <w:szCs w:val="24"/>
        </w:rPr>
        <w:t xml:space="preserve"> S toga, u o</w:t>
      </w:r>
      <w:r>
        <w:rPr>
          <w:rFonts w:ascii="Times New Roman" w:hAnsi="Times New Roman" w:cs="Times New Roman"/>
          <w:sz w:val="24"/>
          <w:szCs w:val="24"/>
        </w:rPr>
        <w:t>k</w:t>
      </w:r>
      <w:r w:rsidR="00063A28">
        <w:rPr>
          <w:rFonts w:ascii="Times New Roman" w:hAnsi="Times New Roman" w:cs="Times New Roman"/>
          <w:sz w:val="24"/>
          <w:szCs w:val="24"/>
        </w:rPr>
        <w:t>v</w:t>
      </w:r>
      <w:r>
        <w:rPr>
          <w:rFonts w:ascii="Times New Roman" w:hAnsi="Times New Roman" w:cs="Times New Roman"/>
          <w:sz w:val="24"/>
          <w:szCs w:val="24"/>
        </w:rPr>
        <w:t xml:space="preserve">iru ovog istraživanja posmatrani su pacijenti oboleli od kliničke depresije. </w:t>
      </w:r>
    </w:p>
    <w:p w:rsidR="00724C17" w:rsidRDefault="00724C17" w:rsidP="005B4761">
      <w:pPr>
        <w:spacing w:after="0" w:line="480" w:lineRule="auto"/>
        <w:ind w:firstLine="720"/>
        <w:jc w:val="both"/>
        <w:rPr>
          <w:rFonts w:ascii="Times New Roman" w:hAnsi="Times New Roman" w:cs="Times New Roman"/>
          <w:b/>
          <w:i/>
          <w:sz w:val="24"/>
          <w:szCs w:val="24"/>
        </w:rPr>
      </w:pPr>
    </w:p>
    <w:p w:rsidR="00715A00" w:rsidRPr="005B4761" w:rsidRDefault="00715A00" w:rsidP="005B4761">
      <w:pPr>
        <w:spacing w:after="0" w:line="480" w:lineRule="auto"/>
        <w:ind w:firstLine="720"/>
        <w:jc w:val="both"/>
        <w:rPr>
          <w:rFonts w:ascii="Times New Roman" w:hAnsi="Times New Roman" w:cs="Times New Roman"/>
          <w:sz w:val="24"/>
          <w:szCs w:val="24"/>
        </w:rPr>
      </w:pPr>
      <w:r w:rsidRPr="00856026">
        <w:rPr>
          <w:rFonts w:ascii="Times New Roman" w:hAnsi="Times New Roman" w:cs="Times New Roman"/>
          <w:b/>
          <w:i/>
          <w:sz w:val="24"/>
          <w:szCs w:val="24"/>
        </w:rPr>
        <w:lastRenderedPageBreak/>
        <w:t xml:space="preserve">Cilj </w:t>
      </w:r>
      <w:r w:rsidRPr="005A01B3">
        <w:rPr>
          <w:rFonts w:ascii="Times New Roman" w:hAnsi="Times New Roman" w:cs="Times New Roman"/>
          <w:b/>
          <w:i/>
          <w:sz w:val="24"/>
          <w:szCs w:val="24"/>
        </w:rPr>
        <w:t>i hipoteze</w:t>
      </w:r>
      <w:r w:rsidR="00AE3DB7" w:rsidRPr="00AE3DB7">
        <w:t xml:space="preserve"> </w:t>
      </w:r>
    </w:p>
    <w:p w:rsidR="00E05352" w:rsidRPr="00E42345" w:rsidRDefault="00715A00" w:rsidP="00E917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4761">
        <w:rPr>
          <w:rFonts w:ascii="Times New Roman" w:hAnsi="Times New Roman" w:cs="Times New Roman"/>
          <w:sz w:val="24"/>
          <w:szCs w:val="24"/>
        </w:rPr>
        <w:t>U nacionalnim i internacionalnim priračnucima oformljeni su sveobuhvatni protokoli procene rizika od suicida</w:t>
      </w:r>
      <w:r w:rsidR="00B40B21">
        <w:rPr>
          <w:rFonts w:ascii="Times New Roman" w:hAnsi="Times New Roman" w:cs="Times New Roman"/>
          <w:sz w:val="24"/>
          <w:szCs w:val="24"/>
        </w:rPr>
        <w:t xml:space="preserve"> (8,</w:t>
      </w:r>
      <w:r w:rsidR="00B1283E">
        <w:rPr>
          <w:rFonts w:ascii="Times New Roman" w:hAnsi="Times New Roman" w:cs="Times New Roman"/>
          <w:sz w:val="24"/>
          <w:szCs w:val="24"/>
        </w:rPr>
        <w:t>10)</w:t>
      </w:r>
      <w:r w:rsidR="005B4761">
        <w:rPr>
          <w:rFonts w:ascii="Times New Roman" w:hAnsi="Times New Roman" w:cs="Times New Roman"/>
          <w:sz w:val="24"/>
          <w:szCs w:val="24"/>
        </w:rPr>
        <w:t>. Ipak, konstantno se nameće potreba za unapređenjem kvaliteta i stepena pouzdanosti same procene</w:t>
      </w:r>
      <w:r w:rsidR="00B1283E">
        <w:rPr>
          <w:rFonts w:ascii="Times New Roman" w:hAnsi="Times New Roman" w:cs="Times New Roman"/>
          <w:sz w:val="24"/>
          <w:szCs w:val="24"/>
        </w:rPr>
        <w:t xml:space="preserve"> (11)</w:t>
      </w:r>
      <w:r w:rsidR="005B4761">
        <w:rPr>
          <w:rFonts w:ascii="Times New Roman" w:hAnsi="Times New Roman" w:cs="Times New Roman"/>
          <w:sz w:val="24"/>
          <w:szCs w:val="24"/>
        </w:rPr>
        <w:t>.</w:t>
      </w:r>
      <w:r w:rsidR="00B1283E">
        <w:rPr>
          <w:rFonts w:ascii="Times New Roman" w:hAnsi="Times New Roman" w:cs="Times New Roman"/>
          <w:sz w:val="24"/>
          <w:szCs w:val="24"/>
        </w:rPr>
        <w:t xml:space="preserve"> </w:t>
      </w:r>
      <w:r w:rsidR="00AB5247">
        <w:rPr>
          <w:rFonts w:ascii="Times New Roman" w:hAnsi="Times New Roman" w:cs="Times New Roman"/>
          <w:sz w:val="24"/>
          <w:szCs w:val="24"/>
        </w:rPr>
        <w:t>Jedan od  načina unapređenja se odnosi na validaciju različitih aspekata ličnosti u kontekstusuicidalnosti, kao i instrumenata kojima se oni mere.</w:t>
      </w:r>
      <w:r w:rsidR="00E42345">
        <w:rPr>
          <w:rFonts w:ascii="Times New Roman" w:hAnsi="Times New Roman" w:cs="Times New Roman"/>
          <w:sz w:val="24"/>
          <w:szCs w:val="24"/>
        </w:rPr>
        <w:t xml:space="preserve"> </w:t>
      </w:r>
      <w:r w:rsidR="00E05352">
        <w:rPr>
          <w:rFonts w:ascii="Times New Roman" w:hAnsi="Times New Roman" w:cs="Times New Roman"/>
          <w:sz w:val="24"/>
          <w:szCs w:val="24"/>
        </w:rPr>
        <w:t xml:space="preserve">Primarni cilj </w:t>
      </w:r>
      <w:r w:rsidR="00E42345">
        <w:rPr>
          <w:rFonts w:ascii="Times New Roman" w:hAnsi="Times New Roman" w:cs="Times New Roman"/>
          <w:sz w:val="24"/>
          <w:szCs w:val="24"/>
        </w:rPr>
        <w:t xml:space="preserve">ovog istraživanje </w:t>
      </w:r>
      <w:r w:rsidR="00E05352">
        <w:rPr>
          <w:rFonts w:ascii="Times New Roman" w:hAnsi="Times New Roman" w:cs="Times New Roman"/>
          <w:sz w:val="24"/>
          <w:szCs w:val="24"/>
        </w:rPr>
        <w:t>se</w:t>
      </w:r>
      <w:r>
        <w:rPr>
          <w:rFonts w:ascii="Times New Roman" w:hAnsi="Times New Roman" w:cs="Times New Roman"/>
          <w:sz w:val="24"/>
          <w:szCs w:val="24"/>
        </w:rPr>
        <w:t xml:space="preserve"> </w:t>
      </w:r>
      <w:r w:rsidR="00B40B21">
        <w:rPr>
          <w:rFonts w:ascii="Times New Roman" w:hAnsi="Times New Roman" w:cs="Times New Roman"/>
          <w:sz w:val="24"/>
          <w:szCs w:val="24"/>
        </w:rPr>
        <w:t>tiče upravo validacije</w:t>
      </w:r>
      <w:r w:rsidR="00E05352">
        <w:rPr>
          <w:rFonts w:ascii="Times New Roman" w:hAnsi="Times New Roman" w:cs="Times New Roman"/>
          <w:sz w:val="24"/>
          <w:szCs w:val="24"/>
        </w:rPr>
        <w:t xml:space="preserve"> aspekata </w:t>
      </w:r>
      <w:r w:rsidR="00B40B21">
        <w:rPr>
          <w:rFonts w:ascii="Times New Roman" w:hAnsi="Times New Roman" w:cs="Times New Roman"/>
          <w:sz w:val="24"/>
          <w:szCs w:val="24"/>
        </w:rPr>
        <w:t xml:space="preserve">ličnosnih </w:t>
      </w:r>
      <w:r w:rsidR="00E05352">
        <w:rPr>
          <w:rFonts w:ascii="Times New Roman" w:hAnsi="Times New Roman" w:cs="Times New Roman"/>
          <w:sz w:val="24"/>
          <w:szCs w:val="24"/>
        </w:rPr>
        <w:t>funkcionisanja u kontesk</w:t>
      </w:r>
      <w:r w:rsidR="000B0AE7">
        <w:rPr>
          <w:rFonts w:ascii="Times New Roman" w:hAnsi="Times New Roman" w:cs="Times New Roman"/>
          <w:sz w:val="24"/>
          <w:szCs w:val="24"/>
        </w:rPr>
        <w:t>tu suicadalnog rizik</w:t>
      </w:r>
      <w:r w:rsidR="00E05352">
        <w:rPr>
          <w:rFonts w:ascii="Times New Roman" w:hAnsi="Times New Roman" w:cs="Times New Roman"/>
          <w:sz w:val="24"/>
          <w:szCs w:val="24"/>
        </w:rPr>
        <w:t>a. Posredno, ostvarajući prvi cilj, na sekundarnom nivou, utvrđuje se korisnost ustaljenih testovnih metoda u dijagnostici i diferencijalnoj di</w:t>
      </w:r>
      <w:r w:rsidR="000B0AE7">
        <w:rPr>
          <w:rFonts w:ascii="Times New Roman" w:hAnsi="Times New Roman" w:cs="Times New Roman"/>
          <w:sz w:val="24"/>
          <w:szCs w:val="24"/>
        </w:rPr>
        <w:t xml:space="preserve">jagnostici psihičkih pormećaja, </w:t>
      </w:r>
      <w:r w:rsidR="00E05352" w:rsidRPr="000B0AE7">
        <w:rPr>
          <w:rFonts w:ascii="Times New Roman" w:hAnsi="Times New Roman" w:cs="Times New Roman"/>
          <w:i/>
          <w:sz w:val="24"/>
          <w:szCs w:val="24"/>
        </w:rPr>
        <w:t>MMPI-202</w:t>
      </w:r>
      <w:r w:rsidR="000B0AE7">
        <w:rPr>
          <w:rFonts w:ascii="Times New Roman" w:hAnsi="Times New Roman" w:cs="Times New Roman"/>
          <w:sz w:val="24"/>
          <w:szCs w:val="24"/>
        </w:rPr>
        <w:t xml:space="preserve"> (</w:t>
      </w:r>
      <w:r w:rsidR="000B0AE7" w:rsidRPr="000B0AE7">
        <w:rPr>
          <w:rFonts w:ascii="Times New Roman" w:hAnsi="Times New Roman" w:cs="Times New Roman"/>
          <w:bCs/>
          <w:i/>
          <w:sz w:val="24"/>
          <w:szCs w:val="24"/>
        </w:rPr>
        <w:t>Minnesota Multiphasic Personality Inventory-202</w:t>
      </w:r>
      <w:r w:rsidR="000B0AE7">
        <w:rPr>
          <w:rFonts w:ascii="Times New Roman" w:hAnsi="Times New Roman" w:cs="Times New Roman"/>
          <w:bCs/>
          <w:i/>
          <w:sz w:val="24"/>
          <w:szCs w:val="24"/>
        </w:rPr>
        <w:t>)</w:t>
      </w:r>
      <w:r w:rsidR="00724C17">
        <w:rPr>
          <w:rFonts w:ascii="Times New Roman" w:hAnsi="Times New Roman" w:cs="Times New Roman"/>
          <w:bCs/>
          <w:i/>
          <w:sz w:val="24"/>
          <w:szCs w:val="24"/>
        </w:rPr>
        <w:t xml:space="preserve"> </w:t>
      </w:r>
      <w:r w:rsidR="00724C17">
        <w:rPr>
          <w:rFonts w:ascii="Times New Roman" w:hAnsi="Times New Roman" w:cs="Times New Roman"/>
          <w:bCs/>
          <w:sz w:val="24"/>
          <w:szCs w:val="24"/>
        </w:rPr>
        <w:t xml:space="preserve">i </w:t>
      </w:r>
      <w:r w:rsidR="00724C17" w:rsidRPr="00724C17">
        <w:rPr>
          <w:rFonts w:ascii="Times New Roman" w:hAnsi="Times New Roman" w:cs="Times New Roman"/>
          <w:bCs/>
          <w:i/>
          <w:sz w:val="24"/>
          <w:szCs w:val="24"/>
        </w:rPr>
        <w:t>HAM</w:t>
      </w:r>
      <w:r w:rsidR="00724C17">
        <w:rPr>
          <w:rFonts w:ascii="Times New Roman" w:hAnsi="Times New Roman" w:cs="Times New Roman"/>
          <w:bCs/>
          <w:i/>
          <w:sz w:val="24"/>
          <w:szCs w:val="24"/>
        </w:rPr>
        <w:t>-D (Hamilton rating scale for depression-17</w:t>
      </w:r>
      <w:r w:rsidR="00724C17" w:rsidRPr="00724C17">
        <w:rPr>
          <w:rFonts w:ascii="Times New Roman" w:hAnsi="Times New Roman" w:cs="Times New Roman"/>
          <w:bCs/>
          <w:i/>
          <w:sz w:val="24"/>
          <w:szCs w:val="24"/>
        </w:rPr>
        <w:t>)</w:t>
      </w:r>
      <w:r w:rsidR="00E05352">
        <w:rPr>
          <w:rFonts w:ascii="Times New Roman" w:hAnsi="Times New Roman" w:cs="Times New Roman"/>
          <w:sz w:val="24"/>
          <w:szCs w:val="24"/>
        </w:rPr>
        <w:t>, u proc</w:t>
      </w:r>
      <w:r w:rsidR="00E42345">
        <w:rPr>
          <w:rFonts w:ascii="Times New Roman" w:hAnsi="Times New Roman" w:cs="Times New Roman"/>
          <w:sz w:val="24"/>
          <w:szCs w:val="24"/>
        </w:rPr>
        <w:t xml:space="preserve">esu procene sucidalnog rizika. Kao treći cilj postavlja se ispitivanje moguće povezanosti između ustanovljene suicidalnosti, suicidalnog rizika i seta </w:t>
      </w:r>
      <w:r w:rsidR="00FA5AB1">
        <w:rPr>
          <w:rFonts w:ascii="Times New Roman" w:hAnsi="Times New Roman" w:cs="Times New Roman"/>
          <w:sz w:val="24"/>
          <w:szCs w:val="24"/>
        </w:rPr>
        <w:t xml:space="preserve">sociodemografskih (uzrast, bračni status, broj dece, stepen obrazovanja, pušenje, zloupotreba alkohola i psihoaktivnih supstanci) i standardnih kliničkih </w:t>
      </w:r>
      <w:r w:rsidR="005F2F34">
        <w:rPr>
          <w:rFonts w:ascii="Times New Roman" w:hAnsi="Times New Roman" w:cs="Times New Roman"/>
          <w:sz w:val="24"/>
          <w:szCs w:val="24"/>
        </w:rPr>
        <w:t xml:space="preserve"> </w:t>
      </w:r>
      <w:r w:rsidR="00E42345">
        <w:rPr>
          <w:rFonts w:ascii="Times New Roman" w:hAnsi="Times New Roman" w:cs="Times New Roman"/>
          <w:sz w:val="24"/>
          <w:szCs w:val="24"/>
        </w:rPr>
        <w:t>varijabli</w:t>
      </w:r>
      <w:r w:rsidR="00FA5AB1">
        <w:rPr>
          <w:rFonts w:ascii="Times New Roman" w:hAnsi="Times New Roman" w:cs="Times New Roman"/>
          <w:sz w:val="24"/>
          <w:szCs w:val="24"/>
        </w:rPr>
        <w:t xml:space="preserve"> (broj hospitalizacija, dužina lečenja, vreme nastanka prvih tegoba</w:t>
      </w:r>
      <w:r w:rsidR="00335D3F">
        <w:rPr>
          <w:rFonts w:ascii="Times New Roman" w:hAnsi="Times New Roman" w:cs="Times New Roman"/>
          <w:sz w:val="24"/>
          <w:szCs w:val="24"/>
        </w:rPr>
        <w:t>, heriditet</w:t>
      </w:r>
      <w:r w:rsidR="00FA5AB1">
        <w:rPr>
          <w:rFonts w:ascii="Times New Roman" w:hAnsi="Times New Roman" w:cs="Times New Roman"/>
          <w:sz w:val="24"/>
          <w:szCs w:val="24"/>
        </w:rPr>
        <w:t>).</w:t>
      </w:r>
    </w:p>
    <w:p w:rsidR="00715A00" w:rsidRDefault="00715A00" w:rsidP="00E053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Osnovne hipoteze</w:t>
      </w:r>
      <w:r w:rsidR="00E917F2">
        <w:rPr>
          <w:rFonts w:ascii="Times New Roman" w:hAnsi="Times New Roman" w:cs="Times New Roman"/>
          <w:sz w:val="24"/>
          <w:szCs w:val="24"/>
        </w:rPr>
        <w:t xml:space="preserve"> su ustanovljne prema </w:t>
      </w:r>
      <w:r w:rsidR="00E05352">
        <w:rPr>
          <w:rFonts w:ascii="Times New Roman" w:hAnsi="Times New Roman" w:cs="Times New Roman"/>
          <w:sz w:val="24"/>
          <w:szCs w:val="24"/>
        </w:rPr>
        <w:t>istraživačkoj građi. P</w:t>
      </w:r>
      <w:r w:rsidR="00E917F2">
        <w:rPr>
          <w:rFonts w:ascii="Times New Roman" w:hAnsi="Times New Roman" w:cs="Times New Roman"/>
          <w:sz w:val="24"/>
          <w:szCs w:val="24"/>
        </w:rPr>
        <w:t xml:space="preserve">retpostavlja da će pacijenti sa </w:t>
      </w:r>
      <w:r w:rsidR="00EB4AD8">
        <w:rPr>
          <w:rFonts w:ascii="Times New Roman" w:hAnsi="Times New Roman" w:cs="Times New Roman"/>
          <w:sz w:val="24"/>
          <w:szCs w:val="24"/>
        </w:rPr>
        <w:t xml:space="preserve">ustanovljenim </w:t>
      </w:r>
      <w:r w:rsidR="00E917F2">
        <w:rPr>
          <w:rFonts w:ascii="Times New Roman" w:hAnsi="Times New Roman" w:cs="Times New Roman"/>
          <w:sz w:val="24"/>
          <w:szCs w:val="24"/>
        </w:rPr>
        <w:t>suicidalnim ponašanjem</w:t>
      </w:r>
      <w:r w:rsidR="00EB4AD8">
        <w:rPr>
          <w:rFonts w:ascii="Times New Roman" w:hAnsi="Times New Roman" w:cs="Times New Roman"/>
          <w:sz w:val="24"/>
          <w:szCs w:val="24"/>
        </w:rPr>
        <w:t xml:space="preserve"> ili</w:t>
      </w:r>
      <w:r w:rsidR="00E05352">
        <w:rPr>
          <w:rFonts w:ascii="Times New Roman" w:hAnsi="Times New Roman" w:cs="Times New Roman"/>
          <w:sz w:val="24"/>
          <w:szCs w:val="24"/>
        </w:rPr>
        <w:t xml:space="preserve"> ideacijom</w:t>
      </w:r>
      <w:r w:rsidR="00E917F2">
        <w:rPr>
          <w:rFonts w:ascii="Times New Roman" w:hAnsi="Times New Roman" w:cs="Times New Roman"/>
          <w:sz w:val="24"/>
          <w:szCs w:val="24"/>
        </w:rPr>
        <w:t xml:space="preserve"> imati </w:t>
      </w:r>
      <w:r w:rsidR="00A36EC1">
        <w:rPr>
          <w:rFonts w:ascii="Times New Roman" w:hAnsi="Times New Roman" w:cs="Times New Roman"/>
          <w:sz w:val="24"/>
          <w:szCs w:val="24"/>
        </w:rPr>
        <w:t>povišene</w:t>
      </w:r>
      <w:r w:rsidR="00E917F2">
        <w:rPr>
          <w:rFonts w:ascii="Times New Roman" w:hAnsi="Times New Roman" w:cs="Times New Roman"/>
          <w:sz w:val="24"/>
          <w:szCs w:val="24"/>
        </w:rPr>
        <w:t xml:space="preserve"> skorove na skalama kojima se meri</w:t>
      </w:r>
      <w:r w:rsidR="00EB4AD8">
        <w:rPr>
          <w:rFonts w:ascii="Times New Roman" w:hAnsi="Times New Roman" w:cs="Times New Roman"/>
          <w:sz w:val="24"/>
          <w:szCs w:val="24"/>
        </w:rPr>
        <w:t>:</w:t>
      </w:r>
      <w:r w:rsidR="00B40B21">
        <w:rPr>
          <w:rFonts w:ascii="Times New Roman" w:hAnsi="Times New Roman" w:cs="Times New Roman"/>
          <w:sz w:val="24"/>
          <w:szCs w:val="24"/>
        </w:rPr>
        <w:t xml:space="preserve"> 1) </w:t>
      </w:r>
      <w:r w:rsidR="00EB4AD8">
        <w:rPr>
          <w:rFonts w:ascii="Times New Roman" w:hAnsi="Times New Roman" w:cs="Times New Roman"/>
          <w:sz w:val="24"/>
          <w:szCs w:val="24"/>
        </w:rPr>
        <w:t>depresivnost</w:t>
      </w:r>
      <w:r w:rsidR="00B40B21">
        <w:rPr>
          <w:rFonts w:ascii="Times New Roman" w:hAnsi="Times New Roman" w:cs="Times New Roman"/>
          <w:sz w:val="24"/>
          <w:szCs w:val="24"/>
        </w:rPr>
        <w:t xml:space="preserve"> (6,8,9)</w:t>
      </w:r>
      <w:r w:rsidR="00EB4AD8">
        <w:rPr>
          <w:rFonts w:ascii="Times New Roman" w:hAnsi="Times New Roman" w:cs="Times New Roman"/>
          <w:sz w:val="24"/>
          <w:szCs w:val="24"/>
        </w:rPr>
        <w:t>;</w:t>
      </w:r>
      <w:r w:rsidR="00B40B21">
        <w:rPr>
          <w:rFonts w:ascii="Times New Roman" w:hAnsi="Times New Roman" w:cs="Times New Roman"/>
          <w:sz w:val="24"/>
          <w:szCs w:val="24"/>
        </w:rPr>
        <w:t xml:space="preserve"> </w:t>
      </w:r>
      <w:r w:rsidR="00EB4AD8">
        <w:rPr>
          <w:rFonts w:ascii="Times New Roman" w:hAnsi="Times New Roman" w:cs="Times New Roman"/>
          <w:sz w:val="24"/>
          <w:szCs w:val="24"/>
        </w:rPr>
        <w:t>2)</w:t>
      </w:r>
      <w:r w:rsidR="00B40B21">
        <w:rPr>
          <w:rFonts w:ascii="Times New Roman" w:hAnsi="Times New Roman" w:cs="Times New Roman"/>
          <w:sz w:val="24"/>
          <w:szCs w:val="24"/>
        </w:rPr>
        <w:t xml:space="preserve"> paranoidnost (12,13)</w:t>
      </w:r>
      <w:r w:rsidR="00EB4AD8">
        <w:rPr>
          <w:rFonts w:ascii="Times New Roman" w:hAnsi="Times New Roman" w:cs="Times New Roman"/>
          <w:sz w:val="24"/>
          <w:szCs w:val="24"/>
        </w:rPr>
        <w:t xml:space="preserve">; 3) </w:t>
      </w:r>
      <w:r w:rsidR="00B40B21">
        <w:rPr>
          <w:rFonts w:ascii="Times New Roman" w:hAnsi="Times New Roman" w:cs="Times New Roman"/>
          <w:sz w:val="24"/>
          <w:szCs w:val="24"/>
        </w:rPr>
        <w:t>shizofrene karakteristike (14)</w:t>
      </w:r>
      <w:r w:rsidR="00EB4AD8">
        <w:rPr>
          <w:rFonts w:ascii="Times New Roman" w:hAnsi="Times New Roman" w:cs="Times New Roman"/>
          <w:sz w:val="24"/>
          <w:szCs w:val="24"/>
        </w:rPr>
        <w:t>; 4)</w:t>
      </w:r>
      <w:r w:rsidR="00E917F2">
        <w:rPr>
          <w:rFonts w:ascii="Times New Roman" w:hAnsi="Times New Roman" w:cs="Times New Roman"/>
          <w:sz w:val="24"/>
          <w:szCs w:val="24"/>
        </w:rPr>
        <w:t xml:space="preserve"> anksioznost</w:t>
      </w:r>
      <w:r w:rsidR="00B40B21">
        <w:rPr>
          <w:rFonts w:ascii="Times New Roman" w:hAnsi="Times New Roman" w:cs="Times New Roman"/>
          <w:sz w:val="24"/>
          <w:szCs w:val="24"/>
        </w:rPr>
        <w:t xml:space="preserve"> (15,16,17)</w:t>
      </w:r>
      <w:r w:rsidR="00EB4AD8">
        <w:rPr>
          <w:rFonts w:ascii="Times New Roman" w:hAnsi="Times New Roman" w:cs="Times New Roman"/>
          <w:sz w:val="24"/>
          <w:szCs w:val="24"/>
        </w:rPr>
        <w:t xml:space="preserve">; 5) </w:t>
      </w:r>
      <w:r w:rsidR="00856026">
        <w:rPr>
          <w:rFonts w:ascii="Times New Roman" w:hAnsi="Times New Roman" w:cs="Times New Roman"/>
          <w:sz w:val="24"/>
          <w:szCs w:val="24"/>
        </w:rPr>
        <w:t>agresivnost</w:t>
      </w:r>
      <w:r w:rsidR="00B40B21">
        <w:rPr>
          <w:rFonts w:ascii="Times New Roman" w:hAnsi="Times New Roman" w:cs="Times New Roman"/>
          <w:sz w:val="24"/>
          <w:szCs w:val="24"/>
        </w:rPr>
        <w:t xml:space="preserve"> (18,19)</w:t>
      </w:r>
      <w:r w:rsidR="00856026">
        <w:rPr>
          <w:rFonts w:ascii="Times New Roman" w:hAnsi="Times New Roman" w:cs="Times New Roman"/>
          <w:sz w:val="24"/>
          <w:szCs w:val="24"/>
        </w:rPr>
        <w:t>;</w:t>
      </w:r>
      <w:r w:rsidR="00EB4AD8">
        <w:rPr>
          <w:rFonts w:ascii="Times New Roman" w:hAnsi="Times New Roman" w:cs="Times New Roman"/>
          <w:sz w:val="24"/>
          <w:szCs w:val="24"/>
        </w:rPr>
        <w:t xml:space="preserve"> 6)</w:t>
      </w:r>
      <w:r w:rsidR="00E917F2">
        <w:rPr>
          <w:rFonts w:ascii="Times New Roman" w:hAnsi="Times New Roman" w:cs="Times New Roman"/>
          <w:sz w:val="24"/>
          <w:szCs w:val="24"/>
        </w:rPr>
        <w:t xml:space="preserve"> socij</w:t>
      </w:r>
      <w:r w:rsidR="00856026">
        <w:rPr>
          <w:rFonts w:ascii="Times New Roman" w:hAnsi="Times New Roman" w:cs="Times New Roman"/>
          <w:sz w:val="24"/>
          <w:szCs w:val="24"/>
        </w:rPr>
        <w:t>alna izolacija</w:t>
      </w:r>
      <w:r w:rsidR="00B40B21">
        <w:rPr>
          <w:rFonts w:ascii="Times New Roman" w:hAnsi="Times New Roman" w:cs="Times New Roman"/>
          <w:sz w:val="24"/>
          <w:szCs w:val="24"/>
        </w:rPr>
        <w:t xml:space="preserve"> (17,20)</w:t>
      </w:r>
      <w:r w:rsidR="00856026">
        <w:rPr>
          <w:rFonts w:ascii="Times New Roman" w:hAnsi="Times New Roman" w:cs="Times New Roman"/>
          <w:sz w:val="24"/>
          <w:szCs w:val="24"/>
        </w:rPr>
        <w:t>;</w:t>
      </w:r>
      <w:r w:rsidR="00B40B21">
        <w:rPr>
          <w:rFonts w:ascii="Times New Roman" w:hAnsi="Times New Roman" w:cs="Times New Roman"/>
          <w:sz w:val="24"/>
          <w:szCs w:val="24"/>
        </w:rPr>
        <w:t xml:space="preserve"> </w:t>
      </w:r>
      <w:r w:rsidR="00E05352">
        <w:rPr>
          <w:rFonts w:ascii="Times New Roman" w:hAnsi="Times New Roman" w:cs="Times New Roman"/>
          <w:sz w:val="24"/>
          <w:szCs w:val="24"/>
        </w:rPr>
        <w:t xml:space="preserve">7) </w:t>
      </w:r>
      <w:r w:rsidR="00E917F2">
        <w:rPr>
          <w:rFonts w:ascii="Times New Roman" w:hAnsi="Times New Roman" w:cs="Times New Roman"/>
          <w:sz w:val="24"/>
          <w:szCs w:val="24"/>
        </w:rPr>
        <w:t>psihoasteničnost</w:t>
      </w:r>
      <w:r w:rsidR="00B40B21">
        <w:rPr>
          <w:rFonts w:ascii="Times New Roman" w:hAnsi="Times New Roman" w:cs="Times New Roman"/>
          <w:sz w:val="24"/>
          <w:szCs w:val="24"/>
        </w:rPr>
        <w:t xml:space="preserve"> (21)</w:t>
      </w:r>
      <w:r w:rsidR="00E917F2">
        <w:rPr>
          <w:rFonts w:ascii="Times New Roman" w:hAnsi="Times New Roman" w:cs="Times New Roman"/>
          <w:sz w:val="24"/>
          <w:szCs w:val="24"/>
        </w:rPr>
        <w:t xml:space="preserve">. Ovime se ne isključuje </w:t>
      </w:r>
      <w:r w:rsidR="00EB4AD8">
        <w:rPr>
          <w:rFonts w:ascii="Times New Roman" w:hAnsi="Times New Roman" w:cs="Times New Roman"/>
          <w:sz w:val="24"/>
          <w:szCs w:val="24"/>
        </w:rPr>
        <w:t>mogućnost da i druge</w:t>
      </w:r>
      <w:r w:rsidR="003F5911">
        <w:rPr>
          <w:rFonts w:ascii="Times New Roman" w:hAnsi="Times New Roman" w:cs="Times New Roman"/>
          <w:sz w:val="24"/>
          <w:szCs w:val="24"/>
        </w:rPr>
        <w:t xml:space="preserve"> varijable merene</w:t>
      </w:r>
      <w:r w:rsidR="00E05352">
        <w:rPr>
          <w:rFonts w:ascii="Times New Roman" w:hAnsi="Times New Roman" w:cs="Times New Roman"/>
          <w:sz w:val="24"/>
          <w:szCs w:val="24"/>
        </w:rPr>
        <w:t xml:space="preserve"> datim instrumentima</w:t>
      </w:r>
      <w:r w:rsidR="003F5911">
        <w:rPr>
          <w:rFonts w:ascii="Times New Roman" w:hAnsi="Times New Roman" w:cs="Times New Roman"/>
          <w:sz w:val="24"/>
          <w:szCs w:val="24"/>
        </w:rPr>
        <w:t xml:space="preserve"> pokažu određeni stepen povezanosti sa kriterijumskom varijablom. </w:t>
      </w:r>
    </w:p>
    <w:p w:rsidR="00854033" w:rsidRDefault="00854033" w:rsidP="00E917F2">
      <w:pPr>
        <w:spacing w:after="0" w:line="480" w:lineRule="auto"/>
        <w:jc w:val="both"/>
        <w:rPr>
          <w:rFonts w:ascii="Times New Roman" w:hAnsi="Times New Roman" w:cs="Times New Roman"/>
          <w:b/>
          <w:sz w:val="24"/>
          <w:szCs w:val="24"/>
        </w:rPr>
      </w:pPr>
    </w:p>
    <w:p w:rsidR="00854033" w:rsidRDefault="00854033" w:rsidP="00E917F2">
      <w:pPr>
        <w:spacing w:after="0" w:line="480" w:lineRule="auto"/>
        <w:jc w:val="both"/>
        <w:rPr>
          <w:rFonts w:ascii="Times New Roman" w:hAnsi="Times New Roman" w:cs="Times New Roman"/>
          <w:b/>
          <w:sz w:val="24"/>
          <w:szCs w:val="24"/>
        </w:rPr>
      </w:pPr>
    </w:p>
    <w:p w:rsidR="00854033" w:rsidRDefault="00854033" w:rsidP="00E917F2">
      <w:pPr>
        <w:spacing w:after="0" w:line="480" w:lineRule="auto"/>
        <w:jc w:val="both"/>
        <w:rPr>
          <w:rFonts w:ascii="Times New Roman" w:hAnsi="Times New Roman" w:cs="Times New Roman"/>
          <w:b/>
          <w:sz w:val="24"/>
          <w:szCs w:val="24"/>
        </w:rPr>
      </w:pPr>
    </w:p>
    <w:p w:rsidR="00FB4939" w:rsidRPr="00F8498F" w:rsidRDefault="00EC6D1B" w:rsidP="00E917F2">
      <w:pPr>
        <w:spacing w:after="0" w:line="480" w:lineRule="auto"/>
        <w:jc w:val="both"/>
        <w:rPr>
          <w:rFonts w:ascii="Times New Roman" w:hAnsi="Times New Roman" w:cs="Times New Roman"/>
          <w:b/>
          <w:sz w:val="24"/>
          <w:szCs w:val="24"/>
        </w:rPr>
      </w:pPr>
      <w:r w:rsidRPr="00856026">
        <w:rPr>
          <w:rFonts w:ascii="Times New Roman" w:hAnsi="Times New Roman" w:cs="Times New Roman"/>
          <w:b/>
          <w:sz w:val="24"/>
          <w:szCs w:val="24"/>
        </w:rPr>
        <w:lastRenderedPageBreak/>
        <w:t>Materijal i metode</w:t>
      </w:r>
    </w:p>
    <w:p w:rsidR="000E6ACE" w:rsidRPr="00F8498F" w:rsidRDefault="000E6ACE" w:rsidP="00E917F2">
      <w:pPr>
        <w:spacing w:after="0" w:line="480" w:lineRule="auto"/>
        <w:jc w:val="both"/>
        <w:rPr>
          <w:rFonts w:ascii="Times New Roman" w:hAnsi="Times New Roman" w:cs="Times New Roman"/>
          <w:b/>
          <w:i/>
          <w:sz w:val="24"/>
          <w:szCs w:val="24"/>
        </w:rPr>
      </w:pPr>
      <w:r w:rsidRPr="00F8498F">
        <w:rPr>
          <w:rFonts w:ascii="Times New Roman" w:hAnsi="Times New Roman" w:cs="Times New Roman"/>
          <w:b/>
          <w:sz w:val="24"/>
          <w:szCs w:val="24"/>
        </w:rPr>
        <w:tab/>
      </w:r>
      <w:r w:rsidRPr="00F8498F">
        <w:rPr>
          <w:rFonts w:ascii="Times New Roman" w:hAnsi="Times New Roman" w:cs="Times New Roman"/>
          <w:b/>
          <w:i/>
          <w:sz w:val="24"/>
          <w:szCs w:val="24"/>
        </w:rPr>
        <w:t>Osnovni podaci o istraživanju</w:t>
      </w:r>
    </w:p>
    <w:p w:rsidR="00593AB5" w:rsidRDefault="00EC6D1B" w:rsidP="00AB52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85678">
        <w:rPr>
          <w:rFonts w:ascii="Times New Roman" w:hAnsi="Times New Roman" w:cs="Times New Roman"/>
          <w:sz w:val="24"/>
          <w:szCs w:val="24"/>
        </w:rPr>
        <w:t xml:space="preserve">Istraživanje je sprovedeno </w:t>
      </w:r>
      <w:r w:rsidR="00AB5247">
        <w:rPr>
          <w:rFonts w:ascii="Times New Roman" w:hAnsi="Times New Roman" w:cs="Times New Roman"/>
          <w:sz w:val="24"/>
          <w:szCs w:val="24"/>
        </w:rPr>
        <w:t xml:space="preserve">na </w:t>
      </w:r>
      <w:r w:rsidR="00335D3F">
        <w:rPr>
          <w:rFonts w:ascii="Times New Roman" w:hAnsi="Times New Roman" w:cs="Times New Roman"/>
          <w:sz w:val="24"/>
          <w:szCs w:val="24"/>
        </w:rPr>
        <w:t>Klinici za psihijatriju</w:t>
      </w:r>
      <w:r w:rsidR="00E42345">
        <w:rPr>
          <w:rFonts w:ascii="Times New Roman" w:hAnsi="Times New Roman" w:cs="Times New Roman"/>
          <w:sz w:val="24"/>
          <w:szCs w:val="24"/>
        </w:rPr>
        <w:t xml:space="preserve"> </w:t>
      </w:r>
      <w:r w:rsidR="00785678">
        <w:rPr>
          <w:rFonts w:ascii="Times New Roman" w:hAnsi="Times New Roman" w:cs="Times New Roman"/>
          <w:sz w:val="24"/>
          <w:szCs w:val="24"/>
        </w:rPr>
        <w:t>u</w:t>
      </w:r>
      <w:r w:rsidR="00AB5247">
        <w:rPr>
          <w:rFonts w:ascii="Times New Roman" w:hAnsi="Times New Roman" w:cs="Times New Roman"/>
          <w:sz w:val="24"/>
          <w:szCs w:val="24"/>
        </w:rPr>
        <w:t xml:space="preserve"> okviru Kliničkog c</w:t>
      </w:r>
      <w:r w:rsidR="00F8498F">
        <w:rPr>
          <w:rFonts w:ascii="Times New Roman" w:hAnsi="Times New Roman" w:cs="Times New Roman"/>
          <w:sz w:val="24"/>
          <w:szCs w:val="24"/>
        </w:rPr>
        <w:t>entra Srbije u Beogradu.</w:t>
      </w:r>
      <w:r w:rsidR="00EF30BC">
        <w:rPr>
          <w:rFonts w:ascii="Times New Roman" w:hAnsi="Times New Roman" w:cs="Times New Roman"/>
          <w:sz w:val="24"/>
          <w:szCs w:val="24"/>
        </w:rPr>
        <w:t xml:space="preserve"> </w:t>
      </w:r>
      <w:r w:rsidR="00785678">
        <w:rPr>
          <w:rFonts w:ascii="Times New Roman" w:hAnsi="Times New Roman" w:cs="Times New Roman"/>
          <w:sz w:val="24"/>
          <w:szCs w:val="24"/>
        </w:rPr>
        <w:t>Svi ispitanici i prikupljeni podaci</w:t>
      </w:r>
      <w:r w:rsidR="000E6ACE">
        <w:rPr>
          <w:rFonts w:ascii="Times New Roman" w:hAnsi="Times New Roman" w:cs="Times New Roman"/>
          <w:sz w:val="24"/>
          <w:szCs w:val="24"/>
        </w:rPr>
        <w:t xml:space="preserve"> su uzeti u okviru datog odeljenja i iz zvanične medicinske dokumentacije</w:t>
      </w:r>
      <w:r w:rsidR="005F2F34">
        <w:rPr>
          <w:rFonts w:ascii="Times New Roman" w:hAnsi="Times New Roman" w:cs="Times New Roman"/>
          <w:sz w:val="24"/>
          <w:szCs w:val="24"/>
        </w:rPr>
        <w:t xml:space="preserve"> - istorije bolesti </w:t>
      </w:r>
      <w:r w:rsidR="000E6ACE">
        <w:rPr>
          <w:rFonts w:ascii="Times New Roman" w:hAnsi="Times New Roman" w:cs="Times New Roman"/>
          <w:sz w:val="24"/>
          <w:szCs w:val="24"/>
        </w:rPr>
        <w:t>koja se čuva na odeljenju.</w:t>
      </w:r>
    </w:p>
    <w:p w:rsidR="000E6ACE" w:rsidRDefault="00EC6D1B" w:rsidP="00E423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Istraživanje je </w:t>
      </w:r>
      <w:r w:rsidR="00785678">
        <w:rPr>
          <w:rFonts w:ascii="Times New Roman" w:hAnsi="Times New Roman" w:cs="Times New Roman"/>
          <w:sz w:val="24"/>
          <w:szCs w:val="24"/>
        </w:rPr>
        <w:t>prema</w:t>
      </w:r>
      <w:r w:rsidR="005F2F34">
        <w:rPr>
          <w:rFonts w:ascii="Times New Roman" w:hAnsi="Times New Roman" w:cs="Times New Roman"/>
          <w:sz w:val="24"/>
          <w:szCs w:val="24"/>
        </w:rPr>
        <w:t xml:space="preserve"> predmetu i pojavi koja</w:t>
      </w:r>
      <w:r>
        <w:rPr>
          <w:rFonts w:ascii="Times New Roman" w:hAnsi="Times New Roman" w:cs="Times New Roman"/>
          <w:sz w:val="24"/>
          <w:szCs w:val="24"/>
        </w:rPr>
        <w:t xml:space="preserve"> se ispituje neeksperimentalnog tipa.</w:t>
      </w:r>
      <w:r w:rsidR="005F2F34">
        <w:rPr>
          <w:rFonts w:ascii="Times New Roman" w:hAnsi="Times New Roman" w:cs="Times New Roman"/>
          <w:sz w:val="24"/>
          <w:szCs w:val="24"/>
        </w:rPr>
        <w:t xml:space="preserve"> </w:t>
      </w:r>
      <w:r>
        <w:rPr>
          <w:rFonts w:ascii="Times New Roman" w:hAnsi="Times New Roman" w:cs="Times New Roman"/>
          <w:sz w:val="24"/>
          <w:szCs w:val="24"/>
        </w:rPr>
        <w:t>Radi se o eksplorativ</w:t>
      </w:r>
      <w:r w:rsidR="00E42345">
        <w:rPr>
          <w:rFonts w:ascii="Times New Roman" w:hAnsi="Times New Roman" w:cs="Times New Roman"/>
          <w:sz w:val="24"/>
          <w:szCs w:val="24"/>
        </w:rPr>
        <w:t xml:space="preserve">nom i korelacionom istraživanju, odnosno o studiji preseka. </w:t>
      </w:r>
    </w:p>
    <w:p w:rsidR="00E42345" w:rsidRPr="00AB5247" w:rsidRDefault="00E42345" w:rsidP="00E423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Istraživanje je odobreno od strane Stručnog ko</w:t>
      </w:r>
      <w:r w:rsidR="00335D3F">
        <w:rPr>
          <w:rFonts w:ascii="Times New Roman" w:hAnsi="Times New Roman" w:cs="Times New Roman"/>
          <w:sz w:val="24"/>
          <w:szCs w:val="24"/>
        </w:rPr>
        <w:t>legijuma Klinike za psihijatriju.</w:t>
      </w:r>
    </w:p>
    <w:p w:rsidR="007D4073" w:rsidRPr="00F8498F" w:rsidRDefault="007D4073" w:rsidP="00785678">
      <w:pPr>
        <w:spacing w:after="0" w:line="480" w:lineRule="auto"/>
        <w:ind w:firstLine="720"/>
        <w:jc w:val="both"/>
        <w:rPr>
          <w:rFonts w:ascii="Times New Roman" w:hAnsi="Times New Roman" w:cs="Times New Roman"/>
          <w:b/>
          <w:i/>
          <w:sz w:val="24"/>
          <w:szCs w:val="24"/>
        </w:rPr>
      </w:pPr>
    </w:p>
    <w:p w:rsidR="000E6ACE" w:rsidRPr="00F8498F" w:rsidRDefault="000E6ACE" w:rsidP="00785678">
      <w:pPr>
        <w:spacing w:after="0" w:line="480" w:lineRule="auto"/>
        <w:ind w:firstLine="720"/>
        <w:jc w:val="both"/>
        <w:rPr>
          <w:rFonts w:ascii="Times New Roman" w:hAnsi="Times New Roman" w:cs="Times New Roman"/>
          <w:b/>
          <w:i/>
          <w:sz w:val="24"/>
          <w:szCs w:val="24"/>
        </w:rPr>
      </w:pPr>
      <w:r w:rsidRPr="00F8498F">
        <w:rPr>
          <w:rFonts w:ascii="Times New Roman" w:hAnsi="Times New Roman" w:cs="Times New Roman"/>
          <w:b/>
          <w:i/>
          <w:sz w:val="24"/>
          <w:szCs w:val="24"/>
        </w:rPr>
        <w:t>Uzorak</w:t>
      </w:r>
    </w:p>
    <w:p w:rsidR="000E6ACE" w:rsidRDefault="000E6ACE" w:rsidP="007856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Osnovni kriterijum selekcije ispitanika u uzorak se odnosi na relevantno dijagnostičko stanje. U uzorak su ušli svi ispitanici sa dijagnozama Depresivna epizoda (F32) i Rekurentni depresivni poremećaj (F33), nezavisno od dijagnotičke podkategorije (F32.0; F32.1; F32.2; F32.3; F33</w:t>
      </w:r>
      <w:r w:rsidR="00F8498F">
        <w:rPr>
          <w:rFonts w:ascii="Times New Roman" w:hAnsi="Times New Roman" w:cs="Times New Roman"/>
          <w:sz w:val="24"/>
          <w:szCs w:val="24"/>
        </w:rPr>
        <w:t>.0; F33.1; F33.2; F33.3). U uzor</w:t>
      </w:r>
      <w:r>
        <w:rPr>
          <w:rFonts w:ascii="Times New Roman" w:hAnsi="Times New Roman" w:cs="Times New Roman"/>
          <w:sz w:val="24"/>
          <w:szCs w:val="24"/>
        </w:rPr>
        <w:t>ak nisu uključeni ispitanici s</w:t>
      </w:r>
      <w:r w:rsidR="005F2F34">
        <w:rPr>
          <w:rFonts w:ascii="Times New Roman" w:hAnsi="Times New Roman" w:cs="Times New Roman"/>
          <w:sz w:val="24"/>
          <w:szCs w:val="24"/>
        </w:rPr>
        <w:t>a komorbidnim stanjima, zbog po</w:t>
      </w:r>
      <w:r w:rsidR="007D4073">
        <w:rPr>
          <w:rFonts w:ascii="Times New Roman" w:hAnsi="Times New Roman" w:cs="Times New Roman"/>
          <w:sz w:val="24"/>
          <w:szCs w:val="24"/>
        </w:rPr>
        <w:t>te</w:t>
      </w:r>
      <w:r w:rsidR="005F2F34">
        <w:rPr>
          <w:rFonts w:ascii="Times New Roman" w:hAnsi="Times New Roman" w:cs="Times New Roman"/>
          <w:sz w:val="24"/>
          <w:szCs w:val="24"/>
        </w:rPr>
        <w:t>n</w:t>
      </w:r>
      <w:r w:rsidR="007D4073">
        <w:rPr>
          <w:rFonts w:ascii="Times New Roman" w:hAnsi="Times New Roman" w:cs="Times New Roman"/>
          <w:sz w:val="24"/>
          <w:szCs w:val="24"/>
        </w:rPr>
        <w:t>cijalnog inteferirajućeg</w:t>
      </w:r>
      <w:r w:rsidR="00437B27">
        <w:rPr>
          <w:rFonts w:ascii="Times New Roman" w:hAnsi="Times New Roman" w:cs="Times New Roman"/>
          <w:sz w:val="24"/>
          <w:szCs w:val="24"/>
        </w:rPr>
        <w:t xml:space="preserve"> efekta</w:t>
      </w:r>
      <w:r w:rsidR="007D4073">
        <w:rPr>
          <w:rFonts w:ascii="Times New Roman" w:hAnsi="Times New Roman" w:cs="Times New Roman"/>
          <w:sz w:val="24"/>
          <w:szCs w:val="24"/>
        </w:rPr>
        <w:t xml:space="preserve"> u odnosu prediktora i kriterijum</w:t>
      </w:r>
      <w:r w:rsidR="00FB4939">
        <w:rPr>
          <w:rFonts w:ascii="Times New Roman" w:hAnsi="Times New Roman" w:cs="Times New Roman"/>
          <w:sz w:val="24"/>
          <w:szCs w:val="24"/>
        </w:rPr>
        <w:t xml:space="preserve">a koje bi dodatni psihopatološki entiteti mogli stvoriti. </w:t>
      </w:r>
    </w:p>
    <w:p w:rsidR="000E6ACE" w:rsidRDefault="00F8498F" w:rsidP="007856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Uzorak sačinjava 31 osoba, od toga 12</w:t>
      </w:r>
      <w:r w:rsidR="000E6ACE">
        <w:rPr>
          <w:rFonts w:ascii="Times New Roman" w:hAnsi="Times New Roman" w:cs="Times New Roman"/>
          <w:sz w:val="24"/>
          <w:szCs w:val="24"/>
        </w:rPr>
        <w:t xml:space="preserve"> muškaraca i 19 žena. Prosečna starost ispitanika je 4</w:t>
      </w:r>
      <w:r w:rsidR="0001019E">
        <w:rPr>
          <w:rFonts w:ascii="Times New Roman" w:hAnsi="Times New Roman" w:cs="Times New Roman"/>
          <w:sz w:val="24"/>
          <w:szCs w:val="24"/>
        </w:rPr>
        <w:t xml:space="preserve">8 </w:t>
      </w:r>
      <w:r w:rsidR="000E6ACE">
        <w:rPr>
          <w:rFonts w:ascii="Times New Roman" w:hAnsi="Times New Roman" w:cs="Times New Roman"/>
          <w:sz w:val="24"/>
          <w:szCs w:val="24"/>
        </w:rPr>
        <w:t>godina.</w:t>
      </w:r>
    </w:p>
    <w:p w:rsidR="00854033" w:rsidRDefault="00854033" w:rsidP="00785678">
      <w:pPr>
        <w:spacing w:after="0" w:line="480" w:lineRule="auto"/>
        <w:ind w:firstLine="720"/>
        <w:jc w:val="both"/>
        <w:rPr>
          <w:rFonts w:ascii="Times New Roman" w:hAnsi="Times New Roman" w:cs="Times New Roman"/>
          <w:b/>
          <w:sz w:val="24"/>
          <w:szCs w:val="24"/>
        </w:rPr>
      </w:pPr>
    </w:p>
    <w:p w:rsidR="007D4073" w:rsidRPr="00F8498F" w:rsidRDefault="003948B9" w:rsidP="00785678">
      <w:pPr>
        <w:spacing w:after="0" w:line="480" w:lineRule="auto"/>
        <w:ind w:firstLine="720"/>
        <w:jc w:val="both"/>
        <w:rPr>
          <w:rFonts w:ascii="Times New Roman" w:hAnsi="Times New Roman" w:cs="Times New Roman"/>
          <w:b/>
          <w:i/>
          <w:sz w:val="24"/>
          <w:szCs w:val="24"/>
        </w:rPr>
      </w:pPr>
      <w:r w:rsidRPr="00F8498F">
        <w:rPr>
          <w:rFonts w:ascii="Times New Roman" w:hAnsi="Times New Roman" w:cs="Times New Roman"/>
          <w:b/>
          <w:i/>
          <w:sz w:val="24"/>
          <w:szCs w:val="24"/>
        </w:rPr>
        <w:t>I</w:t>
      </w:r>
      <w:r w:rsidR="007D4073" w:rsidRPr="00F8498F">
        <w:rPr>
          <w:rFonts w:ascii="Times New Roman" w:hAnsi="Times New Roman" w:cs="Times New Roman"/>
          <w:b/>
          <w:i/>
          <w:sz w:val="24"/>
          <w:szCs w:val="24"/>
        </w:rPr>
        <w:t>nstrumenti</w:t>
      </w:r>
    </w:p>
    <w:p w:rsidR="007D4073" w:rsidRDefault="007D4073" w:rsidP="007D4073">
      <w:pPr>
        <w:spacing w:after="0" w:line="480" w:lineRule="auto"/>
        <w:ind w:firstLine="720"/>
        <w:jc w:val="both"/>
        <w:rPr>
          <w:rFonts w:ascii="Times New Roman" w:hAnsi="Times New Roman" w:cs="Times New Roman"/>
          <w:sz w:val="24"/>
          <w:szCs w:val="24"/>
        </w:rPr>
      </w:pPr>
      <w:r w:rsidRPr="00F8498F">
        <w:rPr>
          <w:rFonts w:ascii="Times New Roman" w:hAnsi="Times New Roman" w:cs="Times New Roman"/>
          <w:i/>
          <w:sz w:val="24"/>
          <w:szCs w:val="24"/>
        </w:rPr>
        <w:t>SBQ-R</w:t>
      </w:r>
      <w:r>
        <w:rPr>
          <w:rFonts w:ascii="Times New Roman" w:hAnsi="Times New Roman" w:cs="Times New Roman"/>
          <w:sz w:val="24"/>
          <w:szCs w:val="24"/>
        </w:rPr>
        <w:t>.</w:t>
      </w:r>
      <w:r w:rsidR="008A02BE">
        <w:rPr>
          <w:rFonts w:ascii="Times New Roman" w:hAnsi="Times New Roman" w:cs="Times New Roman"/>
          <w:sz w:val="24"/>
          <w:szCs w:val="24"/>
        </w:rPr>
        <w:t>Upitnik suicidalnih ponašanja (</w:t>
      </w:r>
      <w:r w:rsidR="008A02BE" w:rsidRPr="00F8498F">
        <w:rPr>
          <w:rFonts w:ascii="Times New Roman" w:hAnsi="Times New Roman" w:cs="Times New Roman"/>
          <w:i/>
          <w:sz w:val="24"/>
          <w:szCs w:val="24"/>
        </w:rPr>
        <w:t>Suicidal behaviour questionnare – revis</w:t>
      </w:r>
      <w:r w:rsidR="00FB4939" w:rsidRPr="00F8498F">
        <w:rPr>
          <w:rFonts w:ascii="Times New Roman" w:hAnsi="Times New Roman" w:cs="Times New Roman"/>
          <w:i/>
          <w:sz w:val="24"/>
          <w:szCs w:val="24"/>
        </w:rPr>
        <w:t>i</w:t>
      </w:r>
      <w:r w:rsidR="008A02BE" w:rsidRPr="00F8498F">
        <w:rPr>
          <w:rFonts w:ascii="Times New Roman" w:hAnsi="Times New Roman" w:cs="Times New Roman"/>
          <w:i/>
          <w:sz w:val="24"/>
          <w:szCs w:val="24"/>
        </w:rPr>
        <w:t>ted</w:t>
      </w:r>
      <w:r w:rsidR="008A02BE">
        <w:rPr>
          <w:rFonts w:ascii="Times New Roman" w:hAnsi="Times New Roman" w:cs="Times New Roman"/>
          <w:sz w:val="24"/>
          <w:szCs w:val="24"/>
        </w:rPr>
        <w:t>)</w:t>
      </w:r>
      <w:r w:rsidR="00B40B21">
        <w:rPr>
          <w:rFonts w:ascii="Times New Roman" w:hAnsi="Times New Roman" w:cs="Times New Roman"/>
          <w:sz w:val="24"/>
          <w:szCs w:val="24"/>
        </w:rPr>
        <w:t xml:space="preserve"> (22)</w:t>
      </w:r>
      <w:r w:rsidR="008A02BE">
        <w:rPr>
          <w:rFonts w:ascii="Times New Roman" w:hAnsi="Times New Roman" w:cs="Times New Roman"/>
          <w:sz w:val="24"/>
          <w:szCs w:val="24"/>
        </w:rPr>
        <w:t xml:space="preserve"> Sastoji se od 4 ajtema koji ispituju prethodne naznake suicidalnosti</w:t>
      </w:r>
      <w:r w:rsidR="00B46930">
        <w:rPr>
          <w:rFonts w:ascii="Times New Roman" w:hAnsi="Times New Roman" w:cs="Times New Roman"/>
          <w:sz w:val="24"/>
          <w:szCs w:val="24"/>
        </w:rPr>
        <w:t>,</w:t>
      </w:r>
      <w:r w:rsidR="008A02BE">
        <w:rPr>
          <w:rFonts w:ascii="Times New Roman" w:hAnsi="Times New Roman" w:cs="Times New Roman"/>
          <w:sz w:val="24"/>
          <w:szCs w:val="24"/>
        </w:rPr>
        <w:t xml:space="preserve"> njihovu učestalost, kao i mogućnost da se suicid pokuša u budućnosti. Upitnik je strukturisan i ispitanici smeštaju </w:t>
      </w:r>
      <w:r w:rsidR="00F8498F">
        <w:rPr>
          <w:rFonts w:ascii="Times New Roman" w:hAnsi="Times New Roman" w:cs="Times New Roman"/>
          <w:sz w:val="24"/>
          <w:szCs w:val="24"/>
        </w:rPr>
        <w:lastRenderedPageBreak/>
        <w:t>od</w:t>
      </w:r>
      <w:r w:rsidR="008A02BE">
        <w:rPr>
          <w:rFonts w:ascii="Times New Roman" w:hAnsi="Times New Roman" w:cs="Times New Roman"/>
          <w:sz w:val="24"/>
          <w:szCs w:val="24"/>
        </w:rPr>
        <w:t>g</w:t>
      </w:r>
      <w:r w:rsidR="00F8498F">
        <w:rPr>
          <w:rFonts w:ascii="Times New Roman" w:hAnsi="Times New Roman" w:cs="Times New Roman"/>
          <w:sz w:val="24"/>
          <w:szCs w:val="24"/>
        </w:rPr>
        <w:t>o</w:t>
      </w:r>
      <w:r w:rsidR="008A02BE">
        <w:rPr>
          <w:rFonts w:ascii="Times New Roman" w:hAnsi="Times New Roman" w:cs="Times New Roman"/>
          <w:sz w:val="24"/>
          <w:szCs w:val="24"/>
        </w:rPr>
        <w:t>vore na ponuđenim skalama. Minimalni skor je 3, maksimalni 18</w:t>
      </w:r>
      <w:r w:rsidR="00FB4939">
        <w:rPr>
          <w:rFonts w:ascii="Times New Roman" w:hAnsi="Times New Roman" w:cs="Times New Roman"/>
          <w:sz w:val="24"/>
          <w:szCs w:val="24"/>
        </w:rPr>
        <w:t>.</w:t>
      </w:r>
      <w:r w:rsidR="005F2F34">
        <w:rPr>
          <w:rFonts w:ascii="Times New Roman" w:hAnsi="Times New Roman" w:cs="Times New Roman"/>
          <w:sz w:val="24"/>
          <w:szCs w:val="24"/>
        </w:rPr>
        <w:t xml:space="preserve"> </w:t>
      </w:r>
      <w:r w:rsidR="00FB4939">
        <w:rPr>
          <w:rFonts w:ascii="Times New Roman" w:hAnsi="Times New Roman" w:cs="Times New Roman"/>
          <w:sz w:val="24"/>
          <w:szCs w:val="24"/>
        </w:rPr>
        <w:t>Viši skorovi</w:t>
      </w:r>
      <w:r w:rsidR="008A02BE">
        <w:rPr>
          <w:rFonts w:ascii="Times New Roman" w:hAnsi="Times New Roman" w:cs="Times New Roman"/>
          <w:sz w:val="24"/>
          <w:szCs w:val="24"/>
        </w:rPr>
        <w:t xml:space="preserve"> označavaju veći stepen suicidalnosti. Pouzdanost instrumenta na psihijatrijskoj populaciji je 0.91 (Kronbahova alfa</w:t>
      </w:r>
      <w:r w:rsidR="00B46930">
        <w:rPr>
          <w:rFonts w:ascii="Times New Roman" w:hAnsi="Times New Roman" w:cs="Times New Roman"/>
          <w:sz w:val="24"/>
          <w:szCs w:val="24"/>
        </w:rPr>
        <w:t xml:space="preserve"> koeficijent</w:t>
      </w:r>
      <w:r w:rsidR="008A02BE">
        <w:rPr>
          <w:rFonts w:ascii="Times New Roman" w:hAnsi="Times New Roman" w:cs="Times New Roman"/>
          <w:sz w:val="24"/>
          <w:szCs w:val="24"/>
        </w:rPr>
        <w:t xml:space="preserve">, α = </w:t>
      </w:r>
      <w:r w:rsidR="00B46930">
        <w:rPr>
          <w:rFonts w:ascii="Times New Roman" w:hAnsi="Times New Roman" w:cs="Times New Roman"/>
          <w:sz w:val="24"/>
          <w:szCs w:val="24"/>
        </w:rPr>
        <w:t>0</w:t>
      </w:r>
      <w:r w:rsidR="008A02BE">
        <w:rPr>
          <w:rFonts w:ascii="Times New Roman" w:hAnsi="Times New Roman" w:cs="Times New Roman"/>
          <w:sz w:val="24"/>
          <w:szCs w:val="24"/>
        </w:rPr>
        <w:t>.91</w:t>
      </w:r>
      <w:r w:rsidR="008A02BE" w:rsidRPr="008A02BE">
        <w:rPr>
          <w:rFonts w:ascii="Times New Roman" w:hAnsi="Times New Roman" w:cs="Times New Roman"/>
          <w:sz w:val="24"/>
          <w:szCs w:val="24"/>
        </w:rPr>
        <w:t>)</w:t>
      </w:r>
      <w:r w:rsidR="00B40B21">
        <w:rPr>
          <w:rFonts w:ascii="Times New Roman" w:hAnsi="Times New Roman" w:cs="Times New Roman"/>
          <w:sz w:val="24"/>
          <w:szCs w:val="24"/>
        </w:rPr>
        <w:t xml:space="preserve"> (2</w:t>
      </w:r>
      <w:r w:rsidR="00F30FBF">
        <w:rPr>
          <w:rFonts w:ascii="Times New Roman" w:hAnsi="Times New Roman" w:cs="Times New Roman"/>
          <w:sz w:val="24"/>
          <w:szCs w:val="24"/>
        </w:rPr>
        <w:t>2</w:t>
      </w:r>
      <w:r w:rsidR="00B40B21">
        <w:rPr>
          <w:rFonts w:ascii="Times New Roman" w:hAnsi="Times New Roman" w:cs="Times New Roman"/>
          <w:sz w:val="24"/>
          <w:szCs w:val="24"/>
        </w:rPr>
        <w:t>).</w:t>
      </w:r>
    </w:p>
    <w:p w:rsidR="00D02C56" w:rsidRDefault="008A02BE" w:rsidP="007D4073">
      <w:pPr>
        <w:spacing w:after="0" w:line="480" w:lineRule="auto"/>
        <w:ind w:firstLine="720"/>
        <w:jc w:val="both"/>
        <w:rPr>
          <w:rFonts w:ascii="Times New Roman" w:hAnsi="Times New Roman" w:cs="Times New Roman"/>
          <w:bCs/>
          <w:sz w:val="24"/>
          <w:szCs w:val="24"/>
        </w:rPr>
      </w:pPr>
      <w:r w:rsidRPr="00B46930">
        <w:rPr>
          <w:rFonts w:ascii="Times New Roman" w:hAnsi="Times New Roman" w:cs="Times New Roman"/>
          <w:i/>
          <w:sz w:val="24"/>
          <w:szCs w:val="24"/>
        </w:rPr>
        <w:t>MMPI-202</w:t>
      </w:r>
      <w:r>
        <w:rPr>
          <w:rFonts w:ascii="Times New Roman" w:hAnsi="Times New Roman" w:cs="Times New Roman"/>
          <w:sz w:val="24"/>
          <w:szCs w:val="24"/>
        </w:rPr>
        <w:t>.Minesota multifazni invetar ličnosti (</w:t>
      </w:r>
      <w:r w:rsidRPr="00FB4939">
        <w:rPr>
          <w:rFonts w:ascii="Times New Roman" w:hAnsi="Times New Roman" w:cs="Times New Roman"/>
          <w:bCs/>
          <w:i/>
          <w:sz w:val="24"/>
          <w:szCs w:val="24"/>
        </w:rPr>
        <w:t>Minnesota Multiphasic Personality Inventory-202</w:t>
      </w:r>
      <w:r>
        <w:rPr>
          <w:rFonts w:ascii="Times New Roman" w:hAnsi="Times New Roman" w:cs="Times New Roman"/>
          <w:bCs/>
          <w:sz w:val="24"/>
          <w:szCs w:val="24"/>
        </w:rPr>
        <w:t>)</w:t>
      </w:r>
      <w:r w:rsidR="00F30FBF">
        <w:rPr>
          <w:rFonts w:ascii="Times New Roman" w:hAnsi="Times New Roman" w:cs="Times New Roman"/>
          <w:bCs/>
          <w:sz w:val="24"/>
          <w:szCs w:val="24"/>
        </w:rPr>
        <w:t xml:space="preserve"> (23)</w:t>
      </w:r>
      <w:r>
        <w:rPr>
          <w:rFonts w:ascii="Times New Roman" w:hAnsi="Times New Roman" w:cs="Times New Roman"/>
          <w:bCs/>
          <w:sz w:val="24"/>
          <w:szCs w:val="24"/>
        </w:rPr>
        <w:t xml:space="preserve">. Sastoji se od 210 ajtema, </w:t>
      </w:r>
      <w:r w:rsidR="007C7B65">
        <w:rPr>
          <w:rFonts w:ascii="Times New Roman" w:hAnsi="Times New Roman" w:cs="Times New Roman"/>
          <w:bCs/>
          <w:sz w:val="24"/>
          <w:szCs w:val="24"/>
        </w:rPr>
        <w:t xml:space="preserve">strukturisanog tipa, na dvostepenoj skali. U zavisnosti od toga da li se </w:t>
      </w:r>
      <w:r w:rsidR="00FB4939">
        <w:rPr>
          <w:rFonts w:ascii="Times New Roman" w:hAnsi="Times New Roman" w:cs="Times New Roman"/>
          <w:bCs/>
          <w:sz w:val="24"/>
          <w:szCs w:val="24"/>
        </w:rPr>
        <w:t>ispitanici slažu ili ne sa ponuđ</w:t>
      </w:r>
      <w:r w:rsidR="007C7B65">
        <w:rPr>
          <w:rFonts w:ascii="Times New Roman" w:hAnsi="Times New Roman" w:cs="Times New Roman"/>
          <w:bCs/>
          <w:sz w:val="24"/>
          <w:szCs w:val="24"/>
        </w:rPr>
        <w:t xml:space="preserve">enim tvrdnjama, kartice na kojima se nalaze tvrdnje svrstavaju </w:t>
      </w:r>
      <w:r w:rsidR="005F2F34">
        <w:rPr>
          <w:rFonts w:ascii="Times New Roman" w:hAnsi="Times New Roman" w:cs="Times New Roman"/>
          <w:bCs/>
          <w:sz w:val="24"/>
          <w:szCs w:val="24"/>
        </w:rPr>
        <w:t xml:space="preserve">se </w:t>
      </w:r>
      <w:r w:rsidR="007C7B65">
        <w:rPr>
          <w:rFonts w:ascii="Times New Roman" w:hAnsi="Times New Roman" w:cs="Times New Roman"/>
          <w:bCs/>
          <w:sz w:val="24"/>
          <w:szCs w:val="24"/>
        </w:rPr>
        <w:t xml:space="preserve">u kutije sa oznakama “da” ili “ne”. Ovim instrumentom </w:t>
      </w:r>
      <w:r w:rsidR="00FB4939">
        <w:rPr>
          <w:rFonts w:ascii="Times New Roman" w:hAnsi="Times New Roman" w:cs="Times New Roman"/>
          <w:bCs/>
          <w:sz w:val="24"/>
          <w:szCs w:val="24"/>
        </w:rPr>
        <w:t xml:space="preserve">se </w:t>
      </w:r>
      <w:r w:rsidR="007C7B65">
        <w:rPr>
          <w:rFonts w:ascii="Times New Roman" w:hAnsi="Times New Roman" w:cs="Times New Roman"/>
          <w:bCs/>
          <w:sz w:val="24"/>
          <w:szCs w:val="24"/>
        </w:rPr>
        <w:t xml:space="preserve">ispituju 8 kliničkih entiteta, 4 neklinička i 3 kontrolne varijable koje govore </w:t>
      </w:r>
      <w:r w:rsidR="00FB4939">
        <w:rPr>
          <w:rFonts w:ascii="Times New Roman" w:hAnsi="Times New Roman" w:cs="Times New Roman"/>
          <w:bCs/>
          <w:sz w:val="24"/>
          <w:szCs w:val="24"/>
        </w:rPr>
        <w:t>o</w:t>
      </w:r>
      <w:r w:rsidR="007C7B65">
        <w:rPr>
          <w:rFonts w:ascii="Times New Roman" w:hAnsi="Times New Roman" w:cs="Times New Roman"/>
          <w:bCs/>
          <w:sz w:val="24"/>
          <w:szCs w:val="24"/>
        </w:rPr>
        <w:t xml:space="preserve"> pozdanosti dobijenih podataka. Kliničke </w:t>
      </w:r>
      <w:r w:rsidR="00B46930">
        <w:rPr>
          <w:rFonts w:ascii="Times New Roman" w:hAnsi="Times New Roman" w:cs="Times New Roman"/>
          <w:bCs/>
          <w:sz w:val="24"/>
          <w:szCs w:val="24"/>
        </w:rPr>
        <w:t xml:space="preserve">skale </w:t>
      </w:r>
      <w:r w:rsidR="007C7B65">
        <w:rPr>
          <w:rFonts w:ascii="Times New Roman" w:hAnsi="Times New Roman" w:cs="Times New Roman"/>
          <w:bCs/>
          <w:sz w:val="24"/>
          <w:szCs w:val="24"/>
        </w:rPr>
        <w:t xml:space="preserve">predstavljaju: hipohondrijaza, depresija, histerija, psihopatska devijacija, paranoja, psihoasteničnost, shizofrenija, hipomanija. Nekliničke skale su: socijalna inkompatibilnost (socijalna izolacija i socijalna anksioznost), anksioznost, agresivnost i skala kritičnih ajtema. </w:t>
      </w:r>
      <w:r w:rsidR="00D02C56">
        <w:rPr>
          <w:rFonts w:ascii="Times New Roman" w:hAnsi="Times New Roman" w:cs="Times New Roman"/>
          <w:bCs/>
          <w:sz w:val="24"/>
          <w:szCs w:val="24"/>
        </w:rPr>
        <w:t>Kronbahova alfa</w:t>
      </w:r>
      <w:r w:rsidR="000468EA">
        <w:rPr>
          <w:rFonts w:ascii="Times New Roman" w:hAnsi="Times New Roman" w:cs="Times New Roman"/>
          <w:bCs/>
          <w:sz w:val="24"/>
          <w:szCs w:val="24"/>
        </w:rPr>
        <w:t xml:space="preserve"> koeficijent</w:t>
      </w:r>
      <w:r w:rsidR="00D02C56">
        <w:rPr>
          <w:rFonts w:ascii="Times New Roman" w:hAnsi="Times New Roman" w:cs="Times New Roman"/>
          <w:bCs/>
          <w:sz w:val="24"/>
          <w:szCs w:val="24"/>
        </w:rPr>
        <w:t xml:space="preserve"> se na</w:t>
      </w:r>
      <w:r w:rsidR="00B46930">
        <w:rPr>
          <w:rFonts w:ascii="Times New Roman" w:hAnsi="Times New Roman" w:cs="Times New Roman"/>
          <w:bCs/>
          <w:sz w:val="24"/>
          <w:szCs w:val="24"/>
        </w:rPr>
        <w:t xml:space="preserve"> kliničkom uzor</w:t>
      </w:r>
      <w:r w:rsidR="00D02C56">
        <w:rPr>
          <w:rFonts w:ascii="Times New Roman" w:hAnsi="Times New Roman" w:cs="Times New Roman"/>
          <w:bCs/>
          <w:sz w:val="24"/>
          <w:szCs w:val="24"/>
        </w:rPr>
        <w:t>ku kreće od 0.71 do 0.</w:t>
      </w:r>
      <w:r w:rsidR="00F30FBF">
        <w:rPr>
          <w:rFonts w:ascii="Times New Roman" w:hAnsi="Times New Roman" w:cs="Times New Roman"/>
          <w:bCs/>
          <w:sz w:val="24"/>
          <w:szCs w:val="24"/>
        </w:rPr>
        <w:t>84 (24)</w:t>
      </w:r>
      <w:r w:rsidR="00D02C56">
        <w:rPr>
          <w:rFonts w:ascii="Times New Roman" w:hAnsi="Times New Roman" w:cs="Times New Roman"/>
          <w:bCs/>
          <w:sz w:val="24"/>
          <w:szCs w:val="24"/>
        </w:rPr>
        <w:t xml:space="preserve">. </w:t>
      </w:r>
    </w:p>
    <w:p w:rsidR="008A02BE" w:rsidRDefault="00D02C56" w:rsidP="007D4073">
      <w:pPr>
        <w:spacing w:after="0" w:line="480" w:lineRule="auto"/>
        <w:ind w:firstLine="720"/>
        <w:jc w:val="both"/>
        <w:rPr>
          <w:rFonts w:ascii="Times New Roman" w:hAnsi="Times New Roman" w:cs="Times New Roman"/>
          <w:sz w:val="24"/>
          <w:szCs w:val="24"/>
        </w:rPr>
      </w:pPr>
      <w:r w:rsidRPr="00B46930">
        <w:rPr>
          <w:rFonts w:ascii="Times New Roman" w:hAnsi="Times New Roman" w:cs="Times New Roman"/>
          <w:bCs/>
          <w:i/>
          <w:sz w:val="24"/>
          <w:szCs w:val="24"/>
        </w:rPr>
        <w:t>HAM</w:t>
      </w:r>
      <w:r w:rsidR="00F30FBF">
        <w:rPr>
          <w:rFonts w:ascii="Times New Roman" w:hAnsi="Times New Roman" w:cs="Times New Roman"/>
          <w:bCs/>
          <w:i/>
          <w:sz w:val="24"/>
          <w:szCs w:val="24"/>
        </w:rPr>
        <w:t>-</w:t>
      </w:r>
      <w:r w:rsidRPr="00B46930">
        <w:rPr>
          <w:rFonts w:ascii="Times New Roman" w:hAnsi="Times New Roman" w:cs="Times New Roman"/>
          <w:bCs/>
          <w:i/>
          <w:sz w:val="24"/>
          <w:szCs w:val="24"/>
        </w:rPr>
        <w:t>D</w:t>
      </w:r>
      <w:r>
        <w:rPr>
          <w:rFonts w:ascii="Times New Roman" w:hAnsi="Times New Roman" w:cs="Times New Roman"/>
          <w:bCs/>
          <w:sz w:val="24"/>
          <w:szCs w:val="24"/>
        </w:rPr>
        <w:t>.</w:t>
      </w:r>
      <w:r w:rsidR="00F30FBF">
        <w:rPr>
          <w:rFonts w:ascii="Times New Roman" w:hAnsi="Times New Roman" w:cs="Times New Roman"/>
          <w:bCs/>
          <w:sz w:val="24"/>
          <w:szCs w:val="24"/>
        </w:rPr>
        <w:t xml:space="preserve"> </w:t>
      </w:r>
      <w:r>
        <w:rPr>
          <w:rFonts w:ascii="Times New Roman" w:hAnsi="Times New Roman" w:cs="Times New Roman"/>
          <w:bCs/>
          <w:sz w:val="24"/>
          <w:szCs w:val="24"/>
        </w:rPr>
        <w:t>Hamiltonova skala depresivnosti (</w:t>
      </w:r>
      <w:r w:rsidRPr="00B46930">
        <w:rPr>
          <w:rFonts w:ascii="Times New Roman" w:hAnsi="Times New Roman" w:cs="Times New Roman"/>
          <w:bCs/>
          <w:i/>
          <w:sz w:val="24"/>
          <w:szCs w:val="24"/>
        </w:rPr>
        <w:t>Hamilton rating scale for depression -17</w:t>
      </w:r>
      <w:r>
        <w:rPr>
          <w:rFonts w:ascii="Times New Roman" w:hAnsi="Times New Roman" w:cs="Times New Roman"/>
          <w:bCs/>
          <w:sz w:val="24"/>
          <w:szCs w:val="24"/>
        </w:rPr>
        <w:t>)</w:t>
      </w:r>
      <w:r w:rsidR="00F30FBF">
        <w:rPr>
          <w:rFonts w:ascii="Times New Roman" w:hAnsi="Times New Roman" w:cs="Times New Roman"/>
          <w:bCs/>
          <w:sz w:val="24"/>
          <w:szCs w:val="24"/>
        </w:rPr>
        <w:t xml:space="preserve"> (25)</w:t>
      </w:r>
      <w:r>
        <w:rPr>
          <w:rFonts w:ascii="Times New Roman" w:hAnsi="Times New Roman" w:cs="Times New Roman"/>
          <w:bCs/>
          <w:sz w:val="24"/>
          <w:szCs w:val="24"/>
        </w:rPr>
        <w:t>. Skala se sastoji od 17 ajtema i nam</w:t>
      </w:r>
      <w:r w:rsidR="00B46930">
        <w:rPr>
          <w:rFonts w:ascii="Times New Roman" w:hAnsi="Times New Roman" w:cs="Times New Roman"/>
          <w:bCs/>
          <w:sz w:val="24"/>
          <w:szCs w:val="24"/>
        </w:rPr>
        <w:t>e</w:t>
      </w:r>
      <w:r>
        <w:rPr>
          <w:rFonts w:ascii="Times New Roman" w:hAnsi="Times New Roman" w:cs="Times New Roman"/>
          <w:bCs/>
          <w:sz w:val="24"/>
          <w:szCs w:val="24"/>
        </w:rPr>
        <w:t>njena je merenju inteziteta depresivnosti. Ajtemi pokrivaju dijagno</w:t>
      </w:r>
      <w:r w:rsidR="00B46930">
        <w:rPr>
          <w:rFonts w:ascii="Times New Roman" w:hAnsi="Times New Roman" w:cs="Times New Roman"/>
          <w:bCs/>
          <w:sz w:val="24"/>
          <w:szCs w:val="24"/>
        </w:rPr>
        <w:t>stički relevantne smernice u di</w:t>
      </w:r>
      <w:r>
        <w:rPr>
          <w:rFonts w:ascii="Times New Roman" w:hAnsi="Times New Roman" w:cs="Times New Roman"/>
          <w:bCs/>
          <w:sz w:val="24"/>
          <w:szCs w:val="24"/>
        </w:rPr>
        <w:t>j</w:t>
      </w:r>
      <w:r w:rsidR="00B46930">
        <w:rPr>
          <w:rFonts w:ascii="Times New Roman" w:hAnsi="Times New Roman" w:cs="Times New Roman"/>
          <w:bCs/>
          <w:sz w:val="24"/>
          <w:szCs w:val="24"/>
        </w:rPr>
        <w:t>a</w:t>
      </w:r>
      <w:r>
        <w:rPr>
          <w:rFonts w:ascii="Times New Roman" w:hAnsi="Times New Roman" w:cs="Times New Roman"/>
          <w:bCs/>
          <w:sz w:val="24"/>
          <w:szCs w:val="24"/>
        </w:rPr>
        <w:t>gnos</w:t>
      </w:r>
      <w:r w:rsidR="00FB4939">
        <w:rPr>
          <w:rFonts w:ascii="Times New Roman" w:hAnsi="Times New Roman" w:cs="Times New Roman"/>
          <w:bCs/>
          <w:sz w:val="24"/>
          <w:szCs w:val="24"/>
        </w:rPr>
        <w:t>tikovanju depresije, kao i utvrđ</w:t>
      </w:r>
      <w:r>
        <w:rPr>
          <w:rFonts w:ascii="Times New Roman" w:hAnsi="Times New Roman" w:cs="Times New Roman"/>
          <w:bCs/>
          <w:sz w:val="24"/>
          <w:szCs w:val="24"/>
        </w:rPr>
        <w:t>ivanju težine nastalog poremećaja.</w:t>
      </w:r>
      <w:r w:rsidR="005F2F34">
        <w:rPr>
          <w:rFonts w:ascii="Times New Roman" w:hAnsi="Times New Roman" w:cs="Times New Roman"/>
          <w:bCs/>
          <w:sz w:val="24"/>
          <w:szCs w:val="24"/>
        </w:rPr>
        <w:t xml:space="preserve"> </w:t>
      </w:r>
      <w:r w:rsidR="000468EA">
        <w:rPr>
          <w:rFonts w:ascii="Times New Roman" w:hAnsi="Times New Roman" w:cs="Times New Roman"/>
          <w:bCs/>
          <w:sz w:val="24"/>
          <w:szCs w:val="24"/>
        </w:rPr>
        <w:t>Pouzdanost skale je 0.83 (</w:t>
      </w:r>
      <w:r>
        <w:rPr>
          <w:rFonts w:ascii="Times New Roman" w:hAnsi="Times New Roman" w:cs="Times New Roman"/>
          <w:bCs/>
          <w:sz w:val="24"/>
          <w:szCs w:val="24"/>
        </w:rPr>
        <w:t>Kronbahova alfa je 0.83</w:t>
      </w:r>
      <w:r w:rsidR="000468EA">
        <w:rPr>
          <w:rFonts w:ascii="Times New Roman" w:hAnsi="Times New Roman" w:cs="Times New Roman"/>
          <w:bCs/>
          <w:sz w:val="24"/>
          <w:szCs w:val="24"/>
        </w:rPr>
        <w:t>)</w:t>
      </w:r>
      <w:r w:rsidR="00F30FBF">
        <w:rPr>
          <w:rFonts w:ascii="Times New Roman" w:hAnsi="Times New Roman" w:cs="Times New Roman"/>
          <w:bCs/>
          <w:sz w:val="24"/>
          <w:szCs w:val="24"/>
        </w:rPr>
        <w:t xml:space="preserve"> (26)</w:t>
      </w:r>
      <w:r>
        <w:rPr>
          <w:rFonts w:ascii="Times New Roman" w:hAnsi="Times New Roman" w:cs="Times New Roman"/>
          <w:bCs/>
          <w:sz w:val="24"/>
          <w:szCs w:val="24"/>
        </w:rPr>
        <w:t>.</w:t>
      </w:r>
    </w:p>
    <w:p w:rsidR="003948B9" w:rsidRDefault="003948B9" w:rsidP="007D4073">
      <w:pPr>
        <w:spacing w:after="0" w:line="480" w:lineRule="auto"/>
        <w:ind w:firstLine="720"/>
        <w:jc w:val="both"/>
        <w:rPr>
          <w:rFonts w:ascii="Times New Roman" w:hAnsi="Times New Roman" w:cs="Times New Roman"/>
          <w:sz w:val="24"/>
          <w:szCs w:val="24"/>
        </w:rPr>
      </w:pPr>
    </w:p>
    <w:p w:rsidR="003948B9" w:rsidRPr="00B46930" w:rsidRDefault="003948B9" w:rsidP="007D4073">
      <w:pPr>
        <w:spacing w:after="0" w:line="480" w:lineRule="auto"/>
        <w:ind w:firstLine="720"/>
        <w:jc w:val="both"/>
        <w:rPr>
          <w:rFonts w:ascii="Times New Roman" w:hAnsi="Times New Roman" w:cs="Times New Roman"/>
          <w:b/>
          <w:i/>
          <w:sz w:val="24"/>
          <w:szCs w:val="24"/>
        </w:rPr>
      </w:pPr>
      <w:r w:rsidRPr="00B46930">
        <w:rPr>
          <w:rFonts w:ascii="Times New Roman" w:hAnsi="Times New Roman" w:cs="Times New Roman"/>
          <w:b/>
          <w:i/>
          <w:sz w:val="24"/>
          <w:szCs w:val="24"/>
        </w:rPr>
        <w:t>Metod istraživanja</w:t>
      </w:r>
    </w:p>
    <w:p w:rsidR="007D4073" w:rsidRPr="000468EA" w:rsidRDefault="007D4073" w:rsidP="007D4073">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Prikupljanje podataka je vršeno na tri nivoa: 1) intervju sa ispitanicama</w:t>
      </w:r>
      <w:r w:rsidR="003948B9">
        <w:rPr>
          <w:rFonts w:ascii="Times New Roman" w:hAnsi="Times New Roman" w:cs="Times New Roman"/>
          <w:sz w:val="24"/>
          <w:szCs w:val="24"/>
        </w:rPr>
        <w:t xml:space="preserve"> – osnovni anam</w:t>
      </w:r>
      <w:r w:rsidR="001603E7">
        <w:rPr>
          <w:rFonts w:ascii="Times New Roman" w:hAnsi="Times New Roman" w:cs="Times New Roman"/>
          <w:sz w:val="24"/>
          <w:szCs w:val="24"/>
        </w:rPr>
        <w:t>n</w:t>
      </w:r>
      <w:r w:rsidR="003948B9">
        <w:rPr>
          <w:rFonts w:ascii="Times New Roman" w:hAnsi="Times New Roman" w:cs="Times New Roman"/>
          <w:sz w:val="24"/>
          <w:szCs w:val="24"/>
        </w:rPr>
        <w:t xml:space="preserve">estički podaci, </w:t>
      </w:r>
      <w:r w:rsidR="001603E7">
        <w:rPr>
          <w:rFonts w:ascii="Times New Roman" w:hAnsi="Times New Roman" w:cs="Times New Roman"/>
          <w:sz w:val="24"/>
          <w:szCs w:val="24"/>
        </w:rPr>
        <w:t>određ</w:t>
      </w:r>
      <w:r w:rsidR="003948B9">
        <w:rPr>
          <w:rFonts w:ascii="Times New Roman" w:hAnsi="Times New Roman" w:cs="Times New Roman"/>
          <w:sz w:val="24"/>
          <w:szCs w:val="24"/>
        </w:rPr>
        <w:t xml:space="preserve">ivanje skora na </w:t>
      </w:r>
      <w:r w:rsidR="003948B9" w:rsidRPr="000468EA">
        <w:rPr>
          <w:rFonts w:ascii="Times New Roman" w:hAnsi="Times New Roman" w:cs="Times New Roman"/>
          <w:i/>
          <w:sz w:val="24"/>
          <w:szCs w:val="24"/>
        </w:rPr>
        <w:t>HAM</w:t>
      </w:r>
      <w:r w:rsidR="00EF30BC">
        <w:rPr>
          <w:rFonts w:ascii="Times New Roman" w:hAnsi="Times New Roman" w:cs="Times New Roman"/>
          <w:i/>
          <w:sz w:val="24"/>
          <w:szCs w:val="24"/>
        </w:rPr>
        <w:t>-</w:t>
      </w:r>
      <w:r w:rsidR="003948B9" w:rsidRPr="000468EA">
        <w:rPr>
          <w:rFonts w:ascii="Times New Roman" w:hAnsi="Times New Roman" w:cs="Times New Roman"/>
          <w:i/>
          <w:sz w:val="24"/>
          <w:szCs w:val="24"/>
        </w:rPr>
        <w:t>D-u</w:t>
      </w:r>
      <w:r>
        <w:rPr>
          <w:rFonts w:ascii="Times New Roman" w:hAnsi="Times New Roman" w:cs="Times New Roman"/>
          <w:sz w:val="24"/>
          <w:szCs w:val="24"/>
        </w:rPr>
        <w:t xml:space="preserve"> 2) podaci iz zvanične istorije bolesti ispitanika</w:t>
      </w:r>
      <w:r w:rsidR="005F2F34">
        <w:rPr>
          <w:rFonts w:ascii="Times New Roman" w:hAnsi="Times New Roman" w:cs="Times New Roman"/>
          <w:sz w:val="24"/>
          <w:szCs w:val="24"/>
        </w:rPr>
        <w:t xml:space="preserve"> – dijagnoza, dužina lečenja</w:t>
      </w:r>
      <w:r w:rsidR="003948B9">
        <w:rPr>
          <w:rFonts w:ascii="Times New Roman" w:hAnsi="Times New Roman" w:cs="Times New Roman"/>
          <w:sz w:val="24"/>
          <w:szCs w:val="24"/>
        </w:rPr>
        <w:t xml:space="preserve">, broj pokušanih suicida 3) upitnička metoda – </w:t>
      </w:r>
      <w:r w:rsidR="003948B9" w:rsidRPr="000468EA">
        <w:rPr>
          <w:rFonts w:ascii="Times New Roman" w:hAnsi="Times New Roman" w:cs="Times New Roman"/>
          <w:i/>
          <w:sz w:val="24"/>
          <w:szCs w:val="24"/>
        </w:rPr>
        <w:t xml:space="preserve">SBQ-R i MMPI – 202. </w:t>
      </w:r>
    </w:p>
    <w:p w:rsidR="001C64A2" w:rsidRDefault="001C64A2" w:rsidP="000468EA">
      <w:pPr>
        <w:spacing w:after="0" w:line="480" w:lineRule="auto"/>
        <w:jc w:val="both"/>
        <w:rPr>
          <w:rFonts w:ascii="Times New Roman" w:hAnsi="Times New Roman" w:cs="Times New Roman"/>
          <w:b/>
          <w:i/>
          <w:sz w:val="24"/>
          <w:szCs w:val="24"/>
        </w:rPr>
      </w:pPr>
    </w:p>
    <w:p w:rsidR="005F2F34" w:rsidRPr="005F2F34" w:rsidRDefault="003948B9" w:rsidP="005F2F34">
      <w:pPr>
        <w:spacing w:after="0" w:line="480" w:lineRule="auto"/>
        <w:ind w:firstLine="720"/>
        <w:jc w:val="both"/>
        <w:rPr>
          <w:rFonts w:ascii="Times New Roman" w:hAnsi="Times New Roman" w:cs="Times New Roman"/>
          <w:b/>
          <w:i/>
          <w:sz w:val="24"/>
          <w:szCs w:val="24"/>
        </w:rPr>
      </w:pPr>
      <w:r w:rsidRPr="000468EA">
        <w:rPr>
          <w:rFonts w:ascii="Times New Roman" w:hAnsi="Times New Roman" w:cs="Times New Roman"/>
          <w:b/>
          <w:i/>
          <w:sz w:val="24"/>
          <w:szCs w:val="24"/>
        </w:rPr>
        <w:lastRenderedPageBreak/>
        <w:t>Kategorijzacija varijabli</w:t>
      </w:r>
    </w:p>
    <w:p w:rsidR="003948B9" w:rsidRDefault="003948B9" w:rsidP="007856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Prediktorske varijable predstavljaju 15 subskala dobijenih u okviru instrumenta </w:t>
      </w:r>
      <w:r w:rsidRPr="000468EA">
        <w:rPr>
          <w:rFonts w:ascii="Times New Roman" w:hAnsi="Times New Roman" w:cs="Times New Roman"/>
          <w:i/>
          <w:sz w:val="24"/>
          <w:szCs w:val="24"/>
        </w:rPr>
        <w:t>MMPI-202</w:t>
      </w:r>
      <w:r w:rsidR="00EF30BC">
        <w:rPr>
          <w:rFonts w:ascii="Times New Roman" w:hAnsi="Times New Roman" w:cs="Times New Roman"/>
          <w:i/>
          <w:sz w:val="24"/>
          <w:szCs w:val="24"/>
        </w:rPr>
        <w:t xml:space="preserve"> i skor na HAM-D-u</w:t>
      </w:r>
      <w:r>
        <w:rPr>
          <w:rFonts w:ascii="Times New Roman" w:hAnsi="Times New Roman" w:cs="Times New Roman"/>
          <w:sz w:val="24"/>
          <w:szCs w:val="24"/>
        </w:rPr>
        <w:t>.</w:t>
      </w:r>
      <w:r w:rsidR="00EF30BC">
        <w:rPr>
          <w:rFonts w:ascii="Times New Roman" w:hAnsi="Times New Roman" w:cs="Times New Roman"/>
          <w:sz w:val="24"/>
          <w:szCs w:val="24"/>
        </w:rPr>
        <w:t xml:space="preserve"> </w:t>
      </w:r>
      <w:r w:rsidR="00E42345">
        <w:rPr>
          <w:rFonts w:ascii="Times New Roman" w:hAnsi="Times New Roman" w:cs="Times New Roman"/>
          <w:sz w:val="24"/>
          <w:szCs w:val="24"/>
        </w:rPr>
        <w:t>Ove</w:t>
      </w:r>
      <w:r>
        <w:rPr>
          <w:rFonts w:ascii="Times New Roman" w:hAnsi="Times New Roman" w:cs="Times New Roman"/>
          <w:sz w:val="24"/>
          <w:szCs w:val="24"/>
        </w:rPr>
        <w:t xml:space="preserve"> varijable su intervalnog karaktera.</w:t>
      </w:r>
      <w:r w:rsidR="00380737">
        <w:rPr>
          <w:rFonts w:ascii="Times New Roman" w:hAnsi="Times New Roman" w:cs="Times New Roman"/>
          <w:sz w:val="24"/>
          <w:szCs w:val="24"/>
        </w:rPr>
        <w:t xml:space="preserve"> Pored ovih prikupljene su informacije o uzrastu, dužini lečenja, broju hospitalizacija, zloupotrebi psihoaktivnih supstanci</w:t>
      </w:r>
      <w:r w:rsidR="000B048F">
        <w:rPr>
          <w:rFonts w:ascii="Times New Roman" w:hAnsi="Times New Roman" w:cs="Times New Roman"/>
          <w:sz w:val="24"/>
          <w:szCs w:val="24"/>
        </w:rPr>
        <w:t xml:space="preserve">, </w:t>
      </w:r>
      <w:r w:rsidR="00380737">
        <w:rPr>
          <w:rFonts w:ascii="Times New Roman" w:hAnsi="Times New Roman" w:cs="Times New Roman"/>
          <w:sz w:val="24"/>
          <w:szCs w:val="24"/>
        </w:rPr>
        <w:t>pušenju</w:t>
      </w:r>
      <w:r w:rsidR="000B048F">
        <w:rPr>
          <w:rFonts w:ascii="Times New Roman" w:hAnsi="Times New Roman" w:cs="Times New Roman"/>
          <w:sz w:val="24"/>
          <w:szCs w:val="24"/>
        </w:rPr>
        <w:t xml:space="preserve"> i herideitetu.</w:t>
      </w:r>
      <w:r w:rsidR="00380737">
        <w:rPr>
          <w:rFonts w:ascii="Times New Roman" w:hAnsi="Times New Roman" w:cs="Times New Roman"/>
          <w:sz w:val="24"/>
          <w:szCs w:val="24"/>
        </w:rPr>
        <w:t xml:space="preserve"> </w:t>
      </w:r>
    </w:p>
    <w:p w:rsidR="003948B9" w:rsidRDefault="003948B9" w:rsidP="007856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 ovom istraživanju izdvajaju sve dve kriterijumske varijble. Prva je skor dobijen na</w:t>
      </w:r>
      <w:r w:rsidR="00EF30BC">
        <w:rPr>
          <w:rFonts w:ascii="Times New Roman" w:hAnsi="Times New Roman" w:cs="Times New Roman"/>
          <w:sz w:val="24"/>
          <w:szCs w:val="24"/>
        </w:rPr>
        <w:t xml:space="preserve"> </w:t>
      </w:r>
      <w:r w:rsidRPr="000468EA">
        <w:rPr>
          <w:rFonts w:ascii="Times New Roman" w:hAnsi="Times New Roman" w:cs="Times New Roman"/>
          <w:i/>
          <w:sz w:val="24"/>
          <w:szCs w:val="24"/>
        </w:rPr>
        <w:t>SBQ-R</w:t>
      </w:r>
      <w:r>
        <w:rPr>
          <w:rFonts w:ascii="Times New Roman" w:hAnsi="Times New Roman" w:cs="Times New Roman"/>
          <w:sz w:val="24"/>
          <w:szCs w:val="24"/>
        </w:rPr>
        <w:t xml:space="preserve"> upitniku. Ova varijabla je intervalnog karaktera. Druga kriterijumska varijabla je kategorijalnog tipa i odnosi se na postojanje prethodnih suicidalnih pokušaja. </w:t>
      </w:r>
      <w:r w:rsidR="007777A2">
        <w:rPr>
          <w:rFonts w:ascii="Times New Roman" w:hAnsi="Times New Roman" w:cs="Times New Roman"/>
          <w:sz w:val="24"/>
          <w:szCs w:val="24"/>
        </w:rPr>
        <w:t>Razvrstava se na</w:t>
      </w:r>
      <w:r w:rsidR="00EF30BC">
        <w:rPr>
          <w:rFonts w:ascii="Times New Roman" w:hAnsi="Times New Roman" w:cs="Times New Roman"/>
          <w:sz w:val="24"/>
          <w:szCs w:val="24"/>
        </w:rPr>
        <w:t xml:space="preserve"> </w:t>
      </w:r>
      <w:r w:rsidR="007777A2">
        <w:rPr>
          <w:rFonts w:ascii="Times New Roman" w:hAnsi="Times New Roman" w:cs="Times New Roman"/>
          <w:sz w:val="24"/>
          <w:szCs w:val="24"/>
        </w:rPr>
        <w:t xml:space="preserve">dve kateogorije: oni koji su do trenutka ispitivanja imali barem jedan pokušaj sucida i oni koji nisu. </w:t>
      </w:r>
    </w:p>
    <w:p w:rsidR="007777A2" w:rsidRPr="00131EC6" w:rsidRDefault="007777A2" w:rsidP="00785678">
      <w:pPr>
        <w:spacing w:after="0" w:line="480" w:lineRule="auto"/>
        <w:ind w:firstLine="720"/>
        <w:jc w:val="both"/>
        <w:rPr>
          <w:rFonts w:ascii="Times New Roman" w:hAnsi="Times New Roman" w:cs="Times New Roman"/>
          <w:b/>
          <w:sz w:val="24"/>
          <w:szCs w:val="24"/>
        </w:rPr>
      </w:pPr>
    </w:p>
    <w:p w:rsidR="007777A2" w:rsidRPr="00131EC6" w:rsidRDefault="007777A2" w:rsidP="00785678">
      <w:pPr>
        <w:spacing w:after="0" w:line="480" w:lineRule="auto"/>
        <w:ind w:firstLine="720"/>
        <w:jc w:val="both"/>
        <w:rPr>
          <w:rFonts w:ascii="Times New Roman" w:hAnsi="Times New Roman" w:cs="Times New Roman"/>
          <w:b/>
          <w:i/>
          <w:sz w:val="24"/>
          <w:szCs w:val="24"/>
        </w:rPr>
      </w:pPr>
      <w:r w:rsidRPr="00131EC6">
        <w:rPr>
          <w:rFonts w:ascii="Times New Roman" w:hAnsi="Times New Roman" w:cs="Times New Roman"/>
          <w:b/>
          <w:i/>
          <w:sz w:val="24"/>
          <w:szCs w:val="24"/>
        </w:rPr>
        <w:t>Statistička obrada</w:t>
      </w:r>
    </w:p>
    <w:p w:rsidR="007777A2" w:rsidRDefault="007777A2" w:rsidP="007856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Unos podataka, kao i statistička analiza vršena je u programu </w:t>
      </w:r>
      <w:r w:rsidRPr="00131EC6">
        <w:rPr>
          <w:rFonts w:ascii="Times New Roman" w:hAnsi="Times New Roman" w:cs="Times New Roman"/>
          <w:i/>
          <w:sz w:val="24"/>
          <w:szCs w:val="24"/>
        </w:rPr>
        <w:t>SPSS 16.0</w:t>
      </w:r>
      <w:r>
        <w:rPr>
          <w:rFonts w:ascii="Times New Roman" w:hAnsi="Times New Roman" w:cs="Times New Roman"/>
          <w:sz w:val="24"/>
          <w:szCs w:val="24"/>
        </w:rPr>
        <w:t xml:space="preserve"> (</w:t>
      </w:r>
      <w:r w:rsidRPr="007777A2">
        <w:rPr>
          <w:rFonts w:ascii="Times New Roman" w:hAnsi="Times New Roman" w:cs="Times New Roman"/>
          <w:i/>
          <w:sz w:val="24"/>
          <w:szCs w:val="24"/>
        </w:rPr>
        <w:t>Statistical program for social sciences</w:t>
      </w:r>
      <w:r>
        <w:rPr>
          <w:rFonts w:ascii="Times New Roman" w:hAnsi="Times New Roman" w:cs="Times New Roman"/>
          <w:sz w:val="24"/>
          <w:szCs w:val="24"/>
        </w:rPr>
        <w:t xml:space="preserve">). Primenjene su sledeće statističke analize: 1) deskriptivna statistika; 2) Bivarijantna korelacija (Pirsonova korelacija) – utvrđivanje povezanosti izmežu skala </w:t>
      </w:r>
      <w:r w:rsidRPr="00131EC6">
        <w:rPr>
          <w:rFonts w:ascii="Times New Roman" w:hAnsi="Times New Roman" w:cs="Times New Roman"/>
          <w:i/>
          <w:sz w:val="24"/>
          <w:szCs w:val="24"/>
        </w:rPr>
        <w:t>MMPI-202</w:t>
      </w:r>
      <w:r>
        <w:rPr>
          <w:rFonts w:ascii="Times New Roman" w:hAnsi="Times New Roman" w:cs="Times New Roman"/>
          <w:sz w:val="24"/>
          <w:szCs w:val="24"/>
        </w:rPr>
        <w:t xml:space="preserve"> i </w:t>
      </w:r>
      <w:r w:rsidRPr="00131EC6">
        <w:rPr>
          <w:rFonts w:ascii="Times New Roman" w:hAnsi="Times New Roman" w:cs="Times New Roman"/>
          <w:i/>
          <w:sz w:val="24"/>
          <w:szCs w:val="24"/>
        </w:rPr>
        <w:t>SBQ-R</w:t>
      </w:r>
      <w:r>
        <w:rPr>
          <w:rFonts w:ascii="Times New Roman" w:hAnsi="Times New Roman" w:cs="Times New Roman"/>
          <w:sz w:val="24"/>
          <w:szCs w:val="24"/>
        </w:rPr>
        <w:t xml:space="preserve"> skora i </w:t>
      </w:r>
      <w:r w:rsidRPr="00131EC6">
        <w:rPr>
          <w:rFonts w:ascii="Times New Roman" w:hAnsi="Times New Roman" w:cs="Times New Roman"/>
          <w:i/>
          <w:sz w:val="24"/>
          <w:szCs w:val="24"/>
        </w:rPr>
        <w:t>HAMD</w:t>
      </w:r>
      <w:r w:rsidR="00380737">
        <w:rPr>
          <w:rFonts w:ascii="Times New Roman" w:hAnsi="Times New Roman" w:cs="Times New Roman"/>
          <w:sz w:val="24"/>
          <w:szCs w:val="24"/>
        </w:rPr>
        <w:t xml:space="preserve"> skora, utvrđivanje povezanosti između kliničkih</w:t>
      </w:r>
      <w:r w:rsidR="005F2F34">
        <w:rPr>
          <w:rFonts w:ascii="Times New Roman" w:hAnsi="Times New Roman" w:cs="Times New Roman"/>
          <w:sz w:val="24"/>
          <w:szCs w:val="24"/>
        </w:rPr>
        <w:t xml:space="preserve"> i</w:t>
      </w:r>
      <w:r w:rsidR="00AD22E6">
        <w:rPr>
          <w:rFonts w:ascii="Times New Roman" w:hAnsi="Times New Roman" w:cs="Times New Roman"/>
          <w:sz w:val="24"/>
          <w:szCs w:val="24"/>
        </w:rPr>
        <w:t xml:space="preserve">  sociodemografskih</w:t>
      </w:r>
      <w:r w:rsidR="00380737">
        <w:rPr>
          <w:rFonts w:ascii="Times New Roman" w:hAnsi="Times New Roman" w:cs="Times New Roman"/>
          <w:sz w:val="24"/>
          <w:szCs w:val="24"/>
        </w:rPr>
        <w:t xml:space="preserve"> varijabli i </w:t>
      </w:r>
      <w:r w:rsidR="00380737" w:rsidRPr="00D30F6D">
        <w:rPr>
          <w:rFonts w:ascii="Times New Roman" w:hAnsi="Times New Roman" w:cs="Times New Roman"/>
          <w:i/>
          <w:sz w:val="24"/>
          <w:szCs w:val="24"/>
        </w:rPr>
        <w:t>SBQ-R</w:t>
      </w:r>
      <w:r w:rsidR="00380737">
        <w:rPr>
          <w:rFonts w:ascii="Times New Roman" w:hAnsi="Times New Roman" w:cs="Times New Roman"/>
          <w:sz w:val="24"/>
          <w:szCs w:val="24"/>
        </w:rPr>
        <w:t xml:space="preserve"> skora</w:t>
      </w:r>
      <w:r w:rsidR="00553672">
        <w:rPr>
          <w:rFonts w:ascii="Times New Roman" w:hAnsi="Times New Roman" w:cs="Times New Roman"/>
          <w:sz w:val="24"/>
          <w:szCs w:val="24"/>
        </w:rPr>
        <w:t xml:space="preserve"> i kategorijalne varijble Prethodni pokušaji suicida</w:t>
      </w:r>
      <w:r w:rsidR="00380737">
        <w:rPr>
          <w:rFonts w:ascii="Times New Roman" w:hAnsi="Times New Roman" w:cs="Times New Roman"/>
          <w:sz w:val="24"/>
          <w:szCs w:val="24"/>
        </w:rPr>
        <w:t>.</w:t>
      </w:r>
      <w:r>
        <w:rPr>
          <w:rFonts w:ascii="Times New Roman" w:hAnsi="Times New Roman" w:cs="Times New Roman"/>
          <w:sz w:val="24"/>
          <w:szCs w:val="24"/>
        </w:rPr>
        <w:t xml:space="preserve"> 3) regresiona analiza – utvrđivanje prediktorske moći skala </w:t>
      </w:r>
      <w:r w:rsidRPr="00131EC6">
        <w:rPr>
          <w:rFonts w:ascii="Times New Roman" w:hAnsi="Times New Roman" w:cs="Times New Roman"/>
          <w:i/>
          <w:sz w:val="24"/>
          <w:szCs w:val="24"/>
        </w:rPr>
        <w:t>MMPI</w:t>
      </w:r>
      <w:r>
        <w:rPr>
          <w:rFonts w:ascii="Times New Roman" w:hAnsi="Times New Roman" w:cs="Times New Roman"/>
          <w:sz w:val="24"/>
          <w:szCs w:val="24"/>
        </w:rPr>
        <w:t xml:space="preserve"> u odnosu na merenu sucidalnost (</w:t>
      </w:r>
      <w:r w:rsidRPr="00131EC6">
        <w:rPr>
          <w:rFonts w:ascii="Times New Roman" w:hAnsi="Times New Roman" w:cs="Times New Roman"/>
          <w:i/>
          <w:sz w:val="24"/>
          <w:szCs w:val="24"/>
        </w:rPr>
        <w:t>SBQ-R</w:t>
      </w:r>
      <w:r>
        <w:rPr>
          <w:rFonts w:ascii="Times New Roman" w:hAnsi="Times New Roman" w:cs="Times New Roman"/>
          <w:sz w:val="24"/>
          <w:szCs w:val="24"/>
        </w:rPr>
        <w:t xml:space="preserve">) 4) </w:t>
      </w:r>
      <w:r w:rsidR="00FB4939">
        <w:rPr>
          <w:rFonts w:ascii="Times New Roman" w:hAnsi="Times New Roman" w:cs="Times New Roman"/>
          <w:sz w:val="24"/>
          <w:szCs w:val="24"/>
        </w:rPr>
        <w:t xml:space="preserve">Poređenje srednjih vrednosti – razlikovanje grupa ispitanika koji su pokušali suicid i onih koji nisu po skalama </w:t>
      </w:r>
      <w:r w:rsidR="00FB4939" w:rsidRPr="00131EC6">
        <w:rPr>
          <w:rFonts w:ascii="Times New Roman" w:hAnsi="Times New Roman" w:cs="Times New Roman"/>
          <w:i/>
          <w:sz w:val="24"/>
          <w:szCs w:val="24"/>
        </w:rPr>
        <w:t>M</w:t>
      </w:r>
      <w:r w:rsidR="00131EC6">
        <w:rPr>
          <w:rFonts w:ascii="Times New Roman" w:hAnsi="Times New Roman" w:cs="Times New Roman"/>
          <w:i/>
          <w:sz w:val="24"/>
          <w:szCs w:val="24"/>
        </w:rPr>
        <w:t>MPI-202</w:t>
      </w:r>
      <w:r w:rsidR="00FB4939">
        <w:rPr>
          <w:rFonts w:ascii="Times New Roman" w:hAnsi="Times New Roman" w:cs="Times New Roman"/>
          <w:sz w:val="24"/>
          <w:szCs w:val="24"/>
        </w:rPr>
        <w:t xml:space="preserve"> 5) Kanonička diskriminaciona analiza – ispitivanje moguće linearne kombinacije  subskala </w:t>
      </w:r>
      <w:r w:rsidR="00131EC6">
        <w:rPr>
          <w:rFonts w:ascii="Times New Roman" w:hAnsi="Times New Roman" w:cs="Times New Roman"/>
          <w:i/>
          <w:sz w:val="24"/>
          <w:szCs w:val="24"/>
        </w:rPr>
        <w:t>MMPI–</w:t>
      </w:r>
      <w:r w:rsidR="00FB4939" w:rsidRPr="00131EC6">
        <w:rPr>
          <w:rFonts w:ascii="Times New Roman" w:hAnsi="Times New Roman" w:cs="Times New Roman"/>
          <w:i/>
          <w:sz w:val="24"/>
          <w:szCs w:val="24"/>
        </w:rPr>
        <w:t>202</w:t>
      </w:r>
      <w:r w:rsidR="00FB4939">
        <w:rPr>
          <w:rFonts w:ascii="Times New Roman" w:hAnsi="Times New Roman" w:cs="Times New Roman"/>
          <w:sz w:val="24"/>
          <w:szCs w:val="24"/>
        </w:rPr>
        <w:t xml:space="preserve"> u razlikovanju ispitanika iz grupa ispitanika koji su pokušali i onih koji nisu pokušali suicid. </w:t>
      </w:r>
    </w:p>
    <w:p w:rsidR="001603E7" w:rsidRDefault="001603E7" w:rsidP="001603E7">
      <w:pPr>
        <w:spacing w:after="0" w:line="480" w:lineRule="auto"/>
        <w:jc w:val="both"/>
        <w:rPr>
          <w:rFonts w:ascii="Times New Roman" w:hAnsi="Times New Roman" w:cs="Times New Roman"/>
          <w:sz w:val="24"/>
          <w:szCs w:val="24"/>
        </w:rPr>
      </w:pPr>
    </w:p>
    <w:p w:rsidR="001603E7" w:rsidRPr="00131EC6" w:rsidRDefault="001603E7" w:rsidP="001603E7">
      <w:pPr>
        <w:spacing w:after="0" w:line="480" w:lineRule="auto"/>
        <w:jc w:val="both"/>
        <w:rPr>
          <w:rFonts w:ascii="Times New Roman" w:hAnsi="Times New Roman" w:cs="Times New Roman"/>
          <w:b/>
          <w:sz w:val="24"/>
          <w:szCs w:val="24"/>
        </w:rPr>
      </w:pPr>
      <w:r w:rsidRPr="00131EC6">
        <w:rPr>
          <w:rFonts w:ascii="Times New Roman" w:hAnsi="Times New Roman" w:cs="Times New Roman"/>
          <w:b/>
          <w:sz w:val="24"/>
          <w:szCs w:val="24"/>
        </w:rPr>
        <w:lastRenderedPageBreak/>
        <w:t>Rezultati</w:t>
      </w:r>
    </w:p>
    <w:p w:rsidR="001603E7" w:rsidRDefault="001603E7" w:rsidP="001603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Rezultati istraživanja će biti predstavljeni prema redosledu </w:t>
      </w:r>
      <w:r w:rsidR="00FA5AB1">
        <w:rPr>
          <w:rFonts w:ascii="Times New Roman" w:hAnsi="Times New Roman" w:cs="Times New Roman"/>
          <w:sz w:val="24"/>
          <w:szCs w:val="24"/>
        </w:rPr>
        <w:t>obavljenih statističkih analiza.</w:t>
      </w:r>
    </w:p>
    <w:p w:rsidR="001603E7" w:rsidRDefault="001603E7" w:rsidP="001603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 Ocenjiva</w:t>
      </w:r>
      <w:r w:rsidR="00131EC6">
        <w:rPr>
          <w:rFonts w:ascii="Times New Roman" w:hAnsi="Times New Roman" w:cs="Times New Roman"/>
          <w:sz w:val="24"/>
          <w:szCs w:val="24"/>
        </w:rPr>
        <w:t xml:space="preserve">njem </w:t>
      </w:r>
      <w:r w:rsidR="00131EC6" w:rsidRPr="00131EC6">
        <w:rPr>
          <w:rFonts w:ascii="Times New Roman" w:hAnsi="Times New Roman" w:cs="Times New Roman"/>
          <w:i/>
          <w:sz w:val="24"/>
          <w:szCs w:val="24"/>
        </w:rPr>
        <w:t>MMPI-202</w:t>
      </w:r>
      <w:r w:rsidR="00131EC6">
        <w:rPr>
          <w:rFonts w:ascii="Times New Roman" w:hAnsi="Times New Roman" w:cs="Times New Roman"/>
          <w:sz w:val="24"/>
          <w:szCs w:val="24"/>
        </w:rPr>
        <w:t xml:space="preserve"> testa utvrđeno je da 8</w:t>
      </w:r>
      <w:r>
        <w:rPr>
          <w:rFonts w:ascii="Times New Roman" w:hAnsi="Times New Roman" w:cs="Times New Roman"/>
          <w:sz w:val="24"/>
          <w:szCs w:val="24"/>
        </w:rPr>
        <w:t xml:space="preserve"> protokola nevalidno (simulativni i disumulativni profili), odnosno irelevantno za kliničku interpretaciju. S toga, obrađivani uzorak iznosi 23 osobe.</w:t>
      </w:r>
      <w:r w:rsidR="005F2F34">
        <w:rPr>
          <w:rFonts w:ascii="Times New Roman" w:hAnsi="Times New Roman" w:cs="Times New Roman"/>
          <w:sz w:val="24"/>
          <w:szCs w:val="24"/>
        </w:rPr>
        <w:t xml:space="preserve"> </w:t>
      </w:r>
      <w:r>
        <w:rPr>
          <w:rFonts w:ascii="Times New Roman" w:hAnsi="Times New Roman" w:cs="Times New Roman"/>
          <w:sz w:val="24"/>
          <w:szCs w:val="24"/>
        </w:rPr>
        <w:t xml:space="preserve">Od toga su 14 žena (7 pokušale </w:t>
      </w:r>
      <w:r w:rsidR="00CC7ECB">
        <w:rPr>
          <w:rFonts w:ascii="Times New Roman" w:hAnsi="Times New Roman" w:cs="Times New Roman"/>
          <w:sz w:val="24"/>
          <w:szCs w:val="24"/>
        </w:rPr>
        <w:t xml:space="preserve">suicide i </w:t>
      </w:r>
      <w:r w:rsidR="005F2F34">
        <w:rPr>
          <w:rFonts w:ascii="Times New Roman" w:hAnsi="Times New Roman" w:cs="Times New Roman"/>
          <w:sz w:val="24"/>
          <w:szCs w:val="24"/>
        </w:rPr>
        <w:t>7</w:t>
      </w:r>
      <w:r w:rsidR="00CC7ECB">
        <w:rPr>
          <w:rFonts w:ascii="Times New Roman" w:hAnsi="Times New Roman" w:cs="Times New Roman"/>
          <w:sz w:val="24"/>
          <w:szCs w:val="24"/>
        </w:rPr>
        <w:t xml:space="preserve"> koje nisu</w:t>
      </w:r>
      <w:r>
        <w:rPr>
          <w:rFonts w:ascii="Times New Roman" w:hAnsi="Times New Roman" w:cs="Times New Roman"/>
          <w:sz w:val="24"/>
          <w:szCs w:val="24"/>
        </w:rPr>
        <w:t xml:space="preserve">) i 9 muškaraca (4 pokušali </w:t>
      </w:r>
      <w:r w:rsidR="00CC7ECB">
        <w:rPr>
          <w:rFonts w:ascii="Times New Roman" w:hAnsi="Times New Roman" w:cs="Times New Roman"/>
          <w:sz w:val="24"/>
          <w:szCs w:val="24"/>
        </w:rPr>
        <w:t>suicid i 5 koji nisu</w:t>
      </w:r>
      <w:r>
        <w:rPr>
          <w:rFonts w:ascii="Times New Roman" w:hAnsi="Times New Roman" w:cs="Times New Roman"/>
          <w:sz w:val="24"/>
          <w:szCs w:val="24"/>
        </w:rPr>
        <w:t>)</w:t>
      </w:r>
      <w:r w:rsidR="00F22BDE">
        <w:rPr>
          <w:rFonts w:ascii="Times New Roman" w:hAnsi="Times New Roman" w:cs="Times New Roman"/>
          <w:sz w:val="24"/>
          <w:szCs w:val="24"/>
        </w:rPr>
        <w:t xml:space="preserve"> (Prilog </w:t>
      </w:r>
      <w:r w:rsidR="005F4504">
        <w:rPr>
          <w:rFonts w:ascii="Times New Roman" w:hAnsi="Times New Roman" w:cs="Times New Roman"/>
          <w:sz w:val="24"/>
          <w:szCs w:val="24"/>
        </w:rPr>
        <w:t>I</w:t>
      </w:r>
      <w:r w:rsidR="00F22BDE">
        <w:rPr>
          <w:rFonts w:ascii="Times New Roman" w:hAnsi="Times New Roman" w:cs="Times New Roman"/>
          <w:sz w:val="24"/>
          <w:szCs w:val="24"/>
        </w:rPr>
        <w:t>)</w:t>
      </w:r>
      <w:r>
        <w:rPr>
          <w:rFonts w:ascii="Times New Roman" w:hAnsi="Times New Roman" w:cs="Times New Roman"/>
          <w:sz w:val="24"/>
          <w:szCs w:val="24"/>
        </w:rPr>
        <w:t>. Prosečan uzrast je 48godina.</w:t>
      </w:r>
      <w:r w:rsidR="00F22BDE">
        <w:rPr>
          <w:rFonts w:ascii="Times New Roman" w:hAnsi="Times New Roman" w:cs="Times New Roman"/>
          <w:sz w:val="24"/>
          <w:szCs w:val="24"/>
        </w:rPr>
        <w:t xml:space="preserve"> Distribucije na skalama </w:t>
      </w:r>
      <w:r w:rsidR="00F22BDE" w:rsidRPr="00CC7ECB">
        <w:rPr>
          <w:rFonts w:ascii="Times New Roman" w:hAnsi="Times New Roman" w:cs="Times New Roman"/>
          <w:i/>
          <w:sz w:val="24"/>
          <w:szCs w:val="24"/>
        </w:rPr>
        <w:t>MMPI</w:t>
      </w:r>
      <w:r w:rsidR="00CC7ECB">
        <w:rPr>
          <w:rFonts w:ascii="Times New Roman" w:hAnsi="Times New Roman" w:cs="Times New Roman"/>
          <w:i/>
          <w:sz w:val="24"/>
          <w:szCs w:val="24"/>
        </w:rPr>
        <w:t>-202</w:t>
      </w:r>
      <w:r w:rsidR="005F2F34">
        <w:rPr>
          <w:rFonts w:ascii="Times New Roman" w:hAnsi="Times New Roman" w:cs="Times New Roman"/>
          <w:i/>
          <w:sz w:val="24"/>
          <w:szCs w:val="24"/>
        </w:rPr>
        <w:t xml:space="preserve"> </w:t>
      </w:r>
      <w:r w:rsidR="00F22BDE">
        <w:rPr>
          <w:rFonts w:ascii="Times New Roman" w:hAnsi="Times New Roman" w:cs="Times New Roman"/>
          <w:sz w:val="24"/>
          <w:szCs w:val="24"/>
        </w:rPr>
        <w:t xml:space="preserve">i </w:t>
      </w:r>
      <w:r w:rsidR="00F22BDE" w:rsidRPr="00CC7ECB">
        <w:rPr>
          <w:rFonts w:ascii="Times New Roman" w:hAnsi="Times New Roman" w:cs="Times New Roman"/>
          <w:i/>
          <w:sz w:val="24"/>
          <w:szCs w:val="24"/>
        </w:rPr>
        <w:t>SBQ-R</w:t>
      </w:r>
      <w:r w:rsidR="00F22BDE">
        <w:rPr>
          <w:rFonts w:ascii="Times New Roman" w:hAnsi="Times New Roman" w:cs="Times New Roman"/>
          <w:sz w:val="24"/>
          <w:szCs w:val="24"/>
        </w:rPr>
        <w:t xml:space="preserve"> su normalne osim subskale Anksioznosti</w:t>
      </w:r>
      <w:r w:rsidR="00CC7ECB">
        <w:rPr>
          <w:rFonts w:ascii="Times New Roman" w:hAnsi="Times New Roman" w:cs="Times New Roman"/>
          <w:sz w:val="24"/>
          <w:szCs w:val="24"/>
        </w:rPr>
        <w:t xml:space="preserve"> (</w:t>
      </w:r>
      <w:r w:rsidR="00CC7ECB" w:rsidRPr="00CC7ECB">
        <w:rPr>
          <w:rFonts w:ascii="Times New Roman" w:hAnsi="Times New Roman" w:cs="Times New Roman"/>
          <w:i/>
          <w:sz w:val="24"/>
          <w:szCs w:val="24"/>
        </w:rPr>
        <w:t>An</w:t>
      </w:r>
      <w:r w:rsidR="00CC7ECB">
        <w:rPr>
          <w:rFonts w:ascii="Times New Roman" w:hAnsi="Times New Roman" w:cs="Times New Roman"/>
          <w:sz w:val="24"/>
          <w:szCs w:val="24"/>
        </w:rPr>
        <w:t>)</w:t>
      </w:r>
      <w:r w:rsidR="005F4504">
        <w:rPr>
          <w:rFonts w:ascii="Times New Roman" w:hAnsi="Times New Roman" w:cs="Times New Roman"/>
          <w:sz w:val="24"/>
          <w:szCs w:val="24"/>
        </w:rPr>
        <w:t xml:space="preserve"> (P</w:t>
      </w:r>
      <w:r w:rsidR="00F22BDE">
        <w:rPr>
          <w:rFonts w:ascii="Times New Roman" w:hAnsi="Times New Roman" w:cs="Times New Roman"/>
          <w:sz w:val="24"/>
          <w:szCs w:val="24"/>
        </w:rPr>
        <w:t xml:space="preserve">rilog </w:t>
      </w:r>
      <w:r w:rsidR="00D30F6D">
        <w:rPr>
          <w:rFonts w:ascii="Times New Roman" w:hAnsi="Times New Roman" w:cs="Times New Roman"/>
          <w:sz w:val="24"/>
          <w:szCs w:val="24"/>
        </w:rPr>
        <w:t>II</w:t>
      </w:r>
      <w:r w:rsidR="00F22BDE">
        <w:rPr>
          <w:rFonts w:ascii="Times New Roman" w:hAnsi="Times New Roman" w:cs="Times New Roman"/>
          <w:sz w:val="24"/>
          <w:szCs w:val="24"/>
        </w:rPr>
        <w:t xml:space="preserve">). </w:t>
      </w:r>
    </w:p>
    <w:p w:rsidR="00F22BDE" w:rsidRPr="00F22BDE" w:rsidRDefault="00F22BDE" w:rsidP="00F22BD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Poveznost između </w:t>
      </w:r>
      <w:r w:rsidRPr="00CC7ECB">
        <w:rPr>
          <w:rFonts w:ascii="Times New Roman" w:hAnsi="Times New Roman" w:cs="Times New Roman"/>
          <w:i/>
          <w:sz w:val="24"/>
          <w:szCs w:val="24"/>
        </w:rPr>
        <w:t>SBQ-R</w:t>
      </w:r>
      <w:r>
        <w:rPr>
          <w:rFonts w:ascii="Times New Roman" w:hAnsi="Times New Roman" w:cs="Times New Roman"/>
          <w:sz w:val="24"/>
          <w:szCs w:val="24"/>
        </w:rPr>
        <w:t xml:space="preserve"> skora i varijabli izolovanih sa </w:t>
      </w:r>
      <w:r w:rsidRPr="00CC7ECB">
        <w:rPr>
          <w:rFonts w:ascii="Times New Roman" w:hAnsi="Times New Roman" w:cs="Times New Roman"/>
          <w:i/>
          <w:sz w:val="24"/>
          <w:szCs w:val="24"/>
        </w:rPr>
        <w:t>MMPI-</w:t>
      </w:r>
      <w:r w:rsidR="00102027">
        <w:rPr>
          <w:rFonts w:ascii="Times New Roman" w:hAnsi="Times New Roman" w:cs="Times New Roman"/>
          <w:i/>
          <w:sz w:val="24"/>
          <w:szCs w:val="24"/>
        </w:rPr>
        <w:t>202</w:t>
      </w:r>
      <w:r>
        <w:rPr>
          <w:rFonts w:ascii="Times New Roman" w:hAnsi="Times New Roman" w:cs="Times New Roman"/>
          <w:sz w:val="24"/>
          <w:szCs w:val="24"/>
        </w:rPr>
        <w:t xml:space="preserve"> pokazana je za sledeće subskale: Shizofrenija</w:t>
      </w:r>
      <w:r w:rsidR="00CC7ECB">
        <w:rPr>
          <w:rFonts w:ascii="Times New Roman" w:hAnsi="Times New Roman" w:cs="Times New Roman"/>
          <w:sz w:val="24"/>
          <w:szCs w:val="24"/>
        </w:rPr>
        <w:t xml:space="preserve"> (</w:t>
      </w:r>
      <w:r w:rsidR="00CC7ECB">
        <w:rPr>
          <w:rFonts w:ascii="Times New Roman" w:hAnsi="Times New Roman" w:cs="Times New Roman"/>
          <w:i/>
          <w:sz w:val="24"/>
          <w:szCs w:val="24"/>
        </w:rPr>
        <w:t>Sc</w:t>
      </w:r>
      <w:r w:rsidR="00CC7ECB">
        <w:rPr>
          <w:rFonts w:ascii="Times New Roman" w:hAnsi="Times New Roman" w:cs="Times New Roman"/>
          <w:sz w:val="24"/>
          <w:szCs w:val="24"/>
        </w:rPr>
        <w:t>)</w:t>
      </w:r>
      <w:r>
        <w:rPr>
          <w:rFonts w:ascii="Times New Roman" w:hAnsi="Times New Roman" w:cs="Times New Roman"/>
          <w:sz w:val="24"/>
          <w:szCs w:val="24"/>
        </w:rPr>
        <w:t xml:space="preserve"> (visoka korelacija, na nivou statističke značajnosti 0.01)</w:t>
      </w:r>
      <w:r w:rsidR="003154C3">
        <w:rPr>
          <w:rFonts w:ascii="Times New Roman" w:hAnsi="Times New Roman" w:cs="Times New Roman"/>
          <w:sz w:val="24"/>
          <w:szCs w:val="24"/>
        </w:rPr>
        <w:t>, Depresija</w:t>
      </w:r>
      <w:r w:rsidR="00CC7ECB">
        <w:rPr>
          <w:rFonts w:ascii="Times New Roman" w:hAnsi="Times New Roman" w:cs="Times New Roman"/>
          <w:sz w:val="24"/>
          <w:szCs w:val="24"/>
        </w:rPr>
        <w:t xml:space="preserve"> (</w:t>
      </w:r>
      <w:r w:rsidR="00CC7ECB" w:rsidRPr="00CC7ECB">
        <w:rPr>
          <w:rFonts w:ascii="Times New Roman" w:hAnsi="Times New Roman" w:cs="Times New Roman"/>
          <w:i/>
          <w:sz w:val="24"/>
          <w:szCs w:val="24"/>
        </w:rPr>
        <w:t>D</w:t>
      </w:r>
      <w:r w:rsidR="00CC7ECB">
        <w:rPr>
          <w:rFonts w:ascii="Times New Roman" w:hAnsi="Times New Roman" w:cs="Times New Roman"/>
          <w:sz w:val="24"/>
          <w:szCs w:val="24"/>
        </w:rPr>
        <w:t>)</w:t>
      </w:r>
      <w:r w:rsidR="003154C3">
        <w:rPr>
          <w:rFonts w:ascii="Times New Roman" w:hAnsi="Times New Roman" w:cs="Times New Roman"/>
          <w:sz w:val="24"/>
          <w:szCs w:val="24"/>
        </w:rPr>
        <w:t>, Psihoasteničnost</w:t>
      </w:r>
      <w:r w:rsidR="00CC7ECB">
        <w:rPr>
          <w:rFonts w:ascii="Times New Roman" w:hAnsi="Times New Roman" w:cs="Times New Roman"/>
          <w:sz w:val="24"/>
          <w:szCs w:val="24"/>
        </w:rPr>
        <w:t xml:space="preserve"> (</w:t>
      </w:r>
      <w:r w:rsidR="00CC7ECB" w:rsidRPr="00CC7ECB">
        <w:rPr>
          <w:rFonts w:ascii="Times New Roman" w:hAnsi="Times New Roman" w:cs="Times New Roman"/>
          <w:i/>
          <w:sz w:val="24"/>
          <w:szCs w:val="24"/>
        </w:rPr>
        <w:t>Pt</w:t>
      </w:r>
      <w:r w:rsidR="00CC7ECB">
        <w:rPr>
          <w:rFonts w:ascii="Times New Roman" w:hAnsi="Times New Roman" w:cs="Times New Roman"/>
          <w:sz w:val="24"/>
          <w:szCs w:val="24"/>
        </w:rPr>
        <w:t>)</w:t>
      </w:r>
      <w:r w:rsidR="003154C3">
        <w:rPr>
          <w:rFonts w:ascii="Times New Roman" w:hAnsi="Times New Roman" w:cs="Times New Roman"/>
          <w:sz w:val="24"/>
          <w:szCs w:val="24"/>
        </w:rPr>
        <w:t>, Paranoja</w:t>
      </w:r>
      <w:r w:rsidR="00CC7ECB">
        <w:rPr>
          <w:rFonts w:ascii="Times New Roman" w:hAnsi="Times New Roman" w:cs="Times New Roman"/>
          <w:sz w:val="24"/>
          <w:szCs w:val="24"/>
        </w:rPr>
        <w:t xml:space="preserve"> (</w:t>
      </w:r>
      <w:r w:rsidR="00CC7ECB" w:rsidRPr="00CC7ECB">
        <w:rPr>
          <w:rFonts w:ascii="Times New Roman" w:hAnsi="Times New Roman" w:cs="Times New Roman"/>
          <w:i/>
          <w:sz w:val="24"/>
          <w:szCs w:val="24"/>
        </w:rPr>
        <w:t>Pa</w:t>
      </w:r>
      <w:r w:rsidR="00CC7ECB">
        <w:rPr>
          <w:rFonts w:ascii="Times New Roman" w:hAnsi="Times New Roman" w:cs="Times New Roman"/>
          <w:sz w:val="24"/>
          <w:szCs w:val="24"/>
        </w:rPr>
        <w:t>)</w:t>
      </w:r>
      <w:r w:rsidR="003154C3">
        <w:rPr>
          <w:rFonts w:ascii="Times New Roman" w:hAnsi="Times New Roman" w:cs="Times New Roman"/>
          <w:sz w:val="24"/>
          <w:szCs w:val="24"/>
        </w:rPr>
        <w:t xml:space="preserve">, Kritični ajtemi </w:t>
      </w:r>
      <w:r w:rsidR="00CC7ECB">
        <w:rPr>
          <w:rFonts w:ascii="Times New Roman" w:hAnsi="Times New Roman" w:cs="Times New Roman"/>
          <w:sz w:val="24"/>
          <w:szCs w:val="24"/>
        </w:rPr>
        <w:t>(</w:t>
      </w:r>
      <w:r w:rsidR="00CC7ECB" w:rsidRPr="00CC7ECB">
        <w:rPr>
          <w:rFonts w:ascii="Times New Roman" w:hAnsi="Times New Roman" w:cs="Times New Roman"/>
          <w:i/>
          <w:sz w:val="24"/>
          <w:szCs w:val="24"/>
        </w:rPr>
        <w:t>Ci</w:t>
      </w:r>
      <w:r w:rsidR="00CC7ECB">
        <w:rPr>
          <w:rFonts w:ascii="Times New Roman" w:hAnsi="Times New Roman" w:cs="Times New Roman"/>
          <w:sz w:val="24"/>
          <w:szCs w:val="24"/>
        </w:rPr>
        <w:t xml:space="preserve">) </w:t>
      </w:r>
      <w:r w:rsidR="003154C3">
        <w:rPr>
          <w:rFonts w:ascii="Times New Roman" w:hAnsi="Times New Roman" w:cs="Times New Roman"/>
          <w:sz w:val="24"/>
          <w:szCs w:val="24"/>
        </w:rPr>
        <w:t>(umerena korelacija, nivo značajnosti 0.01), Psihopatska devijacija</w:t>
      </w:r>
      <w:r w:rsidR="00CC7ECB">
        <w:rPr>
          <w:rFonts w:ascii="Times New Roman" w:hAnsi="Times New Roman" w:cs="Times New Roman"/>
          <w:sz w:val="24"/>
          <w:szCs w:val="24"/>
        </w:rPr>
        <w:t xml:space="preserve"> (</w:t>
      </w:r>
      <w:r w:rsidR="00CC7ECB" w:rsidRPr="00CC7ECB">
        <w:rPr>
          <w:rFonts w:ascii="Times New Roman" w:hAnsi="Times New Roman" w:cs="Times New Roman"/>
          <w:i/>
          <w:sz w:val="24"/>
          <w:szCs w:val="24"/>
        </w:rPr>
        <w:t>Pd</w:t>
      </w:r>
      <w:r w:rsidR="00CC7ECB">
        <w:rPr>
          <w:rFonts w:ascii="Times New Roman" w:hAnsi="Times New Roman" w:cs="Times New Roman"/>
          <w:sz w:val="24"/>
          <w:szCs w:val="24"/>
        </w:rPr>
        <w:t>)</w:t>
      </w:r>
      <w:r w:rsidR="003154C3">
        <w:rPr>
          <w:rFonts w:ascii="Times New Roman" w:hAnsi="Times New Roman" w:cs="Times New Roman"/>
          <w:sz w:val="24"/>
          <w:szCs w:val="24"/>
        </w:rPr>
        <w:t>, Socijalna inkompatibilnost</w:t>
      </w:r>
      <w:r w:rsidR="00CC7ECB">
        <w:rPr>
          <w:rFonts w:ascii="Times New Roman" w:hAnsi="Times New Roman" w:cs="Times New Roman"/>
          <w:sz w:val="24"/>
          <w:szCs w:val="24"/>
        </w:rPr>
        <w:t xml:space="preserve"> (</w:t>
      </w:r>
      <w:r w:rsidR="00CC7ECB" w:rsidRPr="00CC7ECB">
        <w:rPr>
          <w:rFonts w:ascii="Times New Roman" w:hAnsi="Times New Roman" w:cs="Times New Roman"/>
          <w:i/>
          <w:sz w:val="24"/>
          <w:szCs w:val="24"/>
        </w:rPr>
        <w:t>Si</w:t>
      </w:r>
      <w:r w:rsidR="00CC7ECB">
        <w:rPr>
          <w:rFonts w:ascii="Times New Roman" w:hAnsi="Times New Roman" w:cs="Times New Roman"/>
          <w:sz w:val="24"/>
          <w:szCs w:val="24"/>
        </w:rPr>
        <w:t>)</w:t>
      </w:r>
      <w:r w:rsidR="003154C3">
        <w:rPr>
          <w:rFonts w:ascii="Times New Roman" w:hAnsi="Times New Roman" w:cs="Times New Roman"/>
          <w:sz w:val="24"/>
          <w:szCs w:val="24"/>
        </w:rPr>
        <w:t xml:space="preserve"> i Anksioznost </w:t>
      </w:r>
      <w:r w:rsidR="00CC7ECB">
        <w:rPr>
          <w:rFonts w:ascii="Times New Roman" w:hAnsi="Times New Roman" w:cs="Times New Roman"/>
          <w:sz w:val="24"/>
          <w:szCs w:val="24"/>
        </w:rPr>
        <w:t>(</w:t>
      </w:r>
      <w:r w:rsidR="00CC7ECB" w:rsidRPr="00CC7ECB">
        <w:rPr>
          <w:rFonts w:ascii="Times New Roman" w:hAnsi="Times New Roman" w:cs="Times New Roman"/>
          <w:i/>
          <w:sz w:val="24"/>
          <w:szCs w:val="24"/>
        </w:rPr>
        <w:t>An</w:t>
      </w:r>
      <w:r w:rsidR="00CC7ECB">
        <w:rPr>
          <w:rFonts w:ascii="Times New Roman" w:hAnsi="Times New Roman" w:cs="Times New Roman"/>
          <w:sz w:val="24"/>
          <w:szCs w:val="24"/>
        </w:rPr>
        <w:t xml:space="preserve">) </w:t>
      </w:r>
      <w:r w:rsidR="003154C3">
        <w:rPr>
          <w:rFonts w:ascii="Times New Roman" w:hAnsi="Times New Roman" w:cs="Times New Roman"/>
          <w:sz w:val="24"/>
          <w:szCs w:val="24"/>
        </w:rPr>
        <w:t>(umerena korelacija, nivo značajnosti 0.05)</w:t>
      </w:r>
      <w:r w:rsidR="00CC7ECB">
        <w:rPr>
          <w:rFonts w:ascii="Times New Roman" w:hAnsi="Times New Roman" w:cs="Times New Roman"/>
          <w:sz w:val="24"/>
          <w:szCs w:val="24"/>
        </w:rPr>
        <w:t>.</w:t>
      </w:r>
      <w:r w:rsidR="00724C17">
        <w:rPr>
          <w:rFonts w:ascii="Times New Roman" w:hAnsi="Times New Roman" w:cs="Times New Roman"/>
          <w:sz w:val="24"/>
          <w:szCs w:val="24"/>
        </w:rPr>
        <w:t xml:space="preserve"> Skor sa </w:t>
      </w:r>
      <w:r w:rsidR="00724C17" w:rsidRPr="00724C17">
        <w:rPr>
          <w:rFonts w:ascii="Times New Roman" w:hAnsi="Times New Roman" w:cs="Times New Roman"/>
          <w:i/>
          <w:sz w:val="24"/>
          <w:szCs w:val="24"/>
        </w:rPr>
        <w:t>HAM-D</w:t>
      </w:r>
      <w:r w:rsidR="00730338">
        <w:rPr>
          <w:rFonts w:ascii="Times New Roman" w:hAnsi="Times New Roman" w:cs="Times New Roman"/>
          <w:sz w:val="24"/>
          <w:szCs w:val="24"/>
        </w:rPr>
        <w:t xml:space="preserve"> </w:t>
      </w:r>
      <w:r w:rsidR="00724C17">
        <w:rPr>
          <w:rFonts w:ascii="Times New Roman" w:hAnsi="Times New Roman" w:cs="Times New Roman"/>
          <w:sz w:val="24"/>
          <w:szCs w:val="24"/>
        </w:rPr>
        <w:t xml:space="preserve">ne korelira na značajnom nivou sa skorom </w:t>
      </w:r>
      <w:r w:rsidR="00724C17" w:rsidRPr="00724C17">
        <w:rPr>
          <w:rFonts w:ascii="Times New Roman" w:hAnsi="Times New Roman" w:cs="Times New Roman"/>
          <w:i/>
          <w:sz w:val="24"/>
          <w:szCs w:val="24"/>
        </w:rPr>
        <w:t>SBQ-R.</w:t>
      </w:r>
      <w:r w:rsidR="00724C17">
        <w:rPr>
          <w:rFonts w:ascii="Times New Roman" w:hAnsi="Times New Roman" w:cs="Times New Roman"/>
          <w:sz w:val="24"/>
          <w:szCs w:val="24"/>
        </w:rPr>
        <w:t xml:space="preserve"> </w:t>
      </w:r>
      <w:r w:rsidR="00730338">
        <w:rPr>
          <w:rFonts w:ascii="Times New Roman" w:hAnsi="Times New Roman" w:cs="Times New Roman"/>
          <w:sz w:val="24"/>
          <w:szCs w:val="24"/>
        </w:rPr>
        <w:t>(Prilog II</w:t>
      </w:r>
      <w:r w:rsidR="00D30F6D">
        <w:rPr>
          <w:rFonts w:ascii="Times New Roman" w:hAnsi="Times New Roman" w:cs="Times New Roman"/>
          <w:sz w:val="24"/>
          <w:szCs w:val="24"/>
        </w:rPr>
        <w:t>I)</w:t>
      </w:r>
      <w:r w:rsidR="00730338">
        <w:rPr>
          <w:rFonts w:ascii="Times New Roman" w:hAnsi="Times New Roman" w:cs="Times New Roman"/>
          <w:sz w:val="24"/>
          <w:szCs w:val="24"/>
        </w:rPr>
        <w:t xml:space="preserve"> 3</w:t>
      </w:r>
      <w:r w:rsidR="003154C3">
        <w:rPr>
          <w:rFonts w:ascii="Times New Roman" w:hAnsi="Times New Roman" w:cs="Times New Roman"/>
          <w:sz w:val="24"/>
          <w:szCs w:val="24"/>
        </w:rPr>
        <w:t>)</w:t>
      </w:r>
      <w:r w:rsidRPr="00F22BDE">
        <w:rPr>
          <w:rFonts w:ascii="Times New Roman" w:hAnsi="Times New Roman" w:cs="Times New Roman"/>
          <w:sz w:val="24"/>
          <w:szCs w:val="24"/>
        </w:rPr>
        <w:t>.</w:t>
      </w:r>
      <w:r w:rsidR="00380737">
        <w:rPr>
          <w:rFonts w:ascii="Times New Roman" w:hAnsi="Times New Roman" w:cs="Times New Roman"/>
          <w:sz w:val="24"/>
          <w:szCs w:val="24"/>
        </w:rPr>
        <w:t xml:space="preserve"> U odnosu standardnih kliničkih</w:t>
      </w:r>
      <w:r w:rsidR="000B048F">
        <w:rPr>
          <w:rFonts w:ascii="Times New Roman" w:hAnsi="Times New Roman" w:cs="Times New Roman"/>
          <w:sz w:val="24"/>
          <w:szCs w:val="24"/>
        </w:rPr>
        <w:t xml:space="preserve"> varijabli </w:t>
      </w:r>
      <w:r w:rsidR="00AD22E6">
        <w:rPr>
          <w:rFonts w:ascii="Times New Roman" w:hAnsi="Times New Roman" w:cs="Times New Roman"/>
          <w:sz w:val="24"/>
          <w:szCs w:val="24"/>
        </w:rPr>
        <w:t xml:space="preserve">i sociodemografskih varijabli </w:t>
      </w:r>
      <w:r w:rsidR="000B048F">
        <w:rPr>
          <w:rFonts w:ascii="Times New Roman" w:hAnsi="Times New Roman" w:cs="Times New Roman"/>
          <w:sz w:val="24"/>
          <w:szCs w:val="24"/>
        </w:rPr>
        <w:t xml:space="preserve">i suicidalnosti dobijena </w:t>
      </w:r>
      <w:r w:rsidR="00553672">
        <w:rPr>
          <w:rFonts w:ascii="Times New Roman" w:hAnsi="Times New Roman" w:cs="Times New Roman"/>
          <w:sz w:val="24"/>
          <w:szCs w:val="24"/>
        </w:rPr>
        <w:t xml:space="preserve">je </w:t>
      </w:r>
      <w:r w:rsidR="000B048F">
        <w:rPr>
          <w:rFonts w:ascii="Times New Roman" w:hAnsi="Times New Roman" w:cs="Times New Roman"/>
          <w:sz w:val="24"/>
          <w:szCs w:val="24"/>
        </w:rPr>
        <w:t>visoka pozitivna korelacija između broja hospitalizacija i SBQ</w:t>
      </w:r>
      <w:r w:rsidR="00AD22E6">
        <w:rPr>
          <w:rFonts w:ascii="Times New Roman" w:hAnsi="Times New Roman" w:cs="Times New Roman"/>
          <w:sz w:val="24"/>
          <w:szCs w:val="24"/>
        </w:rPr>
        <w:t>-R</w:t>
      </w:r>
      <w:r w:rsidR="00553672">
        <w:rPr>
          <w:rFonts w:ascii="Times New Roman" w:hAnsi="Times New Roman" w:cs="Times New Roman"/>
          <w:sz w:val="24"/>
          <w:szCs w:val="24"/>
        </w:rPr>
        <w:t xml:space="preserve"> skora</w:t>
      </w:r>
      <w:r w:rsidR="000B048F">
        <w:rPr>
          <w:rFonts w:ascii="Times New Roman" w:hAnsi="Times New Roman" w:cs="Times New Roman"/>
          <w:sz w:val="24"/>
          <w:szCs w:val="24"/>
        </w:rPr>
        <w:t xml:space="preserve"> (nivo značajnosti, 0.01)</w:t>
      </w:r>
      <w:r w:rsidR="00CE757C">
        <w:rPr>
          <w:rFonts w:ascii="Times New Roman" w:hAnsi="Times New Roman" w:cs="Times New Roman"/>
          <w:sz w:val="24"/>
          <w:szCs w:val="24"/>
        </w:rPr>
        <w:t xml:space="preserve"> (Prilog </w:t>
      </w:r>
      <w:r w:rsidR="00D30F6D">
        <w:rPr>
          <w:rFonts w:ascii="Times New Roman" w:hAnsi="Times New Roman" w:cs="Times New Roman"/>
          <w:sz w:val="24"/>
          <w:szCs w:val="24"/>
        </w:rPr>
        <w:t>IV</w:t>
      </w:r>
      <w:r w:rsidR="00CE757C">
        <w:rPr>
          <w:rFonts w:ascii="Times New Roman" w:hAnsi="Times New Roman" w:cs="Times New Roman"/>
          <w:sz w:val="24"/>
          <w:szCs w:val="24"/>
        </w:rPr>
        <w:t>)</w:t>
      </w:r>
      <w:r w:rsidR="000B048F">
        <w:rPr>
          <w:rFonts w:ascii="Times New Roman" w:hAnsi="Times New Roman" w:cs="Times New Roman"/>
          <w:sz w:val="24"/>
          <w:szCs w:val="24"/>
        </w:rPr>
        <w:t>. Takođe, izdvojene su umerene korelacije dve kliničke varijable sa kategorijalom varijablom prethodnih pokušaja suicida: dužina lečenja i broj hospitilazacija</w:t>
      </w:r>
      <w:r w:rsidR="00CE757C">
        <w:rPr>
          <w:rFonts w:ascii="Times New Roman" w:hAnsi="Times New Roman" w:cs="Times New Roman"/>
          <w:sz w:val="24"/>
          <w:szCs w:val="24"/>
        </w:rPr>
        <w:t xml:space="preserve"> (nivo značajnosti, 0.05) (Prilog </w:t>
      </w:r>
      <w:r w:rsidR="00D30F6D">
        <w:rPr>
          <w:rFonts w:ascii="Times New Roman" w:hAnsi="Times New Roman" w:cs="Times New Roman"/>
          <w:sz w:val="24"/>
          <w:szCs w:val="24"/>
        </w:rPr>
        <w:t>V</w:t>
      </w:r>
      <w:r w:rsidR="00CE757C">
        <w:rPr>
          <w:rFonts w:ascii="Times New Roman" w:hAnsi="Times New Roman" w:cs="Times New Roman"/>
          <w:sz w:val="24"/>
          <w:szCs w:val="24"/>
        </w:rPr>
        <w:t>)</w:t>
      </w:r>
      <w:r w:rsidR="000B048F">
        <w:rPr>
          <w:rFonts w:ascii="Times New Roman" w:hAnsi="Times New Roman" w:cs="Times New Roman"/>
          <w:sz w:val="24"/>
          <w:szCs w:val="24"/>
        </w:rPr>
        <w:t xml:space="preserve">. </w:t>
      </w:r>
      <w:r w:rsidR="00FA5AB1">
        <w:rPr>
          <w:rFonts w:ascii="Times New Roman" w:hAnsi="Times New Roman" w:cs="Times New Roman"/>
          <w:sz w:val="24"/>
          <w:szCs w:val="24"/>
        </w:rPr>
        <w:t xml:space="preserve">Za varijable uzrast, bračni status, broj dece, stepen obrazovanja, pušenje, </w:t>
      </w:r>
      <w:r w:rsidR="00335D3F">
        <w:rPr>
          <w:rFonts w:ascii="Times New Roman" w:hAnsi="Times New Roman" w:cs="Times New Roman"/>
          <w:sz w:val="24"/>
          <w:szCs w:val="24"/>
        </w:rPr>
        <w:t>zloupotreba alkohola i psihoaktivnih suspstanci, vreme nastanka prvih tegoba i heriditet nisu dobijene značajne povezanosti.</w:t>
      </w:r>
    </w:p>
    <w:p w:rsidR="00F22BDE" w:rsidRDefault="003154C3" w:rsidP="001603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3) Regresionom analizom jedino se subskala Depresije</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D</w:t>
      </w:r>
      <w:r w:rsidR="00102027">
        <w:rPr>
          <w:rFonts w:ascii="Times New Roman" w:hAnsi="Times New Roman" w:cs="Times New Roman"/>
          <w:sz w:val="24"/>
          <w:szCs w:val="24"/>
        </w:rPr>
        <w:t>)</w:t>
      </w:r>
      <w:r>
        <w:rPr>
          <w:rFonts w:ascii="Times New Roman" w:hAnsi="Times New Roman" w:cs="Times New Roman"/>
          <w:sz w:val="24"/>
          <w:szCs w:val="24"/>
        </w:rPr>
        <w:t xml:space="preserve"> izdvaja kao pouzdan i statistički značajan prediktor SBQ-R skora. Pa tako, iako su dobijene statistički značajne korelacije i za druge skale, možemo tvrditi da</w:t>
      </w:r>
      <w:r w:rsidR="00196E03">
        <w:rPr>
          <w:rFonts w:ascii="Times New Roman" w:hAnsi="Times New Roman" w:cs="Times New Roman"/>
          <w:sz w:val="24"/>
          <w:szCs w:val="24"/>
        </w:rPr>
        <w:t xml:space="preserve"> upravo odnosom koji ostvaraju d</w:t>
      </w:r>
      <w:r>
        <w:rPr>
          <w:rFonts w:ascii="Times New Roman" w:hAnsi="Times New Roman" w:cs="Times New Roman"/>
          <w:sz w:val="24"/>
          <w:szCs w:val="24"/>
        </w:rPr>
        <w:t xml:space="preserve">epresivnost i </w:t>
      </w:r>
      <w:r w:rsidR="00196E03">
        <w:rPr>
          <w:rFonts w:ascii="Times New Roman" w:hAnsi="Times New Roman" w:cs="Times New Roman"/>
          <w:sz w:val="24"/>
          <w:szCs w:val="24"/>
        </w:rPr>
        <w:lastRenderedPageBreak/>
        <w:t>suicidalnost</w:t>
      </w:r>
      <w:r>
        <w:rPr>
          <w:rFonts w:ascii="Times New Roman" w:hAnsi="Times New Roman" w:cs="Times New Roman"/>
          <w:sz w:val="24"/>
          <w:szCs w:val="24"/>
        </w:rPr>
        <w:t xml:space="preserve"> mogu biti objašnjene </w:t>
      </w:r>
      <w:r w:rsidR="00941B2C">
        <w:rPr>
          <w:rFonts w:ascii="Times New Roman" w:hAnsi="Times New Roman" w:cs="Times New Roman"/>
          <w:sz w:val="24"/>
          <w:szCs w:val="24"/>
        </w:rPr>
        <w:t xml:space="preserve">ostale </w:t>
      </w:r>
      <w:r>
        <w:rPr>
          <w:rFonts w:ascii="Times New Roman" w:hAnsi="Times New Roman" w:cs="Times New Roman"/>
          <w:sz w:val="24"/>
          <w:szCs w:val="24"/>
        </w:rPr>
        <w:t>povezanosti</w:t>
      </w:r>
      <w:r w:rsidR="00941B2C">
        <w:rPr>
          <w:rFonts w:ascii="Times New Roman" w:hAnsi="Times New Roman" w:cs="Times New Roman"/>
          <w:sz w:val="24"/>
          <w:szCs w:val="24"/>
        </w:rPr>
        <w:t xml:space="preserve"> dobijene</w:t>
      </w:r>
      <w:r>
        <w:rPr>
          <w:rFonts w:ascii="Times New Roman" w:hAnsi="Times New Roman" w:cs="Times New Roman"/>
          <w:sz w:val="24"/>
          <w:szCs w:val="24"/>
        </w:rPr>
        <w:t xml:space="preserve"> između psihopatoloških karakteristika i </w:t>
      </w:r>
      <w:r w:rsidR="00196E03">
        <w:rPr>
          <w:rFonts w:ascii="Times New Roman" w:hAnsi="Times New Roman" w:cs="Times New Roman"/>
          <w:sz w:val="24"/>
          <w:szCs w:val="24"/>
        </w:rPr>
        <w:t>suicidalnosti</w:t>
      </w:r>
      <w:r w:rsidR="005F4504">
        <w:rPr>
          <w:rFonts w:ascii="Times New Roman" w:hAnsi="Times New Roman" w:cs="Times New Roman"/>
          <w:sz w:val="24"/>
          <w:szCs w:val="24"/>
        </w:rPr>
        <w:t xml:space="preserve"> (Prilog </w:t>
      </w:r>
      <w:r w:rsidR="00D30F6D">
        <w:rPr>
          <w:rFonts w:ascii="Times New Roman" w:hAnsi="Times New Roman" w:cs="Times New Roman"/>
          <w:sz w:val="24"/>
          <w:szCs w:val="24"/>
        </w:rPr>
        <w:t>VI</w:t>
      </w:r>
      <w:r w:rsidR="005F4504">
        <w:rPr>
          <w:rFonts w:ascii="Times New Roman" w:hAnsi="Times New Roman" w:cs="Times New Roman"/>
          <w:sz w:val="24"/>
          <w:szCs w:val="24"/>
        </w:rPr>
        <w:t>)</w:t>
      </w:r>
      <w:r>
        <w:rPr>
          <w:rFonts w:ascii="Times New Roman" w:hAnsi="Times New Roman" w:cs="Times New Roman"/>
          <w:sz w:val="24"/>
          <w:szCs w:val="24"/>
        </w:rPr>
        <w:t>.</w:t>
      </w:r>
    </w:p>
    <w:p w:rsidR="003154C3" w:rsidRDefault="003154C3" w:rsidP="001603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Poređenjem srednjih vrednosti subskala </w:t>
      </w:r>
      <w:r w:rsidR="00941B2C">
        <w:rPr>
          <w:rFonts w:ascii="Times New Roman" w:hAnsi="Times New Roman" w:cs="Times New Roman"/>
          <w:sz w:val="24"/>
          <w:szCs w:val="24"/>
        </w:rPr>
        <w:t xml:space="preserve">ne može se izdvojiti ni jedna koja na statistički značajnom nivou razlikuje grupe ispitanika koji su pokušali i koji nisu pokušali </w:t>
      </w:r>
      <w:r w:rsidR="005F4504">
        <w:rPr>
          <w:rFonts w:ascii="Times New Roman" w:hAnsi="Times New Roman" w:cs="Times New Roman"/>
          <w:sz w:val="24"/>
          <w:szCs w:val="24"/>
        </w:rPr>
        <w:t>suicid (</w:t>
      </w:r>
      <w:r w:rsidR="00D30F6D">
        <w:rPr>
          <w:rFonts w:ascii="Times New Roman" w:hAnsi="Times New Roman" w:cs="Times New Roman"/>
          <w:sz w:val="24"/>
          <w:szCs w:val="24"/>
        </w:rPr>
        <w:t>Prilog VII</w:t>
      </w:r>
      <w:r w:rsidR="00941B2C">
        <w:rPr>
          <w:rFonts w:ascii="Times New Roman" w:hAnsi="Times New Roman" w:cs="Times New Roman"/>
          <w:sz w:val="24"/>
          <w:szCs w:val="24"/>
        </w:rPr>
        <w:t>). Ipak, primetan je trend razlikov</w:t>
      </w:r>
      <w:r w:rsidR="00102027">
        <w:rPr>
          <w:rFonts w:ascii="Times New Roman" w:hAnsi="Times New Roman" w:cs="Times New Roman"/>
          <w:sz w:val="24"/>
          <w:szCs w:val="24"/>
        </w:rPr>
        <w:t xml:space="preserve">anja grupa po datim subskalama, </w:t>
      </w:r>
      <w:r w:rsidR="00941B2C">
        <w:rPr>
          <w:rFonts w:ascii="Times New Roman" w:hAnsi="Times New Roman" w:cs="Times New Roman"/>
          <w:sz w:val="24"/>
          <w:szCs w:val="24"/>
        </w:rPr>
        <w:t>posebno za Psihopatsku devijaciju</w:t>
      </w:r>
      <w:r w:rsidR="00102027">
        <w:rPr>
          <w:rFonts w:ascii="Times New Roman" w:hAnsi="Times New Roman" w:cs="Times New Roman"/>
          <w:sz w:val="24"/>
          <w:szCs w:val="24"/>
        </w:rPr>
        <w:t xml:space="preserve"> (</w:t>
      </w:r>
      <w:r w:rsidR="00102027">
        <w:rPr>
          <w:rFonts w:ascii="Times New Roman" w:hAnsi="Times New Roman" w:cs="Times New Roman"/>
          <w:i/>
          <w:sz w:val="24"/>
          <w:szCs w:val="24"/>
        </w:rPr>
        <w:t>Pd)</w:t>
      </w:r>
      <w:r w:rsidR="00941B2C">
        <w:rPr>
          <w:rFonts w:ascii="Times New Roman" w:hAnsi="Times New Roman" w:cs="Times New Roman"/>
          <w:sz w:val="24"/>
          <w:szCs w:val="24"/>
        </w:rPr>
        <w:t>, Paranoju</w:t>
      </w:r>
      <w:r w:rsidR="00102027">
        <w:rPr>
          <w:rFonts w:ascii="Times New Roman" w:hAnsi="Times New Roman" w:cs="Times New Roman"/>
          <w:sz w:val="24"/>
          <w:szCs w:val="24"/>
        </w:rPr>
        <w:t xml:space="preserve"> (</w:t>
      </w:r>
      <w:r w:rsidR="00102027">
        <w:rPr>
          <w:rFonts w:ascii="Times New Roman" w:hAnsi="Times New Roman" w:cs="Times New Roman"/>
          <w:i/>
          <w:sz w:val="24"/>
          <w:szCs w:val="24"/>
        </w:rPr>
        <w:t>Pa)</w:t>
      </w:r>
      <w:r w:rsidR="00941B2C">
        <w:rPr>
          <w:rFonts w:ascii="Times New Roman" w:hAnsi="Times New Roman" w:cs="Times New Roman"/>
          <w:sz w:val="24"/>
          <w:szCs w:val="24"/>
        </w:rPr>
        <w:t>, Shizofreniju</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Sc</w:t>
      </w:r>
      <w:r w:rsidR="00102027">
        <w:rPr>
          <w:rFonts w:ascii="Times New Roman" w:hAnsi="Times New Roman" w:cs="Times New Roman"/>
          <w:sz w:val="24"/>
          <w:szCs w:val="24"/>
        </w:rPr>
        <w:t>)</w:t>
      </w:r>
      <w:r w:rsidR="00941B2C">
        <w:rPr>
          <w:rFonts w:ascii="Times New Roman" w:hAnsi="Times New Roman" w:cs="Times New Roman"/>
          <w:sz w:val="24"/>
          <w:szCs w:val="24"/>
        </w:rPr>
        <w:t>, Psihoasteničnost</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Pt</w:t>
      </w:r>
      <w:r w:rsidR="00102027">
        <w:rPr>
          <w:rFonts w:ascii="Times New Roman" w:hAnsi="Times New Roman" w:cs="Times New Roman"/>
          <w:sz w:val="24"/>
          <w:szCs w:val="24"/>
        </w:rPr>
        <w:t>)</w:t>
      </w:r>
      <w:r w:rsidR="00941B2C">
        <w:rPr>
          <w:rFonts w:ascii="Times New Roman" w:hAnsi="Times New Roman" w:cs="Times New Roman"/>
          <w:sz w:val="24"/>
          <w:szCs w:val="24"/>
        </w:rPr>
        <w:t xml:space="preserve"> i Agresivnost</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Ag</w:t>
      </w:r>
      <w:r w:rsidR="00102027">
        <w:rPr>
          <w:rFonts w:ascii="Times New Roman" w:hAnsi="Times New Roman" w:cs="Times New Roman"/>
          <w:sz w:val="24"/>
          <w:szCs w:val="24"/>
        </w:rPr>
        <w:t>)</w:t>
      </w:r>
      <w:r w:rsidR="00941B2C">
        <w:rPr>
          <w:rFonts w:ascii="Times New Roman" w:hAnsi="Times New Roman" w:cs="Times New Roman"/>
          <w:sz w:val="24"/>
          <w:szCs w:val="24"/>
        </w:rPr>
        <w:t>, te je opravdana pretpostavka da bi se sa povećanjem uzorka potencijalno dobile statistički značajne razlike.</w:t>
      </w:r>
    </w:p>
    <w:p w:rsidR="00941B2C" w:rsidRPr="007777A2" w:rsidRDefault="00941B2C" w:rsidP="001603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5) Koeficijent kanoničke korelacije nije statistički značajan. S toga, ne možemo govoriti o mogućim linearnim kombinacijama subskala po</w:t>
      </w:r>
      <w:r w:rsidR="00615FF8">
        <w:rPr>
          <w:rFonts w:ascii="Times New Roman" w:hAnsi="Times New Roman" w:cs="Times New Roman"/>
          <w:sz w:val="24"/>
          <w:szCs w:val="24"/>
        </w:rPr>
        <w:t xml:space="preserve"> kojima bi se grupe razlikovale</w:t>
      </w:r>
      <w:r w:rsidR="005F4504">
        <w:rPr>
          <w:rFonts w:ascii="Times New Roman" w:hAnsi="Times New Roman" w:cs="Times New Roman"/>
          <w:sz w:val="24"/>
          <w:szCs w:val="24"/>
        </w:rPr>
        <w:t xml:space="preserve"> (Prilog </w:t>
      </w:r>
      <w:r w:rsidR="00D30F6D">
        <w:rPr>
          <w:rFonts w:ascii="Times New Roman" w:hAnsi="Times New Roman" w:cs="Times New Roman"/>
          <w:sz w:val="24"/>
          <w:szCs w:val="24"/>
        </w:rPr>
        <w:t>VIII</w:t>
      </w:r>
      <w:r w:rsidR="005F4504">
        <w:rPr>
          <w:rFonts w:ascii="Times New Roman" w:hAnsi="Times New Roman" w:cs="Times New Roman"/>
          <w:sz w:val="24"/>
          <w:szCs w:val="24"/>
        </w:rPr>
        <w:t>)</w:t>
      </w:r>
      <w:r w:rsidR="00615FF8">
        <w:rPr>
          <w:rFonts w:ascii="Times New Roman" w:hAnsi="Times New Roman" w:cs="Times New Roman"/>
          <w:sz w:val="24"/>
          <w:szCs w:val="24"/>
        </w:rPr>
        <w:t>.</w:t>
      </w:r>
    </w:p>
    <w:p w:rsidR="000E6ACE" w:rsidRDefault="000E6ACE" w:rsidP="00785678">
      <w:pPr>
        <w:spacing w:after="0" w:line="480" w:lineRule="auto"/>
        <w:ind w:firstLine="720"/>
        <w:jc w:val="both"/>
        <w:rPr>
          <w:rFonts w:ascii="Times New Roman" w:hAnsi="Times New Roman" w:cs="Times New Roman"/>
          <w:sz w:val="24"/>
          <w:szCs w:val="24"/>
        </w:rPr>
      </w:pPr>
    </w:p>
    <w:p w:rsidR="00F30FBF" w:rsidRPr="00854033" w:rsidRDefault="00615FF8" w:rsidP="00854033">
      <w:pPr>
        <w:spacing w:after="0" w:line="480" w:lineRule="auto"/>
        <w:jc w:val="both"/>
        <w:rPr>
          <w:rFonts w:ascii="Times New Roman" w:hAnsi="Times New Roman" w:cs="Times New Roman"/>
          <w:b/>
          <w:sz w:val="24"/>
          <w:szCs w:val="24"/>
        </w:rPr>
      </w:pPr>
      <w:r w:rsidRPr="00102027">
        <w:rPr>
          <w:rFonts w:ascii="Times New Roman" w:hAnsi="Times New Roman" w:cs="Times New Roman"/>
          <w:b/>
          <w:sz w:val="24"/>
          <w:szCs w:val="24"/>
        </w:rPr>
        <w:t>Diskusija</w:t>
      </w:r>
    </w:p>
    <w:p w:rsidR="009A50EB" w:rsidRDefault="009A50EB" w:rsidP="006C57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Postavljeno je 7 hipoteza, koje se odnose na moguću povezanost između psiho</w:t>
      </w:r>
      <w:r w:rsidR="00BB56C3">
        <w:rPr>
          <w:rFonts w:ascii="Times New Roman" w:hAnsi="Times New Roman" w:cs="Times New Roman"/>
          <w:sz w:val="24"/>
          <w:szCs w:val="24"/>
        </w:rPr>
        <w:t>p</w:t>
      </w:r>
      <w:r>
        <w:rPr>
          <w:rFonts w:ascii="Times New Roman" w:hAnsi="Times New Roman" w:cs="Times New Roman"/>
          <w:sz w:val="24"/>
          <w:szCs w:val="24"/>
        </w:rPr>
        <w:t xml:space="preserve">atoloških konstrukata ličnosti i sucidalnih ponašanja i namera. Uspostavljene su dve kriterijumske varijable. Razmatrajući povezanost psihopatoloških konstrukata i </w:t>
      </w:r>
      <w:r w:rsidRPr="00102027">
        <w:rPr>
          <w:rFonts w:ascii="Times New Roman" w:hAnsi="Times New Roman" w:cs="Times New Roman"/>
          <w:i/>
          <w:sz w:val="24"/>
          <w:szCs w:val="24"/>
        </w:rPr>
        <w:t>SBQ-R</w:t>
      </w:r>
      <w:r>
        <w:rPr>
          <w:rFonts w:ascii="Times New Roman" w:hAnsi="Times New Roman" w:cs="Times New Roman"/>
          <w:sz w:val="24"/>
          <w:szCs w:val="24"/>
        </w:rPr>
        <w:t>, kao mere suicidalnih ponašanja, zaključujemo da je</w:t>
      </w:r>
      <w:r w:rsidR="00102027">
        <w:rPr>
          <w:rFonts w:ascii="Times New Roman" w:hAnsi="Times New Roman" w:cs="Times New Roman"/>
          <w:sz w:val="24"/>
          <w:szCs w:val="24"/>
        </w:rPr>
        <w:t xml:space="preserve"> potvrđeno 6 od 7 hipoteza. Povi</w:t>
      </w:r>
      <w:r>
        <w:rPr>
          <w:rFonts w:ascii="Times New Roman" w:hAnsi="Times New Roman" w:cs="Times New Roman"/>
          <w:sz w:val="24"/>
          <w:szCs w:val="24"/>
        </w:rPr>
        <w:t>šeni stepen suicidalnosti prate povišenje skorova na subskalama kojima se meri: 1) depresivnos</w:t>
      </w:r>
      <w:r w:rsidR="00B27647">
        <w:rPr>
          <w:rFonts w:ascii="Times New Roman" w:hAnsi="Times New Roman" w:cs="Times New Roman"/>
          <w:sz w:val="24"/>
          <w:szCs w:val="24"/>
        </w:rPr>
        <w:t>t</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D</w:t>
      </w:r>
      <w:r w:rsidR="00102027">
        <w:rPr>
          <w:rFonts w:ascii="Times New Roman" w:hAnsi="Times New Roman" w:cs="Times New Roman"/>
          <w:sz w:val="24"/>
          <w:szCs w:val="24"/>
        </w:rPr>
        <w:t>)</w:t>
      </w:r>
      <w:r>
        <w:rPr>
          <w:rFonts w:ascii="Times New Roman" w:hAnsi="Times New Roman" w:cs="Times New Roman"/>
          <w:sz w:val="24"/>
          <w:szCs w:val="24"/>
        </w:rPr>
        <w:t>; 2)  paranoidnost</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Pa</w:t>
      </w:r>
      <w:r w:rsidR="00102027">
        <w:rPr>
          <w:rFonts w:ascii="Times New Roman" w:hAnsi="Times New Roman" w:cs="Times New Roman"/>
          <w:sz w:val="24"/>
          <w:szCs w:val="24"/>
        </w:rPr>
        <w:t>)</w:t>
      </w:r>
      <w:r>
        <w:rPr>
          <w:rFonts w:ascii="Times New Roman" w:hAnsi="Times New Roman" w:cs="Times New Roman"/>
          <w:sz w:val="24"/>
          <w:szCs w:val="24"/>
        </w:rPr>
        <w:t xml:space="preserve">; </w:t>
      </w:r>
      <w:r w:rsidR="00102027">
        <w:rPr>
          <w:rFonts w:ascii="Times New Roman" w:hAnsi="Times New Roman" w:cs="Times New Roman"/>
          <w:sz w:val="24"/>
          <w:szCs w:val="24"/>
        </w:rPr>
        <w:t xml:space="preserve">   3)</w:t>
      </w:r>
      <w:r>
        <w:rPr>
          <w:rFonts w:ascii="Times New Roman" w:hAnsi="Times New Roman" w:cs="Times New Roman"/>
          <w:sz w:val="24"/>
          <w:szCs w:val="24"/>
        </w:rPr>
        <w:t>shizofrene karakteristike</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Sc</w:t>
      </w:r>
      <w:r w:rsidR="00102027">
        <w:rPr>
          <w:rFonts w:ascii="Times New Roman" w:hAnsi="Times New Roman" w:cs="Times New Roman"/>
          <w:sz w:val="24"/>
          <w:szCs w:val="24"/>
        </w:rPr>
        <w:t>)</w:t>
      </w:r>
      <w:r>
        <w:rPr>
          <w:rFonts w:ascii="Times New Roman" w:hAnsi="Times New Roman" w:cs="Times New Roman"/>
          <w:sz w:val="24"/>
          <w:szCs w:val="24"/>
        </w:rPr>
        <w:t>; 4) psihoasteničnost</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Pt</w:t>
      </w:r>
      <w:r w:rsidR="00102027">
        <w:rPr>
          <w:rFonts w:ascii="Times New Roman" w:hAnsi="Times New Roman" w:cs="Times New Roman"/>
          <w:sz w:val="24"/>
          <w:szCs w:val="24"/>
        </w:rPr>
        <w:t>)</w:t>
      </w:r>
      <w:r>
        <w:rPr>
          <w:rFonts w:ascii="Times New Roman" w:hAnsi="Times New Roman" w:cs="Times New Roman"/>
          <w:sz w:val="24"/>
          <w:szCs w:val="24"/>
        </w:rPr>
        <w:t>; 5) socijalna izolacija</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Si</w:t>
      </w:r>
      <w:r w:rsidR="00102027">
        <w:rPr>
          <w:rFonts w:ascii="Times New Roman" w:hAnsi="Times New Roman" w:cs="Times New Roman"/>
          <w:sz w:val="24"/>
          <w:szCs w:val="24"/>
        </w:rPr>
        <w:t>)</w:t>
      </w:r>
      <w:r>
        <w:rPr>
          <w:rFonts w:ascii="Times New Roman" w:hAnsi="Times New Roman" w:cs="Times New Roman"/>
          <w:sz w:val="24"/>
          <w:szCs w:val="24"/>
        </w:rPr>
        <w:t>; 6) anksioznost</w:t>
      </w:r>
      <w:r w:rsidR="00102027">
        <w:rPr>
          <w:rFonts w:ascii="Times New Roman" w:hAnsi="Times New Roman" w:cs="Times New Roman"/>
          <w:sz w:val="24"/>
          <w:szCs w:val="24"/>
        </w:rPr>
        <w:t xml:space="preserve"> (</w:t>
      </w:r>
      <w:r w:rsidR="00102027" w:rsidRPr="00102027">
        <w:rPr>
          <w:rFonts w:ascii="Times New Roman" w:hAnsi="Times New Roman" w:cs="Times New Roman"/>
          <w:i/>
          <w:sz w:val="24"/>
          <w:szCs w:val="24"/>
        </w:rPr>
        <w:t>An</w:t>
      </w:r>
      <w:r w:rsidR="00102027">
        <w:rPr>
          <w:rFonts w:ascii="Times New Roman" w:hAnsi="Times New Roman" w:cs="Times New Roman"/>
          <w:sz w:val="24"/>
          <w:szCs w:val="24"/>
        </w:rPr>
        <w:t>)</w:t>
      </w:r>
      <w:r w:rsidR="00B27647">
        <w:rPr>
          <w:rFonts w:ascii="Times New Roman" w:hAnsi="Times New Roman" w:cs="Times New Roman"/>
          <w:sz w:val="24"/>
          <w:szCs w:val="24"/>
        </w:rPr>
        <w:t>. Jedino nije potvrđena</w:t>
      </w:r>
      <w:r>
        <w:rPr>
          <w:rFonts w:ascii="Times New Roman" w:hAnsi="Times New Roman" w:cs="Times New Roman"/>
          <w:sz w:val="24"/>
          <w:szCs w:val="24"/>
        </w:rPr>
        <w:t xml:space="preserve"> veza između agresivnosti </w:t>
      </w:r>
      <w:r w:rsidR="006C574A">
        <w:rPr>
          <w:rFonts w:ascii="Times New Roman" w:hAnsi="Times New Roman" w:cs="Times New Roman"/>
          <w:sz w:val="24"/>
          <w:szCs w:val="24"/>
        </w:rPr>
        <w:t>(</w:t>
      </w:r>
      <w:r w:rsidR="006C574A" w:rsidRPr="006C574A">
        <w:rPr>
          <w:rFonts w:ascii="Times New Roman" w:hAnsi="Times New Roman" w:cs="Times New Roman"/>
          <w:i/>
          <w:sz w:val="24"/>
          <w:szCs w:val="24"/>
        </w:rPr>
        <w:t>Ag</w:t>
      </w:r>
      <w:r w:rsidR="006C574A">
        <w:rPr>
          <w:rFonts w:ascii="Times New Roman" w:hAnsi="Times New Roman" w:cs="Times New Roman"/>
          <w:sz w:val="24"/>
          <w:szCs w:val="24"/>
        </w:rPr>
        <w:t xml:space="preserve">) </w:t>
      </w:r>
      <w:r>
        <w:rPr>
          <w:rFonts w:ascii="Times New Roman" w:hAnsi="Times New Roman" w:cs="Times New Roman"/>
          <w:sz w:val="24"/>
          <w:szCs w:val="24"/>
        </w:rPr>
        <w:t>i suicidalnosti.</w:t>
      </w:r>
      <w:r w:rsidR="00EF30BC">
        <w:rPr>
          <w:rFonts w:ascii="Times New Roman" w:hAnsi="Times New Roman" w:cs="Times New Roman"/>
          <w:sz w:val="24"/>
          <w:szCs w:val="24"/>
        </w:rPr>
        <w:t xml:space="preserve"> </w:t>
      </w:r>
      <w:r w:rsidR="00BB56C3">
        <w:rPr>
          <w:rFonts w:ascii="Times New Roman" w:hAnsi="Times New Roman" w:cs="Times New Roman"/>
          <w:sz w:val="24"/>
          <w:szCs w:val="24"/>
        </w:rPr>
        <w:t>Pored postavljenih hipoteza dobijeno je da psihopatsk</w:t>
      </w:r>
      <w:r w:rsidR="00093A6A">
        <w:rPr>
          <w:rFonts w:ascii="Times New Roman" w:hAnsi="Times New Roman" w:cs="Times New Roman"/>
          <w:sz w:val="24"/>
          <w:szCs w:val="24"/>
        </w:rPr>
        <w:t>a</w:t>
      </w:r>
      <w:r w:rsidR="00BB56C3">
        <w:rPr>
          <w:rFonts w:ascii="Times New Roman" w:hAnsi="Times New Roman" w:cs="Times New Roman"/>
          <w:sz w:val="24"/>
          <w:szCs w:val="24"/>
        </w:rPr>
        <w:t xml:space="preserve"> devijacij</w:t>
      </w:r>
      <w:r w:rsidR="00093A6A">
        <w:rPr>
          <w:rFonts w:ascii="Times New Roman" w:hAnsi="Times New Roman" w:cs="Times New Roman"/>
          <w:sz w:val="24"/>
          <w:szCs w:val="24"/>
        </w:rPr>
        <w:t>a</w:t>
      </w:r>
      <w:r w:rsidR="00EF30BC">
        <w:rPr>
          <w:rFonts w:ascii="Times New Roman" w:hAnsi="Times New Roman" w:cs="Times New Roman"/>
          <w:sz w:val="24"/>
          <w:szCs w:val="24"/>
        </w:rPr>
        <w:t xml:space="preserve"> </w:t>
      </w:r>
      <w:r w:rsidR="006C574A">
        <w:rPr>
          <w:rFonts w:ascii="Times New Roman" w:hAnsi="Times New Roman" w:cs="Times New Roman"/>
          <w:sz w:val="24"/>
          <w:szCs w:val="24"/>
        </w:rPr>
        <w:t>(</w:t>
      </w:r>
      <w:r w:rsidR="006C574A" w:rsidRPr="006C574A">
        <w:rPr>
          <w:rFonts w:ascii="Times New Roman" w:hAnsi="Times New Roman" w:cs="Times New Roman"/>
          <w:i/>
          <w:sz w:val="24"/>
          <w:szCs w:val="24"/>
        </w:rPr>
        <w:t>Pd</w:t>
      </w:r>
      <w:r w:rsidR="006C574A">
        <w:rPr>
          <w:rFonts w:ascii="Times New Roman" w:hAnsi="Times New Roman" w:cs="Times New Roman"/>
          <w:sz w:val="24"/>
          <w:szCs w:val="24"/>
        </w:rPr>
        <w:t>)</w:t>
      </w:r>
      <w:r w:rsidR="00BB56C3">
        <w:rPr>
          <w:rFonts w:ascii="Times New Roman" w:hAnsi="Times New Roman" w:cs="Times New Roman"/>
          <w:sz w:val="24"/>
          <w:szCs w:val="24"/>
        </w:rPr>
        <w:t xml:space="preserve"> povezan</w:t>
      </w:r>
      <w:r w:rsidR="00093A6A">
        <w:rPr>
          <w:rFonts w:ascii="Times New Roman" w:hAnsi="Times New Roman" w:cs="Times New Roman"/>
          <w:sz w:val="24"/>
          <w:szCs w:val="24"/>
        </w:rPr>
        <w:t>a</w:t>
      </w:r>
      <w:r w:rsidR="00EF30BC">
        <w:rPr>
          <w:rFonts w:ascii="Times New Roman" w:hAnsi="Times New Roman" w:cs="Times New Roman"/>
          <w:sz w:val="24"/>
          <w:szCs w:val="24"/>
        </w:rPr>
        <w:t xml:space="preserve"> </w:t>
      </w:r>
      <w:r w:rsidR="00BB56C3">
        <w:rPr>
          <w:rFonts w:ascii="Times New Roman" w:hAnsi="Times New Roman" w:cs="Times New Roman"/>
          <w:sz w:val="24"/>
          <w:szCs w:val="24"/>
        </w:rPr>
        <w:t xml:space="preserve">sa suicidalnošću. </w:t>
      </w:r>
      <w:r w:rsidR="00F30FBF">
        <w:rPr>
          <w:rFonts w:ascii="Times New Roman" w:hAnsi="Times New Roman" w:cs="Times New Roman"/>
          <w:sz w:val="24"/>
          <w:szCs w:val="24"/>
        </w:rPr>
        <w:t>Kod druge kriterijumske varijable, suicidalni pokušaji u prošlosti,</w:t>
      </w:r>
      <w:r w:rsidRPr="00F30FBF">
        <w:rPr>
          <w:rFonts w:ascii="Times New Roman" w:hAnsi="Times New Roman" w:cs="Times New Roman"/>
          <w:sz w:val="24"/>
          <w:szCs w:val="24"/>
        </w:rPr>
        <w:t xml:space="preserve"> n</w:t>
      </w:r>
      <w:r w:rsidR="00B27647" w:rsidRPr="00F30FBF">
        <w:rPr>
          <w:rFonts w:ascii="Times New Roman" w:hAnsi="Times New Roman" w:cs="Times New Roman"/>
          <w:sz w:val="24"/>
          <w:szCs w:val="24"/>
        </w:rPr>
        <w:t>ije potvrđena nijedna hipoteza, odosn</w:t>
      </w:r>
      <w:r w:rsidR="003D6588" w:rsidRPr="00F30FBF">
        <w:rPr>
          <w:rFonts w:ascii="Times New Roman" w:hAnsi="Times New Roman" w:cs="Times New Roman"/>
          <w:sz w:val="24"/>
          <w:szCs w:val="24"/>
        </w:rPr>
        <w:t>o dobijene povezanosti nisu bile</w:t>
      </w:r>
      <w:r w:rsidR="00B27647" w:rsidRPr="00F30FBF">
        <w:rPr>
          <w:rFonts w:ascii="Times New Roman" w:hAnsi="Times New Roman" w:cs="Times New Roman"/>
          <w:sz w:val="24"/>
          <w:szCs w:val="24"/>
        </w:rPr>
        <w:t xml:space="preserve"> statistički značajne</w:t>
      </w:r>
      <w:r w:rsidR="00F30FBF">
        <w:rPr>
          <w:rFonts w:ascii="Times New Roman" w:hAnsi="Times New Roman" w:cs="Times New Roman"/>
          <w:sz w:val="24"/>
          <w:szCs w:val="24"/>
        </w:rPr>
        <w:t>.</w:t>
      </w:r>
      <w:r w:rsidR="00CE757C">
        <w:rPr>
          <w:rFonts w:ascii="Times New Roman" w:hAnsi="Times New Roman" w:cs="Times New Roman"/>
          <w:sz w:val="24"/>
          <w:szCs w:val="24"/>
        </w:rPr>
        <w:t xml:space="preserve"> U ispitivanju uticaj drugih kliničkih</w:t>
      </w:r>
      <w:r w:rsidR="00AD22E6">
        <w:rPr>
          <w:rFonts w:ascii="Times New Roman" w:hAnsi="Times New Roman" w:cs="Times New Roman"/>
          <w:sz w:val="24"/>
          <w:szCs w:val="24"/>
        </w:rPr>
        <w:t xml:space="preserve"> i </w:t>
      </w:r>
      <w:r w:rsidR="00AD22E6">
        <w:rPr>
          <w:rFonts w:ascii="Times New Roman" w:hAnsi="Times New Roman" w:cs="Times New Roman"/>
          <w:sz w:val="24"/>
          <w:szCs w:val="24"/>
        </w:rPr>
        <w:lastRenderedPageBreak/>
        <w:t>sociodemografskih</w:t>
      </w:r>
      <w:r w:rsidR="00CE757C">
        <w:rPr>
          <w:rFonts w:ascii="Times New Roman" w:hAnsi="Times New Roman" w:cs="Times New Roman"/>
          <w:sz w:val="24"/>
          <w:szCs w:val="24"/>
        </w:rPr>
        <w:t xml:space="preserve"> varijabli, kod obe kriterijumske varijable izvdaja se Broj hospitalizacija kao značajana. Depresivni pacijenti sa većim broj hospitalizacija pokazuju i viši stepen suicidalnosti. </w:t>
      </w:r>
    </w:p>
    <w:p w:rsidR="00CE757C" w:rsidRDefault="00CE757C" w:rsidP="001C64A2">
      <w:pPr>
        <w:spacing w:after="0" w:line="480" w:lineRule="auto"/>
        <w:jc w:val="both"/>
        <w:rPr>
          <w:rFonts w:ascii="Times New Roman" w:hAnsi="Times New Roman" w:cs="Times New Roman"/>
          <w:b/>
          <w:i/>
          <w:sz w:val="24"/>
          <w:szCs w:val="24"/>
        </w:rPr>
      </w:pPr>
    </w:p>
    <w:p w:rsidR="00B27647" w:rsidRPr="006C574A" w:rsidRDefault="00B27647" w:rsidP="009A50EB">
      <w:pPr>
        <w:spacing w:after="0" w:line="480" w:lineRule="auto"/>
        <w:ind w:firstLine="720"/>
        <w:jc w:val="both"/>
        <w:rPr>
          <w:rFonts w:ascii="Times New Roman" w:hAnsi="Times New Roman" w:cs="Times New Roman"/>
          <w:b/>
          <w:i/>
          <w:sz w:val="24"/>
          <w:szCs w:val="24"/>
        </w:rPr>
      </w:pPr>
      <w:r w:rsidRPr="006C574A">
        <w:rPr>
          <w:rFonts w:ascii="Times New Roman" w:hAnsi="Times New Roman" w:cs="Times New Roman"/>
          <w:b/>
          <w:i/>
          <w:sz w:val="24"/>
          <w:szCs w:val="24"/>
        </w:rPr>
        <w:t>Naučna pozadina</w:t>
      </w:r>
      <w:r w:rsidR="003C2AEF" w:rsidRPr="006C574A">
        <w:rPr>
          <w:rFonts w:ascii="Times New Roman" w:hAnsi="Times New Roman" w:cs="Times New Roman"/>
          <w:b/>
          <w:i/>
          <w:sz w:val="24"/>
          <w:szCs w:val="24"/>
        </w:rPr>
        <w:t xml:space="preserve"> i analiza rezultata</w:t>
      </w:r>
    </w:p>
    <w:p w:rsidR="00B27647" w:rsidRDefault="00BB56C3" w:rsidP="00BB56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6588" w:rsidRPr="006C574A">
        <w:rPr>
          <w:rFonts w:ascii="Times New Roman" w:hAnsi="Times New Roman" w:cs="Times New Roman"/>
          <w:i/>
          <w:sz w:val="24"/>
          <w:szCs w:val="24"/>
        </w:rPr>
        <w:t>MMPI</w:t>
      </w:r>
      <w:r w:rsidR="006C574A">
        <w:rPr>
          <w:rFonts w:ascii="Times New Roman" w:hAnsi="Times New Roman" w:cs="Times New Roman"/>
          <w:sz w:val="24"/>
          <w:szCs w:val="24"/>
        </w:rPr>
        <w:t>-</w:t>
      </w:r>
      <w:r w:rsidR="006C574A" w:rsidRPr="006C574A">
        <w:rPr>
          <w:rFonts w:ascii="Times New Roman" w:hAnsi="Times New Roman" w:cs="Times New Roman"/>
          <w:i/>
          <w:sz w:val="24"/>
          <w:szCs w:val="24"/>
        </w:rPr>
        <w:t>202</w:t>
      </w:r>
      <w:r w:rsidR="003D6588">
        <w:rPr>
          <w:rFonts w:ascii="Times New Roman" w:hAnsi="Times New Roman" w:cs="Times New Roman"/>
          <w:sz w:val="24"/>
          <w:szCs w:val="24"/>
        </w:rPr>
        <w:t xml:space="preserve"> predstavlja jedan od najčešće upotrebljavanih testova u kliničkoj proceni psihijatrijskih pacijenata. Kao takav, posebno se pokazao kao koristan u dijagnostici i diferencijalnoj dijagnostici širokog spektra psihopatologije</w:t>
      </w:r>
      <w:r w:rsidR="00EF30BC">
        <w:rPr>
          <w:rFonts w:ascii="Times New Roman" w:hAnsi="Times New Roman" w:cs="Times New Roman"/>
          <w:sz w:val="24"/>
          <w:szCs w:val="24"/>
        </w:rPr>
        <w:t xml:space="preserve"> (23,27)</w:t>
      </w:r>
      <w:r w:rsidR="003D6588">
        <w:rPr>
          <w:rFonts w:ascii="Times New Roman" w:hAnsi="Times New Roman" w:cs="Times New Roman"/>
          <w:sz w:val="24"/>
          <w:szCs w:val="24"/>
        </w:rPr>
        <w:t xml:space="preserve">. Ipak, na polju suicidalnosti u priručnicima za upotrebu </w:t>
      </w:r>
      <w:r w:rsidR="003D6588" w:rsidRPr="006C574A">
        <w:rPr>
          <w:rFonts w:ascii="Times New Roman" w:hAnsi="Times New Roman" w:cs="Times New Roman"/>
          <w:i/>
          <w:sz w:val="24"/>
          <w:szCs w:val="24"/>
        </w:rPr>
        <w:t>MMPI</w:t>
      </w:r>
      <w:r w:rsidR="003D6588">
        <w:rPr>
          <w:rFonts w:ascii="Times New Roman" w:hAnsi="Times New Roman" w:cs="Times New Roman"/>
          <w:sz w:val="24"/>
          <w:szCs w:val="24"/>
        </w:rPr>
        <w:t xml:space="preserve">-a nema jasnih preporuka za detekciju </w:t>
      </w:r>
      <w:r w:rsidR="00093A6A">
        <w:rPr>
          <w:rFonts w:ascii="Times New Roman" w:hAnsi="Times New Roman" w:cs="Times New Roman"/>
          <w:sz w:val="24"/>
          <w:szCs w:val="24"/>
        </w:rPr>
        <w:t>ovog fenomena</w:t>
      </w:r>
      <w:r w:rsidR="003D6588">
        <w:rPr>
          <w:rFonts w:ascii="Times New Roman" w:hAnsi="Times New Roman" w:cs="Times New Roman"/>
          <w:sz w:val="24"/>
          <w:szCs w:val="24"/>
        </w:rPr>
        <w:t xml:space="preserve">. </w:t>
      </w:r>
      <w:r w:rsidR="00A43875">
        <w:rPr>
          <w:rFonts w:ascii="Times New Roman" w:hAnsi="Times New Roman" w:cs="Times New Roman"/>
          <w:sz w:val="24"/>
          <w:szCs w:val="24"/>
        </w:rPr>
        <w:t>Upravo to potrkepljuju i oprečni rezultati koji su dobijani pri ispitivanjima korisnosti ovog instrumenta u određivanju stepena suicidalnosti ili pak visine suicidalnog rizika</w:t>
      </w:r>
      <w:r w:rsidR="00EF30BC">
        <w:rPr>
          <w:rFonts w:ascii="Times New Roman" w:hAnsi="Times New Roman" w:cs="Times New Roman"/>
          <w:sz w:val="24"/>
          <w:szCs w:val="24"/>
        </w:rPr>
        <w:t xml:space="preserve"> (27)</w:t>
      </w:r>
      <w:r w:rsidR="00A43875">
        <w:rPr>
          <w:rFonts w:ascii="Times New Roman" w:hAnsi="Times New Roman" w:cs="Times New Roman"/>
          <w:sz w:val="24"/>
          <w:szCs w:val="24"/>
        </w:rPr>
        <w:t xml:space="preserve">. Sa </w:t>
      </w:r>
      <w:r w:rsidR="003C2AEF">
        <w:rPr>
          <w:rFonts w:ascii="Times New Roman" w:hAnsi="Times New Roman" w:cs="Times New Roman"/>
          <w:sz w:val="24"/>
          <w:szCs w:val="24"/>
        </w:rPr>
        <w:t>jedne</w:t>
      </w:r>
      <w:r w:rsidR="00A43875">
        <w:rPr>
          <w:rFonts w:ascii="Times New Roman" w:hAnsi="Times New Roman" w:cs="Times New Roman"/>
          <w:sz w:val="24"/>
          <w:szCs w:val="24"/>
        </w:rPr>
        <w:t xml:space="preserve"> st</w:t>
      </w:r>
      <w:r w:rsidR="003C2AEF">
        <w:rPr>
          <w:rFonts w:ascii="Times New Roman" w:hAnsi="Times New Roman" w:cs="Times New Roman"/>
          <w:sz w:val="24"/>
          <w:szCs w:val="24"/>
        </w:rPr>
        <w:t>rane, izdvajaju se istraživanju koja  ukazuju značajne povezanosti. U istraživanju Kupera, Osmana i Bariosa</w:t>
      </w:r>
      <w:r w:rsidR="00553672">
        <w:rPr>
          <w:rFonts w:ascii="Times New Roman" w:hAnsi="Times New Roman" w:cs="Times New Roman"/>
          <w:sz w:val="24"/>
          <w:szCs w:val="24"/>
        </w:rPr>
        <w:t xml:space="preserve"> (28) </w:t>
      </w:r>
      <w:r w:rsidR="003C2AEF">
        <w:rPr>
          <w:rFonts w:ascii="Times New Roman" w:hAnsi="Times New Roman" w:cs="Times New Roman"/>
          <w:sz w:val="24"/>
          <w:szCs w:val="24"/>
        </w:rPr>
        <w:t xml:space="preserve"> kao značajan prediktor suicidalnog rizika kod žena ističu se subskale Histerije</w:t>
      </w:r>
      <w:r w:rsidR="006C574A">
        <w:rPr>
          <w:rFonts w:ascii="Times New Roman" w:hAnsi="Times New Roman" w:cs="Times New Roman"/>
          <w:sz w:val="24"/>
          <w:szCs w:val="24"/>
        </w:rPr>
        <w:t xml:space="preserve"> (</w:t>
      </w:r>
      <w:r w:rsidR="006C574A" w:rsidRPr="006C574A">
        <w:rPr>
          <w:rFonts w:ascii="Times New Roman" w:hAnsi="Times New Roman" w:cs="Times New Roman"/>
          <w:i/>
          <w:sz w:val="24"/>
          <w:szCs w:val="24"/>
        </w:rPr>
        <w:t>H</w:t>
      </w:r>
      <w:r w:rsidR="00EF30BC">
        <w:rPr>
          <w:rFonts w:ascii="Times New Roman" w:hAnsi="Times New Roman" w:cs="Times New Roman"/>
          <w:i/>
          <w:sz w:val="24"/>
          <w:szCs w:val="24"/>
        </w:rPr>
        <w:t>y</w:t>
      </w:r>
      <w:r w:rsidR="006C574A">
        <w:rPr>
          <w:rFonts w:ascii="Times New Roman" w:hAnsi="Times New Roman" w:cs="Times New Roman"/>
          <w:sz w:val="24"/>
          <w:szCs w:val="24"/>
        </w:rPr>
        <w:t>)</w:t>
      </w:r>
      <w:r w:rsidR="003C2AEF">
        <w:rPr>
          <w:rFonts w:ascii="Times New Roman" w:hAnsi="Times New Roman" w:cs="Times New Roman"/>
          <w:sz w:val="24"/>
          <w:szCs w:val="24"/>
        </w:rPr>
        <w:t>, Paranoje</w:t>
      </w:r>
      <w:r w:rsidR="006C574A">
        <w:rPr>
          <w:rFonts w:ascii="Times New Roman" w:hAnsi="Times New Roman" w:cs="Times New Roman"/>
          <w:sz w:val="24"/>
          <w:szCs w:val="24"/>
        </w:rPr>
        <w:t xml:space="preserve"> (</w:t>
      </w:r>
      <w:r w:rsidR="006C574A" w:rsidRPr="006C574A">
        <w:rPr>
          <w:rFonts w:ascii="Times New Roman" w:hAnsi="Times New Roman" w:cs="Times New Roman"/>
          <w:i/>
          <w:sz w:val="24"/>
          <w:szCs w:val="24"/>
        </w:rPr>
        <w:t>Pa</w:t>
      </w:r>
      <w:r w:rsidR="006C574A">
        <w:rPr>
          <w:rFonts w:ascii="Times New Roman" w:hAnsi="Times New Roman" w:cs="Times New Roman"/>
          <w:sz w:val="24"/>
          <w:szCs w:val="24"/>
        </w:rPr>
        <w:t>)</w:t>
      </w:r>
      <w:r w:rsidR="003C2AEF">
        <w:rPr>
          <w:rFonts w:ascii="Times New Roman" w:hAnsi="Times New Roman" w:cs="Times New Roman"/>
          <w:sz w:val="24"/>
          <w:szCs w:val="24"/>
        </w:rPr>
        <w:t>, Psihopatske devijacije</w:t>
      </w:r>
      <w:r w:rsidR="006C574A">
        <w:rPr>
          <w:rFonts w:ascii="Times New Roman" w:hAnsi="Times New Roman" w:cs="Times New Roman"/>
          <w:sz w:val="24"/>
          <w:szCs w:val="24"/>
        </w:rPr>
        <w:t xml:space="preserve"> (</w:t>
      </w:r>
      <w:r w:rsidR="006C574A" w:rsidRPr="006C574A">
        <w:rPr>
          <w:rFonts w:ascii="Times New Roman" w:hAnsi="Times New Roman" w:cs="Times New Roman"/>
          <w:i/>
          <w:sz w:val="24"/>
          <w:szCs w:val="24"/>
        </w:rPr>
        <w:t>Pd</w:t>
      </w:r>
      <w:r w:rsidR="006C574A">
        <w:rPr>
          <w:rFonts w:ascii="Times New Roman" w:hAnsi="Times New Roman" w:cs="Times New Roman"/>
          <w:sz w:val="24"/>
          <w:szCs w:val="24"/>
        </w:rPr>
        <w:t>)</w:t>
      </w:r>
      <w:r w:rsidR="003C2AEF">
        <w:rPr>
          <w:rFonts w:ascii="Times New Roman" w:hAnsi="Times New Roman" w:cs="Times New Roman"/>
          <w:sz w:val="24"/>
          <w:szCs w:val="24"/>
        </w:rPr>
        <w:t xml:space="preserve"> i Hipomanije</w:t>
      </w:r>
      <w:r w:rsidR="006C574A">
        <w:rPr>
          <w:rFonts w:ascii="Times New Roman" w:hAnsi="Times New Roman" w:cs="Times New Roman"/>
          <w:sz w:val="24"/>
          <w:szCs w:val="24"/>
        </w:rPr>
        <w:t xml:space="preserve"> (</w:t>
      </w:r>
      <w:r w:rsidR="006C574A" w:rsidRPr="006C574A">
        <w:rPr>
          <w:rFonts w:ascii="Times New Roman" w:hAnsi="Times New Roman" w:cs="Times New Roman"/>
          <w:i/>
          <w:sz w:val="24"/>
          <w:szCs w:val="24"/>
        </w:rPr>
        <w:t>Ma</w:t>
      </w:r>
      <w:r w:rsidR="006C574A">
        <w:rPr>
          <w:rFonts w:ascii="Times New Roman" w:hAnsi="Times New Roman" w:cs="Times New Roman"/>
          <w:sz w:val="24"/>
          <w:szCs w:val="24"/>
        </w:rPr>
        <w:t>)</w:t>
      </w:r>
      <w:r w:rsidR="00553672">
        <w:rPr>
          <w:rFonts w:ascii="Times New Roman" w:hAnsi="Times New Roman" w:cs="Times New Roman"/>
          <w:sz w:val="24"/>
          <w:szCs w:val="24"/>
        </w:rPr>
        <w:t>.</w:t>
      </w:r>
      <w:r w:rsidR="005F4504">
        <w:rPr>
          <w:rFonts w:ascii="Times New Roman" w:hAnsi="Times New Roman" w:cs="Times New Roman"/>
          <w:sz w:val="24"/>
          <w:szCs w:val="24"/>
        </w:rPr>
        <w:t xml:space="preserve"> </w:t>
      </w:r>
      <w:r w:rsidR="003C2AEF">
        <w:rPr>
          <w:rFonts w:ascii="Times New Roman" w:hAnsi="Times New Roman" w:cs="Times New Roman"/>
          <w:sz w:val="24"/>
          <w:szCs w:val="24"/>
        </w:rPr>
        <w:t>Šta više, kroz istraživanje Pomplija i saradnika</w:t>
      </w:r>
      <w:r w:rsidR="00553672">
        <w:rPr>
          <w:rFonts w:ascii="Times New Roman" w:hAnsi="Times New Roman" w:cs="Times New Roman"/>
          <w:sz w:val="24"/>
          <w:szCs w:val="24"/>
        </w:rPr>
        <w:t xml:space="preserve"> (29)</w:t>
      </w:r>
      <w:r w:rsidR="003C2AEF">
        <w:rPr>
          <w:rFonts w:ascii="Times New Roman" w:hAnsi="Times New Roman" w:cs="Times New Roman"/>
          <w:sz w:val="24"/>
          <w:szCs w:val="24"/>
        </w:rPr>
        <w:t xml:space="preserve"> ističe se </w:t>
      </w:r>
      <w:r w:rsidR="006C574A">
        <w:rPr>
          <w:rFonts w:ascii="Times New Roman" w:hAnsi="Times New Roman" w:cs="Times New Roman"/>
          <w:sz w:val="24"/>
          <w:szCs w:val="24"/>
        </w:rPr>
        <w:t xml:space="preserve">povezanost skoro svih subskala, </w:t>
      </w:r>
      <w:r w:rsidR="003C2AEF">
        <w:rPr>
          <w:rFonts w:ascii="Times New Roman" w:hAnsi="Times New Roman" w:cs="Times New Roman"/>
          <w:sz w:val="24"/>
          <w:szCs w:val="24"/>
        </w:rPr>
        <w:t xml:space="preserve">osim </w:t>
      </w:r>
      <w:r w:rsidR="006C574A">
        <w:rPr>
          <w:rFonts w:ascii="Times New Roman" w:hAnsi="Times New Roman" w:cs="Times New Roman"/>
          <w:sz w:val="24"/>
          <w:szCs w:val="24"/>
        </w:rPr>
        <w:t>(</w:t>
      </w:r>
      <w:r w:rsidR="007F6B64" w:rsidRPr="007F6B64">
        <w:rPr>
          <w:rFonts w:ascii="Times New Roman" w:hAnsi="Times New Roman" w:cs="Times New Roman"/>
          <w:i/>
          <w:sz w:val="24"/>
          <w:szCs w:val="24"/>
        </w:rPr>
        <w:t xml:space="preserve">Pa </w:t>
      </w:r>
      <w:r w:rsidR="007F6B64">
        <w:rPr>
          <w:rFonts w:ascii="Times New Roman" w:hAnsi="Times New Roman" w:cs="Times New Roman"/>
          <w:i/>
          <w:sz w:val="24"/>
          <w:szCs w:val="24"/>
        </w:rPr>
        <w:t>i</w:t>
      </w:r>
      <w:r w:rsidR="007F6B64" w:rsidRPr="007F6B64">
        <w:rPr>
          <w:rFonts w:ascii="Times New Roman" w:hAnsi="Times New Roman" w:cs="Times New Roman"/>
          <w:i/>
          <w:sz w:val="24"/>
          <w:szCs w:val="24"/>
        </w:rPr>
        <w:t xml:space="preserve"> Ma</w:t>
      </w:r>
      <w:r w:rsidR="007F6B64">
        <w:rPr>
          <w:rFonts w:ascii="Times New Roman" w:hAnsi="Times New Roman" w:cs="Times New Roman"/>
          <w:sz w:val="24"/>
          <w:szCs w:val="24"/>
        </w:rPr>
        <w:t>)</w:t>
      </w:r>
      <w:r w:rsidR="006C574A">
        <w:rPr>
          <w:rFonts w:ascii="Times New Roman" w:hAnsi="Times New Roman" w:cs="Times New Roman"/>
          <w:sz w:val="24"/>
          <w:szCs w:val="24"/>
        </w:rPr>
        <w:t>,</w:t>
      </w:r>
      <w:r w:rsidR="005F4504">
        <w:rPr>
          <w:rFonts w:ascii="Times New Roman" w:hAnsi="Times New Roman" w:cs="Times New Roman"/>
          <w:sz w:val="24"/>
          <w:szCs w:val="24"/>
        </w:rPr>
        <w:t xml:space="preserve"> </w:t>
      </w:r>
      <w:r w:rsidR="003C2AEF">
        <w:rPr>
          <w:rFonts w:ascii="Times New Roman" w:hAnsi="Times New Roman" w:cs="Times New Roman"/>
          <w:sz w:val="24"/>
          <w:szCs w:val="24"/>
        </w:rPr>
        <w:t xml:space="preserve">sa suicidalnošću, s tim što se dobija da je socijalna inkompatibilnost najbolji prediktor. Sa druge strane, vršeći  </w:t>
      </w:r>
      <w:r w:rsidR="005F4504">
        <w:rPr>
          <w:rFonts w:ascii="Times New Roman" w:hAnsi="Times New Roman" w:cs="Times New Roman"/>
          <w:sz w:val="24"/>
          <w:szCs w:val="24"/>
        </w:rPr>
        <w:t>meta-analizu podataka Kene</w:t>
      </w:r>
      <w:r w:rsidR="00553672">
        <w:rPr>
          <w:rFonts w:ascii="Times New Roman" w:hAnsi="Times New Roman" w:cs="Times New Roman"/>
          <w:sz w:val="24"/>
          <w:szCs w:val="24"/>
        </w:rPr>
        <w:t xml:space="preserve"> (30)</w:t>
      </w:r>
      <w:r w:rsidR="005F4504">
        <w:rPr>
          <w:rFonts w:ascii="Times New Roman" w:hAnsi="Times New Roman" w:cs="Times New Roman"/>
          <w:sz w:val="24"/>
          <w:szCs w:val="24"/>
        </w:rPr>
        <w:t xml:space="preserve"> u svojoj disertaciji, dolazi</w:t>
      </w:r>
      <w:r w:rsidR="003C2AEF">
        <w:rPr>
          <w:rFonts w:ascii="Times New Roman" w:hAnsi="Times New Roman" w:cs="Times New Roman"/>
          <w:sz w:val="24"/>
          <w:szCs w:val="24"/>
        </w:rPr>
        <w:t xml:space="preserve"> do zaključaka da skale </w:t>
      </w:r>
      <w:r w:rsidR="003C2AEF" w:rsidRPr="006C574A">
        <w:rPr>
          <w:rFonts w:ascii="Times New Roman" w:hAnsi="Times New Roman" w:cs="Times New Roman"/>
          <w:i/>
          <w:sz w:val="24"/>
          <w:szCs w:val="24"/>
        </w:rPr>
        <w:t>MMPI</w:t>
      </w:r>
      <w:r w:rsidR="003C2AEF">
        <w:rPr>
          <w:rFonts w:ascii="Times New Roman" w:hAnsi="Times New Roman" w:cs="Times New Roman"/>
          <w:sz w:val="24"/>
          <w:szCs w:val="24"/>
        </w:rPr>
        <w:t xml:space="preserve"> nisu koristan prediktor nijednog aspekta suicidalnosti</w:t>
      </w:r>
      <w:r w:rsidR="00553672">
        <w:rPr>
          <w:rFonts w:ascii="Times New Roman" w:hAnsi="Times New Roman" w:cs="Times New Roman"/>
          <w:sz w:val="24"/>
          <w:szCs w:val="24"/>
        </w:rPr>
        <w:t>.</w:t>
      </w:r>
    </w:p>
    <w:p w:rsidR="00930ACB" w:rsidRDefault="00930ACB" w:rsidP="00BB56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F30BC">
        <w:rPr>
          <w:rFonts w:ascii="Times New Roman" w:hAnsi="Times New Roman" w:cs="Times New Roman"/>
          <w:sz w:val="24"/>
          <w:szCs w:val="24"/>
        </w:rPr>
        <w:t>Nalazi iz drugih istraž</w:t>
      </w:r>
      <w:r w:rsidR="009C749E">
        <w:rPr>
          <w:rFonts w:ascii="Times New Roman" w:hAnsi="Times New Roman" w:cs="Times New Roman"/>
          <w:sz w:val="24"/>
          <w:szCs w:val="24"/>
        </w:rPr>
        <w:t>ivanja</w:t>
      </w:r>
      <w:r w:rsidR="00AC08A8">
        <w:rPr>
          <w:rFonts w:ascii="Times New Roman" w:hAnsi="Times New Roman" w:cs="Times New Roman"/>
          <w:sz w:val="24"/>
          <w:szCs w:val="24"/>
        </w:rPr>
        <w:t xml:space="preserve"> su delimično u skladu sa dobijenim rezultatima u ovom istraživanju, s obzirom da je efekat jednog dela subskala potvrđen. Sa druge strane, stepen povezanosti </w:t>
      </w:r>
      <w:r w:rsidR="002E4034">
        <w:rPr>
          <w:rFonts w:ascii="Times New Roman" w:hAnsi="Times New Roman" w:cs="Times New Roman"/>
          <w:sz w:val="24"/>
          <w:szCs w:val="24"/>
        </w:rPr>
        <w:t>i prediktivna moć pojedinih fak</w:t>
      </w:r>
      <w:r w:rsidR="00AC08A8">
        <w:rPr>
          <w:rFonts w:ascii="Times New Roman" w:hAnsi="Times New Roman" w:cs="Times New Roman"/>
          <w:sz w:val="24"/>
          <w:szCs w:val="24"/>
        </w:rPr>
        <w:t>t</w:t>
      </w:r>
      <w:r w:rsidR="002E4034">
        <w:rPr>
          <w:rFonts w:ascii="Times New Roman" w:hAnsi="Times New Roman" w:cs="Times New Roman"/>
          <w:sz w:val="24"/>
          <w:szCs w:val="24"/>
        </w:rPr>
        <w:t>o</w:t>
      </w:r>
      <w:r w:rsidR="00AC08A8">
        <w:rPr>
          <w:rFonts w:ascii="Times New Roman" w:hAnsi="Times New Roman" w:cs="Times New Roman"/>
          <w:sz w:val="24"/>
          <w:szCs w:val="24"/>
        </w:rPr>
        <w:t>ra se razlikuje. Šta više, u istraživanju Pomplija i saradnika</w:t>
      </w:r>
      <w:r w:rsidR="00833F3F">
        <w:rPr>
          <w:rFonts w:ascii="Times New Roman" w:hAnsi="Times New Roman" w:cs="Times New Roman"/>
          <w:sz w:val="24"/>
          <w:szCs w:val="24"/>
        </w:rPr>
        <w:t xml:space="preserve"> (29)</w:t>
      </w:r>
      <w:r w:rsidR="00AC08A8">
        <w:rPr>
          <w:rFonts w:ascii="Times New Roman" w:hAnsi="Times New Roman" w:cs="Times New Roman"/>
          <w:sz w:val="24"/>
          <w:szCs w:val="24"/>
        </w:rPr>
        <w:t>, depresivnost se pokazala kao izrazito redudantan prediktor.</w:t>
      </w:r>
    </w:p>
    <w:p w:rsidR="00EB695B" w:rsidRDefault="00FB7384" w:rsidP="00BB56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57E62">
        <w:rPr>
          <w:rFonts w:ascii="Times New Roman" w:hAnsi="Times New Roman" w:cs="Times New Roman"/>
          <w:sz w:val="24"/>
          <w:szCs w:val="24"/>
        </w:rPr>
        <w:t xml:space="preserve">Uzevši sve u obzir, dobijeni rezultati daju nam za pravo da </w:t>
      </w:r>
      <w:r w:rsidR="00A42B55">
        <w:rPr>
          <w:rFonts w:ascii="Times New Roman" w:hAnsi="Times New Roman" w:cs="Times New Roman"/>
          <w:sz w:val="24"/>
          <w:szCs w:val="24"/>
        </w:rPr>
        <w:t>pretpostavimo da dati</w:t>
      </w:r>
      <w:r w:rsidR="00C57E62">
        <w:rPr>
          <w:rFonts w:ascii="Times New Roman" w:hAnsi="Times New Roman" w:cs="Times New Roman"/>
          <w:sz w:val="24"/>
          <w:szCs w:val="24"/>
        </w:rPr>
        <w:t xml:space="preserve"> psihopatološki faktori</w:t>
      </w:r>
      <w:r w:rsidR="00A42B55">
        <w:rPr>
          <w:rFonts w:ascii="Times New Roman" w:hAnsi="Times New Roman" w:cs="Times New Roman"/>
          <w:sz w:val="24"/>
          <w:szCs w:val="24"/>
        </w:rPr>
        <w:t xml:space="preserve"> izolovani</w:t>
      </w:r>
      <w:r w:rsidR="00C57E62">
        <w:rPr>
          <w:rFonts w:ascii="Times New Roman" w:hAnsi="Times New Roman" w:cs="Times New Roman"/>
          <w:sz w:val="24"/>
          <w:szCs w:val="24"/>
        </w:rPr>
        <w:t xml:space="preserve"> putem </w:t>
      </w:r>
      <w:r w:rsidR="00C57E62" w:rsidRPr="002E4034">
        <w:rPr>
          <w:rFonts w:ascii="Times New Roman" w:hAnsi="Times New Roman" w:cs="Times New Roman"/>
          <w:i/>
          <w:sz w:val="24"/>
          <w:szCs w:val="24"/>
        </w:rPr>
        <w:t>MMPI-a</w:t>
      </w:r>
      <w:r w:rsidR="005F4504">
        <w:rPr>
          <w:rFonts w:ascii="Times New Roman" w:hAnsi="Times New Roman" w:cs="Times New Roman"/>
          <w:i/>
          <w:sz w:val="24"/>
          <w:szCs w:val="24"/>
        </w:rPr>
        <w:t xml:space="preserve"> </w:t>
      </w:r>
      <w:r w:rsidR="00A42B55">
        <w:rPr>
          <w:rFonts w:ascii="Times New Roman" w:hAnsi="Times New Roman" w:cs="Times New Roman"/>
          <w:sz w:val="24"/>
          <w:szCs w:val="24"/>
        </w:rPr>
        <w:t xml:space="preserve">jesu povezani sa pitanjem suicidalnog </w:t>
      </w:r>
      <w:r w:rsidR="00A42B55">
        <w:rPr>
          <w:rFonts w:ascii="Times New Roman" w:hAnsi="Times New Roman" w:cs="Times New Roman"/>
          <w:sz w:val="24"/>
          <w:szCs w:val="24"/>
        </w:rPr>
        <w:lastRenderedPageBreak/>
        <w:t xml:space="preserve">ponašanja, sucidalnog rizika i uopšte suidalnosti. Ipak, na osnovu dodatnih analiza dolazimo do zaključaka da je samo jedan faktor prediktorski relevantan, kao i da se ne može izdvojiti kombinacija faktora koja bi ukazivala na specifičan profil ličnosti sklon suicidalnom ponašanju. </w:t>
      </w:r>
      <w:r w:rsidR="00EB695B">
        <w:rPr>
          <w:rFonts w:ascii="Times New Roman" w:hAnsi="Times New Roman" w:cs="Times New Roman"/>
          <w:sz w:val="24"/>
          <w:szCs w:val="24"/>
        </w:rPr>
        <w:t>Takođe, sagledavajući</w:t>
      </w:r>
      <w:r>
        <w:rPr>
          <w:rFonts w:ascii="Times New Roman" w:hAnsi="Times New Roman" w:cs="Times New Roman"/>
          <w:sz w:val="24"/>
          <w:szCs w:val="24"/>
        </w:rPr>
        <w:t xml:space="preserve"> raznolikost rezultata </w:t>
      </w:r>
      <w:r w:rsidR="00EB695B">
        <w:rPr>
          <w:rFonts w:ascii="Times New Roman" w:hAnsi="Times New Roman" w:cs="Times New Roman"/>
          <w:sz w:val="24"/>
          <w:szCs w:val="24"/>
        </w:rPr>
        <w:t>iz drugih istraživanja</w:t>
      </w:r>
      <w:r>
        <w:rPr>
          <w:rFonts w:ascii="Times New Roman" w:hAnsi="Times New Roman" w:cs="Times New Roman"/>
          <w:sz w:val="24"/>
          <w:szCs w:val="24"/>
        </w:rPr>
        <w:t xml:space="preserve">, bilo bi neosnovano tvrditi da rezultati ovog istraživanja predstavljaju definitivan dokaz </w:t>
      </w:r>
      <w:r w:rsidR="00EB695B">
        <w:rPr>
          <w:rFonts w:ascii="Times New Roman" w:hAnsi="Times New Roman" w:cs="Times New Roman"/>
          <w:sz w:val="24"/>
          <w:szCs w:val="24"/>
        </w:rPr>
        <w:t xml:space="preserve">o stepenu korisnosti </w:t>
      </w:r>
      <w:r w:rsidR="00EB695B" w:rsidRPr="002E4034">
        <w:rPr>
          <w:rFonts w:ascii="Times New Roman" w:hAnsi="Times New Roman" w:cs="Times New Roman"/>
          <w:i/>
          <w:sz w:val="24"/>
          <w:szCs w:val="24"/>
        </w:rPr>
        <w:t>MMPI</w:t>
      </w:r>
      <w:r w:rsidR="00EB695B">
        <w:rPr>
          <w:rFonts w:ascii="Times New Roman" w:hAnsi="Times New Roman" w:cs="Times New Roman"/>
          <w:sz w:val="24"/>
          <w:szCs w:val="24"/>
        </w:rPr>
        <w:t>-a u kontekstu suicidalnosti.</w:t>
      </w:r>
    </w:p>
    <w:p w:rsidR="009C749E" w:rsidRDefault="009C749E" w:rsidP="00BB56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Shodno prethodnom, iako postoji statistički potkrepljena osnova tvrdnje da su date psihopatološke karakteristike ličnosti izolovane  </w:t>
      </w:r>
      <w:r w:rsidRPr="002E4034">
        <w:rPr>
          <w:rFonts w:ascii="Times New Roman" w:hAnsi="Times New Roman" w:cs="Times New Roman"/>
          <w:i/>
          <w:sz w:val="24"/>
          <w:szCs w:val="24"/>
        </w:rPr>
        <w:t>MMPI</w:t>
      </w:r>
      <w:r>
        <w:rPr>
          <w:rFonts w:ascii="Times New Roman" w:hAnsi="Times New Roman" w:cs="Times New Roman"/>
          <w:sz w:val="24"/>
          <w:szCs w:val="24"/>
        </w:rPr>
        <w:t>-om</w:t>
      </w:r>
      <w:r w:rsidR="009158E7">
        <w:rPr>
          <w:rFonts w:ascii="Times New Roman" w:hAnsi="Times New Roman" w:cs="Times New Roman"/>
          <w:sz w:val="24"/>
          <w:szCs w:val="24"/>
        </w:rPr>
        <w:t xml:space="preserve"> povezane</w:t>
      </w:r>
      <w:r>
        <w:rPr>
          <w:rFonts w:ascii="Times New Roman" w:hAnsi="Times New Roman" w:cs="Times New Roman"/>
          <w:sz w:val="24"/>
          <w:szCs w:val="24"/>
        </w:rPr>
        <w:t xml:space="preserve"> sa merom suicidalnosti, ne mogu se dati smernice koje bi sa visokom pouzdanošću mogle biti korišćene u psihijatrisjkoj proceni. S toga, pretpostavlja se potreba za unapređenjem istraživačkog postupka. Po našem mišljenju, neophodna je dodatna specifikacija skorova dobijenih sa</w:t>
      </w:r>
      <w:r w:rsidR="005F4504">
        <w:rPr>
          <w:rFonts w:ascii="Times New Roman" w:hAnsi="Times New Roman" w:cs="Times New Roman"/>
          <w:sz w:val="24"/>
          <w:szCs w:val="24"/>
        </w:rPr>
        <w:t xml:space="preserve"> </w:t>
      </w:r>
      <w:r w:rsidRPr="002E4034">
        <w:rPr>
          <w:rFonts w:ascii="Times New Roman" w:hAnsi="Times New Roman" w:cs="Times New Roman"/>
          <w:i/>
          <w:sz w:val="24"/>
          <w:szCs w:val="24"/>
        </w:rPr>
        <w:t>MMPI</w:t>
      </w:r>
      <w:r>
        <w:rPr>
          <w:rFonts w:ascii="Times New Roman" w:hAnsi="Times New Roman" w:cs="Times New Roman"/>
          <w:sz w:val="24"/>
          <w:szCs w:val="24"/>
        </w:rPr>
        <w:t>-a. Pa tako, umesto obrade već postojećih 12 skala, predlaže se razlaganje testa na pojedinačne ajteme, gde bi svaki od njih bio tretitiran kao zasebna varijabla.</w:t>
      </w:r>
      <w:r w:rsidR="001470DE">
        <w:rPr>
          <w:rFonts w:ascii="Times New Roman" w:hAnsi="Times New Roman" w:cs="Times New Roman"/>
          <w:sz w:val="24"/>
          <w:szCs w:val="24"/>
        </w:rPr>
        <w:t xml:space="preserve"> Isto </w:t>
      </w:r>
      <w:r w:rsidR="00196E03">
        <w:rPr>
          <w:rFonts w:ascii="Times New Roman" w:hAnsi="Times New Roman" w:cs="Times New Roman"/>
          <w:sz w:val="24"/>
          <w:szCs w:val="24"/>
        </w:rPr>
        <w:t>to se može učiniti</w:t>
      </w:r>
      <w:r w:rsidR="001470DE">
        <w:rPr>
          <w:rFonts w:ascii="Times New Roman" w:hAnsi="Times New Roman" w:cs="Times New Roman"/>
          <w:sz w:val="24"/>
          <w:szCs w:val="24"/>
        </w:rPr>
        <w:t xml:space="preserve"> i sa </w:t>
      </w:r>
      <w:r w:rsidR="001470DE" w:rsidRPr="00D30F6D">
        <w:rPr>
          <w:rFonts w:ascii="Times New Roman" w:hAnsi="Times New Roman" w:cs="Times New Roman"/>
          <w:i/>
          <w:sz w:val="24"/>
          <w:szCs w:val="24"/>
        </w:rPr>
        <w:t>HAM-D</w:t>
      </w:r>
      <w:r w:rsidR="001470DE">
        <w:rPr>
          <w:rFonts w:ascii="Times New Roman" w:hAnsi="Times New Roman" w:cs="Times New Roman"/>
          <w:sz w:val="24"/>
          <w:szCs w:val="24"/>
        </w:rPr>
        <w:t xml:space="preserve"> skalom. </w:t>
      </w:r>
      <w:r>
        <w:rPr>
          <w:rFonts w:ascii="Times New Roman" w:hAnsi="Times New Roman" w:cs="Times New Roman"/>
          <w:sz w:val="24"/>
          <w:szCs w:val="24"/>
        </w:rPr>
        <w:t xml:space="preserve"> Regresionom i faktorskom analizom tako predstavljenih rezultata moguće je očekivati preciznije smernice o </w:t>
      </w:r>
      <w:r w:rsidR="009158E7">
        <w:rPr>
          <w:rFonts w:ascii="Times New Roman" w:hAnsi="Times New Roman" w:cs="Times New Roman"/>
          <w:sz w:val="24"/>
          <w:szCs w:val="24"/>
        </w:rPr>
        <w:t xml:space="preserve">važnosti pojedinih psihopatoloških konstrukta, kao i utvrđivanje potencijalno novih subskala u okviru testa koje bi bile u direktnoj vezi sa konstruktom suicidalnosti. </w:t>
      </w:r>
    </w:p>
    <w:p w:rsidR="009158E7" w:rsidRDefault="009158E7" w:rsidP="00BB56C3">
      <w:pPr>
        <w:spacing w:after="0" w:line="480" w:lineRule="auto"/>
        <w:jc w:val="both"/>
        <w:rPr>
          <w:rFonts w:ascii="Times New Roman" w:hAnsi="Times New Roman" w:cs="Times New Roman"/>
          <w:sz w:val="24"/>
          <w:szCs w:val="24"/>
        </w:rPr>
      </w:pPr>
    </w:p>
    <w:p w:rsidR="009158E7" w:rsidRPr="002E4034" w:rsidRDefault="009158E7" w:rsidP="009158E7">
      <w:pPr>
        <w:spacing w:after="0" w:line="480" w:lineRule="auto"/>
        <w:ind w:firstLine="720"/>
        <w:jc w:val="both"/>
        <w:rPr>
          <w:rFonts w:ascii="Times New Roman" w:hAnsi="Times New Roman" w:cs="Times New Roman"/>
          <w:b/>
          <w:i/>
          <w:sz w:val="24"/>
          <w:szCs w:val="24"/>
        </w:rPr>
      </w:pPr>
      <w:r w:rsidRPr="002E4034">
        <w:rPr>
          <w:rFonts w:ascii="Times New Roman" w:hAnsi="Times New Roman" w:cs="Times New Roman"/>
          <w:b/>
          <w:i/>
          <w:sz w:val="24"/>
          <w:szCs w:val="24"/>
        </w:rPr>
        <w:t>Ograničenja istraživačkog postupka</w:t>
      </w:r>
    </w:p>
    <w:p w:rsidR="00335D3F" w:rsidRDefault="009158E7" w:rsidP="00335D3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Glavna ograničenja ovog postupka se odnose na karakteristike uzorka. Tako izdvajamo tri, koja su potencijalno uticala na nalaze: 1) reprezentativnost uzorka – uzorak u ovom istraživanju ne predstavlja reprezentativni uzorak na nivou Republike Srbije; 2) veličina uzorka – na osnovu uočenih trendova u statističkoj obradi opravdana je pretpostavka da bi se povećanjem uzorka dobilo više značajnih rezultata; 3) Nema norm</w:t>
      </w:r>
      <w:r w:rsidR="007F6B64">
        <w:rPr>
          <w:rFonts w:ascii="Times New Roman" w:hAnsi="Times New Roman" w:cs="Times New Roman"/>
          <w:sz w:val="24"/>
          <w:szCs w:val="24"/>
        </w:rPr>
        <w:t>alne distribucije na varijabli u</w:t>
      </w:r>
      <w:r>
        <w:rPr>
          <w:rFonts w:ascii="Times New Roman" w:hAnsi="Times New Roman" w:cs="Times New Roman"/>
          <w:sz w:val="24"/>
          <w:szCs w:val="24"/>
        </w:rPr>
        <w:t>zrast.</w:t>
      </w:r>
    </w:p>
    <w:p w:rsidR="00724C17" w:rsidRPr="00335D3F" w:rsidRDefault="009158E7" w:rsidP="00335D3F">
      <w:pPr>
        <w:spacing w:after="0" w:line="480" w:lineRule="auto"/>
        <w:ind w:firstLine="720"/>
        <w:jc w:val="both"/>
        <w:rPr>
          <w:rFonts w:ascii="Times New Roman" w:hAnsi="Times New Roman" w:cs="Times New Roman"/>
          <w:sz w:val="24"/>
          <w:szCs w:val="24"/>
        </w:rPr>
      </w:pPr>
      <w:r w:rsidRPr="002E4034">
        <w:rPr>
          <w:rFonts w:ascii="Times New Roman" w:hAnsi="Times New Roman" w:cs="Times New Roman"/>
          <w:b/>
          <w:sz w:val="24"/>
          <w:szCs w:val="24"/>
        </w:rPr>
        <w:lastRenderedPageBreak/>
        <w:t>Zaključak</w:t>
      </w:r>
    </w:p>
    <w:p w:rsidR="001470DE" w:rsidRDefault="001470DE" w:rsidP="001470D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Pokazano je da su  depresivnost, paranoidnost, shizofrene odlike, psihoasteničnost, socijalna izolacija, anksioznost, psihopatska devijacija, kao i broj hospitalizacia povezani sa merenom suicidalnošću. Dodatnim analizama, je utvrđeno je da je najbolji i jedini pouzdani prediktor suicidalnosti</w:t>
      </w:r>
      <w:r w:rsidR="001F666B">
        <w:rPr>
          <w:rFonts w:ascii="Times New Roman" w:hAnsi="Times New Roman" w:cs="Times New Roman"/>
          <w:sz w:val="24"/>
          <w:szCs w:val="24"/>
        </w:rPr>
        <w:t xml:space="preserve"> depresivnost, i da se ostale dobijene povezanosti mogu tumačiti kroz prizmu tog odnosa. Sa druge strane, </w:t>
      </w:r>
      <w:r w:rsidR="001F666B" w:rsidRPr="00D30F6D">
        <w:rPr>
          <w:rFonts w:ascii="Times New Roman" w:hAnsi="Times New Roman" w:cs="Times New Roman"/>
          <w:i/>
          <w:sz w:val="24"/>
          <w:szCs w:val="24"/>
        </w:rPr>
        <w:t>MMPI</w:t>
      </w:r>
      <w:r w:rsidR="001F666B">
        <w:rPr>
          <w:rFonts w:ascii="Times New Roman" w:hAnsi="Times New Roman" w:cs="Times New Roman"/>
          <w:sz w:val="24"/>
          <w:szCs w:val="24"/>
        </w:rPr>
        <w:t xml:space="preserve"> predstavlja rasprotranjen i široko upotrebljavan test u psihodijagnosti, te zbog toga ovi rezultati koji ukazuju na  povezanost skorova sa testa i suicidalnosti i sucidalnog rizika imaju visok značaj. Ipak, karakteristike dobijenih rezultata u ovom istraživanju, iako načelno ukazuju na značaj </w:t>
      </w:r>
      <w:r w:rsidR="001F666B" w:rsidRPr="00D30F6D">
        <w:rPr>
          <w:rFonts w:ascii="Times New Roman" w:hAnsi="Times New Roman" w:cs="Times New Roman"/>
          <w:i/>
          <w:sz w:val="24"/>
          <w:szCs w:val="24"/>
        </w:rPr>
        <w:t>MMPI</w:t>
      </w:r>
      <w:r w:rsidR="001F666B">
        <w:rPr>
          <w:rFonts w:ascii="Times New Roman" w:hAnsi="Times New Roman" w:cs="Times New Roman"/>
          <w:sz w:val="24"/>
          <w:szCs w:val="24"/>
        </w:rPr>
        <w:t xml:space="preserve"> u ovom kontesktu, ne ostavljaju dovoljno prostora za formiranje konkretnih preporuka koje bi bile korišćene u svakodnevnoj praksi. </w:t>
      </w:r>
    </w:p>
    <w:p w:rsidR="001F666B" w:rsidRPr="002E4034" w:rsidRDefault="001F666B" w:rsidP="001470DE">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Uzimijaući u obzir sve, značaj ispitivanog fenomena, relevantnost testova, kao i dobijene rezultata, </w:t>
      </w:r>
      <w:r w:rsidR="001C64A2">
        <w:rPr>
          <w:rFonts w:ascii="Times New Roman" w:hAnsi="Times New Roman" w:cs="Times New Roman"/>
          <w:sz w:val="24"/>
          <w:szCs w:val="24"/>
        </w:rPr>
        <w:t>zaključujemo da su u budućnosti neophodna dodatna istraživanja, koja bi uključivala detaljniju elaboraciju i specifikaciju metode i merenog fenomena.</w:t>
      </w:r>
    </w:p>
    <w:p w:rsidR="009158E7" w:rsidRDefault="001470DE" w:rsidP="00915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553672" w:rsidRDefault="009158E7" w:rsidP="00915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553672" w:rsidRDefault="00553672" w:rsidP="009158E7">
      <w:pPr>
        <w:spacing w:after="0" w:line="480" w:lineRule="auto"/>
        <w:jc w:val="both"/>
        <w:rPr>
          <w:rFonts w:ascii="Times New Roman" w:hAnsi="Times New Roman" w:cs="Times New Roman"/>
          <w:sz w:val="24"/>
          <w:szCs w:val="24"/>
        </w:rPr>
      </w:pPr>
    </w:p>
    <w:p w:rsidR="00B27647" w:rsidRDefault="00B27647" w:rsidP="009A50EB">
      <w:pPr>
        <w:spacing w:after="0" w:line="480" w:lineRule="auto"/>
        <w:ind w:firstLine="720"/>
        <w:jc w:val="both"/>
        <w:rPr>
          <w:rFonts w:ascii="Times New Roman" w:hAnsi="Times New Roman" w:cs="Times New Roman"/>
          <w:sz w:val="24"/>
          <w:szCs w:val="24"/>
        </w:rPr>
      </w:pPr>
    </w:p>
    <w:p w:rsidR="00B27647" w:rsidRDefault="00B27647" w:rsidP="00B27647">
      <w:pPr>
        <w:spacing w:after="0" w:line="480" w:lineRule="auto"/>
        <w:jc w:val="both"/>
        <w:rPr>
          <w:rFonts w:ascii="Times New Roman" w:hAnsi="Times New Roman" w:cs="Times New Roman"/>
          <w:sz w:val="24"/>
          <w:szCs w:val="24"/>
        </w:rPr>
      </w:pPr>
    </w:p>
    <w:p w:rsidR="00B27647" w:rsidRPr="009A50EB" w:rsidRDefault="00B27647" w:rsidP="00B27647">
      <w:pPr>
        <w:spacing w:after="0" w:line="480" w:lineRule="auto"/>
        <w:jc w:val="both"/>
        <w:rPr>
          <w:rFonts w:ascii="Times New Roman" w:hAnsi="Times New Roman" w:cs="Times New Roman"/>
          <w:sz w:val="24"/>
          <w:szCs w:val="24"/>
        </w:rPr>
      </w:pPr>
    </w:p>
    <w:p w:rsidR="00854033" w:rsidRDefault="00854033" w:rsidP="001C64A2">
      <w:pPr>
        <w:spacing w:after="0" w:line="480" w:lineRule="auto"/>
        <w:jc w:val="both"/>
        <w:rPr>
          <w:rFonts w:ascii="Times New Roman" w:hAnsi="Times New Roman" w:cs="Times New Roman"/>
          <w:b/>
          <w:sz w:val="24"/>
          <w:szCs w:val="24"/>
        </w:rPr>
      </w:pPr>
    </w:p>
    <w:p w:rsidR="00854033" w:rsidRDefault="00854033" w:rsidP="001C64A2">
      <w:pPr>
        <w:spacing w:after="0" w:line="480" w:lineRule="auto"/>
        <w:jc w:val="both"/>
        <w:rPr>
          <w:rFonts w:ascii="Times New Roman" w:hAnsi="Times New Roman" w:cs="Times New Roman"/>
          <w:b/>
          <w:sz w:val="24"/>
          <w:szCs w:val="24"/>
        </w:rPr>
      </w:pPr>
    </w:p>
    <w:p w:rsidR="00854033" w:rsidRDefault="00854033" w:rsidP="001C64A2">
      <w:pPr>
        <w:spacing w:after="0" w:line="480" w:lineRule="auto"/>
        <w:jc w:val="both"/>
        <w:rPr>
          <w:rFonts w:ascii="Times New Roman" w:hAnsi="Times New Roman" w:cs="Times New Roman"/>
          <w:b/>
          <w:sz w:val="24"/>
          <w:szCs w:val="24"/>
        </w:rPr>
      </w:pPr>
    </w:p>
    <w:p w:rsidR="001C6F00" w:rsidRPr="001C64A2" w:rsidRDefault="005F4504" w:rsidP="001C64A2">
      <w:pPr>
        <w:spacing w:after="0" w:line="480" w:lineRule="auto"/>
        <w:jc w:val="both"/>
        <w:rPr>
          <w:rFonts w:ascii="Times New Roman" w:hAnsi="Times New Roman" w:cs="Times New Roman"/>
          <w:i/>
          <w:sz w:val="24"/>
          <w:szCs w:val="24"/>
        </w:rPr>
      </w:pPr>
      <w:r>
        <w:rPr>
          <w:rFonts w:ascii="Times New Roman" w:hAnsi="Times New Roman" w:cs="Times New Roman"/>
          <w:b/>
          <w:sz w:val="24"/>
          <w:szCs w:val="24"/>
        </w:rPr>
        <w:lastRenderedPageBreak/>
        <w:t>Literatura</w:t>
      </w:r>
    </w:p>
    <w:p w:rsidR="005F4504" w:rsidRDefault="005F4504" w:rsidP="002E0222">
      <w:pPr>
        <w:spacing w:after="0" w:line="240" w:lineRule="auto"/>
        <w:jc w:val="both"/>
        <w:rPr>
          <w:rFonts w:ascii="Times New Roman" w:hAnsi="Times New Roman" w:cs="Times New Roman"/>
          <w:sz w:val="24"/>
          <w:szCs w:val="24"/>
        </w:rPr>
      </w:pP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 Jans T, Taneli Y, Warnke, A. Suicide and self-harming behaviour. In</w:t>
      </w:r>
      <w:r w:rsidR="00675EB6">
        <w:rPr>
          <w:rFonts w:ascii="Times New Roman" w:hAnsi="Times New Roman" w:cs="Times New Roman"/>
          <w:sz w:val="24"/>
          <w:szCs w:val="24"/>
        </w:rPr>
        <w:t>:</w:t>
      </w:r>
      <w:r w:rsidRPr="005F4504">
        <w:rPr>
          <w:rFonts w:ascii="Times New Roman" w:hAnsi="Times New Roman" w:cs="Times New Roman"/>
          <w:sz w:val="24"/>
          <w:szCs w:val="24"/>
        </w:rPr>
        <w:t xml:space="preserve"> Rey JM editor. IACAPAP e-</w:t>
      </w:r>
      <w:r w:rsidRPr="005F4504">
        <w:rPr>
          <w:rFonts w:ascii="Times New Roman" w:hAnsi="Times New Roman" w:cs="Times New Roman"/>
          <w:iCs/>
          <w:sz w:val="24"/>
          <w:szCs w:val="24"/>
        </w:rPr>
        <w:t>Textbook of Child and Adolescent Mental Health</w:t>
      </w:r>
      <w:r w:rsidRPr="005F4504">
        <w:rPr>
          <w:rFonts w:ascii="Times New Roman" w:hAnsi="Times New Roman" w:cs="Times New Roman"/>
          <w:sz w:val="24"/>
          <w:szCs w:val="24"/>
        </w:rPr>
        <w:t>. Geneva: International Association for Child and Adolescent Psychiatry and Allied Professions; 2012. p.47-71.</w:t>
      </w:r>
    </w:p>
    <w:p w:rsidR="005F4504" w:rsidRPr="005F4504" w:rsidRDefault="005F4504" w:rsidP="00730338">
      <w:pPr>
        <w:pStyle w:val="EndNoteBibliography"/>
        <w:spacing w:after="0" w:line="480" w:lineRule="auto"/>
        <w:rPr>
          <w:rFonts w:ascii="Times New Roman" w:hAnsi="Times New Roman" w:cs="Times New Roman"/>
          <w:bCs/>
          <w:sz w:val="24"/>
          <w:szCs w:val="24"/>
        </w:rPr>
      </w:pPr>
      <w:r w:rsidRPr="005F4504">
        <w:rPr>
          <w:rFonts w:ascii="Times New Roman" w:hAnsi="Times New Roman" w:cs="Times New Roman"/>
          <w:sz w:val="24"/>
          <w:szCs w:val="24"/>
        </w:rPr>
        <w:t xml:space="preserve">2. Stanojević A, Nenadović M, Milošević D, Popović I. </w:t>
      </w:r>
      <w:r w:rsidRPr="005F4504">
        <w:rPr>
          <w:rFonts w:ascii="Times New Roman" w:hAnsi="Times New Roman" w:cs="Times New Roman"/>
          <w:bCs/>
          <w:sz w:val="24"/>
          <w:szCs w:val="24"/>
        </w:rPr>
        <w:t>Faktori rizika za suicidalno ponašanje kod afektivnih poremećaja. Praxis medica 2016; 45(1): 23-28.</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bCs/>
          <w:sz w:val="24"/>
          <w:szCs w:val="24"/>
        </w:rPr>
        <w:t xml:space="preserve">3. </w:t>
      </w:r>
      <w:r w:rsidRPr="005F4504">
        <w:rPr>
          <w:rFonts w:ascii="Times New Roman" w:hAnsi="Times New Roman" w:cs="Times New Roman"/>
          <w:sz w:val="24"/>
          <w:szCs w:val="24"/>
        </w:rPr>
        <w:t>Troister T. A prospective study of psychache and its relationship to suicidality. (dissertation). Queen’s University; 2009.</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 xml:space="preserve">4. Gangwisch J. Suicide risk Assessment. </w:t>
      </w:r>
      <w:r w:rsidRPr="005F4504">
        <w:rPr>
          <w:rFonts w:ascii="Times New Roman" w:hAnsi="Times New Roman" w:cs="Times New Roman"/>
          <w:iCs/>
          <w:sz w:val="24"/>
          <w:szCs w:val="24"/>
        </w:rPr>
        <w:t>CML – Psychiatry 2010;</w:t>
      </w:r>
      <w:r w:rsidRPr="005F4504">
        <w:rPr>
          <w:rFonts w:ascii="Times New Roman" w:hAnsi="Times New Roman" w:cs="Times New Roman"/>
          <w:i/>
          <w:iCs/>
          <w:sz w:val="24"/>
          <w:szCs w:val="24"/>
        </w:rPr>
        <w:t xml:space="preserve"> </w:t>
      </w:r>
      <w:r w:rsidRPr="005F4504">
        <w:rPr>
          <w:rFonts w:ascii="Times New Roman" w:hAnsi="Times New Roman" w:cs="Times New Roman"/>
          <w:sz w:val="24"/>
          <w:szCs w:val="24"/>
        </w:rPr>
        <w:t xml:space="preserve">21(4): 113–119. </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5. Brown GK, Beck AT, Steer RA, Grisham JR. Risk factors for suicide in psychiatric outpatients: a 20-year prospective study. J Consult Clin Psychol</w:t>
      </w:r>
      <w:r w:rsidR="00675EB6">
        <w:rPr>
          <w:rFonts w:ascii="Times New Roman" w:hAnsi="Times New Roman" w:cs="Times New Roman"/>
          <w:sz w:val="24"/>
          <w:szCs w:val="24"/>
        </w:rPr>
        <w:t>.</w:t>
      </w:r>
      <w:r w:rsidRPr="005F4504">
        <w:rPr>
          <w:rFonts w:ascii="Times New Roman" w:hAnsi="Times New Roman" w:cs="Times New Roman"/>
          <w:sz w:val="24"/>
          <w:szCs w:val="24"/>
        </w:rPr>
        <w:t xml:space="preserve"> 2000; 68:371-7 </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6. Haney EM, O’Neil ME, Carson S, et al. Suicide Risk Factors and Risk Assessment Tools: A Systematic Review. Washington (DC): Department of Veterans Affairs; 2012</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7. Arsenault-Lapierre GKC, Turecki G. Psychiatric diagnoses in 3275 suicides: a meta-analysis. BMC Psychiatry 2004; 4:37</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8. Keith Hawton CC, Kate Saunders, Camilla Haw, et al. University of Oxford’s Centre for Suicide Research. Clinical Guide: Assessment of suicide risk in people with depression [online] [Accessed on January 13 2017]. Available from URL </w:t>
      </w:r>
      <w:hyperlink r:id="rId9" w:history="1">
        <w:r w:rsidRPr="005F4504">
          <w:rPr>
            <w:rStyle w:val="Hyperlink"/>
            <w:rFonts w:ascii="Times New Roman" w:hAnsi="Times New Roman" w:cs="Times New Roman"/>
            <w:sz w:val="24"/>
            <w:szCs w:val="24"/>
          </w:rPr>
          <w:t>http://cebmh.warne.ox.ac.uk/csr/Clinical_guide_assessing_suicide_risk.pdf</w:t>
        </w:r>
      </w:hyperlink>
      <w:r w:rsidRPr="005F4504">
        <w:rPr>
          <w:rFonts w:ascii="Times New Roman" w:hAnsi="Times New Roman" w:cs="Times New Roman"/>
          <w:sz w:val="24"/>
          <w:szCs w:val="24"/>
        </w:rPr>
        <w:t> .</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9. Cvjetković-Bošnjak M, Soldatović-Spajić B. Suicidalni rizik u depresivnih pacijenata. Med preg</w:t>
      </w:r>
      <w:r w:rsidR="00675EB6">
        <w:rPr>
          <w:rFonts w:ascii="Times New Roman" w:hAnsi="Times New Roman" w:cs="Times New Roman"/>
          <w:sz w:val="24"/>
          <w:szCs w:val="24"/>
        </w:rPr>
        <w:t>.</w:t>
      </w:r>
      <w:r w:rsidRPr="005F4504">
        <w:rPr>
          <w:rFonts w:ascii="Times New Roman" w:hAnsi="Times New Roman" w:cs="Times New Roman"/>
          <w:sz w:val="24"/>
          <w:szCs w:val="24"/>
        </w:rPr>
        <w:t xml:space="preserve"> 2003; 506(1-2): 76-79.</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10. APA. Practice Guideline For The Assessment and Treatment of Patients With Suicidal Behaviors. Am J Psych 2003; 160: 1-60.</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lastRenderedPageBreak/>
        <w:t>11. Oquendo MA, Bernanke JA. Suicide risk assessment: tools and challenges. World Psychiatry. 2017;16(1):28-9.</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12. Stringer B, van Meijel B, Eikelenboom M, et al. Recurrent suicide attempts in patients with depressive and anxiety disorders: the role of borderline personality traits. J Affect Disord. 2013;151(1):23-30.</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13. Miller FT, Chabrier LA. Suicide attempts correlate with delusional content in major depression. Psychopathology. 1988;21(1):34-7.</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14.</w:t>
      </w:r>
      <w:bookmarkStart w:id="0" w:name="_GoBack"/>
      <w:bookmarkEnd w:id="0"/>
      <w:r w:rsidRPr="005F4504">
        <w:rPr>
          <w:rFonts w:ascii="Times New Roman" w:hAnsi="Times New Roman" w:cs="Times New Roman"/>
          <w:sz w:val="24"/>
          <w:szCs w:val="24"/>
        </w:rPr>
        <w:t xml:space="preserve"> Fuller-Thomson E, Hollister B. Schizophrenia and Suicide Attempts: Findings from a Representative Community-Based Canadian Sample. Schizophr Res Treatment. 2016;</w:t>
      </w:r>
      <w:r w:rsidR="00675EB6">
        <w:rPr>
          <w:rFonts w:ascii="Times New Roman" w:hAnsi="Times New Roman" w:cs="Times New Roman"/>
          <w:sz w:val="24"/>
          <w:szCs w:val="24"/>
        </w:rPr>
        <w:t xml:space="preserve"> </w:t>
      </w:r>
      <w:r w:rsidRPr="005F4504">
        <w:rPr>
          <w:rFonts w:ascii="Times New Roman" w:hAnsi="Times New Roman" w:cs="Times New Roman"/>
          <w:sz w:val="24"/>
          <w:szCs w:val="24"/>
        </w:rPr>
        <w:t>2016:3165243.</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15. Oglesby ME, Capron DW, Raines AM, Schmidt NB. Anxiety sensitivity cognitive concerns predict suicide risk. Psychiatry Res. 2015;226(1):252-6.</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16. Thibodeau MA, Welch PG, Sareen J, Asmundson GJ. Anxiety disorders are independently associated with suicide ideation and attempts: propensity score matching in two epidemiological samples. Depress Anxiety. 2013;30(10):947-54.</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17. Buckner JD, Lemke AW, Jeffries ER, Shah SM. Social anxiety and suicidal ideation: Test of the utility of the interpersonal-psychological theory of suicide. J Anxiety Disord. 2017;45:60-3.</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18. Koller G, Preuss UW, Bottlender M, Wenzel K, Soyka M. Impulsivity and aggression as predictors of suicide attempts in alcoholics. Eur Arch Psychiatry Clin Neurosci. 2002;252(4):155-60.</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19. Michaelis BH, Goldberg JF, Davis GP, Singer TM, Garno JL, Wenze SJ. Dimensions of impulsivity and aggression associated with suicide attempts among bipolar patients: a preliminary study. Suicide Life Threat Behav. 2004;34(2):172-6.</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lastRenderedPageBreak/>
        <w:t>20. Trout DL. The role of social isolation in suicide. Suicide Life Threat Behav. 1980;10(1):10-23.</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21. Fernandez de la Cruz L, Rydell M, Runeson B, et al. Suicide in obsessive-compulsive disorder: a population-based study of 36 788 Swedish patients. Mol Psychiatry. 2016.</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22. Osman  A, Bagge  CL, Gutierrez  PM, Konick  LC, Kopper  BA, Barrios  FX.  The Suicidal Behaviors Questionnaire-Revised (SBQ-R): validation with clinical and nonclinical samples. </w:t>
      </w:r>
      <w:r w:rsidRPr="005F4504">
        <w:rPr>
          <w:rFonts w:ascii="Times New Roman" w:hAnsi="Times New Roman" w:cs="Times New Roman"/>
          <w:i/>
          <w:iCs/>
          <w:sz w:val="24"/>
          <w:szCs w:val="24"/>
        </w:rPr>
        <w:t>Assessment</w:t>
      </w:r>
      <w:r w:rsidRPr="005F4504">
        <w:rPr>
          <w:rFonts w:ascii="Times New Roman" w:hAnsi="Times New Roman" w:cs="Times New Roman"/>
          <w:sz w:val="24"/>
          <w:szCs w:val="24"/>
        </w:rPr>
        <w:t>. 2001;8(4):443-454.</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23. Biro M. Dijagnostička procena ličnosti (MMPI-202). Novi Sad: Futura publikacije i Filozofski fakultet; 1995.</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24. Groth-Marnat G. Handbook of Psychological Assessment. NJ: John Wiley and Sons; 2009.</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25. Hamilton M. A rating scale for depression. J Neurol Neurosurg Psychiatry 1960; 23:56–62</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26. Stage KB, Bech P, Kragh-Sorensen P, Nair NP, Katona C. Differences in symptomatology and diagnostic profile in younger and elderly depressed inpatients.</w:t>
      </w:r>
      <w:r w:rsidR="00675EB6">
        <w:rPr>
          <w:rFonts w:ascii="Times New Roman" w:hAnsi="Times New Roman" w:cs="Times New Roman"/>
          <w:sz w:val="24"/>
          <w:szCs w:val="24"/>
        </w:rPr>
        <w:t xml:space="preserve"> Journal of Affective Disorders</w:t>
      </w:r>
      <w:r w:rsidRPr="005F4504">
        <w:rPr>
          <w:rFonts w:ascii="Times New Roman" w:hAnsi="Times New Roman" w:cs="Times New Roman"/>
          <w:sz w:val="24"/>
          <w:szCs w:val="24"/>
        </w:rPr>
        <w:t xml:space="preserve"> 2001; 64: 239–248.</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27. Glassmire DM, Stolberg RA, Greene RL, Bongar B. The utility of MMPI-2 suicide items for assessing suicidal potential: development of a Suicid</w:t>
      </w:r>
      <w:r w:rsidR="00675EB6">
        <w:rPr>
          <w:rFonts w:ascii="Times New Roman" w:hAnsi="Times New Roman" w:cs="Times New Roman"/>
          <w:sz w:val="24"/>
          <w:szCs w:val="24"/>
        </w:rPr>
        <w:t xml:space="preserve">al Potential Scale. Assessment </w:t>
      </w:r>
      <w:r w:rsidRPr="005F4504">
        <w:rPr>
          <w:rFonts w:ascii="Times New Roman" w:hAnsi="Times New Roman" w:cs="Times New Roman"/>
          <w:sz w:val="24"/>
          <w:szCs w:val="24"/>
        </w:rPr>
        <w:t>2001;8(3):281-90.</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28. Kopper BA, Osman A, Barrios FX. Assessment of suicidal ideation in young men and women: the incremental validity of the MMPI-2 content scales. Death Stud. 2001;25(7):593-607.</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sz w:val="24"/>
          <w:szCs w:val="24"/>
        </w:rPr>
        <w:t>29. Pompili M, Rihmer Z, Akiskal HS,  et al. Temperament and personality dimensions in suicidal and nonsuicidal psychiatric inpatients. Psychopathology. 2008;41(5):313-21.</w:t>
      </w:r>
    </w:p>
    <w:p w:rsidR="005F4504" w:rsidRPr="005F4504" w:rsidRDefault="005F4504" w:rsidP="00730338">
      <w:pPr>
        <w:pStyle w:val="EndNoteBibliography"/>
        <w:spacing w:after="0" w:line="480" w:lineRule="auto"/>
        <w:rPr>
          <w:rFonts w:ascii="Times New Roman" w:hAnsi="Times New Roman" w:cs="Times New Roman"/>
          <w:sz w:val="24"/>
          <w:szCs w:val="24"/>
        </w:rPr>
      </w:pPr>
      <w:r w:rsidRPr="005F4504">
        <w:rPr>
          <w:rFonts w:ascii="Times New Roman" w:hAnsi="Times New Roman" w:cs="Times New Roman"/>
          <w:bCs/>
          <w:sz w:val="24"/>
          <w:szCs w:val="24"/>
        </w:rPr>
        <w:t>30. Kene P. Utility of the Personality Assessment Inventory in Assessing Suicide Risk (dissertation). Toledo: The University of Toledo; 2007.</w:t>
      </w: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730338" w:rsidRDefault="00730338"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1C64A2" w:rsidRDefault="001C64A2" w:rsidP="005F4504">
      <w:pPr>
        <w:pStyle w:val="EndNoteBibliography"/>
        <w:rPr>
          <w:rFonts w:ascii="Times New Roman" w:hAnsi="Times New Roman" w:cs="Times New Roman"/>
          <w:b/>
          <w:sz w:val="24"/>
          <w:szCs w:val="24"/>
        </w:rPr>
      </w:pPr>
    </w:p>
    <w:p w:rsidR="00854033" w:rsidRDefault="00854033" w:rsidP="005F4504">
      <w:pPr>
        <w:pStyle w:val="EndNoteBibliography"/>
        <w:rPr>
          <w:rFonts w:ascii="Times New Roman" w:hAnsi="Times New Roman" w:cs="Times New Roman"/>
          <w:b/>
          <w:sz w:val="24"/>
          <w:szCs w:val="24"/>
        </w:rPr>
      </w:pPr>
    </w:p>
    <w:p w:rsidR="00335D3F" w:rsidRDefault="00335D3F" w:rsidP="005F4504">
      <w:pPr>
        <w:pStyle w:val="EndNoteBibliography"/>
        <w:rPr>
          <w:rFonts w:ascii="Times New Roman" w:hAnsi="Times New Roman" w:cs="Times New Roman"/>
          <w:b/>
          <w:sz w:val="24"/>
          <w:szCs w:val="24"/>
        </w:rPr>
      </w:pPr>
    </w:p>
    <w:p w:rsidR="00335D3F" w:rsidRDefault="00335D3F" w:rsidP="005F4504">
      <w:pPr>
        <w:pStyle w:val="EndNoteBibliography"/>
        <w:rPr>
          <w:rFonts w:ascii="Times New Roman" w:hAnsi="Times New Roman" w:cs="Times New Roman"/>
          <w:b/>
          <w:sz w:val="24"/>
          <w:szCs w:val="24"/>
        </w:rPr>
      </w:pPr>
    </w:p>
    <w:p w:rsidR="00335D3F" w:rsidRDefault="00335D3F" w:rsidP="005F4504">
      <w:pPr>
        <w:pStyle w:val="EndNoteBibliography"/>
        <w:rPr>
          <w:rFonts w:ascii="Times New Roman" w:hAnsi="Times New Roman" w:cs="Times New Roman"/>
          <w:b/>
          <w:sz w:val="24"/>
          <w:szCs w:val="24"/>
        </w:rPr>
      </w:pPr>
    </w:p>
    <w:p w:rsidR="00335D3F" w:rsidRDefault="00335D3F"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5F4504" w:rsidRDefault="00730338" w:rsidP="005F4504">
      <w:pPr>
        <w:pStyle w:val="EndNoteBibliography"/>
        <w:rPr>
          <w:rFonts w:ascii="Times New Roman" w:hAnsi="Times New Roman" w:cs="Times New Roman"/>
          <w:sz w:val="24"/>
          <w:szCs w:val="24"/>
        </w:rPr>
      </w:pPr>
      <w:r w:rsidRPr="00730338">
        <w:rPr>
          <w:rFonts w:ascii="Times New Roman" w:hAnsi="Times New Roman" w:cs="Times New Roman"/>
          <w:b/>
          <w:sz w:val="24"/>
          <w:szCs w:val="24"/>
        </w:rPr>
        <w:lastRenderedPageBreak/>
        <w:t xml:space="preserve">Prilog </w:t>
      </w:r>
      <w:r w:rsidR="00D30F6D">
        <w:rPr>
          <w:rFonts w:ascii="Times New Roman" w:hAnsi="Times New Roman" w:cs="Times New Roman"/>
          <w:b/>
          <w:sz w:val="24"/>
          <w:szCs w:val="24"/>
        </w:rP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29"/>
        <w:gridCol w:w="1432"/>
        <w:gridCol w:w="1134"/>
        <w:gridCol w:w="1134"/>
      </w:tblGrid>
      <w:tr w:rsidR="00730338" w:rsidRPr="000A0DB9" w:rsidTr="00E42345">
        <w:trPr>
          <w:trHeight w:val="270"/>
        </w:trPr>
        <w:tc>
          <w:tcPr>
            <w:tcW w:w="5529" w:type="dxa"/>
            <w:gridSpan w:val="4"/>
            <w:vAlign w:val="center"/>
          </w:tcPr>
          <w:p w:rsidR="00730338" w:rsidRDefault="00730338" w:rsidP="00E42345">
            <w:pPr>
              <w:spacing w:line="320" w:lineRule="atLeast"/>
            </w:pPr>
            <w:r>
              <w:t>Tabela 1</w:t>
            </w:r>
          </w:p>
          <w:p w:rsidR="00730338" w:rsidRPr="000A0DB9" w:rsidRDefault="00730338" w:rsidP="00E42345">
            <w:pPr>
              <w:spacing w:line="320" w:lineRule="atLeast"/>
            </w:pPr>
            <w:r w:rsidRPr="000A0DB9">
              <w:rPr>
                <w:i/>
              </w:rPr>
              <w:t>Raspodela varijable Pol po Grupi</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1" w:type="dxa"/>
            <w:gridSpan w:val="2"/>
            <w:vMerge w:val="restart"/>
            <w:tcBorders>
              <w:top w:val="nil"/>
              <w:left w:val="nil"/>
              <w:right w:val="nil"/>
            </w:tcBorders>
            <w:vAlign w:val="center"/>
          </w:tcPr>
          <w:p w:rsidR="00730338" w:rsidRPr="00FB07EF" w:rsidRDefault="00730338" w:rsidP="00E42345">
            <w:pPr>
              <w:spacing w:line="320" w:lineRule="atLeast"/>
              <w:jc w:val="center"/>
              <w:rPr>
                <w:sz w:val="20"/>
              </w:rPr>
            </w:pPr>
            <w:r w:rsidRPr="00FB07EF">
              <w:rPr>
                <w:sz w:val="20"/>
              </w:rPr>
              <w:t>Grupa</w:t>
            </w:r>
          </w:p>
        </w:tc>
        <w:tc>
          <w:tcPr>
            <w:tcW w:w="2268" w:type="dxa"/>
            <w:gridSpan w:val="2"/>
            <w:tcBorders>
              <w:top w:val="nil"/>
              <w:left w:val="nil"/>
              <w:right w:val="nil"/>
            </w:tcBorders>
            <w:vAlign w:val="center"/>
          </w:tcPr>
          <w:p w:rsidR="00730338" w:rsidRPr="00FB07EF" w:rsidRDefault="00730338" w:rsidP="00E42345">
            <w:pPr>
              <w:spacing w:line="320" w:lineRule="atLeast"/>
              <w:jc w:val="center"/>
              <w:rPr>
                <w:sz w:val="20"/>
              </w:rPr>
            </w:pPr>
            <w:r w:rsidRPr="00FB07EF">
              <w:rPr>
                <w:sz w:val="20"/>
              </w:rPr>
              <w:t>Pol</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1" w:type="dxa"/>
            <w:gridSpan w:val="2"/>
            <w:vMerge/>
            <w:tcBorders>
              <w:left w:val="nil"/>
              <w:right w:val="nil"/>
            </w:tcBorders>
            <w:vAlign w:val="center"/>
          </w:tcPr>
          <w:p w:rsidR="00730338" w:rsidRPr="00FB07EF" w:rsidRDefault="00730338" w:rsidP="00E42345">
            <w:pPr>
              <w:spacing w:line="320" w:lineRule="atLeast"/>
              <w:rPr>
                <w:sz w:val="20"/>
              </w:rPr>
            </w:pPr>
          </w:p>
        </w:tc>
        <w:tc>
          <w:tcPr>
            <w:tcW w:w="1134" w:type="dxa"/>
            <w:tcBorders>
              <w:left w:val="nil"/>
              <w:right w:val="nil"/>
            </w:tcBorders>
            <w:vAlign w:val="center"/>
          </w:tcPr>
          <w:p w:rsidR="00730338" w:rsidRPr="00FB07EF" w:rsidRDefault="00730338" w:rsidP="00E42345">
            <w:pPr>
              <w:spacing w:line="320" w:lineRule="atLeast"/>
              <w:jc w:val="center"/>
              <w:rPr>
                <w:sz w:val="20"/>
              </w:rPr>
            </w:pPr>
            <w:r w:rsidRPr="00FB07EF">
              <w:rPr>
                <w:sz w:val="20"/>
              </w:rPr>
              <w:t>Muški</w:t>
            </w:r>
          </w:p>
        </w:tc>
        <w:tc>
          <w:tcPr>
            <w:tcW w:w="1134" w:type="dxa"/>
            <w:tcBorders>
              <w:left w:val="nil"/>
              <w:right w:val="nil"/>
            </w:tcBorders>
            <w:vAlign w:val="center"/>
          </w:tcPr>
          <w:p w:rsidR="00730338" w:rsidRPr="00FB07EF" w:rsidRDefault="00730338" w:rsidP="00E42345">
            <w:pPr>
              <w:spacing w:line="320" w:lineRule="atLeast"/>
              <w:jc w:val="center"/>
              <w:rPr>
                <w:sz w:val="20"/>
              </w:rPr>
            </w:pPr>
            <w:r w:rsidRPr="00FB07EF">
              <w:rPr>
                <w:sz w:val="20"/>
              </w:rPr>
              <w:t>Ženski</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1829" w:type="dxa"/>
            <w:vMerge w:val="restart"/>
            <w:tcBorders>
              <w:left w:val="nil"/>
              <w:right w:val="nil"/>
            </w:tcBorders>
            <w:vAlign w:val="center"/>
          </w:tcPr>
          <w:p w:rsidR="00730338" w:rsidRPr="00FB07EF" w:rsidRDefault="00730338" w:rsidP="00E42345">
            <w:pPr>
              <w:spacing w:line="320" w:lineRule="atLeast"/>
              <w:rPr>
                <w:sz w:val="20"/>
              </w:rPr>
            </w:pPr>
            <w:r>
              <w:rPr>
                <w:sz w:val="20"/>
              </w:rPr>
              <w:t>Pokušao suicid</w:t>
            </w:r>
          </w:p>
        </w:tc>
        <w:tc>
          <w:tcPr>
            <w:tcW w:w="1432" w:type="dxa"/>
            <w:tcBorders>
              <w:left w:val="nil"/>
              <w:bottom w:val="nil"/>
              <w:right w:val="nil"/>
            </w:tcBorders>
            <w:vAlign w:val="center"/>
          </w:tcPr>
          <w:p w:rsidR="00730338" w:rsidRPr="00FB07EF" w:rsidRDefault="00730338" w:rsidP="00E42345">
            <w:pPr>
              <w:spacing w:line="320" w:lineRule="atLeast"/>
              <w:jc w:val="center"/>
              <w:rPr>
                <w:sz w:val="20"/>
              </w:rPr>
            </w:pPr>
            <w:r w:rsidRPr="00FB07EF">
              <w:rPr>
                <w:sz w:val="20"/>
              </w:rPr>
              <w:t>Učestalost</w:t>
            </w:r>
          </w:p>
        </w:tc>
        <w:tc>
          <w:tcPr>
            <w:tcW w:w="1134" w:type="dxa"/>
            <w:tcBorders>
              <w:left w:val="nil"/>
              <w:bottom w:val="nil"/>
              <w:right w:val="nil"/>
            </w:tcBorders>
            <w:vAlign w:val="center"/>
          </w:tcPr>
          <w:p w:rsidR="00730338" w:rsidRPr="00FB07EF" w:rsidRDefault="00730338" w:rsidP="00E42345">
            <w:pPr>
              <w:spacing w:line="320" w:lineRule="atLeast"/>
              <w:jc w:val="center"/>
              <w:rPr>
                <w:sz w:val="20"/>
              </w:rPr>
            </w:pPr>
            <w:r>
              <w:rPr>
                <w:sz w:val="20"/>
              </w:rPr>
              <w:t>4</w:t>
            </w:r>
          </w:p>
        </w:tc>
        <w:tc>
          <w:tcPr>
            <w:tcW w:w="1134" w:type="dxa"/>
            <w:tcBorders>
              <w:left w:val="nil"/>
              <w:bottom w:val="nil"/>
              <w:right w:val="nil"/>
            </w:tcBorders>
            <w:vAlign w:val="center"/>
          </w:tcPr>
          <w:p w:rsidR="00730338" w:rsidRPr="00FB07EF" w:rsidRDefault="00730338" w:rsidP="00E42345">
            <w:pPr>
              <w:spacing w:line="320" w:lineRule="atLeast"/>
              <w:jc w:val="center"/>
              <w:rPr>
                <w:sz w:val="20"/>
              </w:rPr>
            </w:pPr>
            <w:r>
              <w:rPr>
                <w:sz w:val="20"/>
              </w:rPr>
              <w:t>7</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1829" w:type="dxa"/>
            <w:vMerge/>
            <w:tcBorders>
              <w:left w:val="nil"/>
              <w:bottom w:val="nil"/>
              <w:right w:val="nil"/>
            </w:tcBorders>
            <w:vAlign w:val="center"/>
          </w:tcPr>
          <w:p w:rsidR="00730338" w:rsidRPr="00FB07EF" w:rsidRDefault="00730338" w:rsidP="00E42345">
            <w:pPr>
              <w:spacing w:line="320" w:lineRule="atLeast"/>
              <w:rPr>
                <w:sz w:val="20"/>
              </w:rPr>
            </w:pPr>
          </w:p>
        </w:tc>
        <w:tc>
          <w:tcPr>
            <w:tcW w:w="1432" w:type="dxa"/>
            <w:tcBorders>
              <w:top w:val="nil"/>
              <w:left w:val="nil"/>
              <w:bottom w:val="nil"/>
              <w:right w:val="nil"/>
            </w:tcBorders>
            <w:vAlign w:val="center"/>
          </w:tcPr>
          <w:p w:rsidR="00730338" w:rsidRPr="00FB07EF" w:rsidRDefault="00730338" w:rsidP="00E42345">
            <w:pPr>
              <w:spacing w:line="320" w:lineRule="atLeast"/>
              <w:jc w:val="center"/>
              <w:rPr>
                <w:sz w:val="20"/>
              </w:rPr>
            </w:pPr>
            <w:r w:rsidRPr="00FB07EF">
              <w:rPr>
                <w:sz w:val="20"/>
              </w:rPr>
              <w:t>% po redu</w:t>
            </w:r>
          </w:p>
        </w:tc>
        <w:tc>
          <w:tcPr>
            <w:tcW w:w="1134" w:type="dxa"/>
            <w:tcBorders>
              <w:top w:val="nil"/>
              <w:left w:val="nil"/>
              <w:bottom w:val="nil"/>
              <w:right w:val="nil"/>
            </w:tcBorders>
            <w:vAlign w:val="center"/>
          </w:tcPr>
          <w:p w:rsidR="00730338" w:rsidRPr="00FB07EF" w:rsidRDefault="00730338" w:rsidP="00E42345">
            <w:pPr>
              <w:spacing w:line="320" w:lineRule="atLeast"/>
              <w:jc w:val="center"/>
              <w:rPr>
                <w:sz w:val="20"/>
              </w:rPr>
            </w:pPr>
            <w:r>
              <w:rPr>
                <w:sz w:val="20"/>
              </w:rPr>
              <w:t>36</w:t>
            </w:r>
            <w:r w:rsidRPr="00FB07EF">
              <w:rPr>
                <w:sz w:val="20"/>
              </w:rPr>
              <w:t>%</w:t>
            </w:r>
          </w:p>
        </w:tc>
        <w:tc>
          <w:tcPr>
            <w:tcW w:w="1134" w:type="dxa"/>
            <w:tcBorders>
              <w:top w:val="nil"/>
              <w:left w:val="nil"/>
              <w:bottom w:val="nil"/>
              <w:right w:val="nil"/>
            </w:tcBorders>
            <w:vAlign w:val="center"/>
          </w:tcPr>
          <w:p w:rsidR="00730338" w:rsidRPr="00FB07EF" w:rsidRDefault="00730338" w:rsidP="00E42345">
            <w:pPr>
              <w:spacing w:line="320" w:lineRule="atLeast"/>
              <w:jc w:val="center"/>
              <w:rPr>
                <w:sz w:val="20"/>
              </w:rPr>
            </w:pPr>
            <w:r>
              <w:rPr>
                <w:sz w:val="20"/>
              </w:rPr>
              <w:t>64</w:t>
            </w:r>
            <w:r w:rsidRPr="00FB07EF">
              <w:rPr>
                <w:sz w:val="20"/>
              </w:rPr>
              <w:t>%</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1829" w:type="dxa"/>
            <w:vMerge w:val="restart"/>
            <w:tcBorders>
              <w:top w:val="nil"/>
              <w:left w:val="nil"/>
              <w:right w:val="nil"/>
            </w:tcBorders>
            <w:vAlign w:val="center"/>
          </w:tcPr>
          <w:p w:rsidR="00730338" w:rsidRPr="00FB07EF" w:rsidRDefault="00730338" w:rsidP="00E42345">
            <w:pPr>
              <w:spacing w:line="320" w:lineRule="atLeast"/>
              <w:rPr>
                <w:sz w:val="20"/>
              </w:rPr>
            </w:pPr>
            <w:r>
              <w:rPr>
                <w:sz w:val="20"/>
              </w:rPr>
              <w:t>Nije pokušao suicid</w:t>
            </w:r>
          </w:p>
        </w:tc>
        <w:tc>
          <w:tcPr>
            <w:tcW w:w="1432" w:type="dxa"/>
            <w:tcBorders>
              <w:top w:val="nil"/>
              <w:left w:val="nil"/>
              <w:bottom w:val="nil"/>
              <w:right w:val="nil"/>
            </w:tcBorders>
            <w:vAlign w:val="center"/>
          </w:tcPr>
          <w:p w:rsidR="00730338" w:rsidRPr="00FB07EF" w:rsidRDefault="00730338" w:rsidP="00E42345">
            <w:pPr>
              <w:spacing w:line="320" w:lineRule="atLeast"/>
              <w:jc w:val="center"/>
              <w:rPr>
                <w:sz w:val="20"/>
              </w:rPr>
            </w:pPr>
            <w:r w:rsidRPr="00FB07EF">
              <w:rPr>
                <w:sz w:val="20"/>
              </w:rPr>
              <w:t>Učestalost</w:t>
            </w:r>
          </w:p>
        </w:tc>
        <w:tc>
          <w:tcPr>
            <w:tcW w:w="1134" w:type="dxa"/>
            <w:tcBorders>
              <w:top w:val="nil"/>
              <w:left w:val="nil"/>
              <w:bottom w:val="nil"/>
              <w:right w:val="nil"/>
            </w:tcBorders>
            <w:vAlign w:val="center"/>
          </w:tcPr>
          <w:p w:rsidR="00730338" w:rsidRPr="00FB07EF" w:rsidRDefault="00730338" w:rsidP="00E42345">
            <w:pPr>
              <w:spacing w:line="320" w:lineRule="atLeast"/>
              <w:jc w:val="center"/>
              <w:rPr>
                <w:sz w:val="20"/>
              </w:rPr>
            </w:pPr>
            <w:r>
              <w:rPr>
                <w:sz w:val="20"/>
              </w:rPr>
              <w:t>5</w:t>
            </w:r>
          </w:p>
        </w:tc>
        <w:tc>
          <w:tcPr>
            <w:tcW w:w="1134" w:type="dxa"/>
            <w:tcBorders>
              <w:top w:val="nil"/>
              <w:left w:val="nil"/>
              <w:bottom w:val="nil"/>
              <w:right w:val="nil"/>
            </w:tcBorders>
            <w:vAlign w:val="center"/>
          </w:tcPr>
          <w:p w:rsidR="00730338" w:rsidRPr="00FB07EF" w:rsidRDefault="00730338" w:rsidP="00E42345">
            <w:pPr>
              <w:spacing w:line="320" w:lineRule="atLeast"/>
              <w:jc w:val="center"/>
              <w:rPr>
                <w:sz w:val="20"/>
              </w:rPr>
            </w:pPr>
            <w:r>
              <w:rPr>
                <w:sz w:val="20"/>
              </w:rPr>
              <w:t>7</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1829" w:type="dxa"/>
            <w:vMerge/>
            <w:tcBorders>
              <w:left w:val="nil"/>
              <w:bottom w:val="nil"/>
              <w:right w:val="nil"/>
            </w:tcBorders>
            <w:vAlign w:val="center"/>
          </w:tcPr>
          <w:p w:rsidR="00730338" w:rsidRPr="00FB07EF" w:rsidRDefault="00730338" w:rsidP="00E42345">
            <w:pPr>
              <w:spacing w:line="320" w:lineRule="atLeast"/>
              <w:rPr>
                <w:sz w:val="20"/>
              </w:rPr>
            </w:pPr>
          </w:p>
        </w:tc>
        <w:tc>
          <w:tcPr>
            <w:tcW w:w="1432" w:type="dxa"/>
            <w:tcBorders>
              <w:top w:val="nil"/>
              <w:left w:val="nil"/>
              <w:bottom w:val="nil"/>
              <w:right w:val="nil"/>
            </w:tcBorders>
            <w:vAlign w:val="center"/>
          </w:tcPr>
          <w:p w:rsidR="00730338" w:rsidRPr="00FB07EF" w:rsidRDefault="00730338" w:rsidP="00E42345">
            <w:pPr>
              <w:spacing w:line="320" w:lineRule="atLeast"/>
              <w:jc w:val="center"/>
              <w:rPr>
                <w:sz w:val="20"/>
              </w:rPr>
            </w:pPr>
            <w:r w:rsidRPr="00FB07EF">
              <w:rPr>
                <w:sz w:val="20"/>
              </w:rPr>
              <w:t>% po redu</w:t>
            </w:r>
          </w:p>
        </w:tc>
        <w:tc>
          <w:tcPr>
            <w:tcW w:w="1134" w:type="dxa"/>
            <w:tcBorders>
              <w:top w:val="nil"/>
              <w:left w:val="nil"/>
              <w:bottom w:val="nil"/>
              <w:right w:val="nil"/>
            </w:tcBorders>
            <w:vAlign w:val="center"/>
          </w:tcPr>
          <w:p w:rsidR="00730338" w:rsidRPr="00FB07EF" w:rsidRDefault="00730338" w:rsidP="00E42345">
            <w:pPr>
              <w:spacing w:line="320" w:lineRule="atLeast"/>
              <w:jc w:val="center"/>
              <w:rPr>
                <w:sz w:val="20"/>
              </w:rPr>
            </w:pPr>
            <w:r>
              <w:rPr>
                <w:sz w:val="20"/>
              </w:rPr>
              <w:t>42</w:t>
            </w:r>
            <w:r w:rsidRPr="00FB07EF">
              <w:rPr>
                <w:sz w:val="20"/>
              </w:rPr>
              <w:t>%</w:t>
            </w:r>
          </w:p>
        </w:tc>
        <w:tc>
          <w:tcPr>
            <w:tcW w:w="1134" w:type="dxa"/>
            <w:tcBorders>
              <w:top w:val="nil"/>
              <w:left w:val="nil"/>
              <w:bottom w:val="nil"/>
              <w:right w:val="nil"/>
            </w:tcBorders>
            <w:vAlign w:val="center"/>
          </w:tcPr>
          <w:p w:rsidR="00730338" w:rsidRPr="00FB07EF" w:rsidRDefault="00730338" w:rsidP="00E42345">
            <w:pPr>
              <w:spacing w:line="320" w:lineRule="atLeast"/>
              <w:jc w:val="center"/>
              <w:rPr>
                <w:sz w:val="20"/>
              </w:rPr>
            </w:pPr>
            <w:r>
              <w:rPr>
                <w:sz w:val="20"/>
              </w:rPr>
              <w:t>58</w:t>
            </w:r>
            <w:r w:rsidRPr="00FB07EF">
              <w:rPr>
                <w:sz w:val="20"/>
              </w:rPr>
              <w:t>%</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1829" w:type="dxa"/>
            <w:vMerge w:val="restart"/>
            <w:tcBorders>
              <w:left w:val="nil"/>
              <w:right w:val="nil"/>
            </w:tcBorders>
            <w:vAlign w:val="center"/>
          </w:tcPr>
          <w:p w:rsidR="00730338" w:rsidRPr="00FB07EF" w:rsidRDefault="00730338" w:rsidP="00E42345">
            <w:pPr>
              <w:spacing w:line="320" w:lineRule="atLeast"/>
              <w:rPr>
                <w:sz w:val="20"/>
              </w:rPr>
            </w:pPr>
            <w:r w:rsidRPr="00FB07EF">
              <w:rPr>
                <w:sz w:val="20"/>
              </w:rPr>
              <w:t>Ukupno</w:t>
            </w:r>
          </w:p>
        </w:tc>
        <w:tc>
          <w:tcPr>
            <w:tcW w:w="1432" w:type="dxa"/>
            <w:tcBorders>
              <w:left w:val="nil"/>
              <w:bottom w:val="nil"/>
              <w:right w:val="nil"/>
            </w:tcBorders>
            <w:vAlign w:val="center"/>
          </w:tcPr>
          <w:p w:rsidR="00730338" w:rsidRPr="00FB07EF" w:rsidRDefault="00730338" w:rsidP="00E42345">
            <w:pPr>
              <w:spacing w:line="320" w:lineRule="atLeast"/>
              <w:jc w:val="center"/>
              <w:rPr>
                <w:sz w:val="20"/>
              </w:rPr>
            </w:pPr>
            <w:r w:rsidRPr="00FB07EF">
              <w:rPr>
                <w:sz w:val="20"/>
              </w:rPr>
              <w:t>Učestalost</w:t>
            </w:r>
          </w:p>
        </w:tc>
        <w:tc>
          <w:tcPr>
            <w:tcW w:w="1134" w:type="dxa"/>
            <w:tcBorders>
              <w:left w:val="nil"/>
              <w:bottom w:val="nil"/>
              <w:right w:val="nil"/>
            </w:tcBorders>
            <w:vAlign w:val="center"/>
          </w:tcPr>
          <w:p w:rsidR="00730338" w:rsidRPr="00FB07EF" w:rsidRDefault="00730338" w:rsidP="00E42345">
            <w:pPr>
              <w:spacing w:line="320" w:lineRule="atLeast"/>
              <w:jc w:val="center"/>
              <w:rPr>
                <w:sz w:val="20"/>
              </w:rPr>
            </w:pPr>
            <w:r>
              <w:rPr>
                <w:sz w:val="20"/>
              </w:rPr>
              <w:t>9</w:t>
            </w:r>
          </w:p>
        </w:tc>
        <w:tc>
          <w:tcPr>
            <w:tcW w:w="1134" w:type="dxa"/>
            <w:tcBorders>
              <w:left w:val="nil"/>
              <w:bottom w:val="nil"/>
              <w:right w:val="nil"/>
            </w:tcBorders>
            <w:vAlign w:val="center"/>
          </w:tcPr>
          <w:p w:rsidR="00730338" w:rsidRPr="00FB07EF" w:rsidRDefault="00730338" w:rsidP="00E42345">
            <w:pPr>
              <w:spacing w:line="320" w:lineRule="atLeast"/>
              <w:jc w:val="center"/>
              <w:rPr>
                <w:sz w:val="20"/>
              </w:rPr>
            </w:pPr>
            <w:r>
              <w:rPr>
                <w:sz w:val="20"/>
              </w:rPr>
              <w:t>14</w:t>
            </w:r>
          </w:p>
        </w:tc>
      </w:tr>
      <w:tr w:rsidR="00730338" w:rsidRPr="00FB07EF"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1829" w:type="dxa"/>
            <w:vMerge/>
            <w:tcBorders>
              <w:left w:val="nil"/>
              <w:right w:val="nil"/>
            </w:tcBorders>
            <w:vAlign w:val="center"/>
          </w:tcPr>
          <w:p w:rsidR="00730338" w:rsidRPr="00FB07EF" w:rsidRDefault="00730338" w:rsidP="00E42345">
            <w:pPr>
              <w:spacing w:line="320" w:lineRule="atLeast"/>
              <w:jc w:val="center"/>
              <w:rPr>
                <w:sz w:val="20"/>
              </w:rPr>
            </w:pPr>
          </w:p>
        </w:tc>
        <w:tc>
          <w:tcPr>
            <w:tcW w:w="1432" w:type="dxa"/>
            <w:tcBorders>
              <w:top w:val="nil"/>
              <w:left w:val="nil"/>
              <w:right w:val="nil"/>
            </w:tcBorders>
            <w:vAlign w:val="center"/>
          </w:tcPr>
          <w:p w:rsidR="00730338" w:rsidRPr="00FB07EF" w:rsidRDefault="00730338" w:rsidP="00E42345">
            <w:pPr>
              <w:spacing w:line="320" w:lineRule="atLeast"/>
              <w:jc w:val="center"/>
              <w:rPr>
                <w:sz w:val="20"/>
              </w:rPr>
            </w:pPr>
            <w:r w:rsidRPr="00FB07EF">
              <w:rPr>
                <w:sz w:val="20"/>
              </w:rPr>
              <w:t>% po redu</w:t>
            </w:r>
          </w:p>
        </w:tc>
        <w:tc>
          <w:tcPr>
            <w:tcW w:w="1134" w:type="dxa"/>
            <w:tcBorders>
              <w:top w:val="nil"/>
              <w:left w:val="nil"/>
              <w:right w:val="nil"/>
            </w:tcBorders>
            <w:vAlign w:val="center"/>
          </w:tcPr>
          <w:p w:rsidR="00730338" w:rsidRPr="00FB07EF" w:rsidRDefault="00730338" w:rsidP="00E42345">
            <w:pPr>
              <w:spacing w:line="320" w:lineRule="atLeast"/>
              <w:jc w:val="center"/>
              <w:rPr>
                <w:sz w:val="20"/>
              </w:rPr>
            </w:pPr>
            <w:r>
              <w:rPr>
                <w:sz w:val="20"/>
              </w:rPr>
              <w:t>39</w:t>
            </w:r>
            <w:r w:rsidRPr="00FB07EF">
              <w:rPr>
                <w:sz w:val="20"/>
              </w:rPr>
              <w:t>%</w:t>
            </w:r>
          </w:p>
        </w:tc>
        <w:tc>
          <w:tcPr>
            <w:tcW w:w="1134" w:type="dxa"/>
            <w:tcBorders>
              <w:top w:val="nil"/>
              <w:left w:val="nil"/>
              <w:right w:val="nil"/>
            </w:tcBorders>
            <w:vAlign w:val="center"/>
          </w:tcPr>
          <w:p w:rsidR="00730338" w:rsidRPr="00FB07EF" w:rsidRDefault="00730338" w:rsidP="00E42345">
            <w:pPr>
              <w:spacing w:line="320" w:lineRule="atLeast"/>
              <w:jc w:val="center"/>
              <w:rPr>
                <w:sz w:val="20"/>
              </w:rPr>
            </w:pPr>
            <w:r>
              <w:rPr>
                <w:sz w:val="20"/>
              </w:rPr>
              <w:t>61</w:t>
            </w:r>
            <w:r w:rsidRPr="00FB07EF">
              <w:rPr>
                <w:sz w:val="20"/>
              </w:rPr>
              <w:t>%</w:t>
            </w:r>
          </w:p>
        </w:tc>
      </w:tr>
    </w:tbl>
    <w:p w:rsidR="00730338" w:rsidRDefault="00730338" w:rsidP="005F4504">
      <w:pPr>
        <w:pStyle w:val="EndNoteBibliography"/>
        <w:rPr>
          <w:rFonts w:ascii="Times New Roman" w:hAnsi="Times New Roman" w:cs="Times New Roman"/>
          <w:sz w:val="24"/>
          <w:szCs w:val="24"/>
        </w:rPr>
      </w:pPr>
    </w:p>
    <w:tbl>
      <w:tblPr>
        <w:tblStyle w:val="TableGrid"/>
        <w:tblW w:w="6946" w:type="dxa"/>
        <w:tblLayout w:type="fixed"/>
        <w:tblLook w:val="04A0" w:firstRow="1" w:lastRow="0" w:firstColumn="1" w:lastColumn="0" w:noHBand="0" w:noVBand="1"/>
      </w:tblPr>
      <w:tblGrid>
        <w:gridCol w:w="1701"/>
        <w:gridCol w:w="765"/>
        <w:gridCol w:w="896"/>
        <w:gridCol w:w="896"/>
        <w:gridCol w:w="896"/>
        <w:gridCol w:w="896"/>
        <w:gridCol w:w="896"/>
      </w:tblGrid>
      <w:tr w:rsidR="00730338" w:rsidRPr="00285901" w:rsidTr="00E42345">
        <w:trPr>
          <w:trHeight w:val="340"/>
        </w:trPr>
        <w:tc>
          <w:tcPr>
            <w:tcW w:w="6946" w:type="dxa"/>
            <w:gridSpan w:val="7"/>
            <w:tcBorders>
              <w:top w:val="nil"/>
              <w:left w:val="nil"/>
              <w:bottom w:val="nil"/>
              <w:right w:val="nil"/>
            </w:tcBorders>
            <w:vAlign w:val="center"/>
          </w:tcPr>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Default="00D30F6D" w:rsidP="00E42345">
            <w:pPr>
              <w:spacing w:line="320" w:lineRule="atLeast"/>
            </w:pPr>
          </w:p>
          <w:p w:rsidR="00D30F6D" w:rsidRPr="00D30F6D" w:rsidRDefault="00D30F6D" w:rsidP="00E42345">
            <w:pPr>
              <w:spacing w:line="320" w:lineRule="atLeast"/>
              <w:rPr>
                <w:b/>
              </w:rPr>
            </w:pPr>
            <w:r w:rsidRPr="00D30F6D">
              <w:rPr>
                <w:b/>
              </w:rPr>
              <w:lastRenderedPageBreak/>
              <w:t xml:space="preserve">Prilog </w:t>
            </w:r>
            <w:r>
              <w:rPr>
                <w:b/>
              </w:rPr>
              <w:t>II</w:t>
            </w:r>
          </w:p>
          <w:p w:rsidR="00730338" w:rsidRPr="002E7AB1" w:rsidRDefault="00730338" w:rsidP="00E42345">
            <w:pPr>
              <w:spacing w:line="320" w:lineRule="atLeast"/>
            </w:pPr>
            <w:r>
              <w:t>Tabela 2</w:t>
            </w:r>
          </w:p>
          <w:p w:rsidR="00730338" w:rsidRPr="00285901" w:rsidRDefault="00730338" w:rsidP="00E42345">
            <w:pPr>
              <w:spacing w:line="320" w:lineRule="atLeast"/>
            </w:pPr>
            <w:r w:rsidRPr="002E7AB1">
              <w:rPr>
                <w:i/>
              </w:rPr>
              <w:t>Deskriptivna statistika Uzrasta, MMPI skale i SBQ skale</w:t>
            </w:r>
          </w:p>
        </w:tc>
      </w:tr>
      <w:tr w:rsidR="00730338" w:rsidRPr="00285901" w:rsidTr="00E42345">
        <w:trPr>
          <w:trHeight w:val="340"/>
        </w:trPr>
        <w:tc>
          <w:tcPr>
            <w:tcW w:w="1701"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lastRenderedPageBreak/>
              <w:t>Varijabla</w:t>
            </w:r>
          </w:p>
        </w:tc>
        <w:tc>
          <w:tcPr>
            <w:tcW w:w="765"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t>Min</w:t>
            </w:r>
          </w:p>
        </w:tc>
        <w:tc>
          <w:tcPr>
            <w:tcW w:w="896"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t>Max</w:t>
            </w:r>
          </w:p>
        </w:tc>
        <w:tc>
          <w:tcPr>
            <w:tcW w:w="896"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t>M</w:t>
            </w:r>
          </w:p>
        </w:tc>
        <w:tc>
          <w:tcPr>
            <w:tcW w:w="896"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t>SD</w:t>
            </w:r>
          </w:p>
        </w:tc>
        <w:tc>
          <w:tcPr>
            <w:tcW w:w="896"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t>Sk</w:t>
            </w:r>
          </w:p>
        </w:tc>
        <w:tc>
          <w:tcPr>
            <w:tcW w:w="896" w:type="dxa"/>
            <w:tcBorders>
              <w:top w:val="nil"/>
              <w:left w:val="nil"/>
              <w:bottom w:val="single" w:sz="8" w:space="0" w:color="auto"/>
              <w:right w:val="nil"/>
            </w:tcBorders>
            <w:vAlign w:val="center"/>
          </w:tcPr>
          <w:p w:rsidR="00730338" w:rsidRPr="00A87714" w:rsidRDefault="00730338" w:rsidP="00E42345">
            <w:pPr>
              <w:spacing w:line="320" w:lineRule="atLeast"/>
              <w:jc w:val="center"/>
              <w:rPr>
                <w:sz w:val="20"/>
              </w:rPr>
            </w:pPr>
            <w:r w:rsidRPr="00A87714">
              <w:rPr>
                <w:sz w:val="20"/>
              </w:rPr>
              <w:t>Ku</w:t>
            </w:r>
          </w:p>
        </w:tc>
      </w:tr>
      <w:tr w:rsidR="00730338" w:rsidRPr="00285901" w:rsidTr="00E42345">
        <w:trPr>
          <w:trHeight w:val="340"/>
        </w:trPr>
        <w:tc>
          <w:tcPr>
            <w:tcW w:w="1701" w:type="dxa"/>
            <w:tcBorders>
              <w:top w:val="single" w:sz="8" w:space="0" w:color="auto"/>
              <w:left w:val="nil"/>
              <w:bottom w:val="nil"/>
              <w:right w:val="nil"/>
            </w:tcBorders>
            <w:vAlign w:val="center"/>
          </w:tcPr>
          <w:p w:rsidR="00730338" w:rsidRPr="005A7AD6" w:rsidRDefault="00730338" w:rsidP="00E42345">
            <w:pPr>
              <w:rPr>
                <w:sz w:val="20"/>
              </w:rPr>
            </w:pPr>
            <w:r>
              <w:rPr>
                <w:sz w:val="20"/>
              </w:rPr>
              <w:t>U</w:t>
            </w:r>
            <w:r w:rsidRPr="005A7AD6">
              <w:rPr>
                <w:sz w:val="20"/>
              </w:rPr>
              <w:t>zrast</w:t>
            </w:r>
          </w:p>
        </w:tc>
        <w:tc>
          <w:tcPr>
            <w:tcW w:w="765" w:type="dxa"/>
            <w:tcBorders>
              <w:top w:val="single" w:sz="8" w:space="0" w:color="auto"/>
              <w:left w:val="nil"/>
              <w:bottom w:val="nil"/>
              <w:right w:val="nil"/>
            </w:tcBorders>
            <w:vAlign w:val="center"/>
          </w:tcPr>
          <w:p w:rsidR="00730338" w:rsidRPr="00976130" w:rsidRDefault="00730338" w:rsidP="00E42345">
            <w:pPr>
              <w:jc w:val="center"/>
              <w:rPr>
                <w:sz w:val="20"/>
              </w:rPr>
            </w:pPr>
            <w:r w:rsidRPr="00976130">
              <w:rPr>
                <w:sz w:val="20"/>
              </w:rPr>
              <w:t>25</w:t>
            </w:r>
            <w:r w:rsidRPr="005545C6">
              <w:rPr>
                <w:sz w:val="20"/>
              </w:rPr>
              <w:t>,00</w:t>
            </w:r>
          </w:p>
        </w:tc>
        <w:tc>
          <w:tcPr>
            <w:tcW w:w="896" w:type="dxa"/>
            <w:tcBorders>
              <w:top w:val="single" w:sz="8" w:space="0" w:color="auto"/>
              <w:left w:val="nil"/>
              <w:bottom w:val="nil"/>
              <w:right w:val="nil"/>
            </w:tcBorders>
            <w:vAlign w:val="center"/>
          </w:tcPr>
          <w:p w:rsidR="00730338" w:rsidRPr="00D4748A" w:rsidRDefault="00730338" w:rsidP="00E42345">
            <w:pPr>
              <w:jc w:val="center"/>
              <w:rPr>
                <w:sz w:val="20"/>
              </w:rPr>
            </w:pPr>
            <w:r w:rsidRPr="00D4748A">
              <w:rPr>
                <w:sz w:val="20"/>
              </w:rPr>
              <w:t>62</w:t>
            </w:r>
            <w:r w:rsidRPr="005545C6">
              <w:rPr>
                <w:sz w:val="20"/>
              </w:rPr>
              <w:t>,00</w:t>
            </w:r>
          </w:p>
        </w:tc>
        <w:tc>
          <w:tcPr>
            <w:tcW w:w="896" w:type="dxa"/>
            <w:tcBorders>
              <w:top w:val="single" w:sz="8" w:space="0" w:color="auto"/>
              <w:left w:val="nil"/>
              <w:bottom w:val="nil"/>
              <w:right w:val="nil"/>
            </w:tcBorders>
            <w:vAlign w:val="center"/>
          </w:tcPr>
          <w:p w:rsidR="00730338" w:rsidRPr="004848A3" w:rsidRDefault="00730338" w:rsidP="00E42345">
            <w:pPr>
              <w:jc w:val="center"/>
              <w:rPr>
                <w:sz w:val="20"/>
              </w:rPr>
            </w:pPr>
            <w:r w:rsidRPr="004848A3">
              <w:rPr>
                <w:sz w:val="20"/>
              </w:rPr>
              <w:t>47,96</w:t>
            </w:r>
          </w:p>
        </w:tc>
        <w:tc>
          <w:tcPr>
            <w:tcW w:w="896" w:type="dxa"/>
            <w:tcBorders>
              <w:top w:val="single" w:sz="8" w:space="0" w:color="auto"/>
              <w:left w:val="nil"/>
              <w:bottom w:val="nil"/>
              <w:right w:val="nil"/>
            </w:tcBorders>
            <w:vAlign w:val="center"/>
          </w:tcPr>
          <w:p w:rsidR="00730338" w:rsidRPr="00365D54" w:rsidRDefault="00730338" w:rsidP="00E42345">
            <w:pPr>
              <w:jc w:val="center"/>
              <w:rPr>
                <w:sz w:val="20"/>
              </w:rPr>
            </w:pPr>
            <w:r w:rsidRPr="00365D54">
              <w:rPr>
                <w:sz w:val="20"/>
              </w:rPr>
              <w:t>11,636</w:t>
            </w:r>
          </w:p>
        </w:tc>
        <w:tc>
          <w:tcPr>
            <w:tcW w:w="896" w:type="dxa"/>
            <w:tcBorders>
              <w:top w:val="single" w:sz="8" w:space="0" w:color="auto"/>
              <w:left w:val="nil"/>
              <w:bottom w:val="nil"/>
              <w:right w:val="nil"/>
            </w:tcBorders>
            <w:vAlign w:val="center"/>
          </w:tcPr>
          <w:p w:rsidR="00730338" w:rsidRPr="00DB0E49" w:rsidRDefault="00730338" w:rsidP="00E42345">
            <w:pPr>
              <w:jc w:val="center"/>
              <w:rPr>
                <w:sz w:val="20"/>
              </w:rPr>
            </w:pPr>
            <w:r w:rsidRPr="00DB0E49">
              <w:rPr>
                <w:sz w:val="20"/>
              </w:rPr>
              <w:t>-0,398</w:t>
            </w:r>
          </w:p>
        </w:tc>
        <w:tc>
          <w:tcPr>
            <w:tcW w:w="896" w:type="dxa"/>
            <w:tcBorders>
              <w:top w:val="single" w:sz="8" w:space="0" w:color="auto"/>
              <w:left w:val="nil"/>
              <w:bottom w:val="nil"/>
              <w:right w:val="nil"/>
            </w:tcBorders>
            <w:vAlign w:val="center"/>
          </w:tcPr>
          <w:p w:rsidR="00730338" w:rsidRPr="00A64437" w:rsidRDefault="00730338" w:rsidP="00E42345">
            <w:pPr>
              <w:jc w:val="center"/>
              <w:rPr>
                <w:sz w:val="20"/>
              </w:rPr>
            </w:pPr>
            <w:r w:rsidRPr="00A64437">
              <w:rPr>
                <w:sz w:val="20"/>
              </w:rPr>
              <w:t>-0,956</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L</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38</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67</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53,26</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9,635</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0,175</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-1,183</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F</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36</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69</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56,13</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10,204</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-0,524</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-0,799</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K</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37</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59</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47,65</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6,555</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-0,069</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-0,604</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Hipohondrijaza</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43</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98</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72,30</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16,483</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-0,181</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-1,125</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Depresivnost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43</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112</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76,61</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16,640</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0,423</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0,402</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Histrionič</w:t>
            </w:r>
            <w:r w:rsidRPr="005A7AD6">
              <w:rPr>
                <w:sz w:val="20"/>
              </w:rPr>
              <w:t>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41</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102</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72,26</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15,769</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-0,262</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-0,338</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Psihodevijantnost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34</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90</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59,96</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13,683</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0,326</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-0,238</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Paranoidnost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38</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98</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64,96</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16,772</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0,248</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-0,944</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Psihoastenič</w:t>
            </w:r>
            <w:r w:rsidRPr="005A7AD6">
              <w:rPr>
                <w:sz w:val="20"/>
              </w:rPr>
              <w:t>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36</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88</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68,17</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12,823</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-0,712</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0,554</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S</w:t>
            </w:r>
            <w:r w:rsidRPr="005A7AD6">
              <w:rPr>
                <w:sz w:val="20"/>
              </w:rPr>
              <w:t>hizofrenija</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36</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87</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62,39</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12,915</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-0,320</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-0,166</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Manija</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32</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68</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49,09</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9,972</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0,140</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-0,728</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Socijalna izolacija</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32</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81</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61,70</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12,942</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-0,288</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-0,598</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A</w:t>
            </w:r>
            <w:r w:rsidRPr="005A7AD6">
              <w:rPr>
                <w:sz w:val="20"/>
              </w:rPr>
              <w:t>nksioznost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26</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89</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68,26</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14,876</w:t>
            </w:r>
          </w:p>
        </w:tc>
        <w:tc>
          <w:tcPr>
            <w:tcW w:w="896" w:type="dxa"/>
            <w:tcBorders>
              <w:top w:val="nil"/>
              <w:left w:val="nil"/>
              <w:bottom w:val="nil"/>
              <w:right w:val="nil"/>
            </w:tcBorders>
            <w:vAlign w:val="center"/>
          </w:tcPr>
          <w:p w:rsidR="00730338" w:rsidRPr="005545C6" w:rsidRDefault="00730338" w:rsidP="00E42345">
            <w:pPr>
              <w:jc w:val="center"/>
              <w:rPr>
                <w:sz w:val="20"/>
                <w:vertAlign w:val="superscript"/>
              </w:rPr>
            </w:pPr>
            <w:r w:rsidRPr="00DB0E49">
              <w:rPr>
                <w:sz w:val="20"/>
              </w:rPr>
              <w:t>-1,338</w:t>
            </w:r>
            <w:r>
              <w:rPr>
                <w:sz w:val="20"/>
                <w:vertAlign w:val="superscript"/>
              </w:rPr>
              <w:t>**</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2,657</w:t>
            </w:r>
            <w:r w:rsidRPr="004C27EF">
              <w:rPr>
                <w:sz w:val="20"/>
                <w:vertAlign w:val="superscript"/>
              </w:rPr>
              <w:t>**</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A</w:t>
            </w:r>
            <w:r w:rsidRPr="005A7AD6">
              <w:rPr>
                <w:sz w:val="20"/>
              </w:rPr>
              <w:t>gresivnost</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27</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79</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52,39</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15,222</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-0,089</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-0,677</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Kritič</w:t>
            </w:r>
            <w:r w:rsidRPr="005A7AD6">
              <w:rPr>
                <w:sz w:val="20"/>
              </w:rPr>
              <w:t>ni ajtemi</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40</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rPr>
                <w:sz w:val="20"/>
              </w:rPr>
            </w:pPr>
            <w:r w:rsidRPr="00D4748A">
              <w:rPr>
                <w:sz w:val="20"/>
              </w:rPr>
              <w:t>84</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rPr>
                <w:sz w:val="20"/>
              </w:rPr>
            </w:pPr>
            <w:r w:rsidRPr="004848A3">
              <w:rPr>
                <w:sz w:val="20"/>
              </w:rPr>
              <w:t>60,13</w:t>
            </w:r>
          </w:p>
        </w:tc>
        <w:tc>
          <w:tcPr>
            <w:tcW w:w="896" w:type="dxa"/>
            <w:tcBorders>
              <w:top w:val="nil"/>
              <w:left w:val="nil"/>
              <w:bottom w:val="nil"/>
              <w:right w:val="nil"/>
            </w:tcBorders>
            <w:vAlign w:val="center"/>
          </w:tcPr>
          <w:p w:rsidR="00730338" w:rsidRPr="00365D54" w:rsidRDefault="00730338" w:rsidP="00E42345">
            <w:pPr>
              <w:jc w:val="center"/>
              <w:rPr>
                <w:sz w:val="20"/>
              </w:rPr>
            </w:pPr>
            <w:r w:rsidRPr="00365D54">
              <w:rPr>
                <w:sz w:val="20"/>
              </w:rPr>
              <w:t>14,679</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0,137</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-1,415</w:t>
            </w:r>
          </w:p>
        </w:tc>
      </w:tr>
      <w:tr w:rsidR="00730338" w:rsidRPr="00285901" w:rsidTr="00E42345">
        <w:trPr>
          <w:trHeight w:val="340"/>
        </w:trPr>
        <w:tc>
          <w:tcPr>
            <w:tcW w:w="1701" w:type="dxa"/>
            <w:tcBorders>
              <w:top w:val="nil"/>
              <w:left w:val="nil"/>
              <w:bottom w:val="nil"/>
              <w:right w:val="nil"/>
            </w:tcBorders>
            <w:vAlign w:val="center"/>
          </w:tcPr>
          <w:p w:rsidR="00730338" w:rsidRPr="005A7AD6" w:rsidRDefault="00730338" w:rsidP="00E42345">
            <w:pPr>
              <w:rPr>
                <w:sz w:val="20"/>
              </w:rPr>
            </w:pPr>
            <w:r>
              <w:rPr>
                <w:sz w:val="20"/>
              </w:rPr>
              <w:t>SBQ</w:t>
            </w:r>
          </w:p>
        </w:tc>
        <w:tc>
          <w:tcPr>
            <w:tcW w:w="765" w:type="dxa"/>
            <w:tcBorders>
              <w:top w:val="nil"/>
              <w:left w:val="nil"/>
              <w:bottom w:val="nil"/>
              <w:right w:val="nil"/>
            </w:tcBorders>
            <w:vAlign w:val="center"/>
          </w:tcPr>
          <w:p w:rsidR="00730338" w:rsidRPr="00976130" w:rsidRDefault="00730338" w:rsidP="00E42345">
            <w:pPr>
              <w:jc w:val="center"/>
              <w:rPr>
                <w:sz w:val="20"/>
              </w:rPr>
            </w:pPr>
            <w:r w:rsidRPr="00976130">
              <w:rPr>
                <w:sz w:val="20"/>
              </w:rPr>
              <w:t>3</w:t>
            </w:r>
            <w:r w:rsidRPr="005545C6">
              <w:rPr>
                <w:sz w:val="20"/>
              </w:rPr>
              <w:t>,00</w:t>
            </w:r>
          </w:p>
        </w:tc>
        <w:tc>
          <w:tcPr>
            <w:tcW w:w="896" w:type="dxa"/>
            <w:tcBorders>
              <w:top w:val="nil"/>
              <w:left w:val="nil"/>
              <w:bottom w:val="nil"/>
              <w:right w:val="nil"/>
            </w:tcBorders>
            <w:vAlign w:val="center"/>
          </w:tcPr>
          <w:p w:rsidR="00730338" w:rsidRPr="00D4748A" w:rsidRDefault="00730338" w:rsidP="00E42345">
            <w:pPr>
              <w:jc w:val="center"/>
            </w:pPr>
            <w:r w:rsidRPr="00D4748A">
              <w:rPr>
                <w:sz w:val="20"/>
              </w:rPr>
              <w:t>15</w:t>
            </w:r>
            <w:r w:rsidRPr="005545C6">
              <w:rPr>
                <w:sz w:val="20"/>
              </w:rPr>
              <w:t>,00</w:t>
            </w:r>
          </w:p>
        </w:tc>
        <w:tc>
          <w:tcPr>
            <w:tcW w:w="896" w:type="dxa"/>
            <w:tcBorders>
              <w:top w:val="nil"/>
              <w:left w:val="nil"/>
              <w:bottom w:val="nil"/>
              <w:right w:val="nil"/>
            </w:tcBorders>
            <w:vAlign w:val="center"/>
          </w:tcPr>
          <w:p w:rsidR="00730338" w:rsidRPr="004848A3" w:rsidRDefault="00730338" w:rsidP="00E42345">
            <w:pPr>
              <w:jc w:val="center"/>
            </w:pPr>
            <w:r w:rsidRPr="004848A3">
              <w:rPr>
                <w:sz w:val="20"/>
              </w:rPr>
              <w:t>8,30</w:t>
            </w:r>
          </w:p>
        </w:tc>
        <w:tc>
          <w:tcPr>
            <w:tcW w:w="896" w:type="dxa"/>
            <w:tcBorders>
              <w:top w:val="nil"/>
              <w:left w:val="nil"/>
              <w:bottom w:val="nil"/>
              <w:right w:val="nil"/>
            </w:tcBorders>
            <w:vAlign w:val="center"/>
          </w:tcPr>
          <w:p w:rsidR="00730338" w:rsidRPr="00365D54" w:rsidRDefault="00730338" w:rsidP="00E42345">
            <w:pPr>
              <w:jc w:val="center"/>
            </w:pPr>
            <w:r w:rsidRPr="00365D54">
              <w:rPr>
                <w:sz w:val="20"/>
              </w:rPr>
              <w:t>3,735</w:t>
            </w:r>
          </w:p>
        </w:tc>
        <w:tc>
          <w:tcPr>
            <w:tcW w:w="896" w:type="dxa"/>
            <w:tcBorders>
              <w:top w:val="nil"/>
              <w:left w:val="nil"/>
              <w:bottom w:val="nil"/>
              <w:right w:val="nil"/>
            </w:tcBorders>
            <w:vAlign w:val="center"/>
          </w:tcPr>
          <w:p w:rsidR="00730338" w:rsidRPr="00DB0E49" w:rsidRDefault="00730338" w:rsidP="00E42345">
            <w:pPr>
              <w:jc w:val="center"/>
              <w:rPr>
                <w:sz w:val="20"/>
              </w:rPr>
            </w:pPr>
            <w:r w:rsidRPr="00DB0E49">
              <w:rPr>
                <w:sz w:val="20"/>
              </w:rPr>
              <w:t>-0,004</w:t>
            </w:r>
          </w:p>
        </w:tc>
        <w:tc>
          <w:tcPr>
            <w:tcW w:w="896" w:type="dxa"/>
            <w:tcBorders>
              <w:top w:val="nil"/>
              <w:left w:val="nil"/>
              <w:bottom w:val="nil"/>
              <w:right w:val="nil"/>
            </w:tcBorders>
            <w:vAlign w:val="center"/>
          </w:tcPr>
          <w:p w:rsidR="00730338" w:rsidRPr="00A64437" w:rsidRDefault="00730338" w:rsidP="00E42345">
            <w:pPr>
              <w:jc w:val="center"/>
              <w:rPr>
                <w:sz w:val="20"/>
              </w:rPr>
            </w:pPr>
            <w:r w:rsidRPr="00A64437">
              <w:rPr>
                <w:sz w:val="20"/>
              </w:rPr>
              <w:t>-1,051</w:t>
            </w:r>
          </w:p>
        </w:tc>
      </w:tr>
      <w:tr w:rsidR="00730338" w:rsidRPr="00285901" w:rsidTr="00E42345">
        <w:trPr>
          <w:trHeight w:val="340"/>
        </w:trPr>
        <w:tc>
          <w:tcPr>
            <w:tcW w:w="6946" w:type="dxa"/>
            <w:gridSpan w:val="7"/>
            <w:tcBorders>
              <w:top w:val="single" w:sz="4" w:space="0" w:color="auto"/>
              <w:left w:val="nil"/>
              <w:bottom w:val="nil"/>
              <w:right w:val="nil"/>
            </w:tcBorders>
            <w:vAlign w:val="center"/>
          </w:tcPr>
          <w:p w:rsidR="00730338" w:rsidRPr="00A87714" w:rsidRDefault="00730338" w:rsidP="00E42345">
            <w:pPr>
              <w:rPr>
                <w:sz w:val="20"/>
              </w:rPr>
            </w:pPr>
            <w:r w:rsidRPr="00A87714">
              <w:rPr>
                <w:sz w:val="20"/>
                <w:vertAlign w:val="superscript"/>
              </w:rPr>
              <w:t>*</w:t>
            </w:r>
            <w:r w:rsidRPr="00A87714">
              <w:rPr>
                <w:sz w:val="20"/>
              </w:rPr>
              <w:t>p&lt;0,05</w:t>
            </w:r>
          </w:p>
          <w:p w:rsidR="00730338" w:rsidRPr="00A87714" w:rsidRDefault="00730338" w:rsidP="00E42345">
            <w:pPr>
              <w:rPr>
                <w:sz w:val="20"/>
              </w:rPr>
            </w:pPr>
            <w:r w:rsidRPr="00A87714">
              <w:rPr>
                <w:sz w:val="20"/>
                <w:vertAlign w:val="superscript"/>
              </w:rPr>
              <w:t>**</w:t>
            </w:r>
            <w:r w:rsidRPr="00A87714">
              <w:rPr>
                <w:sz w:val="20"/>
              </w:rPr>
              <w:t>p&lt;0,01</w:t>
            </w:r>
          </w:p>
        </w:tc>
      </w:tr>
    </w:tbl>
    <w:p w:rsidR="00730338" w:rsidRDefault="00730338" w:rsidP="005F4504">
      <w:pPr>
        <w:pStyle w:val="EndNoteBibliography"/>
        <w:rPr>
          <w:rFonts w:ascii="Times New Roman" w:hAnsi="Times New Roman" w:cs="Times New Roman"/>
          <w:sz w:val="24"/>
          <w:szCs w:val="24"/>
        </w:rPr>
      </w:pPr>
    </w:p>
    <w:p w:rsidR="00730338" w:rsidRDefault="00730338" w:rsidP="005F4504">
      <w:pPr>
        <w:pStyle w:val="EndNoteBibliography"/>
        <w:rPr>
          <w:rFonts w:ascii="Times New Roman" w:hAnsi="Times New Roman" w:cs="Times New Roman"/>
          <w:sz w:val="24"/>
          <w:szCs w:val="24"/>
        </w:rPr>
      </w:pPr>
    </w:p>
    <w:p w:rsidR="00730338" w:rsidRDefault="00730338" w:rsidP="005F4504">
      <w:pPr>
        <w:pStyle w:val="EndNoteBibliography"/>
        <w:rPr>
          <w:rFonts w:ascii="Times New Roman" w:hAnsi="Times New Roman" w:cs="Times New Roman"/>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D30F6D" w:rsidRDefault="00D30F6D" w:rsidP="005F4504">
      <w:pPr>
        <w:pStyle w:val="EndNoteBibliography"/>
        <w:rPr>
          <w:rFonts w:ascii="Times New Roman" w:hAnsi="Times New Roman" w:cs="Times New Roman"/>
          <w:b/>
          <w:sz w:val="24"/>
          <w:szCs w:val="24"/>
        </w:rPr>
      </w:pPr>
    </w:p>
    <w:p w:rsidR="00730338" w:rsidRPr="00730338" w:rsidRDefault="00730338" w:rsidP="005F4504">
      <w:pPr>
        <w:pStyle w:val="EndNoteBibliography"/>
        <w:rPr>
          <w:rFonts w:ascii="Times New Roman" w:hAnsi="Times New Roman" w:cs="Times New Roman"/>
          <w:b/>
          <w:sz w:val="24"/>
          <w:szCs w:val="24"/>
        </w:rPr>
      </w:pPr>
      <w:r w:rsidRPr="00730338">
        <w:rPr>
          <w:rFonts w:ascii="Times New Roman" w:hAnsi="Times New Roman" w:cs="Times New Roman"/>
          <w:b/>
          <w:sz w:val="24"/>
          <w:szCs w:val="24"/>
        </w:rPr>
        <w:lastRenderedPageBreak/>
        <w:t xml:space="preserve">Prilog </w:t>
      </w:r>
      <w:r w:rsidR="00D30F6D">
        <w:rPr>
          <w:rFonts w:ascii="Times New Roman" w:hAnsi="Times New Roman" w:cs="Times New Roman"/>
          <w:b/>
          <w:sz w:val="24"/>
          <w:szCs w:val="24"/>
        </w:rPr>
        <w:t>III</w:t>
      </w:r>
    </w:p>
    <w:p w:rsidR="005F4504" w:rsidRPr="005F4504" w:rsidRDefault="005F4504" w:rsidP="005F4504">
      <w:pPr>
        <w:pStyle w:val="EndNoteBibliography"/>
        <w:rPr>
          <w:rFonts w:ascii="Times New Roman" w:hAnsi="Times New Roman" w:cs="Times New Roman"/>
          <w:sz w:val="24"/>
          <w:szCs w:val="24"/>
        </w:rPr>
      </w:pPr>
    </w:p>
    <w:p w:rsidR="005F4504" w:rsidRPr="005F4504" w:rsidRDefault="005F4504" w:rsidP="005F4504">
      <w:pPr>
        <w:pStyle w:val="EndNoteBibliography"/>
        <w:rPr>
          <w:rFonts w:ascii="Times New Roman" w:hAnsi="Times New Roman" w:cs="Times New Roman"/>
          <w:sz w:val="24"/>
          <w:szCs w:val="24"/>
        </w:rPr>
      </w:pPr>
    </w:p>
    <w:tbl>
      <w:tblPr>
        <w:tblStyle w:val="TableGrid1"/>
        <w:tblW w:w="11565" w:type="dxa"/>
        <w:tblInd w:w="-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67"/>
        <w:gridCol w:w="679"/>
        <w:gridCol w:w="679"/>
        <w:gridCol w:w="747"/>
        <w:gridCol w:w="850"/>
        <w:gridCol w:w="680"/>
        <w:gridCol w:w="680"/>
        <w:gridCol w:w="680"/>
        <w:gridCol w:w="680"/>
        <w:gridCol w:w="680"/>
        <w:gridCol w:w="680"/>
        <w:gridCol w:w="680"/>
        <w:gridCol w:w="680"/>
        <w:gridCol w:w="680"/>
        <w:gridCol w:w="680"/>
        <w:gridCol w:w="680"/>
        <w:gridCol w:w="556"/>
        <w:gridCol w:w="7"/>
      </w:tblGrid>
      <w:tr w:rsidR="00730338" w:rsidRPr="00A950D9" w:rsidTr="00E42345">
        <w:trPr>
          <w:trHeight w:val="255"/>
        </w:trPr>
        <w:tc>
          <w:tcPr>
            <w:tcW w:w="11565" w:type="dxa"/>
            <w:gridSpan w:val="18"/>
          </w:tcPr>
          <w:p w:rsidR="00730338" w:rsidRPr="00A950D9" w:rsidRDefault="00730338" w:rsidP="00E42345">
            <w:pPr>
              <w:autoSpaceDE w:val="0"/>
              <w:autoSpaceDN w:val="0"/>
              <w:adjustRightInd w:val="0"/>
              <w:spacing w:line="320" w:lineRule="atLeast"/>
              <w:jc w:val="both"/>
              <w:rPr>
                <w:rFonts w:ascii="Times New Roman" w:eastAsia="Calibri" w:hAnsi="Times New Roman"/>
                <w:noProof/>
                <w:sz w:val="24"/>
                <w:szCs w:val="24"/>
              </w:rPr>
            </w:pPr>
            <w:r>
              <w:rPr>
                <w:rFonts w:ascii="Times New Roman" w:eastAsia="Calibri" w:hAnsi="Times New Roman"/>
                <w:noProof/>
                <w:sz w:val="24"/>
                <w:szCs w:val="24"/>
              </w:rPr>
              <w:t>Tabela 3</w:t>
            </w:r>
          </w:p>
          <w:p w:rsidR="00730338" w:rsidRPr="00A950D9" w:rsidRDefault="00730338" w:rsidP="00E42345">
            <w:pPr>
              <w:tabs>
                <w:tab w:val="left" w:pos="10200"/>
              </w:tabs>
              <w:autoSpaceDE w:val="0"/>
              <w:autoSpaceDN w:val="0"/>
              <w:adjustRightInd w:val="0"/>
              <w:spacing w:line="320" w:lineRule="atLeast"/>
              <w:jc w:val="both"/>
              <w:rPr>
                <w:rFonts w:ascii="Times New Roman" w:eastAsia="Calibri" w:hAnsi="Times New Roman"/>
                <w:i/>
                <w:noProof/>
                <w:szCs w:val="24"/>
              </w:rPr>
            </w:pPr>
            <w:r w:rsidRPr="00A950D9">
              <w:rPr>
                <w:rFonts w:ascii="Times New Roman" w:eastAsia="Calibri" w:hAnsi="Times New Roman"/>
                <w:i/>
                <w:noProof/>
                <w:sz w:val="24"/>
                <w:szCs w:val="24"/>
              </w:rPr>
              <w:t>Korelacije upitnika MMPI i HAMD sa upitnikom SBQ</w:t>
            </w:r>
            <w:r>
              <w:rPr>
                <w:rFonts w:ascii="Times New Roman" w:eastAsia="Calibri" w:hAnsi="Times New Roman"/>
                <w:i/>
                <w:noProof/>
                <w:sz w:val="24"/>
                <w:szCs w:val="24"/>
              </w:rPr>
              <w:tab/>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Varijabla</w:t>
            </w:r>
          </w:p>
        </w:tc>
        <w:tc>
          <w:tcPr>
            <w:tcW w:w="679"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1.</w:t>
            </w:r>
          </w:p>
        </w:tc>
        <w:tc>
          <w:tcPr>
            <w:tcW w:w="679"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2.</w:t>
            </w:r>
          </w:p>
        </w:tc>
        <w:tc>
          <w:tcPr>
            <w:tcW w:w="747"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3.</w:t>
            </w:r>
          </w:p>
        </w:tc>
        <w:tc>
          <w:tcPr>
            <w:tcW w:w="85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4.</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5.</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6.</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A950D9">
              <w:rPr>
                <w:rFonts w:ascii="Times New Roman" w:eastAsia="Calibri" w:hAnsi="Times New Roman"/>
                <w:noProof/>
                <w:sz w:val="18"/>
                <w:szCs w:val="18"/>
              </w:rPr>
              <w:t>7.</w:t>
            </w:r>
          </w:p>
        </w:tc>
        <w:tc>
          <w:tcPr>
            <w:tcW w:w="680" w:type="dxa"/>
            <w:tcBorders>
              <w:top w:val="nil"/>
              <w:left w:val="nil"/>
              <w:right w:val="nil"/>
            </w:tcBorders>
            <w:vAlign w:val="center"/>
          </w:tcPr>
          <w:p w:rsidR="00730338" w:rsidRPr="00DD33F3"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8.</w:t>
            </w:r>
          </w:p>
        </w:tc>
        <w:tc>
          <w:tcPr>
            <w:tcW w:w="680" w:type="dxa"/>
            <w:tcBorders>
              <w:top w:val="nil"/>
              <w:left w:val="nil"/>
              <w:right w:val="nil"/>
            </w:tcBorders>
            <w:vAlign w:val="center"/>
          </w:tcPr>
          <w:p w:rsidR="00730338" w:rsidRPr="00DD33F3"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9.</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10.</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11.</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12.</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13.</w:t>
            </w:r>
          </w:p>
        </w:tc>
        <w:tc>
          <w:tcPr>
            <w:tcW w:w="680"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14</w:t>
            </w:r>
            <w:r w:rsidRPr="00A950D9">
              <w:rPr>
                <w:rFonts w:ascii="Times New Roman" w:eastAsia="Calibri" w:hAnsi="Times New Roman"/>
                <w:noProof/>
                <w:sz w:val="18"/>
                <w:szCs w:val="18"/>
              </w:rPr>
              <w:t>.</w:t>
            </w:r>
          </w:p>
        </w:tc>
        <w:tc>
          <w:tcPr>
            <w:tcW w:w="680" w:type="dxa"/>
            <w:tcBorders>
              <w:top w:val="nil"/>
              <w:left w:val="nil"/>
              <w:right w:val="nil"/>
            </w:tcBorders>
            <w:vAlign w:val="center"/>
          </w:tcPr>
          <w:p w:rsidR="00730338" w:rsidRPr="00DD33F3"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15.</w:t>
            </w:r>
          </w:p>
        </w:tc>
        <w:tc>
          <w:tcPr>
            <w:tcW w:w="556" w:type="dxa"/>
            <w:tcBorders>
              <w:top w:val="nil"/>
              <w:left w:val="nil"/>
              <w:right w:val="nil"/>
            </w:tcBorders>
            <w:vAlign w:val="center"/>
          </w:tcPr>
          <w:p w:rsidR="00730338" w:rsidRPr="00A950D9" w:rsidRDefault="00730338" w:rsidP="00E42345">
            <w:pPr>
              <w:autoSpaceDE w:val="0"/>
              <w:autoSpaceDN w:val="0"/>
              <w:adjustRightInd w:val="0"/>
              <w:spacing w:line="320" w:lineRule="atLeast"/>
              <w:jc w:val="center"/>
              <w:rPr>
                <w:rFonts w:ascii="Times New Roman" w:eastAsia="Calibri" w:hAnsi="Times New Roman"/>
                <w:noProof/>
                <w:sz w:val="18"/>
                <w:szCs w:val="18"/>
              </w:rPr>
            </w:pPr>
            <w:r w:rsidRPr="00DD33F3">
              <w:rPr>
                <w:rFonts w:ascii="Times New Roman" w:eastAsia="Calibri" w:hAnsi="Times New Roman"/>
                <w:noProof/>
                <w:sz w:val="18"/>
                <w:szCs w:val="18"/>
              </w:rPr>
              <w:t>16</w:t>
            </w:r>
            <w:r w:rsidRPr="00A950D9">
              <w:rPr>
                <w:rFonts w:ascii="Times New Roman" w:eastAsia="Calibri" w:hAnsi="Times New Roman"/>
                <w:noProof/>
                <w:sz w:val="18"/>
                <w:szCs w:val="18"/>
              </w:rPr>
              <w:t>.</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1.</w:t>
            </w:r>
          </w:p>
        </w:tc>
        <w:tc>
          <w:tcPr>
            <w:tcW w:w="679" w:type="dxa"/>
            <w:tcBorders>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79" w:type="dxa"/>
            <w:tcBorders>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747" w:type="dxa"/>
            <w:tcBorders>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850" w:type="dxa"/>
            <w:tcBorders>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2.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-,346</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3.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,649</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-,047</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4.</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-,354</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,269</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-,569</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5.</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,311</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,125</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,520</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-,105</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6.</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,649</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-,146</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,627</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-,333</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,719</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7.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,407</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,157</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,768</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-,365</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,774</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,721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8.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,442</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-,196</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,673</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-,361</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,188</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,384</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,330</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9.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,575</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-,128</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,711</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-,689</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,396</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,531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,534</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,626</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10.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,648</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,146</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,813</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-,347</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,657</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,710</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,803</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,453</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,685</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11.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,752</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-,155</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,841</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-,368</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,622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,756</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,707</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,637</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,662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,861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12.</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-,067</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-,054</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-,056</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-,042</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-,191</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-,273</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-,120</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,153</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,014</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-,155</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-,165</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13.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,416</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,374</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,501</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-,067</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,483</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,410</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,482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,419</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,533</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,773</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,595</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-,292</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14.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,454</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,097</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,723</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-,489</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,588</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,566</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,752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,521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,728</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,813</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,676</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,085</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,636</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15.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,362</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-,431</w:t>
            </w:r>
            <w:r w:rsidRPr="00DD33F3">
              <w:rPr>
                <w:rFonts w:ascii="Times New Roman" w:hAnsi="Times New Roman"/>
                <w:color w:val="000000"/>
                <w:sz w:val="18"/>
                <w:szCs w:val="18"/>
                <w:vertAlign w:val="superscript"/>
              </w:rPr>
              <w:t>*</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,543</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-,871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,054</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,352</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,279</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,458</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,729</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,304</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,381</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,102</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-,047</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,349</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 </w:t>
            </w: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bottom w:val="nil"/>
              <w:right w:val="nil"/>
            </w:tcBorders>
            <w:vAlign w:val="center"/>
          </w:tcPr>
          <w:p w:rsidR="00730338" w:rsidRPr="00DD33F3" w:rsidRDefault="00730338" w:rsidP="00E42345">
            <w:pPr>
              <w:rPr>
                <w:rFonts w:ascii="Times New Roman" w:hAnsi="Times New Roman"/>
                <w:sz w:val="18"/>
                <w:szCs w:val="18"/>
              </w:rPr>
            </w:pPr>
            <w:r>
              <w:rPr>
                <w:rFonts w:ascii="Times New Roman" w:hAnsi="Times New Roman"/>
                <w:sz w:val="18"/>
                <w:szCs w:val="18"/>
              </w:rPr>
              <w:t xml:space="preserve">16. </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,532</w:t>
            </w:r>
            <w:r w:rsidRPr="00DD33F3">
              <w:rPr>
                <w:rFonts w:ascii="Times New Roman" w:hAnsi="Times New Roman"/>
                <w:color w:val="000000"/>
                <w:sz w:val="18"/>
                <w:szCs w:val="18"/>
                <w:vertAlign w:val="superscript"/>
              </w:rPr>
              <w:t>**</w:t>
            </w:r>
          </w:p>
        </w:tc>
        <w:tc>
          <w:tcPr>
            <w:tcW w:w="679"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,000</w:t>
            </w:r>
          </w:p>
        </w:tc>
        <w:tc>
          <w:tcPr>
            <w:tcW w:w="747"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,847</w:t>
            </w:r>
            <w:r w:rsidRPr="00DD33F3">
              <w:rPr>
                <w:rFonts w:ascii="Times New Roman" w:hAnsi="Times New Roman"/>
                <w:color w:val="000000"/>
                <w:sz w:val="18"/>
                <w:szCs w:val="18"/>
                <w:vertAlign w:val="superscript"/>
              </w:rPr>
              <w:t>**</w:t>
            </w:r>
          </w:p>
        </w:tc>
        <w:tc>
          <w:tcPr>
            <w:tcW w:w="85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-,628</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,407</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,471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,712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,510</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,771</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,692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,705</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,078</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,439</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,652</w:t>
            </w:r>
            <w:r w:rsidRPr="00DD33F3">
              <w:rPr>
                <w:rFonts w:ascii="Times New Roman" w:hAnsi="Times New Roman"/>
                <w:color w:val="000000"/>
                <w:sz w:val="18"/>
                <w:szCs w:val="18"/>
                <w:vertAlign w:val="superscript"/>
              </w:rPr>
              <w:t>**</w:t>
            </w:r>
          </w:p>
        </w:tc>
        <w:tc>
          <w:tcPr>
            <w:tcW w:w="680"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,606</w:t>
            </w:r>
            <w:r w:rsidRPr="00DD33F3">
              <w:rPr>
                <w:rFonts w:ascii="Times New Roman" w:hAnsi="Times New Roman"/>
                <w:color w:val="000000"/>
                <w:sz w:val="18"/>
                <w:szCs w:val="18"/>
                <w:vertAlign w:val="superscript"/>
              </w:rPr>
              <w:t>**</w:t>
            </w:r>
          </w:p>
        </w:tc>
        <w:tc>
          <w:tcPr>
            <w:tcW w:w="556" w:type="dxa"/>
            <w:tcBorders>
              <w:top w:val="nil"/>
              <w:left w:val="nil"/>
              <w:bottom w:val="nil"/>
              <w:right w:val="nil"/>
            </w:tcBorders>
            <w:vAlign w:val="center"/>
          </w:tcPr>
          <w:p w:rsidR="00730338" w:rsidRPr="00DD33F3" w:rsidRDefault="00730338" w:rsidP="00E42345">
            <w:pPr>
              <w:jc w:val="right"/>
              <w:rPr>
                <w:rFonts w:ascii="Times New Roman" w:hAnsi="Times New Roman"/>
                <w:color w:val="000000"/>
                <w:sz w:val="18"/>
                <w:szCs w:val="18"/>
              </w:rPr>
            </w:pPr>
          </w:p>
        </w:tc>
      </w:tr>
      <w:tr w:rsidR="00730338" w:rsidRPr="00DD33F3"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17"/>
        </w:trPr>
        <w:tc>
          <w:tcPr>
            <w:tcW w:w="567" w:type="dxa"/>
            <w:tcBorders>
              <w:top w:val="nil"/>
              <w:left w:val="nil"/>
              <w:right w:val="nil"/>
            </w:tcBorders>
            <w:vAlign w:val="center"/>
          </w:tcPr>
          <w:p w:rsidR="00730338" w:rsidRPr="00DD33F3" w:rsidRDefault="00730338" w:rsidP="00E42345">
            <w:pPr>
              <w:rPr>
                <w:sz w:val="18"/>
                <w:szCs w:val="18"/>
              </w:rPr>
            </w:pPr>
            <w:r>
              <w:rPr>
                <w:rFonts w:ascii="Times New Roman" w:hAnsi="Times New Roman"/>
                <w:sz w:val="18"/>
                <w:szCs w:val="18"/>
              </w:rPr>
              <w:t>17.</w:t>
            </w:r>
          </w:p>
        </w:tc>
        <w:tc>
          <w:tcPr>
            <w:tcW w:w="679" w:type="dxa"/>
            <w:tcBorders>
              <w:top w:val="nil"/>
              <w:left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,212</w:t>
            </w:r>
          </w:p>
        </w:tc>
        <w:tc>
          <w:tcPr>
            <w:tcW w:w="679" w:type="dxa"/>
            <w:tcBorders>
              <w:top w:val="nil"/>
              <w:left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-,212</w:t>
            </w:r>
          </w:p>
        </w:tc>
        <w:tc>
          <w:tcPr>
            <w:tcW w:w="747" w:type="dxa"/>
            <w:tcBorders>
              <w:top w:val="nil"/>
              <w:left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,189</w:t>
            </w:r>
          </w:p>
        </w:tc>
        <w:tc>
          <w:tcPr>
            <w:tcW w:w="850" w:type="dxa"/>
            <w:tcBorders>
              <w:top w:val="nil"/>
              <w:left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-,215</w:t>
            </w:r>
          </w:p>
        </w:tc>
        <w:tc>
          <w:tcPr>
            <w:tcW w:w="680" w:type="dxa"/>
            <w:tcBorders>
              <w:top w:val="nil"/>
              <w:left w:val="nil"/>
              <w:right w:val="nil"/>
            </w:tcBorders>
            <w:vAlign w:val="center"/>
          </w:tcPr>
          <w:p w:rsidR="00730338" w:rsidRPr="00DD33F3" w:rsidRDefault="00730338" w:rsidP="00E42345">
            <w:pPr>
              <w:jc w:val="center"/>
              <w:rPr>
                <w:rFonts w:ascii="Times New Roman" w:hAnsi="Times New Roman"/>
                <w:color w:val="000000"/>
                <w:sz w:val="18"/>
                <w:szCs w:val="18"/>
              </w:rPr>
            </w:pPr>
            <w:r w:rsidRPr="00DD33F3">
              <w:rPr>
                <w:rFonts w:ascii="Times New Roman" w:hAnsi="Times New Roman"/>
                <w:color w:val="000000"/>
                <w:sz w:val="18"/>
                <w:szCs w:val="18"/>
              </w:rPr>
              <w:t>,151</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,214</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,289</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-,289</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-,047</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,322</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,135</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-,040</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-,016</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,212</w:t>
            </w:r>
          </w:p>
        </w:tc>
        <w:tc>
          <w:tcPr>
            <w:tcW w:w="680"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,142</w:t>
            </w:r>
          </w:p>
        </w:tc>
        <w:tc>
          <w:tcPr>
            <w:tcW w:w="556" w:type="dxa"/>
            <w:tcBorders>
              <w:top w:val="nil"/>
              <w:left w:val="nil"/>
              <w:right w:val="nil"/>
            </w:tcBorders>
            <w:vAlign w:val="center"/>
          </w:tcPr>
          <w:p w:rsidR="00730338" w:rsidRPr="00DD33F3" w:rsidRDefault="00730338" w:rsidP="00E42345">
            <w:pPr>
              <w:jc w:val="right"/>
              <w:rPr>
                <w:rFonts w:ascii="Times New Roman" w:hAnsi="Times New Roman"/>
                <w:color w:val="000000"/>
                <w:sz w:val="18"/>
                <w:szCs w:val="18"/>
              </w:rPr>
            </w:pPr>
            <w:r w:rsidRPr="00DD33F3">
              <w:rPr>
                <w:rFonts w:ascii="Times New Roman" w:hAnsi="Times New Roman"/>
                <w:color w:val="000000"/>
                <w:sz w:val="18"/>
                <w:szCs w:val="18"/>
              </w:rPr>
              <w:t>,065</w:t>
            </w:r>
          </w:p>
        </w:tc>
      </w:tr>
      <w:tr w:rsidR="00730338" w:rsidRPr="00A950D9" w:rsidTr="00E42345">
        <w:trPr>
          <w:trHeight w:val="360"/>
        </w:trPr>
        <w:tc>
          <w:tcPr>
            <w:tcW w:w="11565" w:type="dxa"/>
            <w:gridSpan w:val="18"/>
          </w:tcPr>
          <w:p w:rsidR="00730338" w:rsidRPr="00097D20" w:rsidRDefault="00730338" w:rsidP="00E42345">
            <w:pPr>
              <w:autoSpaceDE w:val="0"/>
              <w:autoSpaceDN w:val="0"/>
              <w:adjustRightInd w:val="0"/>
              <w:ind w:left="142"/>
              <w:rPr>
                <w:rFonts w:ascii="Times New Roman" w:eastAsia="Calibri" w:hAnsi="Times New Roman"/>
                <w:noProof/>
                <w:sz w:val="20"/>
                <w:szCs w:val="20"/>
              </w:rPr>
            </w:pPr>
            <w:r w:rsidRPr="00097D20">
              <w:rPr>
                <w:rFonts w:ascii="Times New Roman" w:eastAsia="Calibri" w:hAnsi="Times New Roman"/>
                <w:noProof/>
                <w:sz w:val="20"/>
                <w:szCs w:val="20"/>
                <w:vertAlign w:val="superscript"/>
              </w:rPr>
              <w:t>*</w:t>
            </w:r>
            <w:r w:rsidRPr="00097D20">
              <w:rPr>
                <w:rFonts w:ascii="Times New Roman" w:eastAsia="Calibri" w:hAnsi="Times New Roman"/>
                <w:noProof/>
                <w:sz w:val="20"/>
                <w:szCs w:val="20"/>
              </w:rPr>
              <w:t>p&lt;0,05</w:t>
            </w:r>
          </w:p>
          <w:p w:rsidR="00730338" w:rsidRPr="00097D20" w:rsidRDefault="00730338" w:rsidP="00E42345">
            <w:pPr>
              <w:autoSpaceDE w:val="0"/>
              <w:autoSpaceDN w:val="0"/>
              <w:adjustRightInd w:val="0"/>
              <w:ind w:left="142"/>
              <w:rPr>
                <w:rFonts w:ascii="Times New Roman" w:eastAsia="Calibri" w:hAnsi="Times New Roman"/>
                <w:noProof/>
                <w:sz w:val="20"/>
                <w:szCs w:val="20"/>
              </w:rPr>
            </w:pPr>
            <w:r w:rsidRPr="00097D20">
              <w:rPr>
                <w:rFonts w:ascii="Times New Roman" w:eastAsia="Calibri" w:hAnsi="Times New Roman"/>
                <w:noProof/>
                <w:sz w:val="20"/>
                <w:szCs w:val="20"/>
                <w:vertAlign w:val="superscript"/>
              </w:rPr>
              <w:t>**</w:t>
            </w:r>
            <w:r w:rsidRPr="00097D20">
              <w:rPr>
                <w:rFonts w:ascii="Times New Roman" w:eastAsia="Calibri" w:hAnsi="Times New Roman"/>
                <w:noProof/>
                <w:sz w:val="20"/>
                <w:szCs w:val="20"/>
              </w:rPr>
              <w:t xml:space="preserve"> p&lt;0,01</w:t>
            </w:r>
          </w:p>
          <w:p w:rsidR="00730338" w:rsidRDefault="00730338" w:rsidP="00E42345">
            <w:pPr>
              <w:autoSpaceDE w:val="0"/>
              <w:autoSpaceDN w:val="0"/>
              <w:adjustRightInd w:val="0"/>
              <w:ind w:left="142"/>
              <w:rPr>
                <w:rFonts w:ascii="Times New Roman" w:eastAsia="Calibri" w:hAnsi="Times New Roman"/>
                <w:noProof/>
                <w:sz w:val="20"/>
                <w:szCs w:val="20"/>
              </w:rPr>
            </w:pPr>
            <w:r w:rsidRPr="00097D20">
              <w:rPr>
                <w:rFonts w:ascii="Times New Roman" w:eastAsia="Calibri" w:hAnsi="Times New Roman"/>
                <w:noProof/>
                <w:sz w:val="20"/>
                <w:szCs w:val="20"/>
              </w:rPr>
              <w:t xml:space="preserve">1. SBQ </w:t>
            </w:r>
            <w:r>
              <w:rPr>
                <w:rFonts w:ascii="Times New Roman" w:eastAsia="Calibri" w:hAnsi="Times New Roman"/>
                <w:noProof/>
                <w:sz w:val="20"/>
                <w:szCs w:val="20"/>
              </w:rPr>
              <w:t>- Upitnik Suicidalnog ponašanja; 2.</w:t>
            </w:r>
            <w:r w:rsidRPr="00097D20">
              <w:rPr>
                <w:rFonts w:ascii="Times New Roman" w:eastAsia="Calibri" w:hAnsi="Times New Roman"/>
                <w:noProof/>
                <w:sz w:val="20"/>
                <w:szCs w:val="20"/>
              </w:rPr>
              <w:t xml:space="preserve"> L skala</w:t>
            </w:r>
            <w:r>
              <w:rPr>
                <w:rFonts w:ascii="Times New Roman" w:eastAsia="Calibri" w:hAnsi="Times New Roman"/>
                <w:noProof/>
                <w:sz w:val="20"/>
                <w:szCs w:val="20"/>
              </w:rPr>
              <w:t xml:space="preserve">; 3. F skala; 4. K skala; 5. </w:t>
            </w:r>
            <w:r w:rsidRPr="00097D20">
              <w:rPr>
                <w:rFonts w:ascii="Times New Roman" w:eastAsia="Calibri" w:hAnsi="Times New Roman"/>
                <w:noProof/>
                <w:sz w:val="20"/>
                <w:szCs w:val="20"/>
              </w:rPr>
              <w:t xml:space="preserve">Hipohondrijaza </w:t>
            </w:r>
            <w:r>
              <w:rPr>
                <w:rFonts w:ascii="Times New Roman" w:eastAsia="Calibri" w:hAnsi="Times New Roman"/>
                <w:noProof/>
                <w:sz w:val="20"/>
                <w:szCs w:val="20"/>
              </w:rPr>
              <w:t xml:space="preserve">skala; 6. </w:t>
            </w:r>
            <w:r w:rsidRPr="00097D20">
              <w:rPr>
                <w:rFonts w:ascii="Times New Roman" w:eastAsia="Calibri" w:hAnsi="Times New Roman"/>
                <w:noProof/>
                <w:sz w:val="20"/>
                <w:szCs w:val="20"/>
              </w:rPr>
              <w:t>D</w:t>
            </w:r>
            <w:r>
              <w:rPr>
                <w:rFonts w:ascii="Times New Roman" w:eastAsia="Calibri" w:hAnsi="Times New Roman"/>
                <w:noProof/>
                <w:sz w:val="20"/>
                <w:szCs w:val="20"/>
              </w:rPr>
              <w:t xml:space="preserve">espresivnost skala; </w:t>
            </w:r>
          </w:p>
          <w:p w:rsidR="00730338" w:rsidRPr="00097D20" w:rsidRDefault="00730338" w:rsidP="00E42345">
            <w:pPr>
              <w:autoSpaceDE w:val="0"/>
              <w:autoSpaceDN w:val="0"/>
              <w:adjustRightInd w:val="0"/>
              <w:ind w:left="142"/>
              <w:rPr>
                <w:rFonts w:ascii="Times New Roman" w:eastAsia="Calibri" w:hAnsi="Times New Roman"/>
                <w:noProof/>
                <w:sz w:val="20"/>
                <w:szCs w:val="20"/>
              </w:rPr>
            </w:pPr>
            <w:r>
              <w:rPr>
                <w:rFonts w:ascii="Times New Roman" w:eastAsia="Calibri" w:hAnsi="Times New Roman"/>
                <w:noProof/>
                <w:sz w:val="20"/>
                <w:szCs w:val="20"/>
              </w:rPr>
              <w:t xml:space="preserve">7. Histrioničnost skala; 8. Psihodevijantnost skala; 9. Paranoidnost skala; 10. Psihoasteničnost skala; 11. </w:t>
            </w:r>
            <w:r w:rsidRPr="00097D20">
              <w:rPr>
                <w:rFonts w:ascii="Times New Roman" w:eastAsia="Calibri" w:hAnsi="Times New Roman"/>
                <w:noProof/>
                <w:sz w:val="20"/>
                <w:szCs w:val="20"/>
              </w:rPr>
              <w:t>Shizofrenija skala</w:t>
            </w:r>
            <w:r>
              <w:rPr>
                <w:rFonts w:ascii="Times New Roman" w:eastAsia="Calibri" w:hAnsi="Times New Roman"/>
                <w:noProof/>
                <w:sz w:val="20"/>
                <w:szCs w:val="20"/>
              </w:rPr>
              <w:t>;</w:t>
            </w:r>
          </w:p>
          <w:p w:rsidR="00730338" w:rsidRPr="00097D20" w:rsidRDefault="00730338" w:rsidP="00E42345">
            <w:pPr>
              <w:autoSpaceDE w:val="0"/>
              <w:autoSpaceDN w:val="0"/>
              <w:adjustRightInd w:val="0"/>
              <w:ind w:left="142"/>
              <w:rPr>
                <w:rFonts w:ascii="Times New Roman" w:eastAsia="Calibri" w:hAnsi="Times New Roman"/>
                <w:noProof/>
                <w:sz w:val="20"/>
                <w:szCs w:val="20"/>
              </w:rPr>
            </w:pPr>
            <w:r>
              <w:rPr>
                <w:rFonts w:ascii="Times New Roman" w:eastAsia="Calibri" w:hAnsi="Times New Roman"/>
                <w:noProof/>
                <w:sz w:val="20"/>
                <w:szCs w:val="20"/>
              </w:rPr>
              <w:t xml:space="preserve">12. </w:t>
            </w:r>
            <w:r w:rsidRPr="00097D20">
              <w:rPr>
                <w:rFonts w:ascii="Times New Roman" w:eastAsia="Calibri" w:hAnsi="Times New Roman"/>
                <w:noProof/>
                <w:sz w:val="20"/>
                <w:szCs w:val="20"/>
              </w:rPr>
              <w:t>Manija skala</w:t>
            </w:r>
            <w:r>
              <w:rPr>
                <w:rFonts w:ascii="Times New Roman" w:eastAsia="Calibri" w:hAnsi="Times New Roman"/>
                <w:noProof/>
                <w:sz w:val="20"/>
                <w:szCs w:val="20"/>
              </w:rPr>
              <w:t xml:space="preserve">; 13. </w:t>
            </w:r>
            <w:r w:rsidRPr="00097D20">
              <w:rPr>
                <w:rFonts w:ascii="Times New Roman" w:eastAsia="Calibri" w:hAnsi="Times New Roman"/>
                <w:noProof/>
                <w:sz w:val="20"/>
                <w:szCs w:val="20"/>
              </w:rPr>
              <w:t xml:space="preserve">Socijalna izolacija </w:t>
            </w:r>
            <w:r>
              <w:rPr>
                <w:rFonts w:ascii="Times New Roman" w:eastAsia="Calibri" w:hAnsi="Times New Roman"/>
                <w:noProof/>
                <w:sz w:val="20"/>
                <w:szCs w:val="20"/>
              </w:rPr>
              <w:t xml:space="preserve">skala; 14. Anksioznost skala; 15. </w:t>
            </w:r>
            <w:r w:rsidRPr="00097D20">
              <w:rPr>
                <w:rFonts w:ascii="Times New Roman" w:eastAsia="Calibri" w:hAnsi="Times New Roman"/>
                <w:noProof/>
                <w:sz w:val="20"/>
                <w:szCs w:val="20"/>
              </w:rPr>
              <w:t>Agresivnost skala</w:t>
            </w:r>
            <w:r>
              <w:rPr>
                <w:rFonts w:ascii="Times New Roman" w:eastAsia="Calibri" w:hAnsi="Times New Roman"/>
                <w:noProof/>
                <w:sz w:val="20"/>
                <w:szCs w:val="20"/>
              </w:rPr>
              <w:t xml:space="preserve">; 16. </w:t>
            </w:r>
            <w:r w:rsidRPr="00097D20">
              <w:rPr>
                <w:rFonts w:ascii="Times New Roman" w:eastAsia="Calibri" w:hAnsi="Times New Roman"/>
                <w:noProof/>
                <w:sz w:val="20"/>
                <w:szCs w:val="20"/>
              </w:rPr>
              <w:t>Kritični ajtemi</w:t>
            </w:r>
            <w:r>
              <w:rPr>
                <w:rFonts w:ascii="Times New Roman" w:eastAsia="Calibri" w:hAnsi="Times New Roman"/>
                <w:noProof/>
                <w:sz w:val="20"/>
                <w:szCs w:val="20"/>
              </w:rPr>
              <w:t>;</w:t>
            </w:r>
          </w:p>
          <w:p w:rsidR="00730338" w:rsidRPr="00097D20" w:rsidRDefault="00730338" w:rsidP="00E42345">
            <w:pPr>
              <w:autoSpaceDE w:val="0"/>
              <w:autoSpaceDN w:val="0"/>
              <w:adjustRightInd w:val="0"/>
              <w:ind w:left="142"/>
              <w:rPr>
                <w:rFonts w:ascii="Times New Roman" w:eastAsia="Calibri" w:hAnsi="Times New Roman"/>
                <w:noProof/>
                <w:sz w:val="20"/>
                <w:szCs w:val="20"/>
              </w:rPr>
            </w:pPr>
            <w:r>
              <w:rPr>
                <w:rFonts w:ascii="Times New Roman" w:eastAsia="Calibri" w:hAnsi="Times New Roman"/>
                <w:noProof/>
                <w:sz w:val="20"/>
                <w:szCs w:val="20"/>
              </w:rPr>
              <w:t xml:space="preserve">17. </w:t>
            </w:r>
            <w:r w:rsidRPr="00097D20">
              <w:rPr>
                <w:rFonts w:ascii="Times New Roman" w:eastAsia="Calibri" w:hAnsi="Times New Roman"/>
                <w:noProof/>
                <w:sz w:val="20"/>
                <w:szCs w:val="20"/>
              </w:rPr>
              <w:t>Hamiltonova skala Depresivnosti</w:t>
            </w:r>
            <w:r>
              <w:rPr>
                <w:rFonts w:ascii="Times New Roman" w:eastAsia="Calibri" w:hAnsi="Times New Roman"/>
                <w:noProof/>
                <w:sz w:val="20"/>
                <w:szCs w:val="20"/>
              </w:rPr>
              <w:t xml:space="preserve"> (HAMD)</w:t>
            </w:r>
          </w:p>
        </w:tc>
      </w:tr>
    </w:tbl>
    <w:p w:rsidR="005F4504" w:rsidRPr="005F4504" w:rsidRDefault="005F4504" w:rsidP="005F4504">
      <w:pPr>
        <w:pStyle w:val="EndNoteBibliography"/>
        <w:rPr>
          <w:rFonts w:ascii="Times New Roman" w:hAnsi="Times New Roman" w:cs="Times New Roman"/>
          <w:sz w:val="24"/>
          <w:szCs w:val="24"/>
        </w:rPr>
      </w:pPr>
    </w:p>
    <w:p w:rsidR="005F4504" w:rsidRPr="005F4504" w:rsidRDefault="005F4504" w:rsidP="005F4504">
      <w:pPr>
        <w:pStyle w:val="EndNoteBibliography"/>
        <w:rPr>
          <w:rFonts w:ascii="Times New Roman" w:hAnsi="Times New Roman" w:cs="Times New Roman"/>
          <w:sz w:val="24"/>
          <w:szCs w:val="24"/>
        </w:rPr>
      </w:pPr>
    </w:p>
    <w:p w:rsidR="005F4504" w:rsidRPr="005F4504" w:rsidRDefault="005F4504" w:rsidP="005F4504">
      <w:pPr>
        <w:pStyle w:val="EndNoteBibliography"/>
        <w:rPr>
          <w:rFonts w:ascii="Times New Roman" w:hAnsi="Times New Roman" w:cs="Times New Roman"/>
          <w:sz w:val="24"/>
          <w:szCs w:val="24"/>
        </w:rPr>
      </w:pPr>
    </w:p>
    <w:p w:rsidR="005F4504" w:rsidRPr="005F4504" w:rsidRDefault="005F4504" w:rsidP="005F4504">
      <w:pPr>
        <w:pStyle w:val="EndNoteBibliography"/>
        <w:rPr>
          <w:rFonts w:ascii="Times New Roman" w:hAnsi="Times New Roman" w:cs="Times New Roman"/>
          <w:sz w:val="24"/>
          <w:szCs w:val="24"/>
        </w:rPr>
      </w:pPr>
    </w:p>
    <w:p w:rsidR="002E0222" w:rsidRDefault="002E0222" w:rsidP="002A140F">
      <w:pPr>
        <w:pStyle w:val="EndNoteBibliography"/>
        <w:rPr>
          <w:rFonts w:ascii="Times New Roman" w:hAnsi="Times New Roman" w:cs="Times New Roman"/>
          <w:sz w:val="24"/>
          <w:szCs w:val="24"/>
        </w:rPr>
      </w:pPr>
    </w:p>
    <w:p w:rsidR="00730338" w:rsidRDefault="00730338" w:rsidP="002A140F">
      <w:pPr>
        <w:pStyle w:val="EndNoteBibliography"/>
        <w:rPr>
          <w:rFonts w:ascii="Times New Roman" w:hAnsi="Times New Roman" w:cs="Times New Roman"/>
          <w:sz w:val="24"/>
          <w:szCs w:val="24"/>
        </w:rPr>
      </w:pPr>
    </w:p>
    <w:p w:rsidR="00730338" w:rsidRDefault="00730338" w:rsidP="002A140F">
      <w:pPr>
        <w:pStyle w:val="EndNoteBibliography"/>
        <w:rPr>
          <w:rFonts w:ascii="Times New Roman" w:hAnsi="Times New Roman" w:cs="Times New Roman"/>
          <w:sz w:val="24"/>
          <w:szCs w:val="24"/>
        </w:rPr>
      </w:pPr>
    </w:p>
    <w:p w:rsidR="00730338" w:rsidRDefault="00730338" w:rsidP="002A140F">
      <w:pPr>
        <w:pStyle w:val="EndNoteBibliography"/>
        <w:rPr>
          <w:rFonts w:ascii="Times New Roman" w:hAnsi="Times New Roman" w:cs="Times New Roman"/>
          <w:b/>
          <w:sz w:val="24"/>
          <w:szCs w:val="24"/>
        </w:rPr>
      </w:pPr>
      <w:r w:rsidRPr="00730338">
        <w:rPr>
          <w:rFonts w:ascii="Times New Roman" w:hAnsi="Times New Roman" w:cs="Times New Roman"/>
          <w:b/>
          <w:sz w:val="24"/>
          <w:szCs w:val="24"/>
        </w:rPr>
        <w:lastRenderedPageBreak/>
        <w:t>Prilog</w:t>
      </w:r>
      <w:r w:rsidR="00D30F6D">
        <w:rPr>
          <w:rFonts w:ascii="Times New Roman" w:hAnsi="Times New Roman" w:cs="Times New Roman"/>
          <w:b/>
          <w:sz w:val="24"/>
          <w:szCs w:val="24"/>
        </w:rPr>
        <w:t xml:space="preserve"> IV</w:t>
      </w:r>
    </w:p>
    <w:p w:rsidR="00730338" w:rsidRDefault="00730338" w:rsidP="002A140F">
      <w:pPr>
        <w:pStyle w:val="EndNoteBibliography"/>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1701"/>
        <w:gridCol w:w="709"/>
        <w:gridCol w:w="850"/>
        <w:gridCol w:w="851"/>
        <w:gridCol w:w="708"/>
        <w:gridCol w:w="851"/>
        <w:gridCol w:w="850"/>
        <w:gridCol w:w="709"/>
        <w:gridCol w:w="851"/>
      </w:tblGrid>
      <w:tr w:rsidR="00730338" w:rsidRPr="008240C9" w:rsidTr="00E42345">
        <w:trPr>
          <w:trHeight w:val="360"/>
        </w:trPr>
        <w:tc>
          <w:tcPr>
            <w:tcW w:w="8931" w:type="dxa"/>
            <w:gridSpan w:val="10"/>
          </w:tcPr>
          <w:p w:rsidR="00730338" w:rsidRDefault="00730338" w:rsidP="00E42345">
            <w:pPr>
              <w:spacing w:line="259" w:lineRule="auto"/>
              <w:jc w:val="both"/>
              <w:rPr>
                <w:i/>
              </w:rPr>
            </w:pPr>
            <w:r>
              <w:t>Tabela 4</w:t>
            </w:r>
          </w:p>
          <w:p w:rsidR="00730338" w:rsidRPr="008240C9" w:rsidRDefault="00730338" w:rsidP="00E42345">
            <w:pPr>
              <w:spacing w:line="259" w:lineRule="auto"/>
              <w:jc w:val="both"/>
              <w:rPr>
                <w:i/>
              </w:rPr>
            </w:pPr>
            <w:r w:rsidRPr="008240C9">
              <w:rPr>
                <w:i/>
              </w:rPr>
              <w:t xml:space="preserve">Predviđanje </w:t>
            </w:r>
            <w:r>
              <w:rPr>
                <w:i/>
              </w:rPr>
              <w:t>Suicidalnog ponašanja (SBQ)pomoću MMPI</w:t>
            </w: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Model</w:t>
            </w:r>
          </w:p>
        </w:tc>
        <w:tc>
          <w:tcPr>
            <w:tcW w:w="1701"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Prediktor</w:t>
            </w:r>
          </w:p>
        </w:tc>
        <w:tc>
          <w:tcPr>
            <w:tcW w:w="709"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B</w:t>
            </w:r>
          </w:p>
        </w:tc>
        <w:tc>
          <w:tcPr>
            <w:tcW w:w="850"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SE(B)</w:t>
            </w:r>
          </w:p>
        </w:tc>
        <w:tc>
          <w:tcPr>
            <w:tcW w:w="851"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β</w:t>
            </w:r>
          </w:p>
        </w:tc>
        <w:tc>
          <w:tcPr>
            <w:tcW w:w="708"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R</w:t>
            </w:r>
          </w:p>
        </w:tc>
        <w:tc>
          <w:tcPr>
            <w:tcW w:w="851"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Korig. R²</w:t>
            </w:r>
          </w:p>
        </w:tc>
        <w:tc>
          <w:tcPr>
            <w:tcW w:w="850"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F</w:t>
            </w:r>
          </w:p>
        </w:tc>
        <w:tc>
          <w:tcPr>
            <w:tcW w:w="709"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df</w:t>
            </w:r>
          </w:p>
        </w:tc>
        <w:tc>
          <w:tcPr>
            <w:tcW w:w="851" w:type="dxa"/>
            <w:tcBorders>
              <w:top w:val="nil"/>
              <w:left w:val="nil"/>
              <w:right w:val="nil"/>
            </w:tcBorders>
            <w:vAlign w:val="center"/>
          </w:tcPr>
          <w:p w:rsidR="00730338" w:rsidRPr="008240C9" w:rsidRDefault="00730338" w:rsidP="00E42345">
            <w:pPr>
              <w:spacing w:line="259" w:lineRule="auto"/>
              <w:jc w:val="center"/>
              <w:rPr>
                <w:sz w:val="20"/>
                <w:szCs w:val="20"/>
              </w:rPr>
            </w:pPr>
            <w:r w:rsidRPr="008240C9">
              <w:rPr>
                <w:sz w:val="20"/>
                <w:szCs w:val="20"/>
              </w:rPr>
              <w:t>p</w:t>
            </w: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left w:val="nil"/>
              <w:bottom w:val="nil"/>
              <w:right w:val="nil"/>
            </w:tcBorders>
            <w:vAlign w:val="center"/>
          </w:tcPr>
          <w:p w:rsidR="00730338" w:rsidRPr="008240C9" w:rsidRDefault="00730338" w:rsidP="00E42345">
            <w:pPr>
              <w:spacing w:line="259" w:lineRule="auto"/>
              <w:jc w:val="center"/>
              <w:rPr>
                <w:sz w:val="20"/>
                <w:szCs w:val="20"/>
              </w:rPr>
            </w:pPr>
            <w:r w:rsidRPr="008240C9">
              <w:rPr>
                <w:sz w:val="20"/>
                <w:szCs w:val="20"/>
              </w:rPr>
              <w:t>1</w:t>
            </w:r>
          </w:p>
        </w:tc>
        <w:tc>
          <w:tcPr>
            <w:tcW w:w="1701" w:type="dxa"/>
            <w:tcBorders>
              <w:left w:val="nil"/>
              <w:bottom w:val="nil"/>
              <w:right w:val="nil"/>
            </w:tcBorders>
            <w:vAlign w:val="center"/>
          </w:tcPr>
          <w:p w:rsidR="00730338" w:rsidRPr="005A7AD6" w:rsidRDefault="00730338" w:rsidP="00E42345">
            <w:pPr>
              <w:rPr>
                <w:sz w:val="20"/>
              </w:rPr>
            </w:pPr>
            <w:r w:rsidRPr="005A7AD6">
              <w:rPr>
                <w:sz w:val="20"/>
              </w:rPr>
              <w:t>L</w:t>
            </w:r>
          </w:p>
        </w:tc>
        <w:tc>
          <w:tcPr>
            <w:tcW w:w="709" w:type="dxa"/>
            <w:tcBorders>
              <w:left w:val="nil"/>
              <w:bottom w:val="nil"/>
              <w:right w:val="nil"/>
            </w:tcBorders>
            <w:vAlign w:val="center"/>
          </w:tcPr>
          <w:p w:rsidR="00730338" w:rsidRPr="00802C73" w:rsidRDefault="00730338" w:rsidP="00E42345">
            <w:pPr>
              <w:jc w:val="center"/>
              <w:rPr>
                <w:sz w:val="20"/>
              </w:rPr>
            </w:pPr>
            <w:r w:rsidRPr="00802C73">
              <w:rPr>
                <w:sz w:val="20"/>
              </w:rPr>
              <w:t>-,114</w:t>
            </w:r>
          </w:p>
        </w:tc>
        <w:tc>
          <w:tcPr>
            <w:tcW w:w="850" w:type="dxa"/>
            <w:tcBorders>
              <w:left w:val="nil"/>
              <w:bottom w:val="nil"/>
              <w:right w:val="nil"/>
            </w:tcBorders>
            <w:vAlign w:val="center"/>
          </w:tcPr>
          <w:p w:rsidR="00730338" w:rsidRPr="00D921F1" w:rsidRDefault="00730338" w:rsidP="00E42345">
            <w:pPr>
              <w:jc w:val="center"/>
              <w:rPr>
                <w:sz w:val="20"/>
              </w:rPr>
            </w:pPr>
            <w:r w:rsidRPr="00D921F1">
              <w:rPr>
                <w:sz w:val="20"/>
              </w:rPr>
              <w:t>,075</w:t>
            </w:r>
          </w:p>
        </w:tc>
        <w:tc>
          <w:tcPr>
            <w:tcW w:w="851" w:type="dxa"/>
            <w:tcBorders>
              <w:left w:val="nil"/>
              <w:bottom w:val="nil"/>
              <w:right w:val="nil"/>
            </w:tcBorders>
            <w:vAlign w:val="center"/>
          </w:tcPr>
          <w:p w:rsidR="00730338" w:rsidRPr="00575D32" w:rsidRDefault="00730338" w:rsidP="00E42345">
            <w:pPr>
              <w:jc w:val="center"/>
              <w:rPr>
                <w:sz w:val="20"/>
              </w:rPr>
            </w:pPr>
            <w:r w:rsidRPr="00575D32">
              <w:rPr>
                <w:sz w:val="20"/>
              </w:rPr>
              <w:t>-,294</w:t>
            </w:r>
          </w:p>
        </w:tc>
        <w:tc>
          <w:tcPr>
            <w:tcW w:w="708" w:type="dxa"/>
            <w:tcBorders>
              <w:left w:val="nil"/>
              <w:bottom w:val="nil"/>
              <w:right w:val="nil"/>
            </w:tcBorders>
            <w:vAlign w:val="center"/>
          </w:tcPr>
          <w:p w:rsidR="00730338" w:rsidRPr="008240C9" w:rsidRDefault="00730338" w:rsidP="00E42345">
            <w:pPr>
              <w:spacing w:line="259" w:lineRule="auto"/>
              <w:jc w:val="center"/>
              <w:rPr>
                <w:sz w:val="20"/>
                <w:szCs w:val="20"/>
              </w:rPr>
            </w:pPr>
            <w:r w:rsidRPr="008240C9">
              <w:rPr>
                <w:sz w:val="20"/>
                <w:szCs w:val="20"/>
              </w:rPr>
              <w:t>,950</w:t>
            </w:r>
          </w:p>
        </w:tc>
        <w:tc>
          <w:tcPr>
            <w:tcW w:w="851" w:type="dxa"/>
            <w:tcBorders>
              <w:left w:val="nil"/>
              <w:bottom w:val="nil"/>
              <w:right w:val="nil"/>
            </w:tcBorders>
            <w:vAlign w:val="center"/>
          </w:tcPr>
          <w:p w:rsidR="00730338" w:rsidRPr="008240C9" w:rsidRDefault="00730338" w:rsidP="00E42345">
            <w:pPr>
              <w:spacing w:line="259" w:lineRule="auto"/>
              <w:jc w:val="center"/>
              <w:rPr>
                <w:sz w:val="20"/>
                <w:szCs w:val="20"/>
              </w:rPr>
            </w:pPr>
            <w:r w:rsidRPr="00121C07">
              <w:rPr>
                <w:sz w:val="20"/>
                <w:szCs w:val="20"/>
              </w:rPr>
              <w:t xml:space="preserve">,691    </w:t>
            </w:r>
          </w:p>
        </w:tc>
        <w:tc>
          <w:tcPr>
            <w:tcW w:w="850" w:type="dxa"/>
            <w:tcBorders>
              <w:left w:val="nil"/>
              <w:bottom w:val="nil"/>
              <w:right w:val="nil"/>
            </w:tcBorders>
            <w:vAlign w:val="center"/>
          </w:tcPr>
          <w:p w:rsidR="00730338" w:rsidRPr="008240C9" w:rsidRDefault="00730338" w:rsidP="00E42345">
            <w:pPr>
              <w:spacing w:line="259" w:lineRule="auto"/>
              <w:jc w:val="center"/>
              <w:rPr>
                <w:sz w:val="20"/>
                <w:szCs w:val="20"/>
              </w:rPr>
            </w:pPr>
            <w:r>
              <w:rPr>
                <w:sz w:val="20"/>
                <w:szCs w:val="20"/>
              </w:rPr>
              <w:t>4,278</w:t>
            </w:r>
          </w:p>
        </w:tc>
        <w:tc>
          <w:tcPr>
            <w:tcW w:w="709" w:type="dxa"/>
            <w:tcBorders>
              <w:left w:val="nil"/>
              <w:bottom w:val="nil"/>
              <w:right w:val="nil"/>
            </w:tcBorders>
            <w:vAlign w:val="center"/>
          </w:tcPr>
          <w:p w:rsidR="00730338" w:rsidRPr="008240C9" w:rsidRDefault="00730338" w:rsidP="00E42345">
            <w:pPr>
              <w:spacing w:line="259" w:lineRule="auto"/>
              <w:jc w:val="center"/>
              <w:rPr>
                <w:sz w:val="20"/>
                <w:szCs w:val="20"/>
              </w:rPr>
            </w:pPr>
            <w:r>
              <w:rPr>
                <w:sz w:val="20"/>
                <w:szCs w:val="20"/>
              </w:rPr>
              <w:t>15</w:t>
            </w:r>
          </w:p>
        </w:tc>
        <w:tc>
          <w:tcPr>
            <w:tcW w:w="851" w:type="dxa"/>
            <w:tcBorders>
              <w:left w:val="nil"/>
              <w:bottom w:val="nil"/>
              <w:right w:val="nil"/>
            </w:tcBorders>
            <w:vAlign w:val="center"/>
          </w:tcPr>
          <w:p w:rsidR="00730338" w:rsidRPr="008240C9" w:rsidRDefault="00730338" w:rsidP="00E42345">
            <w:pPr>
              <w:spacing w:line="259" w:lineRule="auto"/>
              <w:jc w:val="center"/>
              <w:rPr>
                <w:sz w:val="20"/>
                <w:szCs w:val="20"/>
              </w:rPr>
            </w:pPr>
            <w:r>
              <w:rPr>
                <w:sz w:val="20"/>
                <w:szCs w:val="20"/>
              </w:rPr>
              <w:t>,030</w:t>
            </w: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F</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,522</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,252</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1,426</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K</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,068</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,266</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,119</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Hipohondrijaza</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-,169</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,081</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-,744</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Depresivnost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,153</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,058</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,683</w:t>
            </w:r>
            <w:r w:rsidRPr="00121C07">
              <w:rPr>
                <w:sz w:val="20"/>
                <w:vertAlign w:val="superscript"/>
              </w:rPr>
              <w:t>*</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Pr>
                <w:sz w:val="20"/>
              </w:rPr>
              <w:t>Histrionič</w:t>
            </w:r>
            <w:r w:rsidRPr="005A7AD6">
              <w:rPr>
                <w:sz w:val="20"/>
              </w:rPr>
              <w:t>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,030</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,125</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,127</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Psihodevijantnost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-,300</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,178</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-1,097</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Paranoidnost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,174</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,089</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,781</w:t>
            </w:r>
          </w:p>
        </w:tc>
        <w:tc>
          <w:tcPr>
            <w:tcW w:w="708"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bottom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Pr>
                <w:sz w:val="20"/>
              </w:rPr>
              <w:t>Psihoastenič</w:t>
            </w:r>
            <w:r w:rsidRPr="005A7AD6">
              <w:rPr>
                <w:sz w:val="20"/>
              </w:rPr>
              <w:t>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-,354</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,391</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-1,216</w:t>
            </w:r>
          </w:p>
        </w:tc>
        <w:tc>
          <w:tcPr>
            <w:tcW w:w="708"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c>
          <w:tcPr>
            <w:tcW w:w="850" w:type="dxa"/>
            <w:tcBorders>
              <w:top w:val="nil"/>
              <w:left w:val="nil"/>
              <w:bottom w:val="nil"/>
              <w:right w:val="nil"/>
            </w:tcBorders>
            <w:vAlign w:val="center"/>
          </w:tcPr>
          <w:p w:rsidR="00730338" w:rsidRPr="008240C9" w:rsidRDefault="00730338" w:rsidP="00E42345">
            <w:pPr>
              <w:jc w:val="center"/>
              <w:rPr>
                <w:sz w:val="20"/>
                <w:szCs w:val="20"/>
              </w:rPr>
            </w:pPr>
          </w:p>
        </w:tc>
        <w:tc>
          <w:tcPr>
            <w:tcW w:w="709"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Pr>
                <w:sz w:val="20"/>
              </w:rPr>
              <w:t>S</w:t>
            </w:r>
            <w:r w:rsidRPr="005A7AD6">
              <w:rPr>
                <w:sz w:val="20"/>
              </w:rPr>
              <w:t>hizofrenija</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,282</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,214</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,975</w:t>
            </w:r>
          </w:p>
        </w:tc>
        <w:tc>
          <w:tcPr>
            <w:tcW w:w="708"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c>
          <w:tcPr>
            <w:tcW w:w="850" w:type="dxa"/>
            <w:tcBorders>
              <w:top w:val="nil"/>
              <w:left w:val="nil"/>
              <w:bottom w:val="nil"/>
              <w:right w:val="nil"/>
            </w:tcBorders>
            <w:vAlign w:val="center"/>
          </w:tcPr>
          <w:p w:rsidR="00730338" w:rsidRPr="008240C9" w:rsidRDefault="00730338" w:rsidP="00E42345">
            <w:pPr>
              <w:jc w:val="center"/>
              <w:rPr>
                <w:sz w:val="20"/>
                <w:szCs w:val="20"/>
              </w:rPr>
            </w:pPr>
          </w:p>
        </w:tc>
        <w:tc>
          <w:tcPr>
            <w:tcW w:w="709"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Manija</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,204</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,108</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,544</w:t>
            </w:r>
          </w:p>
        </w:tc>
        <w:tc>
          <w:tcPr>
            <w:tcW w:w="708"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c>
          <w:tcPr>
            <w:tcW w:w="850" w:type="dxa"/>
            <w:tcBorders>
              <w:top w:val="nil"/>
              <w:left w:val="nil"/>
              <w:bottom w:val="nil"/>
              <w:right w:val="nil"/>
            </w:tcBorders>
            <w:vAlign w:val="center"/>
          </w:tcPr>
          <w:p w:rsidR="00730338" w:rsidRPr="008240C9" w:rsidRDefault="00730338" w:rsidP="00E42345">
            <w:pPr>
              <w:jc w:val="center"/>
              <w:rPr>
                <w:sz w:val="20"/>
                <w:szCs w:val="20"/>
              </w:rPr>
            </w:pPr>
          </w:p>
        </w:tc>
        <w:tc>
          <w:tcPr>
            <w:tcW w:w="709"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sidRPr="005A7AD6">
              <w:rPr>
                <w:sz w:val="20"/>
              </w:rPr>
              <w:t>Socijalna izolacija</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,249</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,224</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,861</w:t>
            </w:r>
          </w:p>
        </w:tc>
        <w:tc>
          <w:tcPr>
            <w:tcW w:w="708"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c>
          <w:tcPr>
            <w:tcW w:w="850" w:type="dxa"/>
            <w:tcBorders>
              <w:top w:val="nil"/>
              <w:left w:val="nil"/>
              <w:bottom w:val="nil"/>
              <w:right w:val="nil"/>
            </w:tcBorders>
            <w:vAlign w:val="center"/>
          </w:tcPr>
          <w:p w:rsidR="00730338" w:rsidRPr="008240C9" w:rsidRDefault="00730338" w:rsidP="00E42345">
            <w:pPr>
              <w:jc w:val="center"/>
              <w:rPr>
                <w:sz w:val="20"/>
                <w:szCs w:val="20"/>
              </w:rPr>
            </w:pPr>
          </w:p>
        </w:tc>
        <w:tc>
          <w:tcPr>
            <w:tcW w:w="709"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Pr>
                <w:sz w:val="20"/>
              </w:rPr>
              <w:t>A</w:t>
            </w:r>
            <w:r w:rsidRPr="005A7AD6">
              <w:rPr>
                <w:sz w:val="20"/>
              </w:rPr>
              <w:t>nksioznost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-,062</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,094</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-,248</w:t>
            </w:r>
          </w:p>
        </w:tc>
        <w:tc>
          <w:tcPr>
            <w:tcW w:w="708"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c>
          <w:tcPr>
            <w:tcW w:w="850" w:type="dxa"/>
            <w:tcBorders>
              <w:top w:val="nil"/>
              <w:left w:val="nil"/>
              <w:bottom w:val="nil"/>
              <w:right w:val="nil"/>
            </w:tcBorders>
            <w:vAlign w:val="center"/>
          </w:tcPr>
          <w:p w:rsidR="00730338" w:rsidRPr="008240C9" w:rsidRDefault="00730338" w:rsidP="00E42345">
            <w:pPr>
              <w:jc w:val="center"/>
              <w:rPr>
                <w:sz w:val="20"/>
                <w:szCs w:val="20"/>
              </w:rPr>
            </w:pPr>
          </w:p>
        </w:tc>
        <w:tc>
          <w:tcPr>
            <w:tcW w:w="709"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bottom w:val="nil"/>
              <w:right w:val="nil"/>
            </w:tcBorders>
            <w:vAlign w:val="center"/>
          </w:tcPr>
          <w:p w:rsidR="00730338" w:rsidRPr="008240C9" w:rsidRDefault="00730338" w:rsidP="00E42345">
            <w:pPr>
              <w:jc w:val="both"/>
              <w:rPr>
                <w:sz w:val="20"/>
                <w:szCs w:val="20"/>
              </w:rPr>
            </w:pPr>
          </w:p>
        </w:tc>
        <w:tc>
          <w:tcPr>
            <w:tcW w:w="1701" w:type="dxa"/>
            <w:tcBorders>
              <w:top w:val="nil"/>
              <w:left w:val="nil"/>
              <w:bottom w:val="nil"/>
              <w:right w:val="nil"/>
            </w:tcBorders>
            <w:vAlign w:val="center"/>
          </w:tcPr>
          <w:p w:rsidR="00730338" w:rsidRPr="005A7AD6" w:rsidRDefault="00730338" w:rsidP="00E42345">
            <w:pPr>
              <w:rPr>
                <w:sz w:val="20"/>
              </w:rPr>
            </w:pPr>
            <w:r>
              <w:rPr>
                <w:sz w:val="20"/>
              </w:rPr>
              <w:t>A</w:t>
            </w:r>
            <w:r w:rsidRPr="005A7AD6">
              <w:rPr>
                <w:sz w:val="20"/>
              </w:rPr>
              <w:t>gresivnost</w:t>
            </w:r>
          </w:p>
        </w:tc>
        <w:tc>
          <w:tcPr>
            <w:tcW w:w="709" w:type="dxa"/>
            <w:tcBorders>
              <w:top w:val="nil"/>
              <w:left w:val="nil"/>
              <w:bottom w:val="nil"/>
              <w:right w:val="nil"/>
            </w:tcBorders>
            <w:vAlign w:val="center"/>
          </w:tcPr>
          <w:p w:rsidR="00730338" w:rsidRPr="00802C73" w:rsidRDefault="00730338" w:rsidP="00E42345">
            <w:pPr>
              <w:jc w:val="center"/>
              <w:rPr>
                <w:sz w:val="20"/>
              </w:rPr>
            </w:pPr>
            <w:r w:rsidRPr="00802C73">
              <w:rPr>
                <w:sz w:val="20"/>
              </w:rPr>
              <w:t>-,057</w:t>
            </w:r>
          </w:p>
        </w:tc>
        <w:tc>
          <w:tcPr>
            <w:tcW w:w="850" w:type="dxa"/>
            <w:tcBorders>
              <w:top w:val="nil"/>
              <w:left w:val="nil"/>
              <w:bottom w:val="nil"/>
              <w:right w:val="nil"/>
            </w:tcBorders>
            <w:vAlign w:val="center"/>
          </w:tcPr>
          <w:p w:rsidR="00730338" w:rsidRPr="00D921F1" w:rsidRDefault="00730338" w:rsidP="00E42345">
            <w:pPr>
              <w:jc w:val="center"/>
              <w:rPr>
                <w:sz w:val="20"/>
              </w:rPr>
            </w:pPr>
            <w:r w:rsidRPr="00D921F1">
              <w:rPr>
                <w:sz w:val="20"/>
              </w:rPr>
              <w:t>,177</w:t>
            </w:r>
          </w:p>
        </w:tc>
        <w:tc>
          <w:tcPr>
            <w:tcW w:w="851" w:type="dxa"/>
            <w:tcBorders>
              <w:top w:val="nil"/>
              <w:left w:val="nil"/>
              <w:bottom w:val="nil"/>
              <w:right w:val="nil"/>
            </w:tcBorders>
            <w:vAlign w:val="center"/>
          </w:tcPr>
          <w:p w:rsidR="00730338" w:rsidRPr="00575D32" w:rsidRDefault="00730338" w:rsidP="00E42345">
            <w:pPr>
              <w:jc w:val="center"/>
              <w:rPr>
                <w:sz w:val="20"/>
              </w:rPr>
            </w:pPr>
            <w:r w:rsidRPr="00575D32">
              <w:rPr>
                <w:sz w:val="20"/>
              </w:rPr>
              <w:t>-,233</w:t>
            </w:r>
          </w:p>
        </w:tc>
        <w:tc>
          <w:tcPr>
            <w:tcW w:w="708"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c>
          <w:tcPr>
            <w:tcW w:w="850" w:type="dxa"/>
            <w:tcBorders>
              <w:top w:val="nil"/>
              <w:left w:val="nil"/>
              <w:bottom w:val="nil"/>
              <w:right w:val="nil"/>
            </w:tcBorders>
            <w:vAlign w:val="center"/>
          </w:tcPr>
          <w:p w:rsidR="00730338" w:rsidRPr="008240C9" w:rsidRDefault="00730338" w:rsidP="00E42345">
            <w:pPr>
              <w:jc w:val="center"/>
              <w:rPr>
                <w:sz w:val="20"/>
                <w:szCs w:val="20"/>
              </w:rPr>
            </w:pPr>
          </w:p>
        </w:tc>
        <w:tc>
          <w:tcPr>
            <w:tcW w:w="709" w:type="dxa"/>
            <w:tcBorders>
              <w:top w:val="nil"/>
              <w:left w:val="nil"/>
              <w:bottom w:val="nil"/>
              <w:right w:val="nil"/>
            </w:tcBorders>
            <w:vAlign w:val="center"/>
          </w:tcPr>
          <w:p w:rsidR="00730338" w:rsidRPr="008240C9" w:rsidRDefault="00730338" w:rsidP="00E42345">
            <w:pPr>
              <w:jc w:val="center"/>
              <w:rPr>
                <w:sz w:val="20"/>
                <w:szCs w:val="20"/>
              </w:rPr>
            </w:pPr>
          </w:p>
        </w:tc>
        <w:tc>
          <w:tcPr>
            <w:tcW w:w="851" w:type="dxa"/>
            <w:tcBorders>
              <w:top w:val="nil"/>
              <w:left w:val="nil"/>
              <w:bottom w:val="nil"/>
              <w:right w:val="nil"/>
            </w:tcBorders>
            <w:vAlign w:val="center"/>
          </w:tcPr>
          <w:p w:rsidR="00730338" w:rsidRPr="008240C9" w:rsidRDefault="00730338" w:rsidP="00E42345">
            <w:pPr>
              <w:jc w:val="center"/>
              <w:rPr>
                <w:sz w:val="20"/>
                <w:szCs w:val="20"/>
              </w:rPr>
            </w:pPr>
          </w:p>
        </w:tc>
      </w:tr>
      <w:tr w:rsidR="00730338" w:rsidRPr="008240C9" w:rsidTr="00E4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top w:val="nil"/>
              <w:left w:val="nil"/>
              <w:right w:val="nil"/>
            </w:tcBorders>
            <w:vAlign w:val="center"/>
          </w:tcPr>
          <w:p w:rsidR="00730338" w:rsidRPr="008240C9" w:rsidRDefault="00730338" w:rsidP="00E42345">
            <w:pPr>
              <w:spacing w:line="259" w:lineRule="auto"/>
              <w:jc w:val="both"/>
              <w:rPr>
                <w:sz w:val="20"/>
                <w:szCs w:val="20"/>
              </w:rPr>
            </w:pPr>
          </w:p>
        </w:tc>
        <w:tc>
          <w:tcPr>
            <w:tcW w:w="1701" w:type="dxa"/>
            <w:tcBorders>
              <w:top w:val="nil"/>
              <w:left w:val="nil"/>
              <w:right w:val="nil"/>
            </w:tcBorders>
            <w:vAlign w:val="center"/>
          </w:tcPr>
          <w:p w:rsidR="00730338" w:rsidRPr="005A7AD6" w:rsidRDefault="00730338" w:rsidP="00E42345">
            <w:pPr>
              <w:rPr>
                <w:sz w:val="20"/>
              </w:rPr>
            </w:pPr>
            <w:r>
              <w:rPr>
                <w:sz w:val="20"/>
              </w:rPr>
              <w:t>Kritič</w:t>
            </w:r>
            <w:r w:rsidRPr="005A7AD6">
              <w:rPr>
                <w:sz w:val="20"/>
              </w:rPr>
              <w:t>ni ajtemi</w:t>
            </w:r>
          </w:p>
        </w:tc>
        <w:tc>
          <w:tcPr>
            <w:tcW w:w="709" w:type="dxa"/>
            <w:tcBorders>
              <w:top w:val="nil"/>
              <w:left w:val="nil"/>
              <w:right w:val="nil"/>
            </w:tcBorders>
            <w:vAlign w:val="center"/>
          </w:tcPr>
          <w:p w:rsidR="00730338" w:rsidRPr="00802C73" w:rsidRDefault="00730338" w:rsidP="00E42345">
            <w:pPr>
              <w:jc w:val="center"/>
              <w:rPr>
                <w:sz w:val="20"/>
              </w:rPr>
            </w:pPr>
            <w:r w:rsidRPr="00802C73">
              <w:rPr>
                <w:sz w:val="20"/>
              </w:rPr>
              <w:t>-,182</w:t>
            </w:r>
          </w:p>
        </w:tc>
        <w:tc>
          <w:tcPr>
            <w:tcW w:w="850" w:type="dxa"/>
            <w:tcBorders>
              <w:top w:val="nil"/>
              <w:left w:val="nil"/>
              <w:right w:val="nil"/>
            </w:tcBorders>
            <w:vAlign w:val="center"/>
          </w:tcPr>
          <w:p w:rsidR="00730338" w:rsidRPr="00D921F1" w:rsidRDefault="00730338" w:rsidP="00E42345">
            <w:pPr>
              <w:jc w:val="center"/>
              <w:rPr>
                <w:sz w:val="20"/>
              </w:rPr>
            </w:pPr>
            <w:r w:rsidRPr="00D921F1">
              <w:rPr>
                <w:sz w:val="20"/>
              </w:rPr>
              <w:t>,157</w:t>
            </w:r>
          </w:p>
        </w:tc>
        <w:tc>
          <w:tcPr>
            <w:tcW w:w="851" w:type="dxa"/>
            <w:tcBorders>
              <w:top w:val="nil"/>
              <w:left w:val="nil"/>
              <w:right w:val="nil"/>
            </w:tcBorders>
            <w:vAlign w:val="center"/>
          </w:tcPr>
          <w:p w:rsidR="00730338" w:rsidRPr="00575D32" w:rsidRDefault="00730338" w:rsidP="00E42345">
            <w:pPr>
              <w:jc w:val="center"/>
              <w:rPr>
                <w:sz w:val="20"/>
              </w:rPr>
            </w:pPr>
            <w:r w:rsidRPr="00575D32">
              <w:rPr>
                <w:sz w:val="20"/>
              </w:rPr>
              <w:t>-,717</w:t>
            </w:r>
          </w:p>
        </w:tc>
        <w:tc>
          <w:tcPr>
            <w:tcW w:w="708" w:type="dxa"/>
            <w:tcBorders>
              <w:top w:val="nil"/>
              <w:left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right w:val="nil"/>
            </w:tcBorders>
            <w:vAlign w:val="center"/>
          </w:tcPr>
          <w:p w:rsidR="00730338" w:rsidRPr="008240C9" w:rsidRDefault="00730338" w:rsidP="00E42345">
            <w:pPr>
              <w:spacing w:line="259" w:lineRule="auto"/>
              <w:jc w:val="center"/>
              <w:rPr>
                <w:sz w:val="20"/>
                <w:szCs w:val="20"/>
              </w:rPr>
            </w:pPr>
          </w:p>
        </w:tc>
        <w:tc>
          <w:tcPr>
            <w:tcW w:w="850" w:type="dxa"/>
            <w:tcBorders>
              <w:top w:val="nil"/>
              <w:left w:val="nil"/>
              <w:right w:val="nil"/>
            </w:tcBorders>
            <w:vAlign w:val="center"/>
          </w:tcPr>
          <w:p w:rsidR="00730338" w:rsidRPr="008240C9" w:rsidRDefault="00730338" w:rsidP="00E42345">
            <w:pPr>
              <w:spacing w:line="259" w:lineRule="auto"/>
              <w:jc w:val="center"/>
              <w:rPr>
                <w:sz w:val="20"/>
                <w:szCs w:val="20"/>
              </w:rPr>
            </w:pPr>
          </w:p>
        </w:tc>
        <w:tc>
          <w:tcPr>
            <w:tcW w:w="709" w:type="dxa"/>
            <w:tcBorders>
              <w:top w:val="nil"/>
              <w:left w:val="nil"/>
              <w:right w:val="nil"/>
            </w:tcBorders>
            <w:vAlign w:val="center"/>
          </w:tcPr>
          <w:p w:rsidR="00730338" w:rsidRPr="008240C9" w:rsidRDefault="00730338" w:rsidP="00E42345">
            <w:pPr>
              <w:spacing w:line="259" w:lineRule="auto"/>
              <w:jc w:val="center"/>
              <w:rPr>
                <w:sz w:val="20"/>
                <w:szCs w:val="20"/>
              </w:rPr>
            </w:pPr>
          </w:p>
        </w:tc>
        <w:tc>
          <w:tcPr>
            <w:tcW w:w="851" w:type="dxa"/>
            <w:tcBorders>
              <w:top w:val="nil"/>
              <w:left w:val="nil"/>
              <w:right w:val="nil"/>
            </w:tcBorders>
            <w:vAlign w:val="center"/>
          </w:tcPr>
          <w:p w:rsidR="00730338" w:rsidRPr="008240C9" w:rsidRDefault="00730338" w:rsidP="00E42345">
            <w:pPr>
              <w:spacing w:line="259" w:lineRule="auto"/>
              <w:jc w:val="center"/>
              <w:rPr>
                <w:sz w:val="20"/>
                <w:szCs w:val="20"/>
              </w:rPr>
            </w:pPr>
          </w:p>
        </w:tc>
      </w:tr>
      <w:tr w:rsidR="00730338" w:rsidRPr="008240C9" w:rsidTr="00E42345">
        <w:trPr>
          <w:trHeight w:val="255"/>
        </w:trPr>
        <w:tc>
          <w:tcPr>
            <w:tcW w:w="8931" w:type="dxa"/>
            <w:gridSpan w:val="10"/>
          </w:tcPr>
          <w:p w:rsidR="00730338" w:rsidRPr="008240C9" w:rsidRDefault="00730338" w:rsidP="00E42345">
            <w:pPr>
              <w:spacing w:line="259" w:lineRule="auto"/>
              <w:jc w:val="both"/>
              <w:rPr>
                <w:sz w:val="20"/>
                <w:szCs w:val="20"/>
              </w:rPr>
            </w:pPr>
            <w:r w:rsidRPr="008240C9">
              <w:rPr>
                <w:sz w:val="20"/>
                <w:szCs w:val="20"/>
                <w:vertAlign w:val="superscript"/>
              </w:rPr>
              <w:t>*</w:t>
            </w:r>
            <w:r w:rsidRPr="008240C9">
              <w:rPr>
                <w:sz w:val="20"/>
                <w:szCs w:val="20"/>
              </w:rPr>
              <w:t>p&lt;0,05</w:t>
            </w:r>
          </w:p>
        </w:tc>
      </w:tr>
    </w:tbl>
    <w:p w:rsidR="00730338" w:rsidRDefault="00730338" w:rsidP="00730338">
      <w:pPr>
        <w:jc w:val="both"/>
      </w:pPr>
    </w:p>
    <w:p w:rsidR="00730338" w:rsidRDefault="00730338" w:rsidP="00730338">
      <w:pPr>
        <w:jc w:val="both"/>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Default="00D30F6D" w:rsidP="000B048F">
      <w:pPr>
        <w:autoSpaceDE w:val="0"/>
        <w:autoSpaceDN w:val="0"/>
        <w:adjustRightInd w:val="0"/>
        <w:spacing w:after="0" w:line="240" w:lineRule="auto"/>
        <w:rPr>
          <w:rFonts w:ascii="Times New Roman" w:hAnsi="Times New Roman" w:cs="Times New Roman"/>
          <w:sz w:val="24"/>
          <w:szCs w:val="24"/>
        </w:rPr>
      </w:pPr>
    </w:p>
    <w:p w:rsidR="00D30F6D" w:rsidRPr="00D30F6D" w:rsidRDefault="00D30F6D" w:rsidP="000B048F">
      <w:pPr>
        <w:autoSpaceDE w:val="0"/>
        <w:autoSpaceDN w:val="0"/>
        <w:adjustRightInd w:val="0"/>
        <w:spacing w:after="0" w:line="240" w:lineRule="auto"/>
        <w:rPr>
          <w:rFonts w:ascii="Times New Roman" w:hAnsi="Times New Roman" w:cs="Times New Roman"/>
          <w:b/>
          <w:sz w:val="24"/>
          <w:szCs w:val="24"/>
        </w:rPr>
      </w:pPr>
      <w:r w:rsidRPr="00D30F6D">
        <w:rPr>
          <w:rFonts w:ascii="Times New Roman" w:hAnsi="Times New Roman" w:cs="Times New Roman"/>
          <w:b/>
          <w:sz w:val="24"/>
          <w:szCs w:val="24"/>
        </w:rPr>
        <w:lastRenderedPageBreak/>
        <w:t>Prilog V</w:t>
      </w:r>
    </w:p>
    <w:p w:rsidR="000B048F" w:rsidRDefault="000B048F" w:rsidP="000B04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Tabela 5</w:t>
      </w:r>
    </w:p>
    <w:p w:rsidR="000B048F" w:rsidRPr="000B048F" w:rsidRDefault="000B048F" w:rsidP="000B048F">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Kore</w:t>
      </w:r>
      <w:r w:rsidRPr="000B048F">
        <w:rPr>
          <w:rFonts w:ascii="Times New Roman" w:hAnsi="Times New Roman" w:cs="Times New Roman"/>
          <w:i/>
          <w:sz w:val="24"/>
          <w:szCs w:val="24"/>
        </w:rPr>
        <w:t>lacija između broja hospitalizacija i SBQ-R skor.</w:t>
      </w:r>
    </w:p>
    <w:tbl>
      <w:tblPr>
        <w:tblW w:w="620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15"/>
        <w:gridCol w:w="1949"/>
        <w:gridCol w:w="1000"/>
        <w:gridCol w:w="1438"/>
      </w:tblGrid>
      <w:tr w:rsidR="000B048F" w:rsidRPr="000B048F" w:rsidTr="000B048F">
        <w:trPr>
          <w:cantSplit/>
          <w:tblHeader/>
        </w:trPr>
        <w:tc>
          <w:tcPr>
            <w:tcW w:w="6202" w:type="dxa"/>
            <w:gridSpan w:val="4"/>
            <w:tcBorders>
              <w:top w:val="nil"/>
              <w:left w:val="nil"/>
              <w:bottom w:val="nil"/>
              <w:right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p>
        </w:tc>
      </w:tr>
      <w:tr w:rsidR="000B048F" w:rsidRPr="000B048F" w:rsidTr="000B048F">
        <w:trPr>
          <w:cantSplit/>
          <w:tblHeader/>
        </w:trPr>
        <w:tc>
          <w:tcPr>
            <w:tcW w:w="181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B048F" w:rsidRPr="000B048F" w:rsidRDefault="000B048F" w:rsidP="000B048F">
            <w:pPr>
              <w:autoSpaceDE w:val="0"/>
              <w:autoSpaceDN w:val="0"/>
              <w:adjustRightInd w:val="0"/>
              <w:spacing w:after="0" w:line="320" w:lineRule="atLeast"/>
              <w:jc w:val="center"/>
              <w:rPr>
                <w:rFonts w:ascii="Arial" w:hAnsi="Arial" w:cs="Arial"/>
                <w:color w:val="000000"/>
                <w:sz w:val="18"/>
                <w:szCs w:val="18"/>
              </w:rPr>
            </w:pPr>
            <w:r w:rsidRPr="000B048F">
              <w:rPr>
                <w:rFonts w:ascii="Arial" w:hAnsi="Arial" w:cs="Arial"/>
                <w:color w:val="000000"/>
                <w:sz w:val="18"/>
                <w:szCs w:val="18"/>
              </w:rPr>
              <w:t>sbq</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B048F" w:rsidRPr="000B048F" w:rsidRDefault="000B048F" w:rsidP="000B048F">
            <w:pPr>
              <w:autoSpaceDE w:val="0"/>
              <w:autoSpaceDN w:val="0"/>
              <w:adjustRightInd w:val="0"/>
              <w:spacing w:after="0" w:line="320" w:lineRule="atLeast"/>
              <w:jc w:val="center"/>
              <w:rPr>
                <w:rFonts w:ascii="Arial" w:hAnsi="Arial" w:cs="Arial"/>
                <w:color w:val="000000"/>
                <w:sz w:val="18"/>
                <w:szCs w:val="18"/>
              </w:rPr>
            </w:pPr>
            <w:r w:rsidRPr="000B048F">
              <w:rPr>
                <w:rFonts w:ascii="Arial" w:hAnsi="Arial" w:cs="Arial"/>
                <w:color w:val="000000"/>
                <w:sz w:val="18"/>
                <w:szCs w:val="18"/>
              </w:rPr>
              <w:t>broj hospitalizacija</w:t>
            </w:r>
          </w:p>
        </w:tc>
      </w:tr>
      <w:tr w:rsidR="000B048F" w:rsidRPr="000B048F" w:rsidTr="000B048F">
        <w:trPr>
          <w:cantSplit/>
          <w:tblHeader/>
        </w:trPr>
        <w:tc>
          <w:tcPr>
            <w:tcW w:w="181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sbq</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B048F" w:rsidRPr="000B048F" w:rsidRDefault="00CE757C" w:rsidP="000B048F">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Pirsonova korelacija</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1</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,623</w:t>
            </w:r>
            <w:r w:rsidRPr="000B048F">
              <w:rPr>
                <w:rFonts w:ascii="Arial" w:hAnsi="Arial" w:cs="Arial"/>
                <w:color w:val="000000"/>
                <w:sz w:val="18"/>
                <w:szCs w:val="18"/>
                <w:vertAlign w:val="superscript"/>
              </w:rPr>
              <w:t>**</w:t>
            </w:r>
          </w:p>
        </w:tc>
      </w:tr>
      <w:tr w:rsidR="000B048F" w:rsidRPr="000B048F" w:rsidTr="000B048F">
        <w:trPr>
          <w:cantSplit/>
          <w:tblHeader/>
        </w:trPr>
        <w:tc>
          <w:tcPr>
            <w:tcW w:w="181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,001</w:t>
            </w:r>
          </w:p>
        </w:tc>
      </w:tr>
      <w:tr w:rsidR="000B048F" w:rsidRPr="000B048F" w:rsidTr="000B048F">
        <w:trPr>
          <w:cantSplit/>
          <w:tblHeader/>
        </w:trPr>
        <w:tc>
          <w:tcPr>
            <w:tcW w:w="181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r>
      <w:tr w:rsidR="000B048F" w:rsidRPr="000B048F" w:rsidTr="000B048F">
        <w:trPr>
          <w:cantSplit/>
          <w:tblHeader/>
        </w:trPr>
        <w:tc>
          <w:tcPr>
            <w:tcW w:w="181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broj hospitalizacija</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0B048F" w:rsidRPr="000B048F" w:rsidRDefault="00CE757C" w:rsidP="000B048F">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Pirsonova korelacija</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,623</w:t>
            </w:r>
            <w:r w:rsidRPr="000B048F">
              <w:rPr>
                <w:rFonts w:ascii="Arial" w:hAnsi="Arial" w:cs="Arial"/>
                <w:color w:val="000000"/>
                <w:sz w:val="18"/>
                <w:szCs w:val="18"/>
                <w:vertAlign w:val="superscript"/>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1</w:t>
            </w:r>
          </w:p>
        </w:tc>
      </w:tr>
      <w:tr w:rsidR="000B048F" w:rsidRPr="000B048F" w:rsidTr="000B048F">
        <w:trPr>
          <w:cantSplit/>
          <w:tblHeader/>
        </w:trPr>
        <w:tc>
          <w:tcPr>
            <w:tcW w:w="181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,001</w:t>
            </w:r>
          </w:p>
        </w:tc>
        <w:tc>
          <w:tcPr>
            <w:tcW w:w="1438" w:type="dxa"/>
            <w:tcBorders>
              <w:top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r>
      <w:tr w:rsidR="000B048F" w:rsidRPr="000B048F" w:rsidTr="000B048F">
        <w:trPr>
          <w:cantSplit/>
          <w:tblHeader/>
        </w:trPr>
        <w:tc>
          <w:tcPr>
            <w:tcW w:w="1815" w:type="dxa"/>
            <w:vMerge/>
            <w:tcBorders>
              <w:left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r>
      <w:tr w:rsidR="000B048F" w:rsidRPr="000B048F" w:rsidTr="000B048F">
        <w:trPr>
          <w:cantSplit/>
          <w:tblHeader/>
        </w:trPr>
        <w:tc>
          <w:tcPr>
            <w:tcW w:w="1815" w:type="dxa"/>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p>
        </w:tc>
      </w:tr>
    </w:tbl>
    <w:p w:rsidR="000B048F" w:rsidRDefault="000B048F" w:rsidP="000B048F">
      <w:pPr>
        <w:autoSpaceDE w:val="0"/>
        <w:autoSpaceDN w:val="0"/>
        <w:adjustRightInd w:val="0"/>
        <w:spacing w:after="0" w:line="400" w:lineRule="atLeast"/>
        <w:rPr>
          <w:rFonts w:ascii="Times New Roman" w:hAnsi="Times New Roman" w:cs="Times New Roman"/>
          <w:sz w:val="24"/>
          <w:szCs w:val="24"/>
        </w:rPr>
      </w:pPr>
    </w:p>
    <w:p w:rsidR="00CE757C" w:rsidRDefault="00CE757C" w:rsidP="000B048F">
      <w:pPr>
        <w:autoSpaceDE w:val="0"/>
        <w:autoSpaceDN w:val="0"/>
        <w:adjustRightInd w:val="0"/>
        <w:spacing w:after="0" w:line="400" w:lineRule="atLeast"/>
        <w:rPr>
          <w:rFonts w:ascii="Times New Roman" w:hAnsi="Times New Roman" w:cs="Times New Roman"/>
          <w:sz w:val="24"/>
          <w:szCs w:val="24"/>
        </w:rPr>
      </w:pPr>
    </w:p>
    <w:p w:rsidR="00CE757C" w:rsidRDefault="00CE757C"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Default="00D30F6D" w:rsidP="000B048F">
      <w:pPr>
        <w:autoSpaceDE w:val="0"/>
        <w:autoSpaceDN w:val="0"/>
        <w:adjustRightInd w:val="0"/>
        <w:spacing w:after="0" w:line="400" w:lineRule="atLeast"/>
        <w:rPr>
          <w:rFonts w:ascii="Times New Roman" w:hAnsi="Times New Roman" w:cs="Times New Roman"/>
          <w:sz w:val="24"/>
          <w:szCs w:val="24"/>
        </w:rPr>
      </w:pPr>
    </w:p>
    <w:p w:rsidR="00D30F6D" w:rsidRPr="00D30F6D" w:rsidRDefault="00D30F6D" w:rsidP="000B048F">
      <w:pPr>
        <w:autoSpaceDE w:val="0"/>
        <w:autoSpaceDN w:val="0"/>
        <w:adjustRightInd w:val="0"/>
        <w:spacing w:after="0" w:line="400" w:lineRule="atLeast"/>
        <w:rPr>
          <w:rFonts w:ascii="Times New Roman" w:hAnsi="Times New Roman" w:cs="Times New Roman"/>
          <w:b/>
          <w:sz w:val="24"/>
          <w:szCs w:val="24"/>
        </w:rPr>
      </w:pPr>
      <w:r w:rsidRPr="00D30F6D">
        <w:rPr>
          <w:rFonts w:ascii="Times New Roman" w:hAnsi="Times New Roman" w:cs="Times New Roman"/>
          <w:b/>
          <w:sz w:val="24"/>
          <w:szCs w:val="24"/>
        </w:rPr>
        <w:lastRenderedPageBreak/>
        <w:t>Prilog VI</w:t>
      </w:r>
    </w:p>
    <w:p w:rsidR="000B048F" w:rsidRDefault="000B048F" w:rsidP="000B048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Tabela 6.</w:t>
      </w:r>
    </w:p>
    <w:p w:rsidR="000B048F" w:rsidRPr="000B048F" w:rsidRDefault="000B048F" w:rsidP="00CE757C">
      <w:pPr>
        <w:autoSpaceDE w:val="0"/>
        <w:autoSpaceDN w:val="0"/>
        <w:adjustRightInd w:val="0"/>
        <w:spacing w:after="0" w:line="400" w:lineRule="atLeast"/>
        <w:rPr>
          <w:rFonts w:ascii="Times New Roman" w:hAnsi="Times New Roman" w:cs="Times New Roman"/>
          <w:i/>
          <w:sz w:val="24"/>
          <w:szCs w:val="24"/>
        </w:rPr>
      </w:pPr>
      <w:r w:rsidRPr="00CE757C">
        <w:rPr>
          <w:rFonts w:ascii="Times New Roman" w:hAnsi="Times New Roman" w:cs="Times New Roman"/>
          <w:i/>
          <w:sz w:val="24"/>
          <w:szCs w:val="24"/>
        </w:rPr>
        <w:t>Korelacija izmežu varijable Prethodni pokušaji suicida i kliničkih varijabli</w:t>
      </w:r>
    </w:p>
    <w:tbl>
      <w:tblPr>
        <w:tblW w:w="940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69"/>
        <w:gridCol w:w="1825"/>
        <w:gridCol w:w="2127"/>
        <w:gridCol w:w="1006"/>
        <w:gridCol w:w="1434"/>
        <w:gridCol w:w="1448"/>
      </w:tblGrid>
      <w:tr w:rsidR="000B048F" w:rsidRPr="000B048F">
        <w:trPr>
          <w:cantSplit/>
          <w:tblHeader/>
        </w:trPr>
        <w:tc>
          <w:tcPr>
            <w:tcW w:w="9406" w:type="dxa"/>
            <w:gridSpan w:val="6"/>
            <w:tcBorders>
              <w:top w:val="nil"/>
              <w:left w:val="nil"/>
              <w:bottom w:val="nil"/>
              <w:right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p>
        </w:tc>
      </w:tr>
      <w:tr w:rsidR="000B048F" w:rsidRPr="000B048F">
        <w:trPr>
          <w:cantSplit/>
          <w:tblHeader/>
        </w:trPr>
        <w:tc>
          <w:tcPr>
            <w:tcW w:w="15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824"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00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B048F" w:rsidRPr="000B048F" w:rsidRDefault="000B048F" w:rsidP="000B048F">
            <w:pPr>
              <w:autoSpaceDE w:val="0"/>
              <w:autoSpaceDN w:val="0"/>
              <w:adjustRightInd w:val="0"/>
              <w:spacing w:after="0" w:line="320" w:lineRule="atLeast"/>
              <w:jc w:val="center"/>
              <w:rPr>
                <w:rFonts w:ascii="Arial" w:hAnsi="Arial" w:cs="Arial"/>
                <w:color w:val="000000"/>
                <w:sz w:val="18"/>
                <w:szCs w:val="18"/>
              </w:rPr>
            </w:pPr>
            <w:r w:rsidRPr="000B048F">
              <w:rPr>
                <w:rFonts w:ascii="Arial" w:hAnsi="Arial" w:cs="Arial"/>
                <w:color w:val="000000"/>
                <w:sz w:val="18"/>
                <w:szCs w:val="18"/>
              </w:rPr>
              <w:t>grupa</w:t>
            </w:r>
          </w:p>
        </w:tc>
        <w:tc>
          <w:tcPr>
            <w:tcW w:w="14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B048F" w:rsidRPr="000B048F" w:rsidRDefault="000B048F" w:rsidP="000B048F">
            <w:pPr>
              <w:autoSpaceDE w:val="0"/>
              <w:autoSpaceDN w:val="0"/>
              <w:adjustRightInd w:val="0"/>
              <w:spacing w:after="0" w:line="320" w:lineRule="atLeast"/>
              <w:jc w:val="center"/>
              <w:rPr>
                <w:rFonts w:ascii="Arial" w:hAnsi="Arial" w:cs="Arial"/>
                <w:color w:val="000000"/>
                <w:sz w:val="18"/>
                <w:szCs w:val="18"/>
              </w:rPr>
            </w:pPr>
            <w:r w:rsidRPr="000B048F">
              <w:rPr>
                <w:rFonts w:ascii="Arial" w:hAnsi="Arial" w:cs="Arial"/>
                <w:color w:val="000000"/>
                <w:sz w:val="18"/>
                <w:szCs w:val="18"/>
              </w:rPr>
              <w:t>duzina bolesti</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B048F" w:rsidRPr="000B048F" w:rsidRDefault="000B048F" w:rsidP="000B048F">
            <w:pPr>
              <w:autoSpaceDE w:val="0"/>
              <w:autoSpaceDN w:val="0"/>
              <w:adjustRightInd w:val="0"/>
              <w:spacing w:after="0" w:line="320" w:lineRule="atLeast"/>
              <w:jc w:val="center"/>
              <w:rPr>
                <w:rFonts w:ascii="Arial" w:hAnsi="Arial" w:cs="Arial"/>
                <w:color w:val="000000"/>
                <w:sz w:val="18"/>
                <w:szCs w:val="18"/>
              </w:rPr>
            </w:pPr>
            <w:r w:rsidRPr="000B048F">
              <w:rPr>
                <w:rFonts w:ascii="Arial" w:hAnsi="Arial" w:cs="Arial"/>
                <w:color w:val="000000"/>
                <w:sz w:val="18"/>
                <w:szCs w:val="18"/>
              </w:rPr>
              <w:t>broj hospitalizacija</w:t>
            </w:r>
          </w:p>
        </w:tc>
      </w:tr>
      <w:tr w:rsidR="000B048F" w:rsidRPr="000B048F">
        <w:trPr>
          <w:cantSplit/>
          <w:tblHeader/>
        </w:trPr>
        <w:tc>
          <w:tcPr>
            <w:tcW w:w="156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Kendall's tau_b</w:t>
            </w:r>
          </w:p>
        </w:tc>
        <w:tc>
          <w:tcPr>
            <w:tcW w:w="1824" w:type="dxa"/>
            <w:vMerge w:val="restart"/>
            <w:tcBorders>
              <w:top w:val="single" w:sz="16" w:space="0" w:color="000000"/>
              <w:left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grupa</w:t>
            </w:r>
          </w:p>
        </w:tc>
        <w:tc>
          <w:tcPr>
            <w:tcW w:w="21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B048F" w:rsidRPr="000B048F" w:rsidRDefault="00CE757C" w:rsidP="000B048F">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Korelacija</w:t>
            </w:r>
          </w:p>
        </w:tc>
        <w:tc>
          <w:tcPr>
            <w:tcW w:w="10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1,000</w:t>
            </w:r>
          </w:p>
        </w:tc>
        <w:tc>
          <w:tcPr>
            <w:tcW w:w="1434" w:type="dxa"/>
            <w:tcBorders>
              <w:top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-,422</w:t>
            </w:r>
            <w:r w:rsidRPr="000B048F">
              <w:rPr>
                <w:rFonts w:ascii="Arial" w:hAnsi="Arial" w:cs="Arial"/>
                <w:color w:val="000000"/>
                <w:sz w:val="18"/>
                <w:szCs w:val="18"/>
                <w:vertAlign w:val="superscript"/>
              </w:rPr>
              <w:t>*</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-,437</w:t>
            </w:r>
            <w:r w:rsidRPr="000B048F">
              <w:rPr>
                <w:rFonts w:ascii="Arial" w:hAnsi="Arial" w:cs="Arial"/>
                <w:color w:val="000000"/>
                <w:sz w:val="18"/>
                <w:szCs w:val="18"/>
                <w:vertAlign w:val="superscript"/>
              </w:rPr>
              <w:t>*</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824" w:type="dxa"/>
            <w:vMerge/>
            <w:tcBorders>
              <w:top w:val="single" w:sz="16" w:space="0" w:color="000000"/>
              <w:left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2126" w:type="dxa"/>
            <w:tcBorders>
              <w:top w:val="nil"/>
              <w:left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Sig. (2-tailed)</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w:t>
            </w:r>
          </w:p>
        </w:tc>
        <w:tc>
          <w:tcPr>
            <w:tcW w:w="1434" w:type="dxa"/>
            <w:tcBorders>
              <w:top w:val="nil"/>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,019</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,019</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824" w:type="dxa"/>
            <w:vMerge/>
            <w:tcBorders>
              <w:top w:val="single" w:sz="16" w:space="0" w:color="000000"/>
              <w:left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N</w:t>
            </w:r>
          </w:p>
        </w:tc>
        <w:tc>
          <w:tcPr>
            <w:tcW w:w="1006" w:type="dxa"/>
            <w:tcBorders>
              <w:top w:val="nil"/>
              <w:lef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34" w:type="dxa"/>
            <w:tcBorders>
              <w:top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48" w:type="dxa"/>
            <w:tcBorders>
              <w:top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824" w:type="dxa"/>
            <w:vMerge w:val="restart"/>
            <w:tcBorders>
              <w:left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duzina bolesti</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0B048F" w:rsidRPr="000B048F" w:rsidRDefault="00CE757C" w:rsidP="000B048F">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korelacija</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-,422</w:t>
            </w:r>
            <w:r w:rsidRPr="000B048F">
              <w:rPr>
                <w:rFonts w:ascii="Arial" w:hAnsi="Arial" w:cs="Arial"/>
                <w:color w:val="000000"/>
                <w:sz w:val="18"/>
                <w:szCs w:val="18"/>
                <w:vertAlign w:val="superscript"/>
              </w:rPr>
              <w:t>*</w:t>
            </w:r>
          </w:p>
        </w:tc>
        <w:tc>
          <w:tcPr>
            <w:tcW w:w="1434" w:type="dxa"/>
            <w:tcBorders>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1,000</w:t>
            </w:r>
          </w:p>
        </w:tc>
        <w:tc>
          <w:tcPr>
            <w:tcW w:w="1448" w:type="dxa"/>
            <w:tcBorders>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,376</w:t>
            </w:r>
            <w:r w:rsidRPr="000B048F">
              <w:rPr>
                <w:rFonts w:ascii="Arial" w:hAnsi="Arial" w:cs="Arial"/>
                <w:color w:val="000000"/>
                <w:sz w:val="18"/>
                <w:szCs w:val="18"/>
                <w:vertAlign w:val="superscript"/>
              </w:rPr>
              <w:t>*</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824" w:type="dxa"/>
            <w:vMerge/>
            <w:tcBorders>
              <w:left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2126" w:type="dxa"/>
            <w:tcBorders>
              <w:top w:val="nil"/>
              <w:left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Sig. (2-tailed)</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,019</w:t>
            </w:r>
          </w:p>
        </w:tc>
        <w:tc>
          <w:tcPr>
            <w:tcW w:w="1434" w:type="dxa"/>
            <w:tcBorders>
              <w:top w:val="nil"/>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,018</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824" w:type="dxa"/>
            <w:vMerge/>
            <w:tcBorders>
              <w:left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N</w:t>
            </w:r>
          </w:p>
        </w:tc>
        <w:tc>
          <w:tcPr>
            <w:tcW w:w="1006" w:type="dxa"/>
            <w:tcBorders>
              <w:top w:val="nil"/>
              <w:lef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34" w:type="dxa"/>
            <w:tcBorders>
              <w:top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48" w:type="dxa"/>
            <w:tcBorders>
              <w:top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Arial" w:hAnsi="Arial" w:cs="Arial"/>
                <w:color w:val="000000"/>
                <w:sz w:val="18"/>
                <w:szCs w:val="18"/>
              </w:rPr>
            </w:pPr>
          </w:p>
        </w:tc>
        <w:tc>
          <w:tcPr>
            <w:tcW w:w="1824" w:type="dxa"/>
            <w:vMerge w:val="restart"/>
            <w:tcBorders>
              <w:left w:val="nil"/>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broj hospitalizacija</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0B048F" w:rsidRPr="000B048F" w:rsidRDefault="00CE757C" w:rsidP="000B048F">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korelacija</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-,437</w:t>
            </w:r>
            <w:r w:rsidRPr="000B048F">
              <w:rPr>
                <w:rFonts w:ascii="Arial" w:hAnsi="Arial" w:cs="Arial"/>
                <w:color w:val="000000"/>
                <w:sz w:val="18"/>
                <w:szCs w:val="18"/>
                <w:vertAlign w:val="superscript"/>
              </w:rPr>
              <w:t>*</w:t>
            </w:r>
          </w:p>
        </w:tc>
        <w:tc>
          <w:tcPr>
            <w:tcW w:w="1434" w:type="dxa"/>
            <w:tcBorders>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,376</w:t>
            </w:r>
            <w:r w:rsidRPr="000B048F">
              <w:rPr>
                <w:rFonts w:ascii="Arial" w:hAnsi="Arial" w:cs="Arial"/>
                <w:color w:val="000000"/>
                <w:sz w:val="18"/>
                <w:szCs w:val="18"/>
                <w:vertAlign w:val="superscript"/>
              </w:rPr>
              <w:t>*</w:t>
            </w:r>
          </w:p>
        </w:tc>
        <w:tc>
          <w:tcPr>
            <w:tcW w:w="1448" w:type="dxa"/>
            <w:tcBorders>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1,000</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824" w:type="dxa"/>
            <w:vMerge/>
            <w:tcBorders>
              <w:left w:val="nil"/>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2126" w:type="dxa"/>
            <w:tcBorders>
              <w:top w:val="nil"/>
              <w:left w:val="nil"/>
              <w:bottom w:val="nil"/>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Sig. (2-tailed)</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,019</w:t>
            </w:r>
          </w:p>
        </w:tc>
        <w:tc>
          <w:tcPr>
            <w:tcW w:w="1434" w:type="dxa"/>
            <w:tcBorders>
              <w:top w:val="nil"/>
              <w:bottom w:val="nil"/>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,018</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w:t>
            </w:r>
          </w:p>
        </w:tc>
      </w:tr>
      <w:tr w:rsidR="000B048F" w:rsidRPr="000B048F">
        <w:trPr>
          <w:cantSplit/>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824" w:type="dxa"/>
            <w:vMerge/>
            <w:tcBorders>
              <w:left w:val="nil"/>
              <w:bottom w:val="single" w:sz="16" w:space="0" w:color="000000"/>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21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r w:rsidRPr="000B048F">
              <w:rPr>
                <w:rFonts w:ascii="Arial" w:hAnsi="Arial" w:cs="Arial"/>
                <w:color w:val="000000"/>
                <w:sz w:val="18"/>
                <w:szCs w:val="18"/>
              </w:rPr>
              <w:t>N</w:t>
            </w:r>
          </w:p>
        </w:tc>
        <w:tc>
          <w:tcPr>
            <w:tcW w:w="100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34" w:type="dxa"/>
            <w:tcBorders>
              <w:top w:val="nil"/>
              <w:bottom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B048F" w:rsidRPr="000B048F" w:rsidRDefault="000B048F" w:rsidP="000B048F">
            <w:pPr>
              <w:autoSpaceDE w:val="0"/>
              <w:autoSpaceDN w:val="0"/>
              <w:adjustRightInd w:val="0"/>
              <w:spacing w:after="0" w:line="320" w:lineRule="atLeast"/>
              <w:jc w:val="right"/>
              <w:rPr>
                <w:rFonts w:ascii="Arial" w:hAnsi="Arial" w:cs="Arial"/>
                <w:color w:val="000000"/>
                <w:sz w:val="18"/>
                <w:szCs w:val="18"/>
              </w:rPr>
            </w:pPr>
            <w:r w:rsidRPr="000B048F">
              <w:rPr>
                <w:rFonts w:ascii="Arial" w:hAnsi="Arial" w:cs="Arial"/>
                <w:color w:val="000000"/>
                <w:sz w:val="18"/>
                <w:szCs w:val="18"/>
              </w:rPr>
              <w:t>23</w:t>
            </w:r>
          </w:p>
        </w:tc>
      </w:tr>
      <w:tr w:rsidR="000B048F" w:rsidRPr="000B048F">
        <w:trPr>
          <w:cantSplit/>
        </w:trPr>
        <w:tc>
          <w:tcPr>
            <w:tcW w:w="5518" w:type="dxa"/>
            <w:gridSpan w:val="3"/>
            <w:tcBorders>
              <w:top w:val="nil"/>
              <w:left w:val="nil"/>
              <w:bottom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320" w:lineRule="atLeast"/>
              <w:rPr>
                <w:rFonts w:ascii="Arial" w:hAnsi="Arial" w:cs="Arial"/>
                <w:color w:val="000000"/>
                <w:sz w:val="18"/>
                <w:szCs w:val="18"/>
              </w:rPr>
            </w:pPr>
          </w:p>
        </w:tc>
        <w:tc>
          <w:tcPr>
            <w:tcW w:w="1006" w:type="dxa"/>
            <w:tcBorders>
              <w:top w:val="nil"/>
              <w:left w:val="nil"/>
              <w:bottom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434" w:type="dxa"/>
            <w:tcBorders>
              <w:top w:val="nil"/>
              <w:left w:val="nil"/>
              <w:bottom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c>
          <w:tcPr>
            <w:tcW w:w="1448" w:type="dxa"/>
            <w:tcBorders>
              <w:top w:val="nil"/>
              <w:left w:val="nil"/>
              <w:bottom w:val="nil"/>
              <w:right w:val="nil"/>
            </w:tcBorders>
            <w:shd w:val="clear" w:color="auto" w:fill="FFFFFF"/>
            <w:tcMar>
              <w:top w:w="30" w:type="dxa"/>
              <w:left w:w="30" w:type="dxa"/>
              <w:bottom w:w="30" w:type="dxa"/>
              <w:right w:w="30" w:type="dxa"/>
            </w:tcMar>
          </w:tcPr>
          <w:p w:rsidR="000B048F" w:rsidRPr="000B048F" w:rsidRDefault="000B048F" w:rsidP="000B048F">
            <w:pPr>
              <w:autoSpaceDE w:val="0"/>
              <w:autoSpaceDN w:val="0"/>
              <w:adjustRightInd w:val="0"/>
              <w:spacing w:after="0" w:line="240" w:lineRule="auto"/>
              <w:rPr>
                <w:rFonts w:ascii="Times New Roman" w:hAnsi="Times New Roman" w:cs="Times New Roman"/>
                <w:sz w:val="24"/>
                <w:szCs w:val="24"/>
              </w:rPr>
            </w:pPr>
          </w:p>
        </w:tc>
      </w:tr>
    </w:tbl>
    <w:p w:rsidR="000B048F" w:rsidRPr="000B048F" w:rsidRDefault="000B048F" w:rsidP="000B048F">
      <w:pPr>
        <w:autoSpaceDE w:val="0"/>
        <w:autoSpaceDN w:val="0"/>
        <w:adjustRightInd w:val="0"/>
        <w:spacing w:after="0" w:line="400" w:lineRule="atLeast"/>
        <w:rPr>
          <w:rFonts w:ascii="Times New Roman" w:hAnsi="Times New Roman" w:cs="Times New Roman"/>
          <w:sz w:val="24"/>
          <w:szCs w:val="24"/>
        </w:rPr>
      </w:pPr>
    </w:p>
    <w:p w:rsidR="000B048F" w:rsidRPr="000B048F" w:rsidRDefault="000B048F" w:rsidP="000B048F">
      <w:pPr>
        <w:autoSpaceDE w:val="0"/>
        <w:autoSpaceDN w:val="0"/>
        <w:adjustRightInd w:val="0"/>
        <w:spacing w:after="0" w:line="400" w:lineRule="atLeast"/>
        <w:rPr>
          <w:rFonts w:ascii="Times New Roman" w:hAnsi="Times New Roman" w:cs="Times New Roman"/>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r>
        <w:rPr>
          <w:rFonts w:ascii="Times New Roman" w:hAnsi="Times New Roman" w:cs="Times New Roman"/>
          <w:b/>
          <w:sz w:val="24"/>
          <w:szCs w:val="24"/>
        </w:rPr>
        <w:lastRenderedPageBreak/>
        <w:t xml:space="preserve">Prilog </w:t>
      </w:r>
      <w:r w:rsidR="00D30F6D">
        <w:rPr>
          <w:rFonts w:ascii="Times New Roman" w:hAnsi="Times New Roman" w:cs="Times New Roman"/>
          <w:b/>
          <w:sz w:val="24"/>
          <w:szCs w:val="24"/>
        </w:rPr>
        <w:t>VII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01"/>
        <w:gridCol w:w="851"/>
        <w:gridCol w:w="567"/>
        <w:gridCol w:w="709"/>
        <w:gridCol w:w="850"/>
        <w:gridCol w:w="1985"/>
        <w:gridCol w:w="850"/>
        <w:gridCol w:w="992"/>
        <w:gridCol w:w="1276"/>
      </w:tblGrid>
      <w:tr w:rsidR="00730338" w:rsidRPr="00A126C7" w:rsidTr="00E42345">
        <w:trPr>
          <w:trHeight w:val="450"/>
        </w:trPr>
        <w:tc>
          <w:tcPr>
            <w:tcW w:w="9781" w:type="dxa"/>
            <w:gridSpan w:val="9"/>
          </w:tcPr>
          <w:p w:rsidR="00730338" w:rsidRDefault="00730338" w:rsidP="00E42345">
            <w:pPr>
              <w:spacing w:line="320" w:lineRule="atLeast"/>
              <w:jc w:val="both"/>
              <w:rPr>
                <w:i/>
              </w:rPr>
            </w:pPr>
            <w:r>
              <w:t xml:space="preserve">Tabela </w:t>
            </w:r>
            <w:r w:rsidR="00CE757C">
              <w:t>7</w:t>
            </w:r>
          </w:p>
          <w:p w:rsidR="00730338" w:rsidRPr="00A126C7" w:rsidRDefault="00730338" w:rsidP="00E42345">
            <w:pPr>
              <w:spacing w:line="320" w:lineRule="atLeast"/>
              <w:jc w:val="both"/>
              <w:rPr>
                <w:i/>
              </w:rPr>
            </w:pPr>
            <w:r w:rsidRPr="00A126C7">
              <w:rPr>
                <w:i/>
              </w:rPr>
              <w:t xml:space="preserve">Razlikovanje </w:t>
            </w:r>
            <w:r>
              <w:rPr>
                <w:i/>
              </w:rPr>
              <w:t>grupa po psihopatološkim crtama ličnosti (MMPI)</w:t>
            </w:r>
          </w:p>
        </w:tc>
      </w:tr>
      <w:tr w:rsidR="00730338" w:rsidRPr="00A126C7" w:rsidTr="00E42345">
        <w:tblPrEx>
          <w:tblLook w:val="04A0" w:firstRow="1" w:lastRow="0" w:firstColumn="1" w:lastColumn="0" w:noHBand="0" w:noVBand="1"/>
        </w:tblPrEx>
        <w:tc>
          <w:tcPr>
            <w:tcW w:w="1701" w:type="dxa"/>
            <w:vMerge w:val="restart"/>
            <w:vAlign w:val="center"/>
          </w:tcPr>
          <w:p w:rsidR="00730338" w:rsidRPr="00CB01B6" w:rsidRDefault="00730338" w:rsidP="00E42345">
            <w:pPr>
              <w:spacing w:line="320" w:lineRule="atLeast"/>
              <w:jc w:val="center"/>
              <w:rPr>
                <w:sz w:val="20"/>
              </w:rPr>
            </w:pPr>
            <w:r w:rsidRPr="00CB01B6">
              <w:rPr>
                <w:sz w:val="20"/>
              </w:rPr>
              <w:t>Zavisna varijabla</w:t>
            </w:r>
          </w:p>
        </w:tc>
        <w:tc>
          <w:tcPr>
            <w:tcW w:w="851" w:type="dxa"/>
            <w:vMerge w:val="restart"/>
            <w:vAlign w:val="center"/>
          </w:tcPr>
          <w:p w:rsidR="00730338" w:rsidRPr="00CB01B6" w:rsidRDefault="00730338" w:rsidP="00E42345">
            <w:pPr>
              <w:spacing w:line="320" w:lineRule="atLeast"/>
              <w:jc w:val="center"/>
              <w:rPr>
                <w:sz w:val="20"/>
              </w:rPr>
            </w:pPr>
            <w:r>
              <w:rPr>
                <w:sz w:val="20"/>
              </w:rPr>
              <w:t>T</w:t>
            </w:r>
          </w:p>
        </w:tc>
        <w:tc>
          <w:tcPr>
            <w:tcW w:w="567" w:type="dxa"/>
            <w:vMerge w:val="restart"/>
            <w:vAlign w:val="center"/>
          </w:tcPr>
          <w:p w:rsidR="00730338" w:rsidRPr="00CB01B6" w:rsidRDefault="00730338" w:rsidP="00E42345">
            <w:pPr>
              <w:spacing w:line="320" w:lineRule="atLeast"/>
              <w:jc w:val="center"/>
              <w:rPr>
                <w:sz w:val="20"/>
              </w:rPr>
            </w:pPr>
            <w:r w:rsidRPr="00CB01B6">
              <w:rPr>
                <w:sz w:val="20"/>
              </w:rPr>
              <w:t>df1</w:t>
            </w:r>
          </w:p>
        </w:tc>
        <w:tc>
          <w:tcPr>
            <w:tcW w:w="709" w:type="dxa"/>
            <w:vMerge w:val="restart"/>
            <w:vAlign w:val="center"/>
          </w:tcPr>
          <w:p w:rsidR="00730338" w:rsidRPr="00CB01B6" w:rsidRDefault="00730338" w:rsidP="00E42345">
            <w:pPr>
              <w:spacing w:line="320" w:lineRule="atLeast"/>
              <w:jc w:val="center"/>
              <w:rPr>
                <w:sz w:val="20"/>
              </w:rPr>
            </w:pPr>
            <w:r w:rsidRPr="00CB01B6">
              <w:rPr>
                <w:sz w:val="20"/>
              </w:rPr>
              <w:t>p</w:t>
            </w:r>
          </w:p>
        </w:tc>
        <w:tc>
          <w:tcPr>
            <w:tcW w:w="850" w:type="dxa"/>
            <w:vMerge w:val="restart"/>
            <w:vAlign w:val="center"/>
          </w:tcPr>
          <w:p w:rsidR="00730338" w:rsidRPr="00CB01B6" w:rsidRDefault="00730338" w:rsidP="00E42345">
            <w:pPr>
              <w:spacing w:line="320" w:lineRule="atLeast"/>
              <w:jc w:val="center"/>
              <w:rPr>
                <w:sz w:val="20"/>
              </w:rPr>
            </w:pPr>
            <w:r w:rsidRPr="00CB01B6">
              <w:rPr>
                <w:sz w:val="20"/>
              </w:rPr>
              <w:t>parc. η²</w:t>
            </w:r>
          </w:p>
        </w:tc>
        <w:tc>
          <w:tcPr>
            <w:tcW w:w="5103" w:type="dxa"/>
            <w:gridSpan w:val="4"/>
            <w:vAlign w:val="center"/>
          </w:tcPr>
          <w:p w:rsidR="00730338" w:rsidRPr="00CB01B6" w:rsidRDefault="00730338" w:rsidP="00E42345">
            <w:pPr>
              <w:spacing w:line="320" w:lineRule="atLeast"/>
              <w:jc w:val="center"/>
              <w:rPr>
                <w:sz w:val="20"/>
                <w:vertAlign w:val="superscript"/>
              </w:rPr>
            </w:pPr>
            <w:r w:rsidRPr="00CB01B6">
              <w:rPr>
                <w:sz w:val="20"/>
              </w:rPr>
              <w:t>Razlikovanje grupa</w:t>
            </w:r>
          </w:p>
        </w:tc>
      </w:tr>
      <w:tr w:rsidR="00730338" w:rsidRPr="00A126C7" w:rsidTr="00E42345">
        <w:tblPrEx>
          <w:tblLook w:val="04A0" w:firstRow="1" w:lastRow="0" w:firstColumn="1" w:lastColumn="0" w:noHBand="0" w:noVBand="1"/>
        </w:tblPrEx>
        <w:tc>
          <w:tcPr>
            <w:tcW w:w="1701" w:type="dxa"/>
            <w:vMerge/>
            <w:tcBorders>
              <w:bottom w:val="single" w:sz="8" w:space="0" w:color="auto"/>
            </w:tcBorders>
            <w:vAlign w:val="center"/>
          </w:tcPr>
          <w:p w:rsidR="00730338" w:rsidRPr="00CB01B6" w:rsidRDefault="00730338" w:rsidP="00E42345">
            <w:pPr>
              <w:spacing w:line="320" w:lineRule="atLeast"/>
              <w:jc w:val="center"/>
              <w:rPr>
                <w:sz w:val="20"/>
              </w:rPr>
            </w:pPr>
          </w:p>
        </w:tc>
        <w:tc>
          <w:tcPr>
            <w:tcW w:w="851" w:type="dxa"/>
            <w:vMerge/>
            <w:tcBorders>
              <w:bottom w:val="single" w:sz="8" w:space="0" w:color="auto"/>
            </w:tcBorders>
            <w:vAlign w:val="center"/>
          </w:tcPr>
          <w:p w:rsidR="00730338" w:rsidRPr="00CB01B6" w:rsidRDefault="00730338" w:rsidP="00E42345">
            <w:pPr>
              <w:spacing w:line="320" w:lineRule="atLeast"/>
              <w:jc w:val="center"/>
              <w:rPr>
                <w:sz w:val="20"/>
              </w:rPr>
            </w:pPr>
          </w:p>
        </w:tc>
        <w:tc>
          <w:tcPr>
            <w:tcW w:w="567" w:type="dxa"/>
            <w:vMerge/>
            <w:tcBorders>
              <w:bottom w:val="single" w:sz="8" w:space="0" w:color="auto"/>
            </w:tcBorders>
            <w:vAlign w:val="center"/>
          </w:tcPr>
          <w:p w:rsidR="00730338" w:rsidRPr="00CB01B6" w:rsidRDefault="00730338" w:rsidP="00E42345">
            <w:pPr>
              <w:spacing w:line="320" w:lineRule="atLeast"/>
              <w:jc w:val="center"/>
              <w:rPr>
                <w:sz w:val="20"/>
              </w:rPr>
            </w:pPr>
          </w:p>
        </w:tc>
        <w:tc>
          <w:tcPr>
            <w:tcW w:w="709" w:type="dxa"/>
            <w:vMerge/>
            <w:tcBorders>
              <w:bottom w:val="single" w:sz="8" w:space="0" w:color="auto"/>
            </w:tcBorders>
            <w:vAlign w:val="center"/>
          </w:tcPr>
          <w:p w:rsidR="00730338" w:rsidRPr="00CB01B6" w:rsidRDefault="00730338" w:rsidP="00E42345">
            <w:pPr>
              <w:spacing w:line="320" w:lineRule="atLeast"/>
              <w:jc w:val="center"/>
              <w:rPr>
                <w:sz w:val="20"/>
              </w:rPr>
            </w:pPr>
          </w:p>
        </w:tc>
        <w:tc>
          <w:tcPr>
            <w:tcW w:w="850" w:type="dxa"/>
            <w:vMerge/>
            <w:tcBorders>
              <w:bottom w:val="single" w:sz="8" w:space="0" w:color="auto"/>
            </w:tcBorders>
            <w:vAlign w:val="center"/>
          </w:tcPr>
          <w:p w:rsidR="00730338" w:rsidRPr="00CB01B6" w:rsidRDefault="00730338" w:rsidP="00E42345">
            <w:pPr>
              <w:spacing w:line="320" w:lineRule="atLeast"/>
              <w:jc w:val="center"/>
              <w:rPr>
                <w:sz w:val="20"/>
              </w:rPr>
            </w:pPr>
          </w:p>
        </w:tc>
        <w:tc>
          <w:tcPr>
            <w:tcW w:w="1985" w:type="dxa"/>
            <w:tcBorders>
              <w:top w:val="single" w:sz="8" w:space="0" w:color="auto"/>
              <w:bottom w:val="single" w:sz="8" w:space="0" w:color="auto"/>
            </w:tcBorders>
            <w:vAlign w:val="center"/>
          </w:tcPr>
          <w:p w:rsidR="00730338" w:rsidRPr="00CB01B6" w:rsidRDefault="00730338" w:rsidP="00E42345">
            <w:pPr>
              <w:spacing w:line="320" w:lineRule="atLeast"/>
              <w:jc w:val="center"/>
              <w:rPr>
                <w:sz w:val="20"/>
              </w:rPr>
            </w:pPr>
            <w:r w:rsidRPr="00CB01B6">
              <w:rPr>
                <w:sz w:val="20"/>
              </w:rPr>
              <w:t>Grupa</w:t>
            </w:r>
          </w:p>
        </w:tc>
        <w:tc>
          <w:tcPr>
            <w:tcW w:w="850" w:type="dxa"/>
            <w:tcBorders>
              <w:top w:val="single" w:sz="8" w:space="0" w:color="auto"/>
              <w:bottom w:val="single" w:sz="8" w:space="0" w:color="auto"/>
            </w:tcBorders>
            <w:vAlign w:val="center"/>
          </w:tcPr>
          <w:p w:rsidR="00730338" w:rsidRPr="00CB01B6" w:rsidRDefault="00730338" w:rsidP="00E42345">
            <w:pPr>
              <w:spacing w:line="320" w:lineRule="atLeast"/>
              <w:jc w:val="center"/>
              <w:rPr>
                <w:sz w:val="20"/>
              </w:rPr>
            </w:pPr>
            <w:r w:rsidRPr="00CB01B6">
              <w:rPr>
                <w:sz w:val="20"/>
              </w:rPr>
              <w:t>M</w:t>
            </w:r>
          </w:p>
        </w:tc>
        <w:tc>
          <w:tcPr>
            <w:tcW w:w="992" w:type="dxa"/>
            <w:tcBorders>
              <w:top w:val="single" w:sz="8" w:space="0" w:color="auto"/>
              <w:bottom w:val="single" w:sz="8" w:space="0" w:color="auto"/>
            </w:tcBorders>
            <w:vAlign w:val="center"/>
          </w:tcPr>
          <w:p w:rsidR="00730338" w:rsidRPr="00CB01B6" w:rsidRDefault="00730338" w:rsidP="00E42345">
            <w:pPr>
              <w:spacing w:line="320" w:lineRule="atLeast"/>
              <w:jc w:val="center"/>
              <w:rPr>
                <w:sz w:val="20"/>
              </w:rPr>
            </w:pPr>
            <w:r w:rsidRPr="00CB01B6">
              <w:rPr>
                <w:sz w:val="20"/>
              </w:rPr>
              <w:t>SD</w:t>
            </w:r>
          </w:p>
        </w:tc>
        <w:tc>
          <w:tcPr>
            <w:tcW w:w="1276" w:type="dxa"/>
            <w:tcBorders>
              <w:top w:val="single" w:sz="8" w:space="0" w:color="auto"/>
              <w:bottom w:val="single" w:sz="8" w:space="0" w:color="auto"/>
            </w:tcBorders>
            <w:vAlign w:val="center"/>
          </w:tcPr>
          <w:p w:rsidR="00730338" w:rsidRPr="00CB01B6" w:rsidRDefault="00730338" w:rsidP="00E42345">
            <w:pPr>
              <w:spacing w:line="320" w:lineRule="atLeast"/>
              <w:jc w:val="center"/>
              <w:rPr>
                <w:sz w:val="20"/>
              </w:rPr>
            </w:pPr>
            <w:r w:rsidRPr="00CB01B6">
              <w:rPr>
                <w:sz w:val="20"/>
              </w:rPr>
              <w:t>Pripadnost</w:t>
            </w:r>
            <w:r w:rsidRPr="00CB01B6">
              <w:rPr>
                <w:sz w:val="20"/>
                <w:vertAlign w:val="superscript"/>
              </w:rPr>
              <w:t>1</w:t>
            </w:r>
          </w:p>
        </w:tc>
      </w:tr>
      <w:tr w:rsidR="00730338" w:rsidRPr="00A126C7" w:rsidTr="00E42345">
        <w:tblPrEx>
          <w:tblLook w:val="04A0" w:firstRow="1" w:lastRow="0" w:firstColumn="1" w:lastColumn="0" w:noHBand="0" w:noVBand="1"/>
        </w:tblPrEx>
        <w:tc>
          <w:tcPr>
            <w:tcW w:w="1701" w:type="dxa"/>
            <w:vMerge w:val="restart"/>
            <w:tcBorders>
              <w:top w:val="single" w:sz="8" w:space="0" w:color="auto"/>
            </w:tcBorders>
            <w:vAlign w:val="center"/>
          </w:tcPr>
          <w:p w:rsidR="00730338" w:rsidRPr="009C1198" w:rsidRDefault="00730338" w:rsidP="00E42345">
            <w:pPr>
              <w:spacing w:line="320" w:lineRule="atLeast"/>
              <w:rPr>
                <w:sz w:val="20"/>
                <w:szCs w:val="20"/>
              </w:rPr>
            </w:pPr>
            <w:r>
              <w:rPr>
                <w:sz w:val="20"/>
                <w:szCs w:val="20"/>
              </w:rPr>
              <w:t>L</w:t>
            </w:r>
          </w:p>
        </w:tc>
        <w:tc>
          <w:tcPr>
            <w:tcW w:w="851"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-1,922</w:t>
            </w:r>
          </w:p>
        </w:tc>
        <w:tc>
          <w:tcPr>
            <w:tcW w:w="567"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8" w:space="0" w:color="auto"/>
            </w:tcBorders>
            <w:vAlign w:val="center"/>
          </w:tcPr>
          <w:p w:rsidR="00730338" w:rsidRPr="006A4120" w:rsidRDefault="00730338" w:rsidP="00E42345">
            <w:pPr>
              <w:spacing w:line="320" w:lineRule="atLeast"/>
              <w:jc w:val="center"/>
              <w:rPr>
                <w:sz w:val="20"/>
                <w:szCs w:val="20"/>
              </w:rPr>
            </w:pPr>
            <w:r w:rsidRPr="006A4120">
              <w:rPr>
                <w:sz w:val="20"/>
                <w:szCs w:val="20"/>
              </w:rPr>
              <w:t>,068</w:t>
            </w:r>
          </w:p>
        </w:tc>
        <w:tc>
          <w:tcPr>
            <w:tcW w:w="850"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,150</w:t>
            </w:r>
          </w:p>
        </w:tc>
        <w:tc>
          <w:tcPr>
            <w:tcW w:w="1985" w:type="dxa"/>
            <w:tcBorders>
              <w:top w:val="single" w:sz="8"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8" w:space="0" w:color="auto"/>
            </w:tcBorders>
            <w:vAlign w:val="center"/>
          </w:tcPr>
          <w:p w:rsidR="00730338" w:rsidRPr="00CB3352" w:rsidRDefault="00730338" w:rsidP="00E42345">
            <w:pPr>
              <w:jc w:val="center"/>
              <w:rPr>
                <w:sz w:val="20"/>
                <w:lang w:val="de-DE"/>
              </w:rPr>
            </w:pPr>
            <w:r w:rsidRPr="00CB3352">
              <w:rPr>
                <w:sz w:val="20"/>
                <w:lang w:val="de-DE"/>
              </w:rPr>
              <w:t>49,45</w:t>
            </w:r>
          </w:p>
        </w:tc>
        <w:tc>
          <w:tcPr>
            <w:tcW w:w="992" w:type="dxa"/>
            <w:tcBorders>
              <w:top w:val="single" w:sz="8" w:space="0" w:color="auto"/>
            </w:tcBorders>
            <w:vAlign w:val="center"/>
          </w:tcPr>
          <w:p w:rsidR="00730338" w:rsidRPr="00CC717C" w:rsidRDefault="00730338" w:rsidP="00E42345">
            <w:pPr>
              <w:jc w:val="center"/>
              <w:rPr>
                <w:sz w:val="20"/>
                <w:lang w:val="de-DE"/>
              </w:rPr>
            </w:pPr>
            <w:r w:rsidRPr="00CC717C">
              <w:rPr>
                <w:sz w:val="20"/>
                <w:lang w:val="de-DE"/>
              </w:rPr>
              <w:t>8,311</w:t>
            </w:r>
          </w:p>
        </w:tc>
        <w:tc>
          <w:tcPr>
            <w:tcW w:w="1276"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ign w:val="center"/>
          </w:tcPr>
          <w:p w:rsidR="00730338" w:rsidRPr="009C1198" w:rsidRDefault="00730338" w:rsidP="00E42345">
            <w:pPr>
              <w:spacing w:line="320" w:lineRule="atLeast"/>
              <w:rPr>
                <w:sz w:val="20"/>
                <w:szCs w:val="20"/>
              </w:rPr>
            </w:pPr>
          </w:p>
        </w:tc>
        <w:tc>
          <w:tcPr>
            <w:tcW w:w="851" w:type="dxa"/>
            <w:vAlign w:val="center"/>
          </w:tcPr>
          <w:p w:rsidR="00730338" w:rsidRPr="009C1198" w:rsidRDefault="00730338" w:rsidP="00E42345">
            <w:pPr>
              <w:spacing w:line="320" w:lineRule="atLeast"/>
              <w:jc w:val="center"/>
              <w:rPr>
                <w:sz w:val="20"/>
                <w:szCs w:val="20"/>
              </w:rPr>
            </w:pPr>
          </w:p>
        </w:tc>
        <w:tc>
          <w:tcPr>
            <w:tcW w:w="567" w:type="dxa"/>
            <w:vAlign w:val="center"/>
          </w:tcPr>
          <w:p w:rsidR="00730338" w:rsidRPr="009C1198" w:rsidRDefault="00730338" w:rsidP="00E42345">
            <w:pPr>
              <w:spacing w:line="320" w:lineRule="atLeast"/>
              <w:jc w:val="center"/>
              <w:rPr>
                <w:sz w:val="20"/>
                <w:szCs w:val="20"/>
              </w:rPr>
            </w:pPr>
          </w:p>
        </w:tc>
        <w:tc>
          <w:tcPr>
            <w:tcW w:w="709" w:type="dxa"/>
            <w:vAlign w:val="center"/>
          </w:tcPr>
          <w:p w:rsidR="00730338" w:rsidRPr="009C1198" w:rsidRDefault="00730338" w:rsidP="00E42345">
            <w:pPr>
              <w:spacing w:line="320" w:lineRule="atLeast"/>
              <w:jc w:val="center"/>
              <w:rPr>
                <w:sz w:val="20"/>
                <w:szCs w:val="20"/>
              </w:rPr>
            </w:pPr>
          </w:p>
        </w:tc>
        <w:tc>
          <w:tcPr>
            <w:tcW w:w="850" w:type="dxa"/>
            <w:vAlign w:val="center"/>
          </w:tcPr>
          <w:p w:rsidR="00730338" w:rsidRPr="009C1198" w:rsidRDefault="00730338" w:rsidP="00E42345">
            <w:pPr>
              <w:spacing w:line="320" w:lineRule="atLeast"/>
              <w:jc w:val="center"/>
              <w:rPr>
                <w:sz w:val="20"/>
                <w:szCs w:val="20"/>
              </w:rPr>
            </w:pPr>
          </w:p>
        </w:tc>
        <w:tc>
          <w:tcPr>
            <w:tcW w:w="1985" w:type="dxa"/>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vAlign w:val="center"/>
          </w:tcPr>
          <w:p w:rsidR="00730338" w:rsidRPr="00CB3352" w:rsidRDefault="00730338" w:rsidP="00E42345">
            <w:pPr>
              <w:jc w:val="center"/>
              <w:rPr>
                <w:sz w:val="20"/>
                <w:lang w:val="de-DE"/>
              </w:rPr>
            </w:pPr>
            <w:r w:rsidRPr="00CB3352">
              <w:rPr>
                <w:sz w:val="20"/>
                <w:lang w:val="de-DE"/>
              </w:rPr>
              <w:t>56,75</w:t>
            </w:r>
          </w:p>
        </w:tc>
        <w:tc>
          <w:tcPr>
            <w:tcW w:w="992" w:type="dxa"/>
            <w:vAlign w:val="center"/>
          </w:tcPr>
          <w:p w:rsidR="00730338" w:rsidRPr="00CC717C" w:rsidRDefault="00730338" w:rsidP="00E42345">
            <w:pPr>
              <w:jc w:val="center"/>
              <w:rPr>
                <w:sz w:val="20"/>
                <w:lang w:val="de-DE"/>
              </w:rPr>
            </w:pPr>
            <w:r w:rsidRPr="00CC717C">
              <w:rPr>
                <w:sz w:val="20"/>
                <w:lang w:val="de-DE"/>
              </w:rPr>
              <w:t>9,753</w:t>
            </w:r>
          </w:p>
        </w:tc>
        <w:tc>
          <w:tcPr>
            <w:tcW w:w="1276" w:type="dxa"/>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8" w:space="0" w:color="auto"/>
            </w:tcBorders>
            <w:vAlign w:val="center"/>
          </w:tcPr>
          <w:p w:rsidR="00730338" w:rsidRPr="009C1198" w:rsidRDefault="00730338" w:rsidP="00E42345">
            <w:pPr>
              <w:spacing w:line="320" w:lineRule="atLeast"/>
              <w:rPr>
                <w:sz w:val="20"/>
                <w:szCs w:val="20"/>
              </w:rPr>
            </w:pPr>
            <w:r>
              <w:rPr>
                <w:sz w:val="20"/>
                <w:szCs w:val="20"/>
              </w:rPr>
              <w:t>F</w:t>
            </w:r>
          </w:p>
        </w:tc>
        <w:tc>
          <w:tcPr>
            <w:tcW w:w="851"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1,985</w:t>
            </w:r>
          </w:p>
        </w:tc>
        <w:tc>
          <w:tcPr>
            <w:tcW w:w="567"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8" w:space="0" w:color="auto"/>
            </w:tcBorders>
            <w:vAlign w:val="center"/>
          </w:tcPr>
          <w:p w:rsidR="00730338" w:rsidRPr="009C1198" w:rsidRDefault="00730338" w:rsidP="00E42345">
            <w:pPr>
              <w:spacing w:line="320" w:lineRule="atLeast"/>
              <w:jc w:val="center"/>
              <w:rPr>
                <w:sz w:val="20"/>
                <w:szCs w:val="20"/>
              </w:rPr>
            </w:pPr>
            <w:r w:rsidRPr="006A4120">
              <w:rPr>
                <w:sz w:val="20"/>
                <w:szCs w:val="20"/>
              </w:rPr>
              <w:t>,060</w:t>
            </w:r>
          </w:p>
        </w:tc>
        <w:tc>
          <w:tcPr>
            <w:tcW w:w="850"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,158</w:t>
            </w:r>
          </w:p>
        </w:tc>
        <w:tc>
          <w:tcPr>
            <w:tcW w:w="1985" w:type="dxa"/>
            <w:tcBorders>
              <w:top w:val="single" w:sz="8"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8" w:space="0" w:color="auto"/>
            </w:tcBorders>
            <w:vAlign w:val="center"/>
          </w:tcPr>
          <w:p w:rsidR="00730338" w:rsidRPr="00CB3352" w:rsidRDefault="00730338" w:rsidP="00E42345">
            <w:pPr>
              <w:jc w:val="center"/>
              <w:rPr>
                <w:sz w:val="20"/>
                <w:lang w:val="de-DE"/>
              </w:rPr>
            </w:pPr>
            <w:r w:rsidRPr="00CB3352">
              <w:rPr>
                <w:sz w:val="20"/>
                <w:lang w:val="de-DE"/>
              </w:rPr>
              <w:t>60,27</w:t>
            </w:r>
          </w:p>
        </w:tc>
        <w:tc>
          <w:tcPr>
            <w:tcW w:w="992" w:type="dxa"/>
            <w:tcBorders>
              <w:top w:val="single" w:sz="8" w:space="0" w:color="auto"/>
            </w:tcBorders>
            <w:vAlign w:val="center"/>
          </w:tcPr>
          <w:p w:rsidR="00730338" w:rsidRPr="00CC717C" w:rsidRDefault="00730338" w:rsidP="00E42345">
            <w:pPr>
              <w:jc w:val="center"/>
              <w:rPr>
                <w:sz w:val="20"/>
                <w:lang w:val="de-DE"/>
              </w:rPr>
            </w:pPr>
            <w:r w:rsidRPr="00CC717C">
              <w:rPr>
                <w:sz w:val="20"/>
                <w:lang w:val="de-DE"/>
              </w:rPr>
              <w:t>7,322</w:t>
            </w:r>
          </w:p>
        </w:tc>
        <w:tc>
          <w:tcPr>
            <w:tcW w:w="1276"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ign w:val="center"/>
          </w:tcPr>
          <w:p w:rsidR="00730338" w:rsidRPr="009C1198" w:rsidRDefault="00730338" w:rsidP="00E42345">
            <w:pPr>
              <w:spacing w:line="320" w:lineRule="atLeast"/>
              <w:rPr>
                <w:sz w:val="20"/>
                <w:szCs w:val="20"/>
              </w:rPr>
            </w:pPr>
          </w:p>
        </w:tc>
        <w:tc>
          <w:tcPr>
            <w:tcW w:w="851" w:type="dxa"/>
            <w:vAlign w:val="center"/>
          </w:tcPr>
          <w:p w:rsidR="00730338" w:rsidRPr="009C1198" w:rsidRDefault="00730338" w:rsidP="00E42345">
            <w:pPr>
              <w:spacing w:line="320" w:lineRule="atLeast"/>
              <w:jc w:val="center"/>
              <w:rPr>
                <w:sz w:val="20"/>
                <w:szCs w:val="20"/>
              </w:rPr>
            </w:pPr>
          </w:p>
        </w:tc>
        <w:tc>
          <w:tcPr>
            <w:tcW w:w="567" w:type="dxa"/>
            <w:vAlign w:val="center"/>
          </w:tcPr>
          <w:p w:rsidR="00730338" w:rsidRPr="009C1198" w:rsidRDefault="00730338" w:rsidP="00E42345">
            <w:pPr>
              <w:spacing w:line="320" w:lineRule="atLeast"/>
              <w:jc w:val="center"/>
              <w:rPr>
                <w:sz w:val="20"/>
                <w:szCs w:val="20"/>
              </w:rPr>
            </w:pPr>
          </w:p>
        </w:tc>
        <w:tc>
          <w:tcPr>
            <w:tcW w:w="709" w:type="dxa"/>
            <w:vAlign w:val="center"/>
          </w:tcPr>
          <w:p w:rsidR="00730338" w:rsidRPr="009C1198" w:rsidRDefault="00730338" w:rsidP="00E42345">
            <w:pPr>
              <w:spacing w:line="320" w:lineRule="atLeast"/>
              <w:jc w:val="center"/>
              <w:rPr>
                <w:sz w:val="20"/>
                <w:szCs w:val="20"/>
              </w:rPr>
            </w:pPr>
          </w:p>
        </w:tc>
        <w:tc>
          <w:tcPr>
            <w:tcW w:w="850" w:type="dxa"/>
            <w:vAlign w:val="center"/>
          </w:tcPr>
          <w:p w:rsidR="00730338" w:rsidRPr="009C1198" w:rsidRDefault="00730338" w:rsidP="00E42345">
            <w:pPr>
              <w:spacing w:line="320" w:lineRule="atLeast"/>
              <w:jc w:val="center"/>
              <w:rPr>
                <w:sz w:val="20"/>
                <w:szCs w:val="20"/>
              </w:rPr>
            </w:pPr>
          </w:p>
        </w:tc>
        <w:tc>
          <w:tcPr>
            <w:tcW w:w="1985" w:type="dxa"/>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vAlign w:val="center"/>
          </w:tcPr>
          <w:p w:rsidR="00730338" w:rsidRPr="00CB3352" w:rsidRDefault="00730338" w:rsidP="00E42345">
            <w:pPr>
              <w:jc w:val="center"/>
              <w:rPr>
                <w:sz w:val="20"/>
                <w:lang w:val="de-DE"/>
              </w:rPr>
            </w:pPr>
            <w:r w:rsidRPr="00CB3352">
              <w:rPr>
                <w:sz w:val="20"/>
                <w:lang w:val="de-DE"/>
              </w:rPr>
              <w:t>52,33</w:t>
            </w:r>
          </w:p>
        </w:tc>
        <w:tc>
          <w:tcPr>
            <w:tcW w:w="992" w:type="dxa"/>
            <w:vAlign w:val="center"/>
          </w:tcPr>
          <w:p w:rsidR="00730338" w:rsidRPr="00CC717C" w:rsidRDefault="00730338" w:rsidP="00E42345">
            <w:pPr>
              <w:jc w:val="center"/>
              <w:rPr>
                <w:sz w:val="20"/>
                <w:lang w:val="de-DE"/>
              </w:rPr>
            </w:pPr>
            <w:r w:rsidRPr="00CC717C">
              <w:rPr>
                <w:sz w:val="20"/>
                <w:lang w:val="de-DE"/>
              </w:rPr>
              <w:t>11,252</w:t>
            </w:r>
          </w:p>
        </w:tc>
        <w:tc>
          <w:tcPr>
            <w:tcW w:w="1276" w:type="dxa"/>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8" w:space="0" w:color="auto"/>
            </w:tcBorders>
            <w:vAlign w:val="center"/>
          </w:tcPr>
          <w:p w:rsidR="00730338" w:rsidRPr="009C1198" w:rsidRDefault="00730338" w:rsidP="00E42345">
            <w:pPr>
              <w:spacing w:line="320" w:lineRule="atLeast"/>
              <w:rPr>
                <w:sz w:val="20"/>
                <w:szCs w:val="20"/>
              </w:rPr>
            </w:pPr>
            <w:r>
              <w:rPr>
                <w:sz w:val="20"/>
                <w:szCs w:val="20"/>
              </w:rPr>
              <w:t>K</w:t>
            </w:r>
          </w:p>
        </w:tc>
        <w:tc>
          <w:tcPr>
            <w:tcW w:w="851"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-1,236</w:t>
            </w:r>
          </w:p>
        </w:tc>
        <w:tc>
          <w:tcPr>
            <w:tcW w:w="567"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8" w:space="0" w:color="auto"/>
            </w:tcBorders>
            <w:vAlign w:val="center"/>
          </w:tcPr>
          <w:p w:rsidR="00730338" w:rsidRPr="009C1198" w:rsidRDefault="00730338" w:rsidP="00E42345">
            <w:pPr>
              <w:spacing w:line="320" w:lineRule="atLeast"/>
              <w:jc w:val="center"/>
              <w:rPr>
                <w:sz w:val="20"/>
                <w:szCs w:val="20"/>
              </w:rPr>
            </w:pPr>
            <w:r w:rsidRPr="006A4120">
              <w:rPr>
                <w:sz w:val="20"/>
                <w:szCs w:val="20"/>
              </w:rPr>
              <w:t>,230</w:t>
            </w:r>
          </w:p>
        </w:tc>
        <w:tc>
          <w:tcPr>
            <w:tcW w:w="850"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,068</w:t>
            </w:r>
          </w:p>
        </w:tc>
        <w:tc>
          <w:tcPr>
            <w:tcW w:w="1985" w:type="dxa"/>
            <w:tcBorders>
              <w:top w:val="single" w:sz="8"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8" w:space="0" w:color="auto"/>
            </w:tcBorders>
            <w:vAlign w:val="center"/>
          </w:tcPr>
          <w:p w:rsidR="00730338" w:rsidRPr="00CB3352" w:rsidRDefault="00730338" w:rsidP="00E42345">
            <w:pPr>
              <w:jc w:val="center"/>
              <w:rPr>
                <w:sz w:val="20"/>
                <w:lang w:val="de-DE"/>
              </w:rPr>
            </w:pPr>
            <w:r w:rsidRPr="00CB3352">
              <w:rPr>
                <w:sz w:val="20"/>
                <w:lang w:val="de-DE"/>
              </w:rPr>
              <w:t>45,91</w:t>
            </w:r>
          </w:p>
        </w:tc>
        <w:tc>
          <w:tcPr>
            <w:tcW w:w="992" w:type="dxa"/>
            <w:tcBorders>
              <w:top w:val="single" w:sz="8" w:space="0" w:color="auto"/>
            </w:tcBorders>
            <w:vAlign w:val="center"/>
          </w:tcPr>
          <w:p w:rsidR="00730338" w:rsidRPr="00CC717C" w:rsidRDefault="00730338" w:rsidP="00E42345">
            <w:pPr>
              <w:jc w:val="center"/>
              <w:rPr>
                <w:sz w:val="20"/>
                <w:lang w:val="de-DE"/>
              </w:rPr>
            </w:pPr>
            <w:r w:rsidRPr="00CC717C">
              <w:rPr>
                <w:sz w:val="20"/>
                <w:lang w:val="de-DE"/>
              </w:rPr>
              <w:t>7,035</w:t>
            </w:r>
          </w:p>
        </w:tc>
        <w:tc>
          <w:tcPr>
            <w:tcW w:w="1276"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ign w:val="center"/>
          </w:tcPr>
          <w:p w:rsidR="00730338" w:rsidRPr="009C1198" w:rsidRDefault="00730338" w:rsidP="00E42345">
            <w:pPr>
              <w:spacing w:line="320" w:lineRule="atLeast"/>
              <w:rPr>
                <w:sz w:val="20"/>
                <w:szCs w:val="20"/>
              </w:rPr>
            </w:pPr>
          </w:p>
        </w:tc>
        <w:tc>
          <w:tcPr>
            <w:tcW w:w="851" w:type="dxa"/>
            <w:vAlign w:val="center"/>
          </w:tcPr>
          <w:p w:rsidR="00730338" w:rsidRPr="009C1198" w:rsidRDefault="00730338" w:rsidP="00E42345">
            <w:pPr>
              <w:spacing w:line="320" w:lineRule="atLeast"/>
              <w:jc w:val="center"/>
              <w:rPr>
                <w:sz w:val="20"/>
                <w:szCs w:val="20"/>
              </w:rPr>
            </w:pPr>
          </w:p>
        </w:tc>
        <w:tc>
          <w:tcPr>
            <w:tcW w:w="567" w:type="dxa"/>
            <w:vAlign w:val="center"/>
          </w:tcPr>
          <w:p w:rsidR="00730338" w:rsidRPr="009C1198" w:rsidRDefault="00730338" w:rsidP="00E42345">
            <w:pPr>
              <w:spacing w:line="320" w:lineRule="atLeast"/>
              <w:jc w:val="center"/>
              <w:rPr>
                <w:sz w:val="20"/>
                <w:szCs w:val="20"/>
              </w:rPr>
            </w:pPr>
          </w:p>
        </w:tc>
        <w:tc>
          <w:tcPr>
            <w:tcW w:w="709" w:type="dxa"/>
            <w:vAlign w:val="center"/>
          </w:tcPr>
          <w:p w:rsidR="00730338" w:rsidRPr="009C1198" w:rsidRDefault="00730338" w:rsidP="00E42345">
            <w:pPr>
              <w:spacing w:line="320" w:lineRule="atLeast"/>
              <w:jc w:val="center"/>
              <w:rPr>
                <w:sz w:val="20"/>
                <w:szCs w:val="20"/>
              </w:rPr>
            </w:pPr>
          </w:p>
        </w:tc>
        <w:tc>
          <w:tcPr>
            <w:tcW w:w="850" w:type="dxa"/>
            <w:vAlign w:val="center"/>
          </w:tcPr>
          <w:p w:rsidR="00730338" w:rsidRPr="009C1198" w:rsidRDefault="00730338" w:rsidP="00E42345">
            <w:pPr>
              <w:spacing w:line="320" w:lineRule="atLeast"/>
              <w:jc w:val="center"/>
              <w:rPr>
                <w:sz w:val="20"/>
                <w:szCs w:val="20"/>
              </w:rPr>
            </w:pPr>
          </w:p>
        </w:tc>
        <w:tc>
          <w:tcPr>
            <w:tcW w:w="1985" w:type="dxa"/>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vAlign w:val="center"/>
          </w:tcPr>
          <w:p w:rsidR="00730338" w:rsidRPr="00CB3352" w:rsidRDefault="00730338" w:rsidP="00E42345">
            <w:pPr>
              <w:jc w:val="center"/>
              <w:rPr>
                <w:sz w:val="20"/>
                <w:lang w:val="de-DE"/>
              </w:rPr>
            </w:pPr>
            <w:r w:rsidRPr="00CB3352">
              <w:rPr>
                <w:sz w:val="20"/>
                <w:lang w:val="de-DE"/>
              </w:rPr>
              <w:t>49,25</w:t>
            </w:r>
          </w:p>
        </w:tc>
        <w:tc>
          <w:tcPr>
            <w:tcW w:w="992" w:type="dxa"/>
            <w:vAlign w:val="center"/>
          </w:tcPr>
          <w:p w:rsidR="00730338" w:rsidRPr="00CC717C" w:rsidRDefault="00730338" w:rsidP="00E42345">
            <w:pPr>
              <w:jc w:val="center"/>
              <w:rPr>
                <w:sz w:val="20"/>
                <w:lang w:val="de-DE"/>
              </w:rPr>
            </w:pPr>
            <w:r w:rsidRPr="00CC717C">
              <w:rPr>
                <w:sz w:val="20"/>
                <w:lang w:val="de-DE"/>
              </w:rPr>
              <w:t>5,926</w:t>
            </w:r>
          </w:p>
        </w:tc>
        <w:tc>
          <w:tcPr>
            <w:tcW w:w="1276" w:type="dxa"/>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8" w:space="0" w:color="auto"/>
            </w:tcBorders>
            <w:vAlign w:val="center"/>
          </w:tcPr>
          <w:p w:rsidR="00730338" w:rsidRPr="009C1198" w:rsidRDefault="00730338" w:rsidP="00E42345">
            <w:pPr>
              <w:spacing w:line="320" w:lineRule="atLeast"/>
              <w:rPr>
                <w:sz w:val="20"/>
                <w:szCs w:val="20"/>
              </w:rPr>
            </w:pPr>
            <w:r>
              <w:rPr>
                <w:sz w:val="20"/>
                <w:szCs w:val="20"/>
              </w:rPr>
              <w:t>Hipohondrijaza</w:t>
            </w:r>
          </w:p>
        </w:tc>
        <w:tc>
          <w:tcPr>
            <w:tcW w:w="851"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-,481</w:t>
            </w:r>
          </w:p>
        </w:tc>
        <w:tc>
          <w:tcPr>
            <w:tcW w:w="567"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8" w:space="0" w:color="auto"/>
            </w:tcBorders>
            <w:vAlign w:val="center"/>
          </w:tcPr>
          <w:p w:rsidR="00730338" w:rsidRPr="006A4120" w:rsidRDefault="00730338" w:rsidP="00E42345">
            <w:pPr>
              <w:spacing w:line="320" w:lineRule="atLeast"/>
              <w:jc w:val="center"/>
              <w:rPr>
                <w:sz w:val="20"/>
                <w:szCs w:val="20"/>
              </w:rPr>
            </w:pPr>
            <w:r w:rsidRPr="006A4120">
              <w:rPr>
                <w:sz w:val="20"/>
                <w:szCs w:val="20"/>
              </w:rPr>
              <w:t>,635</w:t>
            </w:r>
          </w:p>
        </w:tc>
        <w:tc>
          <w:tcPr>
            <w:tcW w:w="850"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,011</w:t>
            </w:r>
          </w:p>
        </w:tc>
        <w:tc>
          <w:tcPr>
            <w:tcW w:w="1985" w:type="dxa"/>
            <w:tcBorders>
              <w:top w:val="single" w:sz="8"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8" w:space="0" w:color="auto"/>
            </w:tcBorders>
            <w:vAlign w:val="center"/>
          </w:tcPr>
          <w:p w:rsidR="00730338" w:rsidRPr="00CB3352" w:rsidRDefault="00730338" w:rsidP="00E42345">
            <w:pPr>
              <w:jc w:val="center"/>
              <w:rPr>
                <w:sz w:val="20"/>
                <w:lang w:val="de-DE"/>
              </w:rPr>
            </w:pPr>
            <w:r w:rsidRPr="00CB3352">
              <w:rPr>
                <w:sz w:val="20"/>
                <w:lang w:val="de-DE"/>
              </w:rPr>
              <w:t>70,55</w:t>
            </w:r>
          </w:p>
        </w:tc>
        <w:tc>
          <w:tcPr>
            <w:tcW w:w="992" w:type="dxa"/>
            <w:tcBorders>
              <w:top w:val="single" w:sz="8" w:space="0" w:color="auto"/>
            </w:tcBorders>
            <w:vAlign w:val="center"/>
          </w:tcPr>
          <w:p w:rsidR="00730338" w:rsidRPr="00CC717C" w:rsidRDefault="00730338" w:rsidP="00E42345">
            <w:pPr>
              <w:jc w:val="center"/>
              <w:rPr>
                <w:sz w:val="20"/>
                <w:lang w:val="de-DE"/>
              </w:rPr>
            </w:pPr>
            <w:r w:rsidRPr="00CC717C">
              <w:rPr>
                <w:sz w:val="20"/>
                <w:lang w:val="de-DE"/>
              </w:rPr>
              <w:t>16,446</w:t>
            </w:r>
          </w:p>
        </w:tc>
        <w:tc>
          <w:tcPr>
            <w:tcW w:w="1276"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ign w:val="center"/>
          </w:tcPr>
          <w:p w:rsidR="00730338" w:rsidRPr="009C1198" w:rsidRDefault="00730338" w:rsidP="00E42345">
            <w:pPr>
              <w:spacing w:line="320" w:lineRule="atLeast"/>
              <w:rPr>
                <w:sz w:val="20"/>
                <w:szCs w:val="20"/>
              </w:rPr>
            </w:pPr>
          </w:p>
        </w:tc>
        <w:tc>
          <w:tcPr>
            <w:tcW w:w="851" w:type="dxa"/>
            <w:vAlign w:val="center"/>
          </w:tcPr>
          <w:p w:rsidR="00730338" w:rsidRPr="009C1198" w:rsidRDefault="00730338" w:rsidP="00E42345">
            <w:pPr>
              <w:spacing w:line="320" w:lineRule="atLeast"/>
              <w:jc w:val="center"/>
              <w:rPr>
                <w:sz w:val="20"/>
                <w:szCs w:val="20"/>
              </w:rPr>
            </w:pPr>
          </w:p>
        </w:tc>
        <w:tc>
          <w:tcPr>
            <w:tcW w:w="567" w:type="dxa"/>
            <w:vAlign w:val="center"/>
          </w:tcPr>
          <w:p w:rsidR="00730338" w:rsidRPr="009C1198" w:rsidRDefault="00730338" w:rsidP="00E42345">
            <w:pPr>
              <w:spacing w:line="320" w:lineRule="atLeast"/>
              <w:jc w:val="center"/>
              <w:rPr>
                <w:sz w:val="20"/>
                <w:szCs w:val="20"/>
              </w:rPr>
            </w:pPr>
          </w:p>
        </w:tc>
        <w:tc>
          <w:tcPr>
            <w:tcW w:w="709" w:type="dxa"/>
            <w:vAlign w:val="center"/>
          </w:tcPr>
          <w:p w:rsidR="00730338" w:rsidRPr="009C1198" w:rsidRDefault="00730338" w:rsidP="00E42345">
            <w:pPr>
              <w:spacing w:line="320" w:lineRule="atLeast"/>
              <w:jc w:val="center"/>
              <w:rPr>
                <w:sz w:val="20"/>
                <w:szCs w:val="20"/>
              </w:rPr>
            </w:pPr>
          </w:p>
        </w:tc>
        <w:tc>
          <w:tcPr>
            <w:tcW w:w="850" w:type="dxa"/>
            <w:vAlign w:val="center"/>
          </w:tcPr>
          <w:p w:rsidR="00730338" w:rsidRPr="009C1198" w:rsidRDefault="00730338" w:rsidP="00E42345">
            <w:pPr>
              <w:spacing w:line="320" w:lineRule="atLeast"/>
              <w:jc w:val="center"/>
              <w:rPr>
                <w:sz w:val="20"/>
                <w:szCs w:val="20"/>
              </w:rPr>
            </w:pPr>
          </w:p>
        </w:tc>
        <w:tc>
          <w:tcPr>
            <w:tcW w:w="1985" w:type="dxa"/>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vAlign w:val="center"/>
          </w:tcPr>
          <w:p w:rsidR="00730338" w:rsidRPr="00CB3352" w:rsidRDefault="00730338" w:rsidP="00E42345">
            <w:pPr>
              <w:jc w:val="center"/>
              <w:rPr>
                <w:sz w:val="20"/>
                <w:lang w:val="de-DE"/>
              </w:rPr>
            </w:pPr>
            <w:r w:rsidRPr="00CB3352">
              <w:rPr>
                <w:sz w:val="20"/>
                <w:lang w:val="de-DE"/>
              </w:rPr>
              <w:t>73,92</w:t>
            </w:r>
          </w:p>
        </w:tc>
        <w:tc>
          <w:tcPr>
            <w:tcW w:w="992" w:type="dxa"/>
            <w:vAlign w:val="center"/>
          </w:tcPr>
          <w:p w:rsidR="00730338" w:rsidRPr="00CC717C" w:rsidRDefault="00730338" w:rsidP="00E42345">
            <w:pPr>
              <w:jc w:val="center"/>
              <w:rPr>
                <w:sz w:val="20"/>
                <w:lang w:val="de-DE"/>
              </w:rPr>
            </w:pPr>
            <w:r w:rsidRPr="00CC717C">
              <w:rPr>
                <w:sz w:val="20"/>
                <w:lang w:val="de-DE"/>
              </w:rPr>
              <w:t>17,074</w:t>
            </w:r>
          </w:p>
        </w:tc>
        <w:tc>
          <w:tcPr>
            <w:tcW w:w="1276" w:type="dxa"/>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8" w:space="0" w:color="auto"/>
            </w:tcBorders>
            <w:vAlign w:val="center"/>
          </w:tcPr>
          <w:p w:rsidR="00730338" w:rsidRPr="009C1198" w:rsidRDefault="00730338" w:rsidP="00E42345">
            <w:pPr>
              <w:spacing w:line="320" w:lineRule="atLeast"/>
              <w:rPr>
                <w:sz w:val="20"/>
                <w:szCs w:val="20"/>
              </w:rPr>
            </w:pPr>
            <w:r>
              <w:rPr>
                <w:sz w:val="20"/>
                <w:szCs w:val="20"/>
              </w:rPr>
              <w:t>Depresivnost</w:t>
            </w:r>
          </w:p>
        </w:tc>
        <w:tc>
          <w:tcPr>
            <w:tcW w:w="851"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,526</w:t>
            </w:r>
          </w:p>
        </w:tc>
        <w:tc>
          <w:tcPr>
            <w:tcW w:w="567" w:type="dxa"/>
            <w:tcBorders>
              <w:top w:val="single" w:sz="8"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8" w:space="0" w:color="auto"/>
            </w:tcBorders>
            <w:vAlign w:val="center"/>
          </w:tcPr>
          <w:p w:rsidR="00730338" w:rsidRPr="006A4120" w:rsidRDefault="00730338" w:rsidP="00E42345">
            <w:pPr>
              <w:spacing w:line="320" w:lineRule="atLeast"/>
              <w:jc w:val="center"/>
              <w:rPr>
                <w:sz w:val="20"/>
                <w:szCs w:val="20"/>
              </w:rPr>
            </w:pPr>
            <w:r w:rsidRPr="006A4120">
              <w:rPr>
                <w:sz w:val="20"/>
                <w:szCs w:val="20"/>
              </w:rPr>
              <w:t>,605</w:t>
            </w:r>
          </w:p>
        </w:tc>
        <w:tc>
          <w:tcPr>
            <w:tcW w:w="850"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,013</w:t>
            </w:r>
          </w:p>
        </w:tc>
        <w:tc>
          <w:tcPr>
            <w:tcW w:w="1985" w:type="dxa"/>
            <w:tcBorders>
              <w:top w:val="single" w:sz="8"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8" w:space="0" w:color="auto"/>
            </w:tcBorders>
            <w:vAlign w:val="center"/>
          </w:tcPr>
          <w:p w:rsidR="00730338" w:rsidRPr="00CB3352" w:rsidRDefault="00730338" w:rsidP="00E42345">
            <w:pPr>
              <w:jc w:val="center"/>
              <w:rPr>
                <w:sz w:val="20"/>
                <w:lang w:val="de-DE"/>
              </w:rPr>
            </w:pPr>
            <w:r w:rsidRPr="00CB3352">
              <w:rPr>
                <w:sz w:val="20"/>
                <w:lang w:val="de-DE"/>
              </w:rPr>
              <w:t>78,55</w:t>
            </w:r>
          </w:p>
        </w:tc>
        <w:tc>
          <w:tcPr>
            <w:tcW w:w="992" w:type="dxa"/>
            <w:tcBorders>
              <w:top w:val="single" w:sz="8" w:space="0" w:color="auto"/>
            </w:tcBorders>
            <w:vAlign w:val="center"/>
          </w:tcPr>
          <w:p w:rsidR="00730338" w:rsidRPr="00CC717C" w:rsidRDefault="00730338" w:rsidP="00E42345">
            <w:pPr>
              <w:jc w:val="center"/>
              <w:rPr>
                <w:sz w:val="20"/>
                <w:lang w:val="de-DE"/>
              </w:rPr>
            </w:pPr>
            <w:r w:rsidRPr="00CC717C">
              <w:rPr>
                <w:sz w:val="20"/>
                <w:lang w:val="de-DE"/>
              </w:rPr>
              <w:t>13,057</w:t>
            </w:r>
          </w:p>
        </w:tc>
        <w:tc>
          <w:tcPr>
            <w:tcW w:w="1276"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74,83</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19,789</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Histrioničnost</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,367</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,718</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0,06</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73,55</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15,254</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71,08</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16,812</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Psihodevijantnost</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1,628</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,118</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0,112</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64,64</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13,764</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55,67</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12,659</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Paranoidnost</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1,356</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,189</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0,081</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69,82</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16,726</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60,50</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16,217</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Psihoasteničnost</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,978</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,339</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0,044</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70,91</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10,173</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65,67</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14,847</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Shizofrenija</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1,986</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,060</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0,158</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67,64</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10,366</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57,58</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13,534</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Manija</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,289</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,776</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0,004</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49,73</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9,880</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48,50</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10,458</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Socijalna izolacija</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,422</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,677</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0,008</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62,91</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12,365</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60,58</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13,899</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Anksioznost</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,898</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,380</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0,037</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71,18</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11,583</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65,58</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17,443</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4" w:space="0" w:color="auto"/>
            </w:tcBorders>
            <w:vAlign w:val="center"/>
          </w:tcPr>
          <w:p w:rsidR="00730338" w:rsidRPr="009C1198" w:rsidRDefault="00730338" w:rsidP="00E42345">
            <w:pPr>
              <w:spacing w:line="320" w:lineRule="atLeast"/>
              <w:rPr>
                <w:sz w:val="20"/>
                <w:szCs w:val="20"/>
              </w:rPr>
            </w:pPr>
            <w:r>
              <w:rPr>
                <w:sz w:val="20"/>
                <w:szCs w:val="20"/>
              </w:rPr>
              <w:t>Agresivnost</w:t>
            </w:r>
          </w:p>
        </w:tc>
        <w:tc>
          <w:tcPr>
            <w:tcW w:w="851"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1,391</w:t>
            </w:r>
          </w:p>
        </w:tc>
        <w:tc>
          <w:tcPr>
            <w:tcW w:w="567" w:type="dxa"/>
            <w:tcBorders>
              <w:top w:val="single" w:sz="4" w:space="0" w:color="auto"/>
            </w:tcBorders>
            <w:vAlign w:val="center"/>
          </w:tcPr>
          <w:p w:rsidR="00730338" w:rsidRPr="009C1198" w:rsidRDefault="00730338" w:rsidP="00E42345">
            <w:pPr>
              <w:spacing w:line="320" w:lineRule="atLeast"/>
              <w:jc w:val="center"/>
              <w:rPr>
                <w:sz w:val="20"/>
                <w:szCs w:val="20"/>
              </w:rPr>
            </w:pPr>
            <w:r w:rsidRPr="00587208">
              <w:rPr>
                <w:sz w:val="20"/>
                <w:szCs w:val="20"/>
              </w:rPr>
              <w:t>21</w:t>
            </w:r>
          </w:p>
        </w:tc>
        <w:tc>
          <w:tcPr>
            <w:tcW w:w="709" w:type="dxa"/>
            <w:tcBorders>
              <w:top w:val="single" w:sz="4" w:space="0" w:color="auto"/>
            </w:tcBorders>
            <w:vAlign w:val="center"/>
          </w:tcPr>
          <w:p w:rsidR="00730338" w:rsidRPr="009C1198" w:rsidRDefault="00730338" w:rsidP="00E42345">
            <w:pPr>
              <w:spacing w:line="320" w:lineRule="atLeast"/>
              <w:jc w:val="center"/>
              <w:rPr>
                <w:sz w:val="20"/>
                <w:szCs w:val="20"/>
              </w:rPr>
            </w:pPr>
            <w:r w:rsidRPr="006A4120">
              <w:rPr>
                <w:sz w:val="20"/>
                <w:szCs w:val="20"/>
              </w:rPr>
              <w:t>,179</w:t>
            </w:r>
          </w:p>
        </w:tc>
        <w:tc>
          <w:tcPr>
            <w:tcW w:w="850"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0,084</w:t>
            </w:r>
          </w:p>
        </w:tc>
        <w:tc>
          <w:tcPr>
            <w:tcW w:w="1985" w:type="dxa"/>
            <w:tcBorders>
              <w:top w:val="single" w:sz="4"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4" w:space="0" w:color="auto"/>
            </w:tcBorders>
            <w:vAlign w:val="center"/>
          </w:tcPr>
          <w:p w:rsidR="00730338" w:rsidRPr="00CB3352" w:rsidRDefault="00730338" w:rsidP="00E42345">
            <w:pPr>
              <w:jc w:val="center"/>
              <w:rPr>
                <w:sz w:val="20"/>
                <w:lang w:val="de-DE"/>
              </w:rPr>
            </w:pPr>
            <w:r w:rsidRPr="00CB3352">
              <w:rPr>
                <w:sz w:val="20"/>
                <w:lang w:val="de-DE"/>
              </w:rPr>
              <w:t>56,91</w:t>
            </w:r>
          </w:p>
        </w:tc>
        <w:tc>
          <w:tcPr>
            <w:tcW w:w="992" w:type="dxa"/>
            <w:tcBorders>
              <w:top w:val="single" w:sz="4" w:space="0" w:color="auto"/>
            </w:tcBorders>
            <w:vAlign w:val="center"/>
          </w:tcPr>
          <w:p w:rsidR="00730338" w:rsidRPr="00CC717C" w:rsidRDefault="00730338" w:rsidP="00E42345">
            <w:pPr>
              <w:jc w:val="center"/>
              <w:rPr>
                <w:sz w:val="20"/>
                <w:lang w:val="de-DE"/>
              </w:rPr>
            </w:pPr>
            <w:r w:rsidRPr="00CC717C">
              <w:rPr>
                <w:sz w:val="20"/>
                <w:lang w:val="de-DE"/>
              </w:rPr>
              <w:t>14,923</w:t>
            </w:r>
          </w:p>
        </w:tc>
        <w:tc>
          <w:tcPr>
            <w:tcW w:w="1276" w:type="dxa"/>
            <w:tcBorders>
              <w:top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ign w:val="center"/>
          </w:tcPr>
          <w:p w:rsidR="00730338" w:rsidRPr="009C1198" w:rsidRDefault="00730338" w:rsidP="00E42345">
            <w:pPr>
              <w:spacing w:line="320" w:lineRule="atLeast"/>
              <w:rPr>
                <w:sz w:val="20"/>
                <w:szCs w:val="20"/>
              </w:rPr>
            </w:pPr>
          </w:p>
        </w:tc>
        <w:tc>
          <w:tcPr>
            <w:tcW w:w="851" w:type="dxa"/>
            <w:vAlign w:val="center"/>
          </w:tcPr>
          <w:p w:rsidR="00730338" w:rsidRPr="009C1198" w:rsidRDefault="00730338" w:rsidP="00E42345">
            <w:pPr>
              <w:spacing w:line="320" w:lineRule="atLeast"/>
              <w:jc w:val="center"/>
              <w:rPr>
                <w:sz w:val="20"/>
                <w:szCs w:val="20"/>
              </w:rPr>
            </w:pPr>
          </w:p>
        </w:tc>
        <w:tc>
          <w:tcPr>
            <w:tcW w:w="567" w:type="dxa"/>
            <w:vAlign w:val="center"/>
          </w:tcPr>
          <w:p w:rsidR="00730338" w:rsidRPr="009C1198" w:rsidRDefault="00730338" w:rsidP="00E42345">
            <w:pPr>
              <w:spacing w:line="320" w:lineRule="atLeast"/>
              <w:jc w:val="center"/>
              <w:rPr>
                <w:sz w:val="20"/>
                <w:szCs w:val="20"/>
              </w:rPr>
            </w:pPr>
          </w:p>
        </w:tc>
        <w:tc>
          <w:tcPr>
            <w:tcW w:w="709" w:type="dxa"/>
            <w:vAlign w:val="center"/>
          </w:tcPr>
          <w:p w:rsidR="00730338" w:rsidRPr="009C1198" w:rsidRDefault="00730338" w:rsidP="00E42345">
            <w:pPr>
              <w:spacing w:line="320" w:lineRule="atLeast"/>
              <w:jc w:val="center"/>
              <w:rPr>
                <w:sz w:val="20"/>
                <w:szCs w:val="20"/>
              </w:rPr>
            </w:pPr>
          </w:p>
        </w:tc>
        <w:tc>
          <w:tcPr>
            <w:tcW w:w="850" w:type="dxa"/>
            <w:vAlign w:val="center"/>
          </w:tcPr>
          <w:p w:rsidR="00730338" w:rsidRPr="009C1198" w:rsidRDefault="00730338" w:rsidP="00E42345">
            <w:pPr>
              <w:spacing w:line="320" w:lineRule="atLeast"/>
              <w:jc w:val="center"/>
              <w:rPr>
                <w:sz w:val="20"/>
                <w:szCs w:val="20"/>
              </w:rPr>
            </w:pPr>
          </w:p>
        </w:tc>
        <w:tc>
          <w:tcPr>
            <w:tcW w:w="1985" w:type="dxa"/>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vAlign w:val="center"/>
          </w:tcPr>
          <w:p w:rsidR="00730338" w:rsidRPr="00CB3352" w:rsidRDefault="00730338" w:rsidP="00E42345">
            <w:pPr>
              <w:jc w:val="center"/>
              <w:rPr>
                <w:sz w:val="20"/>
                <w:lang w:val="de-DE"/>
              </w:rPr>
            </w:pPr>
            <w:r w:rsidRPr="00CB3352">
              <w:rPr>
                <w:sz w:val="20"/>
                <w:lang w:val="de-DE"/>
              </w:rPr>
              <w:t>48,25</w:t>
            </w:r>
          </w:p>
        </w:tc>
        <w:tc>
          <w:tcPr>
            <w:tcW w:w="992" w:type="dxa"/>
            <w:vAlign w:val="center"/>
          </w:tcPr>
          <w:p w:rsidR="00730338" w:rsidRPr="00CC717C" w:rsidRDefault="00730338" w:rsidP="00E42345">
            <w:pPr>
              <w:jc w:val="center"/>
              <w:rPr>
                <w:sz w:val="20"/>
                <w:lang w:val="de-DE"/>
              </w:rPr>
            </w:pPr>
            <w:r w:rsidRPr="00CC717C">
              <w:rPr>
                <w:sz w:val="20"/>
                <w:lang w:val="de-DE"/>
              </w:rPr>
              <w:t>14,894</w:t>
            </w:r>
          </w:p>
        </w:tc>
        <w:tc>
          <w:tcPr>
            <w:tcW w:w="1276" w:type="dxa"/>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val="restart"/>
            <w:tcBorders>
              <w:top w:val="single" w:sz="8" w:space="0" w:color="auto"/>
            </w:tcBorders>
            <w:vAlign w:val="center"/>
          </w:tcPr>
          <w:p w:rsidR="00730338" w:rsidRPr="009C1198" w:rsidRDefault="00730338" w:rsidP="00E42345">
            <w:pPr>
              <w:spacing w:line="320" w:lineRule="atLeast"/>
              <w:rPr>
                <w:sz w:val="20"/>
                <w:szCs w:val="20"/>
              </w:rPr>
            </w:pPr>
            <w:r>
              <w:rPr>
                <w:sz w:val="20"/>
                <w:szCs w:val="20"/>
              </w:rPr>
              <w:t>Kritični ajtemi</w:t>
            </w:r>
          </w:p>
        </w:tc>
        <w:tc>
          <w:tcPr>
            <w:tcW w:w="851" w:type="dxa"/>
            <w:tcBorders>
              <w:top w:val="single" w:sz="8" w:space="0" w:color="auto"/>
            </w:tcBorders>
            <w:vAlign w:val="center"/>
          </w:tcPr>
          <w:p w:rsidR="00730338" w:rsidRPr="009C1198" w:rsidRDefault="00730338" w:rsidP="00E42345">
            <w:pPr>
              <w:spacing w:line="320" w:lineRule="atLeast"/>
              <w:jc w:val="center"/>
              <w:rPr>
                <w:sz w:val="20"/>
                <w:szCs w:val="20"/>
                <w:vertAlign w:val="superscript"/>
              </w:rPr>
            </w:pPr>
            <w:r w:rsidRPr="00587208">
              <w:rPr>
                <w:sz w:val="20"/>
                <w:szCs w:val="20"/>
              </w:rPr>
              <w:t>1,879</w:t>
            </w:r>
          </w:p>
        </w:tc>
        <w:tc>
          <w:tcPr>
            <w:tcW w:w="567"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2</w:t>
            </w:r>
            <w:r w:rsidRPr="009C1198">
              <w:rPr>
                <w:sz w:val="20"/>
                <w:szCs w:val="20"/>
              </w:rPr>
              <w:t>1</w:t>
            </w:r>
          </w:p>
        </w:tc>
        <w:tc>
          <w:tcPr>
            <w:tcW w:w="709" w:type="dxa"/>
            <w:tcBorders>
              <w:top w:val="single" w:sz="8" w:space="0" w:color="auto"/>
            </w:tcBorders>
            <w:vAlign w:val="center"/>
          </w:tcPr>
          <w:p w:rsidR="00730338" w:rsidRPr="009C1198" w:rsidRDefault="00730338" w:rsidP="00E42345">
            <w:pPr>
              <w:spacing w:line="320" w:lineRule="atLeast"/>
              <w:jc w:val="center"/>
              <w:rPr>
                <w:sz w:val="20"/>
                <w:szCs w:val="20"/>
              </w:rPr>
            </w:pPr>
            <w:r w:rsidRPr="006A4120">
              <w:rPr>
                <w:sz w:val="20"/>
                <w:szCs w:val="20"/>
              </w:rPr>
              <w:t>,074</w:t>
            </w:r>
          </w:p>
        </w:tc>
        <w:tc>
          <w:tcPr>
            <w:tcW w:w="850"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,144</w:t>
            </w:r>
          </w:p>
        </w:tc>
        <w:tc>
          <w:tcPr>
            <w:tcW w:w="1985" w:type="dxa"/>
            <w:tcBorders>
              <w:top w:val="single" w:sz="8" w:space="0" w:color="auto"/>
            </w:tcBorders>
            <w:vAlign w:val="center"/>
          </w:tcPr>
          <w:p w:rsidR="00730338" w:rsidRPr="009C1198" w:rsidRDefault="00730338" w:rsidP="00E42345">
            <w:pPr>
              <w:spacing w:line="320" w:lineRule="atLeast"/>
              <w:rPr>
                <w:sz w:val="20"/>
                <w:szCs w:val="20"/>
              </w:rPr>
            </w:pPr>
            <w:r>
              <w:rPr>
                <w:sz w:val="20"/>
                <w:szCs w:val="20"/>
              </w:rPr>
              <w:t>Pokušaj suicida</w:t>
            </w:r>
          </w:p>
        </w:tc>
        <w:tc>
          <w:tcPr>
            <w:tcW w:w="850" w:type="dxa"/>
            <w:tcBorders>
              <w:top w:val="single" w:sz="8" w:space="0" w:color="auto"/>
            </w:tcBorders>
            <w:vAlign w:val="center"/>
          </w:tcPr>
          <w:p w:rsidR="00730338" w:rsidRPr="00CB3352" w:rsidRDefault="00730338" w:rsidP="00E42345">
            <w:pPr>
              <w:jc w:val="center"/>
              <w:rPr>
                <w:sz w:val="20"/>
                <w:lang w:val="de-DE"/>
              </w:rPr>
            </w:pPr>
            <w:r w:rsidRPr="00CB3352">
              <w:rPr>
                <w:sz w:val="20"/>
                <w:lang w:val="de-DE"/>
              </w:rPr>
              <w:t>65,82</w:t>
            </w:r>
          </w:p>
        </w:tc>
        <w:tc>
          <w:tcPr>
            <w:tcW w:w="992" w:type="dxa"/>
            <w:tcBorders>
              <w:top w:val="single" w:sz="8" w:space="0" w:color="auto"/>
            </w:tcBorders>
            <w:vAlign w:val="center"/>
          </w:tcPr>
          <w:p w:rsidR="00730338" w:rsidRPr="00CC717C" w:rsidRDefault="00730338" w:rsidP="00E42345">
            <w:pPr>
              <w:jc w:val="center"/>
              <w:rPr>
                <w:sz w:val="20"/>
                <w:lang w:val="de-DE"/>
              </w:rPr>
            </w:pPr>
            <w:r w:rsidRPr="00CC717C">
              <w:rPr>
                <w:sz w:val="20"/>
                <w:lang w:val="de-DE"/>
              </w:rPr>
              <w:t>14,435</w:t>
            </w:r>
          </w:p>
        </w:tc>
        <w:tc>
          <w:tcPr>
            <w:tcW w:w="1276" w:type="dxa"/>
            <w:tcBorders>
              <w:top w:val="single" w:sz="8"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blPrEx>
          <w:tblLook w:val="04A0" w:firstRow="1" w:lastRow="0" w:firstColumn="1" w:lastColumn="0" w:noHBand="0" w:noVBand="1"/>
        </w:tblPrEx>
        <w:tc>
          <w:tcPr>
            <w:tcW w:w="1701" w:type="dxa"/>
            <w:vMerge/>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1"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567"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709"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850" w:type="dxa"/>
            <w:tcBorders>
              <w:bottom w:val="single" w:sz="4" w:space="0" w:color="auto"/>
            </w:tcBorders>
            <w:vAlign w:val="center"/>
          </w:tcPr>
          <w:p w:rsidR="00730338" w:rsidRPr="009C1198" w:rsidRDefault="00730338" w:rsidP="00E42345">
            <w:pPr>
              <w:spacing w:line="320" w:lineRule="atLeast"/>
              <w:jc w:val="center"/>
              <w:rPr>
                <w:sz w:val="20"/>
                <w:szCs w:val="20"/>
              </w:rPr>
            </w:pPr>
          </w:p>
        </w:tc>
        <w:tc>
          <w:tcPr>
            <w:tcW w:w="1985" w:type="dxa"/>
            <w:tcBorders>
              <w:bottom w:val="single" w:sz="4" w:space="0" w:color="auto"/>
            </w:tcBorders>
            <w:vAlign w:val="center"/>
          </w:tcPr>
          <w:p w:rsidR="00730338" w:rsidRPr="009C1198" w:rsidRDefault="00730338" w:rsidP="00E42345">
            <w:pPr>
              <w:spacing w:line="320" w:lineRule="atLeast"/>
              <w:rPr>
                <w:sz w:val="20"/>
                <w:szCs w:val="20"/>
              </w:rPr>
            </w:pPr>
            <w:r>
              <w:rPr>
                <w:sz w:val="20"/>
                <w:szCs w:val="20"/>
              </w:rPr>
              <w:t>Bez pokušaja suicida</w:t>
            </w:r>
          </w:p>
        </w:tc>
        <w:tc>
          <w:tcPr>
            <w:tcW w:w="850" w:type="dxa"/>
            <w:tcBorders>
              <w:bottom w:val="single" w:sz="4" w:space="0" w:color="auto"/>
            </w:tcBorders>
            <w:vAlign w:val="center"/>
          </w:tcPr>
          <w:p w:rsidR="00730338" w:rsidRPr="00CB3352" w:rsidRDefault="00730338" w:rsidP="00E42345">
            <w:pPr>
              <w:jc w:val="center"/>
              <w:rPr>
                <w:sz w:val="20"/>
                <w:lang w:val="de-DE"/>
              </w:rPr>
            </w:pPr>
            <w:r w:rsidRPr="00CB3352">
              <w:rPr>
                <w:sz w:val="20"/>
                <w:lang w:val="de-DE"/>
              </w:rPr>
              <w:t>54,92</w:t>
            </w:r>
          </w:p>
        </w:tc>
        <w:tc>
          <w:tcPr>
            <w:tcW w:w="992" w:type="dxa"/>
            <w:tcBorders>
              <w:bottom w:val="single" w:sz="4" w:space="0" w:color="auto"/>
            </w:tcBorders>
            <w:vAlign w:val="center"/>
          </w:tcPr>
          <w:p w:rsidR="00730338" w:rsidRPr="00CC717C" w:rsidRDefault="00730338" w:rsidP="00E42345">
            <w:pPr>
              <w:jc w:val="center"/>
              <w:rPr>
                <w:sz w:val="20"/>
                <w:lang w:val="de-DE"/>
              </w:rPr>
            </w:pPr>
            <w:r w:rsidRPr="00CC717C">
              <w:rPr>
                <w:sz w:val="20"/>
                <w:lang w:val="de-DE"/>
              </w:rPr>
              <w:t>13,399</w:t>
            </w:r>
          </w:p>
        </w:tc>
        <w:tc>
          <w:tcPr>
            <w:tcW w:w="1276" w:type="dxa"/>
            <w:tcBorders>
              <w:bottom w:val="single" w:sz="4" w:space="0" w:color="auto"/>
            </w:tcBorders>
            <w:vAlign w:val="center"/>
          </w:tcPr>
          <w:p w:rsidR="00730338" w:rsidRPr="009C1198" w:rsidRDefault="00730338" w:rsidP="00E42345">
            <w:pPr>
              <w:spacing w:line="320" w:lineRule="atLeast"/>
              <w:jc w:val="center"/>
              <w:rPr>
                <w:sz w:val="20"/>
                <w:szCs w:val="20"/>
              </w:rPr>
            </w:pPr>
            <w:r>
              <w:rPr>
                <w:sz w:val="20"/>
                <w:szCs w:val="20"/>
              </w:rPr>
              <w:t>A</w:t>
            </w:r>
          </w:p>
        </w:tc>
      </w:tr>
      <w:tr w:rsidR="00730338" w:rsidRPr="00A126C7" w:rsidTr="00E42345">
        <w:trPr>
          <w:trHeight w:val="450"/>
        </w:trPr>
        <w:tc>
          <w:tcPr>
            <w:tcW w:w="9781" w:type="dxa"/>
            <w:gridSpan w:val="9"/>
            <w:tcBorders>
              <w:top w:val="single" w:sz="4" w:space="0" w:color="auto"/>
            </w:tcBorders>
          </w:tcPr>
          <w:p w:rsidR="00730338" w:rsidRPr="00A126C7" w:rsidRDefault="00730338" w:rsidP="00E42345">
            <w:pPr>
              <w:jc w:val="both"/>
            </w:pPr>
            <w:r w:rsidRPr="00CB01B6">
              <w:rPr>
                <w:sz w:val="20"/>
                <w:vertAlign w:val="superscript"/>
              </w:rPr>
              <w:t>1</w:t>
            </w:r>
            <w:r w:rsidRPr="00CB01B6">
              <w:rPr>
                <w:sz w:val="20"/>
              </w:rPr>
              <w:t>grupe koje ne dele isto slovo se razlikuju</w:t>
            </w:r>
          </w:p>
        </w:tc>
      </w:tr>
    </w:tbl>
    <w:p w:rsidR="00730338" w:rsidRPr="00F20BAA" w:rsidRDefault="00730338" w:rsidP="00730338">
      <w:pPr>
        <w:jc w:val="both"/>
      </w:pPr>
    </w:p>
    <w:p w:rsidR="00D30F6D" w:rsidRDefault="00D30F6D" w:rsidP="002A140F">
      <w:pPr>
        <w:pStyle w:val="EndNoteBibliography"/>
        <w:rPr>
          <w:rFonts w:ascii="Times New Roman" w:hAnsi="Times New Roman" w:cs="Times New Roman"/>
          <w:b/>
          <w:sz w:val="24"/>
          <w:szCs w:val="24"/>
        </w:rPr>
      </w:pPr>
    </w:p>
    <w:p w:rsidR="00730338" w:rsidRDefault="00730338" w:rsidP="002A140F">
      <w:pPr>
        <w:pStyle w:val="EndNoteBibliography"/>
        <w:rPr>
          <w:rFonts w:ascii="Times New Roman" w:hAnsi="Times New Roman" w:cs="Times New Roman"/>
          <w:b/>
          <w:sz w:val="24"/>
          <w:szCs w:val="24"/>
        </w:rPr>
      </w:pPr>
      <w:r>
        <w:rPr>
          <w:rFonts w:ascii="Times New Roman" w:hAnsi="Times New Roman" w:cs="Times New Roman"/>
          <w:b/>
          <w:sz w:val="24"/>
          <w:szCs w:val="24"/>
        </w:rPr>
        <w:lastRenderedPageBreak/>
        <w:t xml:space="preserve">Prilog </w:t>
      </w:r>
      <w:r w:rsidR="00D30F6D">
        <w:rPr>
          <w:rFonts w:ascii="Times New Roman" w:hAnsi="Times New Roman" w:cs="Times New Roman"/>
          <w:b/>
          <w:sz w:val="24"/>
          <w:szCs w:val="24"/>
        </w:rPr>
        <w:t>VIII</w:t>
      </w:r>
    </w:p>
    <w:tbl>
      <w:tblPr>
        <w:tblStyle w:val="TableGrid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6"/>
        <w:gridCol w:w="567"/>
        <w:gridCol w:w="851"/>
        <w:gridCol w:w="567"/>
        <w:gridCol w:w="567"/>
      </w:tblGrid>
      <w:tr w:rsidR="00730338" w:rsidRPr="00747700" w:rsidTr="00E42345">
        <w:trPr>
          <w:trHeight w:val="330"/>
        </w:trPr>
        <w:tc>
          <w:tcPr>
            <w:tcW w:w="3468" w:type="dxa"/>
            <w:gridSpan w:val="5"/>
            <w:tcBorders>
              <w:top w:val="nil"/>
              <w:left w:val="nil"/>
              <w:bottom w:val="nil"/>
              <w:right w:val="nil"/>
            </w:tcBorders>
          </w:tcPr>
          <w:p w:rsidR="00730338" w:rsidRPr="00747700" w:rsidRDefault="00730338" w:rsidP="00E42345">
            <w:pPr>
              <w:autoSpaceDE w:val="0"/>
              <w:autoSpaceDN w:val="0"/>
              <w:adjustRightInd w:val="0"/>
              <w:spacing w:line="320" w:lineRule="atLeast"/>
              <w:rPr>
                <w:rFonts w:ascii="Times New Roman" w:eastAsia="Calibri" w:hAnsi="Times New Roman"/>
                <w:noProof/>
                <w:sz w:val="24"/>
                <w:szCs w:val="24"/>
              </w:rPr>
            </w:pPr>
            <w:r w:rsidRPr="00747700">
              <w:rPr>
                <w:rFonts w:ascii="Times New Roman" w:eastAsia="Calibri" w:hAnsi="Times New Roman"/>
                <w:noProof/>
                <w:sz w:val="24"/>
                <w:szCs w:val="24"/>
              </w:rPr>
              <w:t xml:space="preserve">Tabela </w:t>
            </w:r>
            <w:r w:rsidR="00CE757C">
              <w:rPr>
                <w:rFonts w:ascii="Times New Roman" w:eastAsia="Calibri" w:hAnsi="Times New Roman"/>
                <w:noProof/>
                <w:sz w:val="24"/>
                <w:szCs w:val="24"/>
              </w:rPr>
              <w:t>8</w:t>
            </w:r>
          </w:p>
          <w:p w:rsidR="00730338" w:rsidRPr="00747700" w:rsidRDefault="00730338" w:rsidP="00E42345">
            <w:pPr>
              <w:autoSpaceDE w:val="0"/>
              <w:autoSpaceDN w:val="0"/>
              <w:adjustRightInd w:val="0"/>
              <w:spacing w:line="320" w:lineRule="atLeast"/>
              <w:rPr>
                <w:rFonts w:ascii="Times New Roman" w:eastAsia="Calibri" w:hAnsi="Times New Roman"/>
                <w:i/>
                <w:noProof/>
                <w:szCs w:val="24"/>
              </w:rPr>
            </w:pPr>
            <w:r w:rsidRPr="00747700">
              <w:rPr>
                <w:rFonts w:ascii="Times New Roman" w:eastAsia="Calibri" w:hAnsi="Times New Roman"/>
                <w:i/>
                <w:noProof/>
                <w:sz w:val="24"/>
                <w:szCs w:val="24"/>
              </w:rPr>
              <w:t>Kanoničke funkcije</w:t>
            </w:r>
          </w:p>
        </w:tc>
      </w:tr>
      <w:tr w:rsidR="00730338" w:rsidRPr="00747700"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6" w:type="dxa"/>
            <w:tcBorders>
              <w:top w:val="nil"/>
              <w:left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sidRPr="00747700">
              <w:rPr>
                <w:rFonts w:ascii="Times New Roman" w:eastAsia="Calibri" w:hAnsi="Times New Roman"/>
                <w:noProof/>
                <w:sz w:val="20"/>
                <w:szCs w:val="20"/>
              </w:rPr>
              <w:t>Funkcija</w:t>
            </w:r>
          </w:p>
        </w:tc>
        <w:tc>
          <w:tcPr>
            <w:tcW w:w="567" w:type="dxa"/>
            <w:tcBorders>
              <w:top w:val="nil"/>
              <w:left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sidRPr="00747700">
              <w:rPr>
                <w:rFonts w:ascii="Times New Roman" w:eastAsia="Calibri" w:hAnsi="Times New Roman"/>
                <w:noProof/>
                <w:sz w:val="20"/>
                <w:szCs w:val="20"/>
              </w:rPr>
              <w:t>R</w:t>
            </w:r>
          </w:p>
        </w:tc>
        <w:tc>
          <w:tcPr>
            <w:tcW w:w="851" w:type="dxa"/>
            <w:tcBorders>
              <w:top w:val="nil"/>
              <w:left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sidRPr="00747700">
              <w:rPr>
                <w:rFonts w:ascii="Times New Roman" w:eastAsia="Calibri" w:hAnsi="Times New Roman"/>
                <w:noProof/>
                <w:sz w:val="20"/>
                <w:szCs w:val="20"/>
              </w:rPr>
              <w:t>χ²</w:t>
            </w:r>
          </w:p>
        </w:tc>
        <w:tc>
          <w:tcPr>
            <w:tcW w:w="567" w:type="dxa"/>
            <w:tcBorders>
              <w:top w:val="nil"/>
              <w:left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sidRPr="00747700">
              <w:rPr>
                <w:rFonts w:ascii="Times New Roman" w:eastAsia="Calibri" w:hAnsi="Times New Roman"/>
                <w:noProof/>
                <w:sz w:val="20"/>
                <w:szCs w:val="20"/>
              </w:rPr>
              <w:t>df</w:t>
            </w:r>
          </w:p>
        </w:tc>
        <w:tc>
          <w:tcPr>
            <w:tcW w:w="567" w:type="dxa"/>
            <w:tcBorders>
              <w:top w:val="nil"/>
              <w:left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sidRPr="00747700">
              <w:rPr>
                <w:rFonts w:ascii="Times New Roman" w:eastAsia="Calibri" w:hAnsi="Times New Roman"/>
                <w:noProof/>
                <w:sz w:val="20"/>
                <w:szCs w:val="20"/>
              </w:rPr>
              <w:t>p</w:t>
            </w:r>
          </w:p>
        </w:tc>
      </w:tr>
      <w:tr w:rsidR="00730338" w:rsidRPr="00747700" w:rsidTr="00E423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6" w:type="dxa"/>
            <w:tcBorders>
              <w:left w:val="nil"/>
              <w:bottom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sidRPr="00747700">
              <w:rPr>
                <w:rFonts w:ascii="Times New Roman" w:eastAsia="Calibri" w:hAnsi="Times New Roman"/>
                <w:noProof/>
                <w:sz w:val="20"/>
                <w:szCs w:val="20"/>
              </w:rPr>
              <w:t>1</w:t>
            </w:r>
          </w:p>
        </w:tc>
        <w:tc>
          <w:tcPr>
            <w:tcW w:w="567" w:type="dxa"/>
            <w:tcBorders>
              <w:left w:val="nil"/>
              <w:bottom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Pr>
                <w:rFonts w:ascii="Times New Roman" w:eastAsia="Calibri" w:hAnsi="Times New Roman"/>
                <w:noProof/>
                <w:sz w:val="20"/>
                <w:szCs w:val="20"/>
              </w:rPr>
              <w:t>,829</w:t>
            </w:r>
          </w:p>
        </w:tc>
        <w:tc>
          <w:tcPr>
            <w:tcW w:w="851" w:type="dxa"/>
            <w:tcBorders>
              <w:left w:val="nil"/>
              <w:bottom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Pr>
                <w:rFonts w:ascii="Times New Roman" w:eastAsia="Calibri" w:hAnsi="Times New Roman"/>
                <w:noProof/>
                <w:sz w:val="20"/>
                <w:szCs w:val="20"/>
              </w:rPr>
              <w:t>15,660</w:t>
            </w:r>
          </w:p>
        </w:tc>
        <w:tc>
          <w:tcPr>
            <w:tcW w:w="567" w:type="dxa"/>
            <w:tcBorders>
              <w:left w:val="nil"/>
              <w:bottom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Pr>
                <w:rFonts w:ascii="Times New Roman" w:eastAsia="Calibri" w:hAnsi="Times New Roman"/>
                <w:noProof/>
                <w:sz w:val="20"/>
                <w:szCs w:val="20"/>
              </w:rPr>
              <w:t>15</w:t>
            </w:r>
          </w:p>
        </w:tc>
        <w:tc>
          <w:tcPr>
            <w:tcW w:w="567" w:type="dxa"/>
            <w:tcBorders>
              <w:left w:val="nil"/>
              <w:bottom w:val="nil"/>
              <w:right w:val="nil"/>
            </w:tcBorders>
            <w:vAlign w:val="center"/>
          </w:tcPr>
          <w:p w:rsidR="00730338" w:rsidRPr="00747700" w:rsidRDefault="00730338" w:rsidP="00E42345">
            <w:pPr>
              <w:autoSpaceDE w:val="0"/>
              <w:autoSpaceDN w:val="0"/>
              <w:adjustRightInd w:val="0"/>
              <w:spacing w:line="320" w:lineRule="atLeast"/>
              <w:jc w:val="center"/>
              <w:rPr>
                <w:rFonts w:ascii="Times New Roman" w:eastAsia="Calibri" w:hAnsi="Times New Roman"/>
                <w:noProof/>
                <w:sz w:val="20"/>
                <w:szCs w:val="20"/>
              </w:rPr>
            </w:pPr>
            <w:r>
              <w:rPr>
                <w:rFonts w:ascii="Times New Roman" w:eastAsia="Calibri" w:hAnsi="Times New Roman"/>
                <w:noProof/>
                <w:sz w:val="20"/>
                <w:szCs w:val="20"/>
              </w:rPr>
              <w:t>,405</w:t>
            </w:r>
          </w:p>
        </w:tc>
      </w:tr>
    </w:tbl>
    <w:p w:rsidR="00730338" w:rsidRPr="00730338" w:rsidRDefault="00730338" w:rsidP="002A140F">
      <w:pPr>
        <w:pStyle w:val="EndNoteBibliography"/>
        <w:rPr>
          <w:rFonts w:ascii="Times New Roman" w:hAnsi="Times New Roman" w:cs="Times New Roman"/>
          <w:b/>
          <w:sz w:val="24"/>
          <w:szCs w:val="24"/>
        </w:rPr>
      </w:pPr>
    </w:p>
    <w:sectPr w:rsidR="00730338" w:rsidRPr="00730338" w:rsidSect="00854033">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15E" w:rsidRDefault="00B0615E" w:rsidP="006347EA">
      <w:pPr>
        <w:spacing w:after="0" w:line="240" w:lineRule="auto"/>
      </w:pPr>
      <w:r>
        <w:separator/>
      </w:r>
    </w:p>
  </w:endnote>
  <w:endnote w:type="continuationSeparator" w:id="0">
    <w:p w:rsidR="00B0615E" w:rsidRDefault="00B0615E" w:rsidP="0063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8076"/>
      <w:docPartObj>
        <w:docPartGallery w:val="Page Numbers (Bottom of Page)"/>
        <w:docPartUnique/>
      </w:docPartObj>
    </w:sdtPr>
    <w:sdtEndPr/>
    <w:sdtContent>
      <w:p w:rsidR="00FA5AB1" w:rsidRDefault="00B0615E">
        <w:pPr>
          <w:pStyle w:val="Footer"/>
          <w:jc w:val="right"/>
        </w:pPr>
        <w:r>
          <w:fldChar w:fldCharType="begin"/>
        </w:r>
        <w:r>
          <w:instrText xml:space="preserve"> PAGE   \* MERGEFORMAT </w:instrText>
        </w:r>
        <w:r>
          <w:fldChar w:fldCharType="separate"/>
        </w:r>
        <w:r w:rsidR="0001019E">
          <w:rPr>
            <w:noProof/>
          </w:rPr>
          <w:t>16</w:t>
        </w:r>
        <w:r>
          <w:rPr>
            <w:noProof/>
          </w:rPr>
          <w:fldChar w:fldCharType="end"/>
        </w:r>
      </w:p>
    </w:sdtContent>
  </w:sdt>
  <w:p w:rsidR="00FA5AB1" w:rsidRDefault="00FA5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15E" w:rsidRDefault="00B0615E" w:rsidP="006347EA">
      <w:pPr>
        <w:spacing w:after="0" w:line="240" w:lineRule="auto"/>
      </w:pPr>
      <w:r>
        <w:separator/>
      </w:r>
    </w:p>
  </w:footnote>
  <w:footnote w:type="continuationSeparator" w:id="0">
    <w:p w:rsidR="00B0615E" w:rsidRDefault="00B0615E" w:rsidP="00634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1ED"/>
    <w:multiLevelType w:val="hybridMultilevel"/>
    <w:tmpl w:val="9C02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stf0e5bd59sfetv9jvttexv5z9xzsxps9v&quot;&gt;My EndNote Library&lt;record-ids&gt;&lt;item&gt;2&lt;/item&gt;&lt;/record-ids&gt;&lt;/item&gt;&lt;/Libraries&gt;"/>
  </w:docVars>
  <w:rsids>
    <w:rsidRoot w:val="00CA531F"/>
    <w:rsid w:val="0001019E"/>
    <w:rsid w:val="00024FCD"/>
    <w:rsid w:val="000468EA"/>
    <w:rsid w:val="00063A28"/>
    <w:rsid w:val="0006477A"/>
    <w:rsid w:val="000809AA"/>
    <w:rsid w:val="00093A6A"/>
    <w:rsid w:val="000B048F"/>
    <w:rsid w:val="000B0AE7"/>
    <w:rsid w:val="000B1869"/>
    <w:rsid w:val="000D02AA"/>
    <w:rsid w:val="000D3702"/>
    <w:rsid w:val="000E6ACE"/>
    <w:rsid w:val="00102027"/>
    <w:rsid w:val="0012448B"/>
    <w:rsid w:val="00131EC6"/>
    <w:rsid w:val="001470DE"/>
    <w:rsid w:val="0015030A"/>
    <w:rsid w:val="001603E7"/>
    <w:rsid w:val="00195140"/>
    <w:rsid w:val="00196E03"/>
    <w:rsid w:val="001B6C7A"/>
    <w:rsid w:val="001C4AFB"/>
    <w:rsid w:val="001C6011"/>
    <w:rsid w:val="001C64A2"/>
    <w:rsid w:val="001C6F00"/>
    <w:rsid w:val="001F666B"/>
    <w:rsid w:val="00205331"/>
    <w:rsid w:val="00242C83"/>
    <w:rsid w:val="002513BC"/>
    <w:rsid w:val="00264297"/>
    <w:rsid w:val="002A140F"/>
    <w:rsid w:val="002A7219"/>
    <w:rsid w:val="002B6BCC"/>
    <w:rsid w:val="002E0222"/>
    <w:rsid w:val="002E4034"/>
    <w:rsid w:val="00314675"/>
    <w:rsid w:val="003154C3"/>
    <w:rsid w:val="00335D3F"/>
    <w:rsid w:val="00343CAE"/>
    <w:rsid w:val="0034594F"/>
    <w:rsid w:val="00380737"/>
    <w:rsid w:val="003948B9"/>
    <w:rsid w:val="003C241F"/>
    <w:rsid w:val="003C2AEF"/>
    <w:rsid w:val="003D6588"/>
    <w:rsid w:val="003F5911"/>
    <w:rsid w:val="00423BCC"/>
    <w:rsid w:val="00437B27"/>
    <w:rsid w:val="004802D8"/>
    <w:rsid w:val="004B2873"/>
    <w:rsid w:val="004B719A"/>
    <w:rsid w:val="004E3905"/>
    <w:rsid w:val="004E4909"/>
    <w:rsid w:val="00553672"/>
    <w:rsid w:val="00586822"/>
    <w:rsid w:val="0059339A"/>
    <w:rsid w:val="00593AB5"/>
    <w:rsid w:val="005A01B3"/>
    <w:rsid w:val="005B4761"/>
    <w:rsid w:val="005B64A9"/>
    <w:rsid w:val="005D472A"/>
    <w:rsid w:val="005D75D3"/>
    <w:rsid w:val="005F2F34"/>
    <w:rsid w:val="005F4504"/>
    <w:rsid w:val="00610109"/>
    <w:rsid w:val="00615FF8"/>
    <w:rsid w:val="006347EA"/>
    <w:rsid w:val="00662AEE"/>
    <w:rsid w:val="00670AD0"/>
    <w:rsid w:val="00675EB6"/>
    <w:rsid w:val="00680D77"/>
    <w:rsid w:val="00691C24"/>
    <w:rsid w:val="006C0D86"/>
    <w:rsid w:val="006C574A"/>
    <w:rsid w:val="00715A00"/>
    <w:rsid w:val="00724C17"/>
    <w:rsid w:val="00730338"/>
    <w:rsid w:val="007777A2"/>
    <w:rsid w:val="0078111B"/>
    <w:rsid w:val="00785678"/>
    <w:rsid w:val="007A4100"/>
    <w:rsid w:val="007B1214"/>
    <w:rsid w:val="007C799E"/>
    <w:rsid w:val="007C7B65"/>
    <w:rsid w:val="007D4073"/>
    <w:rsid w:val="007F5510"/>
    <w:rsid w:val="007F6B64"/>
    <w:rsid w:val="00804617"/>
    <w:rsid w:val="00833F3F"/>
    <w:rsid w:val="00854033"/>
    <w:rsid w:val="00856026"/>
    <w:rsid w:val="00860F9B"/>
    <w:rsid w:val="008A02BE"/>
    <w:rsid w:val="008A0B2D"/>
    <w:rsid w:val="008B4FAC"/>
    <w:rsid w:val="008B6A9B"/>
    <w:rsid w:val="009158E7"/>
    <w:rsid w:val="0092095A"/>
    <w:rsid w:val="00921F4C"/>
    <w:rsid w:val="00921FC0"/>
    <w:rsid w:val="00930ACB"/>
    <w:rsid w:val="00941B2C"/>
    <w:rsid w:val="00975DD4"/>
    <w:rsid w:val="00984C71"/>
    <w:rsid w:val="00987736"/>
    <w:rsid w:val="009A50EB"/>
    <w:rsid w:val="009B27E5"/>
    <w:rsid w:val="009C041C"/>
    <w:rsid w:val="009C734E"/>
    <w:rsid w:val="009C749E"/>
    <w:rsid w:val="009E5AB0"/>
    <w:rsid w:val="00A36EC1"/>
    <w:rsid w:val="00A402EF"/>
    <w:rsid w:val="00A42B55"/>
    <w:rsid w:val="00A43875"/>
    <w:rsid w:val="00A474EB"/>
    <w:rsid w:val="00A47724"/>
    <w:rsid w:val="00A628AD"/>
    <w:rsid w:val="00AB5247"/>
    <w:rsid w:val="00AC08A8"/>
    <w:rsid w:val="00AC17D8"/>
    <w:rsid w:val="00AD22E6"/>
    <w:rsid w:val="00AE3DB7"/>
    <w:rsid w:val="00B0615E"/>
    <w:rsid w:val="00B1283E"/>
    <w:rsid w:val="00B27647"/>
    <w:rsid w:val="00B40B21"/>
    <w:rsid w:val="00B46930"/>
    <w:rsid w:val="00B825CB"/>
    <w:rsid w:val="00BB457B"/>
    <w:rsid w:val="00BB56C3"/>
    <w:rsid w:val="00BD6B6C"/>
    <w:rsid w:val="00C526B8"/>
    <w:rsid w:val="00C57E62"/>
    <w:rsid w:val="00C872C5"/>
    <w:rsid w:val="00CA531F"/>
    <w:rsid w:val="00CC08DB"/>
    <w:rsid w:val="00CC7ECB"/>
    <w:rsid w:val="00CE757C"/>
    <w:rsid w:val="00CF17F9"/>
    <w:rsid w:val="00D02C56"/>
    <w:rsid w:val="00D046CD"/>
    <w:rsid w:val="00D13913"/>
    <w:rsid w:val="00D30F6D"/>
    <w:rsid w:val="00D812F9"/>
    <w:rsid w:val="00DB3522"/>
    <w:rsid w:val="00DB61D9"/>
    <w:rsid w:val="00DD2104"/>
    <w:rsid w:val="00DE0F5F"/>
    <w:rsid w:val="00DE4DFF"/>
    <w:rsid w:val="00DF5E90"/>
    <w:rsid w:val="00E05352"/>
    <w:rsid w:val="00E42345"/>
    <w:rsid w:val="00E917F2"/>
    <w:rsid w:val="00EB4AD8"/>
    <w:rsid w:val="00EB695B"/>
    <w:rsid w:val="00EC6D1B"/>
    <w:rsid w:val="00EF30BC"/>
    <w:rsid w:val="00F22BDE"/>
    <w:rsid w:val="00F30FBF"/>
    <w:rsid w:val="00F31230"/>
    <w:rsid w:val="00F440B5"/>
    <w:rsid w:val="00F8498F"/>
    <w:rsid w:val="00FA5AB1"/>
    <w:rsid w:val="00FB4939"/>
    <w:rsid w:val="00FB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873"/>
    <w:rPr>
      <w:rFonts w:ascii="Tahoma" w:hAnsi="Tahoma" w:cs="Tahoma"/>
      <w:sz w:val="16"/>
      <w:szCs w:val="16"/>
    </w:rPr>
  </w:style>
  <w:style w:type="paragraph" w:styleId="EndnoteText">
    <w:name w:val="endnote text"/>
    <w:basedOn w:val="Normal"/>
    <w:link w:val="EndnoteTextChar"/>
    <w:uiPriority w:val="99"/>
    <w:semiHidden/>
    <w:unhideWhenUsed/>
    <w:rsid w:val="006347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7EA"/>
    <w:rPr>
      <w:sz w:val="20"/>
      <w:szCs w:val="20"/>
    </w:rPr>
  </w:style>
  <w:style w:type="character" w:styleId="EndnoteReference">
    <w:name w:val="endnote reference"/>
    <w:basedOn w:val="DefaultParagraphFont"/>
    <w:uiPriority w:val="99"/>
    <w:semiHidden/>
    <w:unhideWhenUsed/>
    <w:rsid w:val="006347EA"/>
    <w:rPr>
      <w:vertAlign w:val="superscript"/>
    </w:rPr>
  </w:style>
  <w:style w:type="paragraph" w:styleId="HTMLPreformatted">
    <w:name w:val="HTML Preformatted"/>
    <w:basedOn w:val="Normal"/>
    <w:link w:val="HTMLPreformattedChar"/>
    <w:uiPriority w:val="99"/>
    <w:semiHidden/>
    <w:unhideWhenUsed/>
    <w:rsid w:val="00AC17D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C17D8"/>
    <w:rPr>
      <w:rFonts w:ascii="Consolas" w:hAnsi="Consolas" w:cs="Consolas"/>
      <w:sz w:val="20"/>
      <w:szCs w:val="20"/>
    </w:rPr>
  </w:style>
  <w:style w:type="paragraph" w:styleId="ListParagraph">
    <w:name w:val="List Paragraph"/>
    <w:basedOn w:val="Normal"/>
    <w:uiPriority w:val="34"/>
    <w:qFormat/>
    <w:rsid w:val="001C6F00"/>
    <w:pPr>
      <w:ind w:left="720"/>
      <w:contextualSpacing/>
    </w:pPr>
    <w:rPr>
      <w:rFonts w:eastAsiaTheme="minorEastAsia"/>
    </w:rPr>
  </w:style>
  <w:style w:type="paragraph" w:customStyle="1" w:styleId="EndNoteBibliographyTitle">
    <w:name w:val="EndNote Bibliography Title"/>
    <w:basedOn w:val="Normal"/>
    <w:link w:val="EndNoteBibliographyTitleChar"/>
    <w:rsid w:val="001C6F0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C6F00"/>
    <w:rPr>
      <w:rFonts w:ascii="Calibri" w:hAnsi="Calibri" w:cs="Calibri"/>
      <w:noProof/>
    </w:rPr>
  </w:style>
  <w:style w:type="paragraph" w:customStyle="1" w:styleId="EndNoteBibliography">
    <w:name w:val="EndNote Bibliography"/>
    <w:basedOn w:val="Normal"/>
    <w:link w:val="EndNoteBibliographyChar"/>
    <w:rsid w:val="001C6F0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C6F00"/>
    <w:rPr>
      <w:rFonts w:ascii="Calibri" w:hAnsi="Calibri" w:cs="Calibri"/>
      <w:noProof/>
    </w:rPr>
  </w:style>
  <w:style w:type="character" w:styleId="Hyperlink">
    <w:name w:val="Hyperlink"/>
    <w:basedOn w:val="DefaultParagraphFont"/>
    <w:uiPriority w:val="99"/>
    <w:unhideWhenUsed/>
    <w:rsid w:val="00B1283E"/>
    <w:rPr>
      <w:color w:val="0000FF" w:themeColor="hyperlink"/>
      <w:u w:val="single"/>
    </w:rPr>
  </w:style>
  <w:style w:type="table" w:styleId="TableGrid">
    <w:name w:val="Table Grid"/>
    <w:basedOn w:val="TableNormal"/>
    <w:uiPriority w:val="59"/>
    <w:rsid w:val="00730338"/>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3033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3033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54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033"/>
  </w:style>
  <w:style w:type="paragraph" w:styleId="Footer">
    <w:name w:val="footer"/>
    <w:basedOn w:val="Normal"/>
    <w:link w:val="FooterChar"/>
    <w:uiPriority w:val="99"/>
    <w:unhideWhenUsed/>
    <w:rsid w:val="00854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873"/>
    <w:rPr>
      <w:rFonts w:ascii="Tahoma" w:hAnsi="Tahoma" w:cs="Tahoma"/>
      <w:sz w:val="16"/>
      <w:szCs w:val="16"/>
    </w:rPr>
  </w:style>
  <w:style w:type="paragraph" w:styleId="EndnoteText">
    <w:name w:val="endnote text"/>
    <w:basedOn w:val="Normal"/>
    <w:link w:val="EndnoteTextChar"/>
    <w:uiPriority w:val="99"/>
    <w:semiHidden/>
    <w:unhideWhenUsed/>
    <w:rsid w:val="006347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7EA"/>
    <w:rPr>
      <w:sz w:val="20"/>
      <w:szCs w:val="20"/>
    </w:rPr>
  </w:style>
  <w:style w:type="character" w:styleId="EndnoteReference">
    <w:name w:val="endnote reference"/>
    <w:basedOn w:val="DefaultParagraphFont"/>
    <w:uiPriority w:val="99"/>
    <w:semiHidden/>
    <w:unhideWhenUsed/>
    <w:rsid w:val="006347EA"/>
    <w:rPr>
      <w:vertAlign w:val="superscript"/>
    </w:rPr>
  </w:style>
  <w:style w:type="paragraph" w:styleId="HTMLPreformatted">
    <w:name w:val="HTML Preformatted"/>
    <w:basedOn w:val="Normal"/>
    <w:link w:val="HTMLPreformattedChar"/>
    <w:uiPriority w:val="99"/>
    <w:semiHidden/>
    <w:unhideWhenUsed/>
    <w:rsid w:val="00AC17D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C17D8"/>
    <w:rPr>
      <w:rFonts w:ascii="Consolas" w:hAnsi="Consolas" w:cs="Consolas"/>
      <w:sz w:val="20"/>
      <w:szCs w:val="20"/>
    </w:rPr>
  </w:style>
  <w:style w:type="paragraph" w:styleId="ListParagraph">
    <w:name w:val="List Paragraph"/>
    <w:basedOn w:val="Normal"/>
    <w:uiPriority w:val="34"/>
    <w:qFormat/>
    <w:rsid w:val="001C6F00"/>
    <w:pPr>
      <w:ind w:left="720"/>
      <w:contextualSpacing/>
    </w:pPr>
    <w:rPr>
      <w:rFonts w:eastAsiaTheme="minorEastAsia"/>
    </w:rPr>
  </w:style>
  <w:style w:type="paragraph" w:customStyle="1" w:styleId="EndNoteBibliographyTitle">
    <w:name w:val="EndNote Bibliography Title"/>
    <w:basedOn w:val="Normal"/>
    <w:link w:val="EndNoteBibliographyTitleChar"/>
    <w:rsid w:val="001C6F0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C6F00"/>
    <w:rPr>
      <w:rFonts w:ascii="Calibri" w:hAnsi="Calibri" w:cs="Calibri"/>
      <w:noProof/>
    </w:rPr>
  </w:style>
  <w:style w:type="paragraph" w:customStyle="1" w:styleId="EndNoteBibliography">
    <w:name w:val="EndNote Bibliography"/>
    <w:basedOn w:val="Normal"/>
    <w:link w:val="EndNoteBibliographyChar"/>
    <w:rsid w:val="001C6F0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C6F00"/>
    <w:rPr>
      <w:rFonts w:ascii="Calibri" w:hAnsi="Calibri" w:cs="Calibri"/>
      <w:noProof/>
    </w:rPr>
  </w:style>
  <w:style w:type="character" w:styleId="Hyperlink">
    <w:name w:val="Hyperlink"/>
    <w:basedOn w:val="DefaultParagraphFont"/>
    <w:uiPriority w:val="99"/>
    <w:unhideWhenUsed/>
    <w:rsid w:val="00B1283E"/>
    <w:rPr>
      <w:color w:val="0000FF" w:themeColor="hyperlink"/>
      <w:u w:val="single"/>
    </w:rPr>
  </w:style>
  <w:style w:type="table" w:styleId="TableGrid">
    <w:name w:val="Table Grid"/>
    <w:basedOn w:val="TableNormal"/>
    <w:uiPriority w:val="59"/>
    <w:rsid w:val="00730338"/>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3033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3033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54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033"/>
  </w:style>
  <w:style w:type="paragraph" w:styleId="Footer">
    <w:name w:val="footer"/>
    <w:basedOn w:val="Normal"/>
    <w:link w:val="FooterChar"/>
    <w:uiPriority w:val="99"/>
    <w:unhideWhenUsed/>
    <w:rsid w:val="00854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63267">
      <w:bodyDiv w:val="1"/>
      <w:marLeft w:val="0"/>
      <w:marRight w:val="0"/>
      <w:marTop w:val="0"/>
      <w:marBottom w:val="0"/>
      <w:divBdr>
        <w:top w:val="none" w:sz="0" w:space="0" w:color="auto"/>
        <w:left w:val="none" w:sz="0" w:space="0" w:color="auto"/>
        <w:bottom w:val="none" w:sz="0" w:space="0" w:color="auto"/>
        <w:right w:val="none" w:sz="0" w:space="0" w:color="auto"/>
      </w:divBdr>
    </w:div>
    <w:div w:id="16525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ebmh.warne.ox.ac.uk/csr/Clinical_guide_assessing_suicide_r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aa</b:Tag>
    <b:SourceType>Book</b:SourceType>
    <b:Guid>{851341AF-B4EC-4BD9-8C1E-0852B0FF4A4B}</b:Guid>
    <b:Author>
      <b:Author>
        <b:NameList>
          <b:Person>
            <b:Last>aa</b:Last>
          </b:Person>
        </b:NameList>
      </b:Author>
    </b:Author>
    <b:RefOrder>1</b:RefOrder>
  </b:Source>
</b:Sources>
</file>

<file path=customXml/itemProps1.xml><?xml version="1.0" encoding="utf-8"?>
<ds:datastoreItem xmlns:ds="http://schemas.openxmlformats.org/officeDocument/2006/customXml" ds:itemID="{02F46FFB-3B1C-4D6A-8F0C-5BB449CA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2017-04-26T22:42:00Z</dcterms:created>
  <dcterms:modified xsi:type="dcterms:W3CDTF">2017-04-26T22:42:00Z</dcterms:modified>
</cp:coreProperties>
</file>