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33ACC" w14:textId="77777777" w:rsidR="00C32492" w:rsidRPr="00C32492" w:rsidRDefault="00C933C4" w:rsidP="00C3249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Figure 1</w:t>
      </w:r>
      <w:r w:rsidR="00C32492" w:rsidRPr="00C32492">
        <w:rPr>
          <w:rFonts w:ascii="Times New Roman" w:hAnsi="Times New Roman" w:cs="Times New Roman"/>
        </w:rPr>
        <w:t>.</w:t>
      </w:r>
      <w:r w:rsidR="00C32492">
        <w:rPr>
          <w:rFonts w:ascii="Times New Roman" w:hAnsi="Times New Roman" w:cs="Times New Roman"/>
        </w:rPr>
        <w:t xml:space="preserve"> Molecular mechanisms of PD</w:t>
      </w:r>
    </w:p>
    <w:p w14:paraId="54836944" w14:textId="77777777" w:rsidR="009B4283" w:rsidRDefault="00C32492" w:rsidP="00C32492">
      <w:pPr>
        <w:rPr>
          <w:rFonts w:ascii="Times New Roman" w:hAnsi="Times New Roman" w:cs="Times New Roman"/>
        </w:rPr>
      </w:pPr>
      <w:r w:rsidRPr="00C32492">
        <w:rPr>
          <w:rFonts w:ascii="Times New Roman" w:hAnsi="Times New Roman" w:cs="Times New Roman"/>
        </w:rPr>
        <w:t xml:space="preserve">A growing body of evidence, detailed in this review, suggests that </w:t>
      </w:r>
      <w:r>
        <w:rPr>
          <w:rFonts w:ascii="Times New Roman" w:hAnsi="Times New Roman" w:cs="Times New Roman"/>
        </w:rPr>
        <w:t>elevated ROS production, mitochondrial damage, impaired protein degradation systems as well as impaired Ca</w:t>
      </w:r>
      <w:r w:rsidRPr="00C32492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homeostasis are key events in PD </w:t>
      </w:r>
      <w:r w:rsidRPr="00C32492">
        <w:rPr>
          <w:rFonts w:ascii="Times New Roman" w:hAnsi="Times New Roman" w:cs="Times New Roman"/>
        </w:rPr>
        <w:t>neurodegeneration.</w:t>
      </w:r>
      <w:r>
        <w:rPr>
          <w:rFonts w:ascii="Times New Roman" w:hAnsi="Times New Roman" w:cs="Times New Roman"/>
        </w:rPr>
        <w:t xml:space="preserve"> </w:t>
      </w:r>
      <w:r w:rsidR="009A3816">
        <w:rPr>
          <w:rFonts w:ascii="Times New Roman" w:hAnsi="Times New Roman" w:cs="Times New Roman"/>
        </w:rPr>
        <w:t>Neurotoxins, high-energy demands</w:t>
      </w:r>
      <w:r w:rsidR="009B4283">
        <w:rPr>
          <w:rFonts w:ascii="Times New Roman" w:hAnsi="Times New Roman" w:cs="Times New Roman"/>
        </w:rPr>
        <w:t xml:space="preserve"> of DA neurons</w:t>
      </w:r>
      <w:r w:rsidR="009A3816">
        <w:rPr>
          <w:rFonts w:ascii="Times New Roman" w:hAnsi="Times New Roman" w:cs="Times New Roman"/>
        </w:rPr>
        <w:t xml:space="preserve">, DA metabolism and decreased levels of antioxidants in SN </w:t>
      </w:r>
      <w:r w:rsidR="009B4283">
        <w:rPr>
          <w:rFonts w:ascii="Times New Roman" w:hAnsi="Times New Roman" w:cs="Times New Roman"/>
        </w:rPr>
        <w:t>made neurons in SN more susceptible to</w:t>
      </w:r>
      <w:r w:rsidR="009A3816">
        <w:rPr>
          <w:rFonts w:ascii="Times New Roman" w:hAnsi="Times New Roman" w:cs="Times New Roman"/>
        </w:rPr>
        <w:t xml:space="preserve"> oxidative</w:t>
      </w:r>
      <w:r w:rsidR="000D72F1">
        <w:rPr>
          <w:rFonts w:ascii="Times New Roman" w:hAnsi="Times New Roman" w:cs="Times New Roman"/>
        </w:rPr>
        <w:t xml:space="preserve"> stress. Later, genetic studies</w:t>
      </w:r>
      <w:r w:rsidR="009B4283">
        <w:rPr>
          <w:rFonts w:ascii="Times New Roman" w:hAnsi="Times New Roman" w:cs="Times New Roman"/>
        </w:rPr>
        <w:t xml:space="preserve"> revealed genes linked to PD</w:t>
      </w:r>
      <w:r w:rsidR="009A3816">
        <w:rPr>
          <w:rFonts w:ascii="Times New Roman" w:hAnsi="Times New Roman" w:cs="Times New Roman"/>
        </w:rPr>
        <w:t xml:space="preserve"> </w:t>
      </w:r>
      <w:r w:rsidR="009B4283">
        <w:rPr>
          <w:rFonts w:ascii="Times New Roman" w:hAnsi="Times New Roman" w:cs="Times New Roman"/>
        </w:rPr>
        <w:t xml:space="preserve">– </w:t>
      </w:r>
      <w:r w:rsidR="009A3816">
        <w:rPr>
          <w:rFonts w:ascii="Times New Roman" w:hAnsi="Times New Roman" w:cs="Times New Roman"/>
        </w:rPr>
        <w:t>α</w:t>
      </w:r>
      <w:r w:rsidR="009B4283">
        <w:rPr>
          <w:rFonts w:ascii="Times New Roman" w:hAnsi="Times New Roman" w:cs="Times New Roman"/>
        </w:rPr>
        <w:t>-</w:t>
      </w:r>
      <w:r w:rsidR="009A3816">
        <w:rPr>
          <w:rFonts w:ascii="Times New Roman" w:hAnsi="Times New Roman" w:cs="Times New Roman"/>
        </w:rPr>
        <w:t>synuclein</w:t>
      </w:r>
      <w:r w:rsidR="009B4283">
        <w:rPr>
          <w:rFonts w:ascii="Times New Roman" w:hAnsi="Times New Roman" w:cs="Times New Roman"/>
        </w:rPr>
        <w:t>, LRRK2, DJ-1, PINK1 and Parkin. These pathogenic mutations may directly induce mitochondrial damage and oxidative stress. Also, it was discovered that α-synuclein is a major component of Lewy bodies</w:t>
      </w:r>
      <w:r w:rsidR="00C933C4">
        <w:rPr>
          <w:rFonts w:ascii="Times New Roman" w:hAnsi="Times New Roman" w:cs="Times New Roman"/>
        </w:rPr>
        <w:t xml:space="preserve"> and it can be involved in impaired Ca</w:t>
      </w:r>
      <w:r w:rsidR="00C933C4" w:rsidRPr="00C933C4">
        <w:rPr>
          <w:rFonts w:ascii="Times New Roman" w:hAnsi="Times New Roman" w:cs="Times New Roman"/>
          <w:vertAlign w:val="superscript"/>
        </w:rPr>
        <w:t>2+</w:t>
      </w:r>
      <w:r w:rsidR="00C933C4">
        <w:rPr>
          <w:rFonts w:ascii="Times New Roman" w:hAnsi="Times New Roman" w:cs="Times New Roman"/>
        </w:rPr>
        <w:t xml:space="preserve"> homeostasis</w:t>
      </w:r>
      <w:r w:rsidR="009B4283">
        <w:rPr>
          <w:rFonts w:ascii="Times New Roman" w:hAnsi="Times New Roman" w:cs="Times New Roman"/>
        </w:rPr>
        <w:t xml:space="preserve">. </w:t>
      </w:r>
      <w:r w:rsidR="00C933C4">
        <w:rPr>
          <w:rFonts w:ascii="Times New Roman" w:hAnsi="Times New Roman" w:cs="Times New Roman"/>
        </w:rPr>
        <w:t xml:space="preserve">Today, </w:t>
      </w:r>
      <w:r w:rsidR="009B4283">
        <w:rPr>
          <w:rFonts w:ascii="Times New Roman" w:hAnsi="Times New Roman" w:cs="Times New Roman"/>
        </w:rPr>
        <w:t>we know that oxidative stress, mitochondrial d</w:t>
      </w:r>
      <w:r w:rsidR="00C933C4">
        <w:rPr>
          <w:rFonts w:ascii="Times New Roman" w:hAnsi="Times New Roman" w:cs="Times New Roman"/>
        </w:rPr>
        <w:t xml:space="preserve">ysfunction and altered </w:t>
      </w:r>
      <w:proofErr w:type="spellStart"/>
      <w:r w:rsidR="00C933C4">
        <w:rPr>
          <w:rFonts w:ascii="Times New Roman" w:hAnsi="Times New Roman" w:cs="Times New Roman"/>
        </w:rPr>
        <w:t>proteostasis</w:t>
      </w:r>
      <w:proofErr w:type="spellEnd"/>
      <w:r w:rsidR="00C933C4">
        <w:rPr>
          <w:rFonts w:ascii="Times New Roman" w:hAnsi="Times New Roman" w:cs="Times New Roman"/>
        </w:rPr>
        <w:t xml:space="preserve"> are key molecular events in PD.</w:t>
      </w:r>
      <w:r w:rsidR="005C75E7">
        <w:rPr>
          <w:rFonts w:ascii="Times New Roman" w:hAnsi="Times New Roman" w:cs="Times New Roman"/>
        </w:rPr>
        <w:t xml:space="preserve"> </w:t>
      </w:r>
      <w:r w:rsidR="005C75E7" w:rsidRPr="005C75E7">
        <w:rPr>
          <w:rFonts w:ascii="Times New Roman" w:hAnsi="Times New Roman" w:cs="Times New Roman"/>
          <w:i/>
        </w:rPr>
        <w:t>PD</w:t>
      </w:r>
      <w:r w:rsidR="005C75E7">
        <w:rPr>
          <w:rFonts w:ascii="Times New Roman" w:hAnsi="Times New Roman" w:cs="Times New Roman"/>
        </w:rPr>
        <w:t xml:space="preserve"> Parkinson’s disease, </w:t>
      </w:r>
      <w:r w:rsidR="000D72F1" w:rsidRPr="000D72F1">
        <w:rPr>
          <w:rFonts w:ascii="Times New Roman" w:hAnsi="Times New Roman" w:cs="Times New Roman"/>
          <w:i/>
        </w:rPr>
        <w:t>DA</w:t>
      </w:r>
      <w:r w:rsidR="000D72F1">
        <w:rPr>
          <w:rFonts w:ascii="Times New Roman" w:hAnsi="Times New Roman" w:cs="Times New Roman"/>
        </w:rPr>
        <w:t xml:space="preserve"> dopamine, </w:t>
      </w:r>
      <w:r w:rsidR="000D72F1" w:rsidRPr="000D72F1">
        <w:rPr>
          <w:rFonts w:ascii="Times New Roman" w:hAnsi="Times New Roman" w:cs="Times New Roman"/>
          <w:i/>
        </w:rPr>
        <w:t>SN</w:t>
      </w:r>
      <w:r w:rsidR="000D72F1">
        <w:rPr>
          <w:rFonts w:ascii="Times New Roman" w:hAnsi="Times New Roman" w:cs="Times New Roman"/>
        </w:rPr>
        <w:t xml:space="preserve"> </w:t>
      </w:r>
      <w:r w:rsidR="000D72F1" w:rsidRPr="000D72F1">
        <w:rPr>
          <w:rFonts w:ascii="Times New Roman" w:hAnsi="Times New Roman" w:cs="Times New Roman"/>
        </w:rPr>
        <w:t xml:space="preserve">substantia </w:t>
      </w:r>
      <w:proofErr w:type="spellStart"/>
      <w:r w:rsidR="000D72F1" w:rsidRPr="000D72F1">
        <w:rPr>
          <w:rFonts w:ascii="Times New Roman" w:hAnsi="Times New Roman" w:cs="Times New Roman"/>
        </w:rPr>
        <w:t>nigra</w:t>
      </w:r>
      <w:proofErr w:type="spellEnd"/>
      <w:r w:rsidR="000D72F1" w:rsidRPr="000D72F1">
        <w:rPr>
          <w:rFonts w:ascii="Times New Roman" w:hAnsi="Times New Roman" w:cs="Times New Roman"/>
        </w:rPr>
        <w:t xml:space="preserve"> pars compacta</w:t>
      </w:r>
      <w:r w:rsidR="000D72F1">
        <w:rPr>
          <w:rFonts w:ascii="Times New Roman" w:hAnsi="Times New Roman" w:cs="Times New Roman"/>
        </w:rPr>
        <w:t xml:space="preserve">, </w:t>
      </w:r>
      <w:r w:rsidR="00B206AD" w:rsidRPr="00B206AD">
        <w:rPr>
          <w:rFonts w:ascii="Times New Roman" w:hAnsi="Times New Roman" w:cs="Times New Roman"/>
          <w:i/>
        </w:rPr>
        <w:t>ASYN</w:t>
      </w:r>
      <w:r w:rsidR="00B206AD">
        <w:rPr>
          <w:rFonts w:ascii="Times New Roman" w:hAnsi="Times New Roman" w:cs="Times New Roman"/>
        </w:rPr>
        <w:t xml:space="preserve"> α-synuclein, </w:t>
      </w:r>
      <w:r w:rsidR="005C75E7" w:rsidRPr="005C75E7">
        <w:rPr>
          <w:rFonts w:ascii="Times New Roman" w:hAnsi="Times New Roman" w:cs="Times New Roman"/>
          <w:i/>
        </w:rPr>
        <w:t>LRRK2</w:t>
      </w:r>
      <w:r w:rsidR="005C75E7">
        <w:rPr>
          <w:rFonts w:ascii="Times New Roman" w:hAnsi="Times New Roman" w:cs="Times New Roman"/>
        </w:rPr>
        <w:t xml:space="preserve"> </w:t>
      </w:r>
      <w:r w:rsidR="005C75E7" w:rsidRPr="000F5369">
        <w:rPr>
          <w:rFonts w:ascii="Times New Roman" w:eastAsia="Times New Roman" w:hAnsi="Times New Roman" w:cs="Times New Roman"/>
        </w:rPr>
        <w:t xml:space="preserve">leucin –rich repeat </w:t>
      </w:r>
      <w:proofErr w:type="spellStart"/>
      <w:r w:rsidR="005C75E7" w:rsidRPr="000F5369">
        <w:rPr>
          <w:rFonts w:ascii="Times New Roman" w:eastAsia="Times New Roman" w:hAnsi="Times New Roman" w:cs="Times New Roman"/>
        </w:rPr>
        <w:t>serin</w:t>
      </w:r>
      <w:proofErr w:type="spellEnd"/>
      <w:r w:rsidR="005C75E7" w:rsidRPr="000F5369">
        <w:rPr>
          <w:rFonts w:ascii="Times New Roman" w:eastAsia="Times New Roman" w:hAnsi="Times New Roman" w:cs="Times New Roman"/>
        </w:rPr>
        <w:t>/threonine-protein kinase 2</w:t>
      </w:r>
      <w:r w:rsidR="000D72F1">
        <w:rPr>
          <w:rFonts w:ascii="Times New Roman" w:eastAsia="Times New Roman" w:hAnsi="Times New Roman" w:cs="Times New Roman"/>
        </w:rPr>
        <w:t xml:space="preserve">, </w:t>
      </w:r>
      <w:r w:rsidR="000D72F1" w:rsidRPr="000D72F1">
        <w:rPr>
          <w:rFonts w:ascii="Times New Roman" w:eastAsia="Times New Roman" w:hAnsi="Times New Roman" w:cs="Times New Roman"/>
          <w:i/>
        </w:rPr>
        <w:t xml:space="preserve">PINK1 </w:t>
      </w:r>
      <w:r w:rsidR="000D72F1" w:rsidRPr="000D72F1">
        <w:rPr>
          <w:rFonts w:ascii="Times New Roman" w:eastAsia="Times New Roman" w:hAnsi="Times New Roman" w:cs="Times New Roman"/>
        </w:rPr>
        <w:t>PTEN-induced kinase 1</w:t>
      </w:r>
      <w:r w:rsidR="000D72F1">
        <w:rPr>
          <w:rFonts w:ascii="Times New Roman" w:eastAsia="Times New Roman" w:hAnsi="Times New Roman" w:cs="Times New Roman"/>
        </w:rPr>
        <w:t>.</w:t>
      </w:r>
    </w:p>
    <w:p w14:paraId="506A48A4" w14:textId="77777777" w:rsidR="009B4283" w:rsidRDefault="009B4283" w:rsidP="00C32492">
      <w:pPr>
        <w:rPr>
          <w:rFonts w:ascii="Times New Roman" w:hAnsi="Times New Roman" w:cs="Times New Roman"/>
        </w:rPr>
      </w:pPr>
    </w:p>
    <w:p w14:paraId="1871ADD9" w14:textId="77777777" w:rsidR="00433688" w:rsidRDefault="00C933C4" w:rsidP="00C32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2. Role of AMPK in pathogenesis of PD</w:t>
      </w:r>
    </w:p>
    <w:p w14:paraId="5C271162" w14:textId="77777777" w:rsidR="00570D0F" w:rsidRPr="00570D0F" w:rsidRDefault="00570D0F" w:rsidP="00570D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AMPK is a </w:t>
      </w:r>
      <w:r w:rsidRPr="000F5369">
        <w:rPr>
          <w:rFonts w:ascii="Times New Roman" w:hAnsi="Times New Roman" w:cs="Times New Roman"/>
        </w:rPr>
        <w:t xml:space="preserve">primary </w:t>
      </w:r>
      <w:r>
        <w:rPr>
          <w:rFonts w:ascii="Times New Roman" w:hAnsi="Times New Roman" w:cs="Times New Roman"/>
        </w:rPr>
        <w:t xml:space="preserve">energy </w:t>
      </w:r>
      <w:r w:rsidRPr="000F5369">
        <w:rPr>
          <w:rFonts w:ascii="Times New Roman" w:hAnsi="Times New Roman" w:cs="Times New Roman"/>
        </w:rPr>
        <w:t>sensor in the control of cell metabolism.</w:t>
      </w:r>
      <w:r>
        <w:rPr>
          <w:rFonts w:ascii="Times New Roman" w:hAnsi="Times New Roman" w:cs="Times New Roman"/>
        </w:rPr>
        <w:t xml:space="preserve"> It can be activated in, at least, three different ways: by e</w:t>
      </w:r>
      <w:r w:rsidRPr="00570D0F">
        <w:rPr>
          <w:rFonts w:ascii="Times New Roman" w:hAnsi="Times New Roman" w:cs="Times New Roman"/>
        </w:rPr>
        <w:t xml:space="preserve">xcitotoxic and oxidative stresses </w:t>
      </w:r>
      <w:r w:rsidR="009258EF">
        <w:rPr>
          <w:rFonts w:ascii="Times New Roman" w:hAnsi="Times New Roman" w:cs="Times New Roman"/>
        </w:rPr>
        <w:t xml:space="preserve">through TAK1 and/or </w:t>
      </w:r>
      <w:proofErr w:type="spellStart"/>
      <w:r w:rsidR="009258EF">
        <w:rPr>
          <w:rFonts w:ascii="Times New Roman" w:hAnsi="Times New Roman" w:cs="Times New Roman"/>
        </w:rPr>
        <w:t>Ca</w:t>
      </w:r>
      <w:r w:rsidRPr="000F5369">
        <w:rPr>
          <w:rFonts w:ascii="Times New Roman" w:hAnsi="Times New Roman" w:cs="Times New Roman"/>
        </w:rPr>
        <w:t>MKK</w:t>
      </w:r>
      <w:proofErr w:type="spellEnd"/>
      <w:r w:rsidRPr="000F5369">
        <w:rPr>
          <w:rFonts w:ascii="Times New Roman" w:hAnsi="Times New Roman" w:cs="Times New Roman"/>
        </w:rPr>
        <w:t>β</w:t>
      </w:r>
      <w:r w:rsidR="009258EF">
        <w:rPr>
          <w:rFonts w:ascii="Times New Roman" w:hAnsi="Times New Roman" w:cs="Times New Roman"/>
        </w:rPr>
        <w:t xml:space="preserve">-dependent activation or by metabolic stress via LKB1. </w:t>
      </w:r>
      <w:r w:rsidR="000D72F1" w:rsidRPr="000F5369">
        <w:rPr>
          <w:rFonts w:ascii="Times New Roman" w:eastAsia="Times New Roman" w:hAnsi="Times New Roman" w:cs="Times New Roman"/>
        </w:rPr>
        <w:t>When cell is under energy stress, AMPK directly phosphorylates the mTOR upstream regulator TSC2</w:t>
      </w:r>
      <w:r w:rsidR="000D72F1" w:rsidRPr="000D72F1">
        <w:rPr>
          <w:rFonts w:ascii="Times New Roman" w:eastAsia="Times New Roman" w:hAnsi="Times New Roman" w:cs="Times New Roman"/>
        </w:rPr>
        <w:t xml:space="preserve"> </w:t>
      </w:r>
      <w:r w:rsidR="000D72F1" w:rsidRPr="000F5369">
        <w:rPr>
          <w:rFonts w:ascii="Times New Roman" w:eastAsia="Times New Roman" w:hAnsi="Times New Roman" w:cs="Times New Roman"/>
        </w:rPr>
        <w:t>and the mTORC1 subunit RAPTOR</w:t>
      </w:r>
      <w:r w:rsidR="000D72F1">
        <w:rPr>
          <w:rFonts w:ascii="Times New Roman" w:eastAsia="Times New Roman" w:hAnsi="Times New Roman" w:cs="Times New Roman"/>
        </w:rPr>
        <w:t>.</w:t>
      </w:r>
      <w:r w:rsidR="000D72F1" w:rsidRPr="000D72F1">
        <w:rPr>
          <w:rFonts w:ascii="Times New Roman" w:eastAsia="Times New Roman" w:hAnsi="Times New Roman" w:cs="Times New Roman"/>
        </w:rPr>
        <w:t xml:space="preserve"> </w:t>
      </w:r>
      <w:r w:rsidR="000D72F1" w:rsidRPr="000F5369">
        <w:rPr>
          <w:rFonts w:ascii="Times New Roman" w:eastAsia="Times New Roman" w:hAnsi="Times New Roman" w:cs="Times New Roman"/>
        </w:rPr>
        <w:t xml:space="preserve">These </w:t>
      </w:r>
      <w:proofErr w:type="spellStart"/>
      <w:r w:rsidR="000D72F1" w:rsidRPr="000F5369">
        <w:rPr>
          <w:rFonts w:ascii="Times New Roman" w:eastAsia="Times New Roman" w:hAnsi="Times New Roman" w:cs="Times New Roman"/>
        </w:rPr>
        <w:t>phosphorylations</w:t>
      </w:r>
      <w:proofErr w:type="spellEnd"/>
      <w:r w:rsidR="000D72F1" w:rsidRPr="000F5369">
        <w:rPr>
          <w:rFonts w:ascii="Times New Roman" w:eastAsia="Times New Roman" w:hAnsi="Times New Roman" w:cs="Times New Roman"/>
        </w:rPr>
        <w:t xml:space="preserve"> reduce mTOR activity</w:t>
      </w:r>
      <w:r w:rsidR="000D72F1">
        <w:rPr>
          <w:rFonts w:ascii="Times New Roman" w:eastAsia="Times New Roman" w:hAnsi="Times New Roman" w:cs="Times New Roman"/>
        </w:rPr>
        <w:t xml:space="preserve"> and thus promote autophagy. </w:t>
      </w:r>
      <w:r w:rsidR="007F19C6">
        <w:rPr>
          <w:rFonts w:ascii="Times New Roman" w:eastAsia="Times New Roman" w:hAnsi="Times New Roman" w:cs="Times New Roman"/>
        </w:rPr>
        <w:t xml:space="preserve"> AMPK promotes autophagosome formation by direct phosphorylation of ULK1, ATG9, Beclin1 and VPS34. </w:t>
      </w:r>
      <w:r w:rsidR="007F19C6" w:rsidRPr="000F5369">
        <w:rPr>
          <w:rFonts w:ascii="Times New Roman" w:eastAsia="Times New Roman" w:hAnsi="Times New Roman" w:cs="Times New Roman"/>
        </w:rPr>
        <w:t>ULK1 is correctly localized to the pre-autophagosome and stabilized by FIP200 and ATG13</w:t>
      </w:r>
      <w:r w:rsidR="007F19C6">
        <w:rPr>
          <w:rFonts w:ascii="Times New Roman" w:eastAsia="Times New Roman" w:hAnsi="Times New Roman" w:cs="Times New Roman"/>
        </w:rPr>
        <w:t xml:space="preserve">. Also, AMPK promotes lysosomal biogenesis increased TFEB activity. </w:t>
      </w:r>
      <w:r w:rsidRPr="00570D0F">
        <w:rPr>
          <w:rFonts w:ascii="Times New Roman" w:hAnsi="Times New Roman" w:cs="Times New Roman"/>
        </w:rPr>
        <w:t>Once activated, AMPK triggers catabolic pathways and represses anabolic</w:t>
      </w:r>
    </w:p>
    <w:p w14:paraId="61D2B53D" w14:textId="77777777" w:rsidR="009258EF" w:rsidRDefault="00570D0F" w:rsidP="007F19C6">
      <w:pPr>
        <w:rPr>
          <w:rFonts w:ascii="Times New Roman" w:hAnsi="Times New Roman" w:cs="Times New Roman"/>
        </w:rPr>
      </w:pPr>
      <w:r w:rsidRPr="00570D0F">
        <w:rPr>
          <w:rFonts w:ascii="Times New Roman" w:hAnsi="Times New Roman" w:cs="Times New Roman"/>
        </w:rPr>
        <w:t xml:space="preserve">pathways in order to maintain energetic homeostasis. </w:t>
      </w:r>
      <w:r w:rsidR="005C75E7">
        <w:rPr>
          <w:rFonts w:ascii="Times New Roman" w:hAnsi="Times New Roman" w:cs="Times New Roman"/>
          <w:i/>
        </w:rPr>
        <w:t xml:space="preserve">AMPK </w:t>
      </w:r>
      <w:r w:rsidR="005C75E7" w:rsidRPr="000F5369">
        <w:rPr>
          <w:rFonts w:ascii="Times New Roman" w:hAnsi="Times New Roman" w:cs="Times New Roman"/>
        </w:rPr>
        <w:t>5’-Adenosin monophosphate-activated protein kinase</w:t>
      </w:r>
      <w:r w:rsidR="005C75E7">
        <w:rPr>
          <w:rFonts w:ascii="Times New Roman" w:hAnsi="Times New Roman" w:cs="Times New Roman"/>
        </w:rPr>
        <w:t>,</w:t>
      </w:r>
      <w:r w:rsidR="005C75E7" w:rsidRPr="000F5369">
        <w:rPr>
          <w:rFonts w:ascii="Times New Roman" w:hAnsi="Times New Roman" w:cs="Times New Roman"/>
        </w:rPr>
        <w:t xml:space="preserve"> </w:t>
      </w:r>
      <w:r w:rsidR="005C75E7" w:rsidRPr="005C75E7">
        <w:rPr>
          <w:rFonts w:ascii="Times New Roman" w:hAnsi="Times New Roman" w:cs="Times New Roman"/>
          <w:i/>
        </w:rPr>
        <w:t>TAK1</w:t>
      </w:r>
      <w:r w:rsidR="005C75E7" w:rsidRPr="00570D0F">
        <w:rPr>
          <w:rFonts w:ascii="Times New Roman" w:hAnsi="Times New Roman" w:cs="Times New Roman"/>
        </w:rPr>
        <w:t xml:space="preserve"> transforming growth factor</w:t>
      </w:r>
      <w:r w:rsidR="005C75E7">
        <w:rPr>
          <w:rFonts w:ascii="Times New Roman" w:hAnsi="Times New Roman" w:cs="Times New Roman"/>
        </w:rPr>
        <w:t>,</w:t>
      </w:r>
      <w:r w:rsidR="005C75E7" w:rsidRPr="009258EF">
        <w:rPr>
          <w:rFonts w:ascii="Times New Roman" w:hAnsi="Times New Roman" w:cs="Times New Roman"/>
          <w:i/>
        </w:rPr>
        <w:t xml:space="preserve"> </w:t>
      </w:r>
      <w:proofErr w:type="spellStart"/>
      <w:r w:rsidR="009258EF" w:rsidRPr="009258EF">
        <w:rPr>
          <w:rFonts w:ascii="Times New Roman" w:hAnsi="Times New Roman" w:cs="Times New Roman"/>
          <w:i/>
        </w:rPr>
        <w:t>CaMKK</w:t>
      </w:r>
      <w:proofErr w:type="spellEnd"/>
      <w:r w:rsidR="009258EF" w:rsidRPr="009258EF">
        <w:rPr>
          <w:rFonts w:ascii="Times New Roman" w:hAnsi="Times New Roman" w:cs="Times New Roman"/>
          <w:i/>
        </w:rPr>
        <w:t>β</w:t>
      </w:r>
      <w:r w:rsidR="009258EF" w:rsidRPr="00570D0F">
        <w:rPr>
          <w:rFonts w:ascii="Times New Roman" w:hAnsi="Times New Roman" w:cs="Times New Roman"/>
        </w:rPr>
        <w:t xml:space="preserve"> Calcium/calmodulin kinase </w:t>
      </w:r>
      <w:proofErr w:type="spellStart"/>
      <w:r w:rsidR="009258EF" w:rsidRPr="00570D0F">
        <w:rPr>
          <w:rFonts w:ascii="Times New Roman" w:hAnsi="Times New Roman" w:cs="Times New Roman"/>
        </w:rPr>
        <w:t>kinase</w:t>
      </w:r>
      <w:proofErr w:type="spellEnd"/>
      <w:r w:rsidR="009258EF">
        <w:rPr>
          <w:rFonts w:ascii="Times New Roman" w:hAnsi="Times New Roman" w:cs="Times New Roman"/>
        </w:rPr>
        <w:t xml:space="preserve"> </w:t>
      </w:r>
      <w:r w:rsidR="009258EF" w:rsidRPr="009258EF">
        <w:rPr>
          <w:rFonts w:ascii="Times New Roman" w:hAnsi="Times New Roman" w:cs="Times New Roman"/>
        </w:rPr>
        <w:t>β</w:t>
      </w:r>
      <w:r w:rsidR="007F19C6">
        <w:rPr>
          <w:rFonts w:ascii="Times New Roman" w:hAnsi="Times New Roman" w:cs="Times New Roman"/>
        </w:rPr>
        <w:t xml:space="preserve">, </w:t>
      </w:r>
      <w:r w:rsidR="007F19C6" w:rsidRPr="007F19C6">
        <w:rPr>
          <w:rFonts w:ascii="Times New Roman" w:hAnsi="Times New Roman" w:cs="Times New Roman"/>
          <w:i/>
        </w:rPr>
        <w:t>mTORC1</w:t>
      </w:r>
      <w:r w:rsidR="007F19C6">
        <w:rPr>
          <w:rFonts w:ascii="Times New Roman" w:hAnsi="Times New Roman" w:cs="Times New Roman"/>
        </w:rPr>
        <w:t xml:space="preserve"> </w:t>
      </w:r>
      <w:r w:rsidR="007F19C6" w:rsidRPr="007F19C6">
        <w:rPr>
          <w:rFonts w:ascii="Times New Roman" w:hAnsi="Times New Roman" w:cs="Times New Roman"/>
        </w:rPr>
        <w:t>mechanistic target of rapamycin complex 1</w:t>
      </w:r>
      <w:r w:rsidR="007F19C6">
        <w:rPr>
          <w:rFonts w:ascii="Times New Roman" w:hAnsi="Times New Roman" w:cs="Times New Roman"/>
        </w:rPr>
        <w:t xml:space="preserve">, </w:t>
      </w:r>
      <w:r w:rsidR="007F19C6">
        <w:rPr>
          <w:rFonts w:ascii="Times New Roman" w:hAnsi="Times New Roman" w:cs="Times New Roman"/>
          <w:i/>
        </w:rPr>
        <w:t xml:space="preserve">ULK1 </w:t>
      </w:r>
      <w:r w:rsidR="007F19C6" w:rsidRPr="007F19C6">
        <w:rPr>
          <w:rFonts w:ascii="Times New Roman" w:hAnsi="Times New Roman" w:cs="Times New Roman"/>
          <w:i/>
        </w:rPr>
        <w:t xml:space="preserve">Unc-51 </w:t>
      </w:r>
      <w:r w:rsidR="007F19C6" w:rsidRPr="007F19C6">
        <w:rPr>
          <w:rFonts w:ascii="Times New Roman" w:hAnsi="Times New Roman" w:cs="Times New Roman"/>
        </w:rPr>
        <w:t>like autophagy activating kinase 1</w:t>
      </w:r>
      <w:r w:rsidR="007F19C6">
        <w:rPr>
          <w:rFonts w:ascii="Times New Roman" w:hAnsi="Times New Roman" w:cs="Times New Roman"/>
        </w:rPr>
        <w:t xml:space="preserve">, </w:t>
      </w:r>
      <w:r w:rsidR="007F19C6" w:rsidRPr="007F19C6">
        <w:rPr>
          <w:rFonts w:ascii="Times New Roman" w:hAnsi="Times New Roman" w:cs="Times New Roman"/>
          <w:i/>
        </w:rPr>
        <w:t xml:space="preserve">TSC2 </w:t>
      </w:r>
      <w:r w:rsidR="007F19C6" w:rsidRPr="007F19C6">
        <w:rPr>
          <w:rFonts w:ascii="Times New Roman" w:hAnsi="Times New Roman" w:cs="Times New Roman"/>
        </w:rPr>
        <w:t>Tuberous Sclerosis Complex 2</w:t>
      </w:r>
      <w:r w:rsidR="007F19C6">
        <w:rPr>
          <w:rFonts w:ascii="Times New Roman" w:hAnsi="Times New Roman" w:cs="Times New Roman"/>
        </w:rPr>
        <w:t xml:space="preserve">, </w:t>
      </w:r>
      <w:r w:rsidR="007F19C6" w:rsidRPr="007F19C6">
        <w:rPr>
          <w:rFonts w:ascii="Times New Roman" w:hAnsi="Times New Roman" w:cs="Times New Roman"/>
          <w:i/>
        </w:rPr>
        <w:t>TFEB</w:t>
      </w:r>
      <w:r w:rsidR="007F19C6">
        <w:rPr>
          <w:rFonts w:ascii="Times New Roman" w:hAnsi="Times New Roman" w:cs="Times New Roman"/>
        </w:rPr>
        <w:t xml:space="preserve"> </w:t>
      </w:r>
      <w:r w:rsidR="007F19C6" w:rsidRPr="007F19C6">
        <w:rPr>
          <w:rFonts w:ascii="Times New Roman" w:hAnsi="Times New Roman" w:cs="Times New Roman"/>
        </w:rPr>
        <w:t>Transcription factor EB</w:t>
      </w:r>
      <w:r w:rsidR="007F19C6">
        <w:rPr>
          <w:rFonts w:ascii="Times New Roman" w:hAnsi="Times New Roman" w:cs="Times New Roman"/>
        </w:rPr>
        <w:t>.</w:t>
      </w:r>
    </w:p>
    <w:p w14:paraId="6B7FE0CA" w14:textId="77777777" w:rsidR="009258EF" w:rsidRDefault="009258EF" w:rsidP="00570D0F">
      <w:pPr>
        <w:rPr>
          <w:rFonts w:ascii="Times New Roman" w:hAnsi="Times New Roman" w:cs="Times New Roman"/>
        </w:rPr>
      </w:pPr>
    </w:p>
    <w:p w14:paraId="23DF9A59" w14:textId="77777777" w:rsidR="009258EF" w:rsidRDefault="009258EF" w:rsidP="00570D0F">
      <w:pPr>
        <w:rPr>
          <w:rFonts w:ascii="Times New Roman" w:hAnsi="Times New Roman" w:cs="Times New Roman"/>
        </w:rPr>
      </w:pPr>
    </w:p>
    <w:p w14:paraId="543110A3" w14:textId="77777777" w:rsidR="00C933C4" w:rsidRPr="00C32492" w:rsidRDefault="00C933C4" w:rsidP="00570D0F">
      <w:pPr>
        <w:rPr>
          <w:rFonts w:ascii="Times New Roman" w:hAnsi="Times New Roman" w:cs="Times New Roman"/>
        </w:rPr>
      </w:pPr>
    </w:p>
    <w:sectPr w:rsidR="00C933C4" w:rsidRPr="00C32492" w:rsidSect="000802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5279" w14:textId="77777777" w:rsidR="00B71E1F" w:rsidRDefault="00B71E1F" w:rsidP="009B2A26">
      <w:r>
        <w:separator/>
      </w:r>
    </w:p>
  </w:endnote>
  <w:endnote w:type="continuationSeparator" w:id="0">
    <w:p w14:paraId="3BBBFD2C" w14:textId="77777777" w:rsidR="00B71E1F" w:rsidRDefault="00B71E1F" w:rsidP="009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E5943" w14:textId="77777777" w:rsidR="00B71E1F" w:rsidRDefault="00B71E1F" w:rsidP="009B2A26">
      <w:r>
        <w:separator/>
      </w:r>
    </w:p>
  </w:footnote>
  <w:footnote w:type="continuationSeparator" w:id="0">
    <w:p w14:paraId="4DBD270B" w14:textId="77777777" w:rsidR="00B71E1F" w:rsidRDefault="00B71E1F" w:rsidP="009B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492"/>
    <w:rsid w:val="00080285"/>
    <w:rsid w:val="000D72F1"/>
    <w:rsid w:val="00104B71"/>
    <w:rsid w:val="00433688"/>
    <w:rsid w:val="00570D0F"/>
    <w:rsid w:val="005C75E7"/>
    <w:rsid w:val="007F19C6"/>
    <w:rsid w:val="008A57FC"/>
    <w:rsid w:val="009034E3"/>
    <w:rsid w:val="009258EF"/>
    <w:rsid w:val="009A3816"/>
    <w:rsid w:val="009B2A26"/>
    <w:rsid w:val="009B4283"/>
    <w:rsid w:val="00B206AD"/>
    <w:rsid w:val="00B71E1F"/>
    <w:rsid w:val="00C32492"/>
    <w:rsid w:val="00C357A9"/>
    <w:rsid w:val="00C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A1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5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33688"/>
  </w:style>
  <w:style w:type="character" w:styleId="CommentReference">
    <w:name w:val="annotation reference"/>
    <w:basedOn w:val="DefaultParagraphFont"/>
    <w:uiPriority w:val="99"/>
    <w:semiHidden/>
    <w:unhideWhenUsed/>
    <w:rsid w:val="000D72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2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2F1"/>
  </w:style>
  <w:style w:type="paragraph" w:styleId="BalloonText">
    <w:name w:val="Balloon Text"/>
    <w:basedOn w:val="Normal"/>
    <w:link w:val="BalloonTextChar"/>
    <w:uiPriority w:val="99"/>
    <w:semiHidden/>
    <w:unhideWhenUsed/>
    <w:rsid w:val="000D7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F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A26"/>
  </w:style>
  <w:style w:type="paragraph" w:styleId="Footer">
    <w:name w:val="footer"/>
    <w:basedOn w:val="Normal"/>
    <w:link w:val="FooterChar"/>
    <w:uiPriority w:val="99"/>
    <w:unhideWhenUsed/>
    <w:rsid w:val="009B2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2019-10-23T13:27:00Z</dcterms:created>
  <dcterms:modified xsi:type="dcterms:W3CDTF">2019-10-23T13:27:00Z</dcterms:modified>
</cp:coreProperties>
</file>