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F2E" w:rsidRPr="00EF4DBE" w:rsidRDefault="00BE2F2E" w:rsidP="00A5338B">
      <w:pPr>
        <w:jc w:val="center"/>
        <w:rPr>
          <w:sz w:val="22"/>
          <w:szCs w:val="22"/>
        </w:rPr>
      </w:pPr>
    </w:p>
    <w:p w:rsidR="00BE2F2E" w:rsidRPr="006469D0" w:rsidRDefault="00BE2F2E" w:rsidP="00A5338B">
      <w:pPr>
        <w:jc w:val="center"/>
        <w:rPr>
          <w:sz w:val="22"/>
          <w:szCs w:val="22"/>
        </w:rPr>
      </w:pPr>
    </w:p>
    <w:p w:rsidR="00BE2F2E" w:rsidRPr="006469D0" w:rsidRDefault="00BE2F2E" w:rsidP="00A5338B">
      <w:pPr>
        <w:jc w:val="center"/>
        <w:rPr>
          <w:sz w:val="22"/>
          <w:szCs w:val="22"/>
        </w:rPr>
      </w:pPr>
    </w:p>
    <w:p w:rsidR="00BE2F2E" w:rsidRPr="006469D0" w:rsidRDefault="00BE2F2E" w:rsidP="006469D0">
      <w:pPr>
        <w:jc w:val="center"/>
        <w:rPr>
          <w:i/>
          <w:iCs/>
          <w:sz w:val="22"/>
          <w:szCs w:val="22"/>
          <w:lang w:val="sl-SI"/>
        </w:rPr>
      </w:pPr>
      <w:r>
        <w:rPr>
          <w:sz w:val="22"/>
          <w:szCs w:val="22"/>
          <w:lang w:val="sr-Latn-CS"/>
        </w:rPr>
        <w:t>ANALIZA SADRŽAJA MAKRO</w:t>
      </w:r>
      <w:r w:rsidRPr="006469D0">
        <w:rPr>
          <w:sz w:val="22"/>
          <w:szCs w:val="22"/>
          <w:lang w:val="sr-Latn-CS"/>
        </w:rPr>
        <w:t xml:space="preserve"> I MIKROELEMENATA U VODI ZA PIĆE IZ VODOVODNE MREŽE GRADA POŽAREVCA</w:t>
      </w:r>
    </w:p>
    <w:p w:rsidR="00BE2F2E" w:rsidRPr="006469D0" w:rsidRDefault="00BE2F2E" w:rsidP="006469D0">
      <w:pPr>
        <w:jc w:val="center"/>
        <w:rPr>
          <w:sz w:val="22"/>
          <w:szCs w:val="22"/>
          <w:lang w:val="sl-SI"/>
        </w:rPr>
      </w:pPr>
    </w:p>
    <w:p w:rsidR="00BE2F2E" w:rsidRPr="006469D0" w:rsidRDefault="00BE2F2E" w:rsidP="006469D0">
      <w:pPr>
        <w:jc w:val="center"/>
        <w:rPr>
          <w:b/>
          <w:bCs/>
          <w:sz w:val="22"/>
          <w:szCs w:val="22"/>
          <w:lang w:val="sr-Latn-CS"/>
        </w:rPr>
      </w:pPr>
      <w:r w:rsidRPr="006469D0">
        <w:rPr>
          <w:b/>
          <w:bCs/>
          <w:sz w:val="22"/>
          <w:szCs w:val="22"/>
          <w:lang w:val="sr-Latn-CS"/>
        </w:rPr>
        <w:t>Miloš B. Rajković</w:t>
      </w:r>
      <w:r w:rsidRPr="006469D0">
        <w:rPr>
          <w:sz w:val="22"/>
          <w:szCs w:val="22"/>
          <w:vertAlign w:val="superscript"/>
          <w:lang w:val="sr-Latn-CS"/>
        </w:rPr>
        <w:t>1</w:t>
      </w:r>
      <w:r w:rsidRPr="006469D0">
        <w:rPr>
          <w:rStyle w:val="FootnoteReference"/>
          <w:sz w:val="22"/>
          <w:szCs w:val="22"/>
          <w:lang w:val="sr-Latn-CS"/>
        </w:rPr>
        <w:footnoteReference w:customMarkFollows="1" w:id="1"/>
        <w:t>*</w:t>
      </w:r>
      <w:r w:rsidRPr="006469D0">
        <w:rPr>
          <w:b/>
          <w:bCs/>
          <w:sz w:val="22"/>
          <w:szCs w:val="22"/>
          <w:lang w:val="sr-Latn-CS"/>
        </w:rPr>
        <w:t xml:space="preserve">, Mirjana D. Stojanović </w:t>
      </w:r>
      <w:r w:rsidRPr="006469D0">
        <w:rPr>
          <w:sz w:val="22"/>
          <w:szCs w:val="22"/>
          <w:vertAlign w:val="superscript"/>
          <w:lang w:val="sr-Latn-CS"/>
        </w:rPr>
        <w:t>2</w:t>
      </w:r>
      <w:r w:rsidRPr="006469D0">
        <w:rPr>
          <w:b/>
          <w:bCs/>
          <w:sz w:val="22"/>
          <w:szCs w:val="22"/>
          <w:lang w:val="sr-Latn-CS"/>
        </w:rPr>
        <w:t>, Slađana R. Milojković</w:t>
      </w:r>
      <w:r w:rsidRPr="006469D0">
        <w:rPr>
          <w:sz w:val="22"/>
          <w:szCs w:val="22"/>
          <w:vertAlign w:val="superscript"/>
          <w:lang w:val="sr-Latn-CS"/>
        </w:rPr>
        <w:t>3</w:t>
      </w:r>
      <w:r w:rsidRPr="006469D0">
        <w:rPr>
          <w:b/>
          <w:bCs/>
          <w:sz w:val="22"/>
          <w:szCs w:val="22"/>
          <w:lang w:val="sr-Latn-CS"/>
        </w:rPr>
        <w:t xml:space="preserve">, </w:t>
      </w:r>
    </w:p>
    <w:p w:rsidR="00BE2F2E" w:rsidRPr="006469D0" w:rsidRDefault="00BE2F2E" w:rsidP="006469D0">
      <w:pPr>
        <w:jc w:val="center"/>
        <w:rPr>
          <w:sz w:val="22"/>
          <w:szCs w:val="22"/>
          <w:vertAlign w:val="superscript"/>
          <w:lang w:val="sr-Latn-CS"/>
        </w:rPr>
      </w:pPr>
      <w:r w:rsidRPr="006469D0">
        <w:rPr>
          <w:b/>
          <w:bCs/>
          <w:sz w:val="22"/>
          <w:szCs w:val="22"/>
          <w:lang w:val="sr-Latn-CS"/>
        </w:rPr>
        <w:t>Aleksandar P. Đorđević</w:t>
      </w:r>
      <w:r w:rsidRPr="006469D0">
        <w:rPr>
          <w:sz w:val="22"/>
          <w:szCs w:val="22"/>
          <w:vertAlign w:val="superscript"/>
          <w:lang w:val="sr-Latn-CS"/>
        </w:rPr>
        <w:t>1</w:t>
      </w:r>
      <w:r w:rsidRPr="006469D0">
        <w:rPr>
          <w:b/>
          <w:bCs/>
          <w:sz w:val="22"/>
          <w:szCs w:val="22"/>
          <w:lang w:val="sr-Latn-CS"/>
        </w:rPr>
        <w:t xml:space="preserve"> i Lazar M. Kaluđerović</w:t>
      </w:r>
      <w:r w:rsidRPr="006469D0">
        <w:rPr>
          <w:sz w:val="22"/>
          <w:szCs w:val="22"/>
          <w:vertAlign w:val="superscript"/>
          <w:lang w:val="sr-Latn-CS"/>
        </w:rPr>
        <w:t>1</w:t>
      </w:r>
    </w:p>
    <w:p w:rsidR="00BE2F2E" w:rsidRPr="006469D0" w:rsidRDefault="00BE2F2E" w:rsidP="006469D0">
      <w:pPr>
        <w:jc w:val="center"/>
        <w:rPr>
          <w:sz w:val="22"/>
          <w:szCs w:val="22"/>
          <w:lang w:val="pl-PL"/>
        </w:rPr>
      </w:pPr>
    </w:p>
    <w:p w:rsidR="00BE2F2E" w:rsidRPr="006469D0" w:rsidRDefault="00BE2F2E" w:rsidP="006469D0">
      <w:pPr>
        <w:jc w:val="center"/>
        <w:rPr>
          <w:sz w:val="22"/>
          <w:szCs w:val="22"/>
          <w:lang w:val="pl-PL"/>
        </w:rPr>
      </w:pPr>
      <w:r w:rsidRPr="006469D0">
        <w:rPr>
          <w:sz w:val="22"/>
          <w:szCs w:val="22"/>
          <w:vertAlign w:val="superscript"/>
          <w:lang w:val="sr-Latn-CS"/>
        </w:rPr>
        <w:t>1</w:t>
      </w:r>
      <w:r w:rsidRPr="006469D0">
        <w:rPr>
          <w:sz w:val="22"/>
          <w:szCs w:val="22"/>
          <w:lang w:val="pl-PL"/>
        </w:rPr>
        <w:t xml:space="preserve">Univerzitet u Beogradu, Poljoprivredni fakultet, </w:t>
      </w:r>
    </w:p>
    <w:p w:rsidR="00BE2F2E" w:rsidRPr="006469D0" w:rsidRDefault="00BE2F2E" w:rsidP="006469D0">
      <w:pPr>
        <w:jc w:val="center"/>
        <w:rPr>
          <w:sz w:val="22"/>
          <w:szCs w:val="22"/>
          <w:lang w:val="pl-PL"/>
        </w:rPr>
      </w:pPr>
      <w:r w:rsidRPr="006469D0">
        <w:rPr>
          <w:sz w:val="22"/>
          <w:szCs w:val="22"/>
          <w:lang w:val="pl-PL"/>
        </w:rPr>
        <w:t>Nemanjina 6, 11080 Beograd-Zemun, Srbija</w:t>
      </w:r>
    </w:p>
    <w:p w:rsidR="00BE2F2E" w:rsidRPr="006469D0" w:rsidRDefault="00BE2F2E" w:rsidP="006469D0">
      <w:pPr>
        <w:jc w:val="center"/>
        <w:rPr>
          <w:sz w:val="22"/>
          <w:szCs w:val="22"/>
          <w:lang w:val="sr-Latn-CS"/>
        </w:rPr>
      </w:pPr>
      <w:r w:rsidRPr="006469D0">
        <w:rPr>
          <w:sz w:val="22"/>
          <w:szCs w:val="22"/>
          <w:vertAlign w:val="superscript"/>
          <w:lang w:val="sr-Latn-CS"/>
        </w:rPr>
        <w:t>2</w:t>
      </w:r>
      <w:r w:rsidRPr="006469D0">
        <w:rPr>
          <w:sz w:val="22"/>
          <w:szCs w:val="22"/>
          <w:lang w:val="sr-Latn-CS"/>
        </w:rPr>
        <w:t xml:space="preserve">Institut za tehnologiju nuklearnih i drugih mineralnih sirovina (ITNMS), </w:t>
      </w:r>
    </w:p>
    <w:p w:rsidR="00BE2F2E" w:rsidRPr="006469D0" w:rsidRDefault="00BE2F2E" w:rsidP="006469D0">
      <w:pPr>
        <w:jc w:val="center"/>
        <w:rPr>
          <w:sz w:val="22"/>
          <w:szCs w:val="22"/>
          <w:lang w:val="sr-Latn-CS"/>
        </w:rPr>
      </w:pPr>
      <w:r w:rsidRPr="006469D0">
        <w:rPr>
          <w:sz w:val="22"/>
          <w:szCs w:val="22"/>
          <w:lang w:val="sr-Latn-CS"/>
        </w:rPr>
        <w:t>Franše d’Eperea 86, Beograd</w:t>
      </w:r>
      <w:r>
        <w:rPr>
          <w:sz w:val="22"/>
          <w:szCs w:val="22"/>
          <w:lang w:val="sr-Latn-CS"/>
        </w:rPr>
        <w:t>,</w:t>
      </w:r>
      <w:r w:rsidRPr="006469D0">
        <w:rPr>
          <w:sz w:val="22"/>
          <w:szCs w:val="22"/>
          <w:lang w:val="pl-PL"/>
        </w:rPr>
        <w:t xml:space="preserve"> Srbija</w:t>
      </w:r>
    </w:p>
    <w:p w:rsidR="00BE2F2E" w:rsidRPr="006469D0" w:rsidRDefault="00BE2F2E" w:rsidP="006469D0">
      <w:pPr>
        <w:jc w:val="center"/>
        <w:rPr>
          <w:sz w:val="22"/>
          <w:szCs w:val="22"/>
          <w:lang w:val="sr-Latn-CS"/>
        </w:rPr>
      </w:pPr>
      <w:r w:rsidRPr="006469D0">
        <w:rPr>
          <w:sz w:val="22"/>
          <w:szCs w:val="22"/>
          <w:vertAlign w:val="superscript"/>
          <w:lang w:val="sr-Latn-CS"/>
        </w:rPr>
        <w:t>3</w:t>
      </w:r>
      <w:r w:rsidRPr="006469D0">
        <w:rPr>
          <w:sz w:val="22"/>
          <w:szCs w:val="22"/>
          <w:lang w:val="sr-Latn-CS"/>
        </w:rPr>
        <w:t xml:space="preserve">Poljoprivredna škola sa domom učenika „Sonja Marinković”, </w:t>
      </w:r>
    </w:p>
    <w:p w:rsidR="00BE2F2E" w:rsidRPr="006469D0" w:rsidRDefault="00BE2F2E" w:rsidP="006469D0">
      <w:pPr>
        <w:jc w:val="center"/>
        <w:rPr>
          <w:sz w:val="22"/>
          <w:szCs w:val="22"/>
          <w:lang w:val="sr-Latn-CS"/>
        </w:rPr>
      </w:pPr>
      <w:r w:rsidRPr="006469D0">
        <w:rPr>
          <w:sz w:val="22"/>
          <w:szCs w:val="22"/>
          <w:lang w:val="sr-Latn-CS"/>
        </w:rPr>
        <w:t xml:space="preserve">Ilije Birčanina 70, Požarevac, </w:t>
      </w:r>
      <w:r w:rsidRPr="006469D0">
        <w:rPr>
          <w:sz w:val="22"/>
          <w:szCs w:val="22"/>
          <w:lang w:val="pl-PL"/>
        </w:rPr>
        <w:t>Srbija</w:t>
      </w:r>
    </w:p>
    <w:p w:rsidR="00BE2F2E" w:rsidRPr="006469D0" w:rsidRDefault="00BE2F2E" w:rsidP="006469D0">
      <w:pPr>
        <w:ind w:firstLine="426"/>
        <w:jc w:val="center"/>
        <w:rPr>
          <w:sz w:val="22"/>
          <w:szCs w:val="22"/>
          <w:lang w:val="pl-PL"/>
        </w:rPr>
      </w:pPr>
    </w:p>
    <w:p w:rsidR="00BE2F2E" w:rsidRPr="00FF54EF" w:rsidRDefault="00BE2F2E" w:rsidP="006469D0">
      <w:pPr>
        <w:ind w:firstLine="426"/>
        <w:jc w:val="both"/>
        <w:rPr>
          <w:sz w:val="22"/>
          <w:szCs w:val="22"/>
          <w:lang w:val="sr-Latn-CS"/>
        </w:rPr>
      </w:pPr>
      <w:r w:rsidRPr="00A5338B">
        <w:rPr>
          <w:b/>
          <w:bCs/>
          <w:sz w:val="22"/>
          <w:szCs w:val="22"/>
          <w:lang w:val="sr-Latn-CS"/>
        </w:rPr>
        <w:t>Sažetak:</w:t>
      </w:r>
      <w:r w:rsidRPr="00A5338B">
        <w:rPr>
          <w:sz w:val="22"/>
          <w:szCs w:val="22"/>
          <w:lang w:val="sr-Latn-CS"/>
        </w:rPr>
        <w:t xml:space="preserve"> </w:t>
      </w:r>
      <w:r w:rsidRPr="00FF54EF">
        <w:rPr>
          <w:sz w:val="22"/>
          <w:szCs w:val="22"/>
          <w:lang w:val="sr-Latn-CS"/>
        </w:rPr>
        <w:t xml:space="preserve">Predmet ispitivanja bila je voda za piće iz vodovodne mreže Grada Požarevca, sa aspekta fizičko-hemijske i mikrobiološke ispravnosti i prisustva makro- i mikroelemenata. Ispitivanja su ukazala na povećanu koncentraciju Ca u vodi za piće kao posledica položaja Požarevca na sedimentu rečne terase akumulativnog karaktera t1, koja je pretežno sagrađena od </w:t>
      </w:r>
      <w:r w:rsidRPr="00FF54EF">
        <w:rPr>
          <w:i/>
          <w:iCs/>
          <w:sz w:val="22"/>
          <w:szCs w:val="22"/>
          <w:lang w:val="sr-Latn-CS"/>
        </w:rPr>
        <w:t>kvarcita</w:t>
      </w:r>
      <w:r>
        <w:rPr>
          <w:sz w:val="22"/>
          <w:szCs w:val="22"/>
          <w:lang w:val="sr-Latn-CS"/>
        </w:rPr>
        <w:t>. K</w:t>
      </w:r>
      <w:r w:rsidRPr="00FF54EF">
        <w:rPr>
          <w:sz w:val="22"/>
          <w:szCs w:val="22"/>
          <w:lang w:val="sr-Latn-CS"/>
        </w:rPr>
        <w:t xml:space="preserve">ao posledica povećane koncentracije Ca, voda iz vodovodne mreže je alkalnog karaktera („kalcijumova”, „biokarbonatna voda”) i veoma tvrda. Osim Ca, K i Al prevazilaze maksimalno dozvoljene koncentracije, dok se Pb i Cd nalaze na samoj granici. Proračunati podaci </w:t>
      </w:r>
      <w:r>
        <w:rPr>
          <w:sz w:val="22"/>
          <w:szCs w:val="22"/>
          <w:lang w:val="sr-Latn-CS"/>
        </w:rPr>
        <w:t xml:space="preserve">pokazuju </w:t>
      </w:r>
      <w:r w:rsidRPr="00FF54EF">
        <w:rPr>
          <w:sz w:val="22"/>
          <w:szCs w:val="22"/>
          <w:lang w:val="sr-Latn-CS"/>
        </w:rPr>
        <w:t xml:space="preserve">rizik od unošenja elemenata koji se u vodi iz vodovodne mreže Grada Požarevca </w:t>
      </w:r>
      <w:r>
        <w:rPr>
          <w:sz w:val="22"/>
          <w:szCs w:val="22"/>
          <w:lang w:val="sr-Latn-CS"/>
        </w:rPr>
        <w:t xml:space="preserve">nalaze u vrednosti višoj od </w:t>
      </w:r>
      <w:r w:rsidRPr="00FF54EF">
        <w:rPr>
          <w:sz w:val="22"/>
          <w:szCs w:val="22"/>
          <w:lang w:val="sr-Latn-CS"/>
        </w:rPr>
        <w:t>dozvoljene pravilnikom, ni za jedan metal ne po</w:t>
      </w:r>
      <w:r>
        <w:rPr>
          <w:sz w:val="22"/>
          <w:szCs w:val="22"/>
          <w:lang w:val="sr-Latn-CS"/>
        </w:rPr>
        <w:t>stoji</w:t>
      </w:r>
      <w:r w:rsidRPr="00FF54EF">
        <w:rPr>
          <w:sz w:val="22"/>
          <w:szCs w:val="22"/>
          <w:lang w:val="sr-Latn-CS"/>
        </w:rPr>
        <w:t xml:space="preserve"> kratkoročni zdravstveni rizik po zdravlje ljudi. Analiza podataka o dugoročnom zdravstvenom riziku ukazuje da jedina realna opasnost postoji od prisustva Cd u vodi za piće. Rizik od pojave kancera prisutan je kod 202 stanovnika od 1000 stanovnika koji koriste ovu vodu za piće.</w:t>
      </w:r>
    </w:p>
    <w:p w:rsidR="00BE2F2E" w:rsidRPr="00FF54EF" w:rsidRDefault="00BE2F2E" w:rsidP="006469D0">
      <w:pPr>
        <w:ind w:right="567" w:firstLine="426"/>
        <w:rPr>
          <w:sz w:val="22"/>
          <w:szCs w:val="22"/>
          <w:lang w:val="sr-Latn-CS"/>
        </w:rPr>
      </w:pPr>
      <w:r w:rsidRPr="00FF54EF">
        <w:rPr>
          <w:b/>
          <w:bCs/>
          <w:sz w:val="22"/>
          <w:szCs w:val="22"/>
          <w:lang w:val="sr-Latn-CS"/>
        </w:rPr>
        <w:t>Ključne reči:</w:t>
      </w:r>
      <w:r w:rsidRPr="00D50683">
        <w:rPr>
          <w:sz w:val="22"/>
          <w:szCs w:val="22"/>
          <w:lang w:val="sr-Latn-CS"/>
        </w:rPr>
        <w:t xml:space="preserve"> </w:t>
      </w:r>
      <w:r w:rsidRPr="00FF54EF">
        <w:rPr>
          <w:sz w:val="22"/>
          <w:szCs w:val="22"/>
          <w:lang w:val="sr-Latn-CS"/>
        </w:rPr>
        <w:t xml:space="preserve">voda za piće, </w:t>
      </w:r>
      <w:r w:rsidRPr="00FF54EF">
        <w:rPr>
          <w:sz w:val="22"/>
          <w:szCs w:val="22"/>
          <w:lang w:val="sl-SI"/>
        </w:rPr>
        <w:t xml:space="preserve">kamenac, </w:t>
      </w:r>
      <w:r w:rsidRPr="00FF54EF">
        <w:rPr>
          <w:sz w:val="22"/>
          <w:szCs w:val="22"/>
          <w:lang w:val="sr-Latn-CS"/>
        </w:rPr>
        <w:t>kalcijum,</w:t>
      </w:r>
      <w:r w:rsidRPr="00FF54EF">
        <w:rPr>
          <w:sz w:val="22"/>
          <w:szCs w:val="22"/>
          <w:lang w:val="sl-SI"/>
        </w:rPr>
        <w:t xml:space="preserve"> </w:t>
      </w:r>
      <w:r w:rsidRPr="00FF54EF">
        <w:rPr>
          <w:sz w:val="22"/>
          <w:szCs w:val="22"/>
          <w:lang w:val="sr-Latn-CS"/>
        </w:rPr>
        <w:t xml:space="preserve">teški metali, </w:t>
      </w:r>
      <w:r>
        <w:rPr>
          <w:sz w:val="22"/>
          <w:szCs w:val="22"/>
          <w:lang w:val="sr-Latn-CS"/>
        </w:rPr>
        <w:t>Požarevac.</w:t>
      </w:r>
    </w:p>
    <w:p w:rsidR="00BE2F2E" w:rsidRPr="00A5338B" w:rsidRDefault="00BE2F2E" w:rsidP="00A5338B">
      <w:pPr>
        <w:jc w:val="center"/>
        <w:rPr>
          <w:sz w:val="22"/>
          <w:szCs w:val="22"/>
          <w:lang w:val="sr-Latn-CS"/>
        </w:rPr>
      </w:pPr>
    </w:p>
    <w:p w:rsidR="00BE2F2E" w:rsidRPr="002F42C3" w:rsidRDefault="00BE2F2E" w:rsidP="005254A9">
      <w:pPr>
        <w:jc w:val="center"/>
        <w:rPr>
          <w:b/>
          <w:bCs/>
          <w:sz w:val="22"/>
          <w:szCs w:val="22"/>
          <w:lang w:val="sl-SI"/>
        </w:rPr>
      </w:pPr>
      <w:r w:rsidRPr="002F42C3">
        <w:rPr>
          <w:b/>
          <w:bCs/>
          <w:sz w:val="22"/>
          <w:szCs w:val="22"/>
          <w:lang w:val="sl-SI"/>
        </w:rPr>
        <w:t>Uvod</w:t>
      </w:r>
    </w:p>
    <w:p w:rsidR="00BE2F2E" w:rsidRPr="002F42C3" w:rsidRDefault="00BE2F2E" w:rsidP="002F42C3">
      <w:pPr>
        <w:jc w:val="center"/>
        <w:rPr>
          <w:sz w:val="22"/>
          <w:szCs w:val="22"/>
          <w:lang w:val="sl-SI"/>
        </w:rPr>
      </w:pPr>
    </w:p>
    <w:p w:rsidR="00BE2F2E" w:rsidRPr="00D50683" w:rsidRDefault="00BE2F2E" w:rsidP="00D50683">
      <w:pPr>
        <w:ind w:firstLine="425"/>
        <w:jc w:val="both"/>
        <w:rPr>
          <w:sz w:val="22"/>
          <w:szCs w:val="22"/>
          <w:lang w:val="sl-SI"/>
        </w:rPr>
      </w:pPr>
      <w:r w:rsidRPr="00D50683">
        <w:rPr>
          <w:sz w:val="22"/>
          <w:szCs w:val="22"/>
          <w:lang w:val="sl-SI"/>
        </w:rPr>
        <w:t>Voda iz javnih vodovoda koristi se u različite svrhe: za piće, pripremu hrane, održavanje lične higijene i za druge potrebe u domaćinstvima, zatim za komunalne i industrijske potrebe i dr. Potrošnja vode za piće i pripremu hrane je mala u odnosu na ostale potrebe, ali to je voda za koju se mora obezbediti najbolji kvalitet, izuzimajući neke industrije koje zahtevaju isti takav kvalitet ili čak i bolji od njega.</w:t>
      </w:r>
    </w:p>
    <w:p w:rsidR="00BE2F2E" w:rsidRPr="00D50683" w:rsidRDefault="00BE2F2E" w:rsidP="00D50683">
      <w:pPr>
        <w:ind w:firstLine="425"/>
        <w:jc w:val="both"/>
        <w:rPr>
          <w:sz w:val="22"/>
          <w:szCs w:val="22"/>
          <w:lang w:val="sl-SI"/>
        </w:rPr>
      </w:pPr>
      <w:r w:rsidRPr="00D50683">
        <w:rPr>
          <w:sz w:val="22"/>
          <w:szCs w:val="22"/>
          <w:lang w:val="sl-SI"/>
        </w:rPr>
        <w:lastRenderedPageBreak/>
        <w:t>Međutim, brojnost potrošača vode za piće i moguć uticaj na njihovo zdravlje jesu razlozi zbog kojih se moraju postavljati uslovi za kvalitet vode u vodovodu u odnosu na zdravstvene efekte (Milojević, 2001).</w:t>
      </w:r>
    </w:p>
    <w:p w:rsidR="00BE2F2E" w:rsidRPr="00D50683" w:rsidRDefault="00BE2F2E" w:rsidP="00D50683">
      <w:pPr>
        <w:ind w:firstLine="425"/>
        <w:jc w:val="both"/>
        <w:rPr>
          <w:sz w:val="22"/>
          <w:szCs w:val="22"/>
          <w:lang w:val="sl-SI"/>
        </w:rPr>
      </w:pPr>
      <w:r w:rsidRPr="00D50683">
        <w:rPr>
          <w:sz w:val="22"/>
          <w:szCs w:val="22"/>
          <w:lang w:val="sl-SI"/>
        </w:rPr>
        <w:t>Na području Grada Požarevca postoji tri načina vodosnabdevanja stanovništva (Rajković et al., 2015): 1. Centralno vodovodsko snabdevanje u gradovima Požarevac i Kostolac (od 1980. godine) i seoskim naseljima Ćirikovac, Knenovik, Stari Kostolac, Drmno i Brodarac (seoski vodovod koje Vodovod održava); 2. Snabdevanje iz lokalnih vodnih objekata (javne česme), i 3. Individualno snabdevanje iz sopstvenih bunara u ostalim naseljima.</w:t>
      </w:r>
    </w:p>
    <w:p w:rsidR="00BE2F2E" w:rsidRPr="00D50683" w:rsidRDefault="00BE2F2E" w:rsidP="00D50683">
      <w:pPr>
        <w:ind w:firstLine="425"/>
        <w:jc w:val="both"/>
        <w:rPr>
          <w:color w:val="008000"/>
          <w:sz w:val="22"/>
          <w:szCs w:val="22"/>
          <w:lang w:val="sl-SI"/>
        </w:rPr>
      </w:pPr>
      <w:r w:rsidRPr="00D50683">
        <w:rPr>
          <w:sz w:val="22"/>
          <w:szCs w:val="22"/>
          <w:lang w:val="sl-SI"/>
        </w:rPr>
        <w:t>O prečišćavanju i distribuciji vode u Požarevcu brine se JKP „Vodovod i kanalizacija”, Požarevac (od 1961. godine), a u okviru ovog preduzeća sektor Vodovod. Delatnosti sektora Vodovod su distribucija (merenje i registrovanje isporučenih količina) vode od izvorišta do potrošača i proizvodnja vode, kao i</w:t>
      </w:r>
      <w:r w:rsidRPr="00D50683">
        <w:rPr>
          <w:rStyle w:val="ff2fc2fs10"/>
          <w:sz w:val="22"/>
          <w:szCs w:val="22"/>
          <w:lang w:val="sl-SI"/>
        </w:rPr>
        <w:t xml:space="preserve"> kontrola kvaliteta vode: fizičko-hemijska i mikrobiološka analiza, kao i adekvatan izbor parametara kvaliteta (WHO, 2011; Rekalić, 1998).</w:t>
      </w:r>
      <w:r w:rsidRPr="00D50683">
        <w:rPr>
          <w:sz w:val="22"/>
          <w:szCs w:val="22"/>
          <w:lang w:val="sl-SI"/>
        </w:rPr>
        <w:t xml:space="preserve"> Vodovod se stara i o ispiranju vodovodne mreže, izradi i sprovođenju planova vodosnabdevanja, a sistem vodovoda eksploatiše u optimalnom režimu vodeći računa o gubicima.</w:t>
      </w:r>
    </w:p>
    <w:p w:rsidR="00BE2F2E" w:rsidRPr="00D50683" w:rsidRDefault="00BE2F2E" w:rsidP="00D50683">
      <w:pPr>
        <w:ind w:firstLine="425"/>
        <w:jc w:val="both"/>
        <w:rPr>
          <w:sz w:val="22"/>
          <w:szCs w:val="22"/>
          <w:lang w:val="sl-SI"/>
        </w:rPr>
      </w:pPr>
      <w:r w:rsidRPr="00D50683">
        <w:rPr>
          <w:sz w:val="22"/>
          <w:szCs w:val="22"/>
          <w:lang w:val="sl-SI"/>
        </w:rPr>
        <w:t xml:space="preserve">Fizičko-hemijska i mikrobiološka ispravnost vode za piće u vodovodnoj mreži koja se isporučuje potrošačima redovno se ispituje i prati, dok se periodično ispituje i sadržaj toksičnih elemenata. Sadržaj teških (i toksičnih) metala nije parametar koji se određuje u vodi za piće, jer se teški metali nalaze u veoma niskim koncentracijama za koje se smatra da nemaju (negativan) uticaj na korisnike. </w:t>
      </w:r>
    </w:p>
    <w:p w:rsidR="00BE2F2E" w:rsidRPr="00D50683" w:rsidRDefault="00BE2F2E" w:rsidP="00D50683">
      <w:pPr>
        <w:ind w:firstLine="425"/>
        <w:jc w:val="both"/>
        <w:rPr>
          <w:sz w:val="22"/>
          <w:szCs w:val="22"/>
          <w:lang w:val="sl-SI"/>
        </w:rPr>
      </w:pPr>
      <w:r w:rsidRPr="00D50683">
        <w:rPr>
          <w:sz w:val="22"/>
          <w:szCs w:val="22"/>
          <w:lang w:val="sl-SI"/>
        </w:rPr>
        <w:t>U vodi za piće nalaze se mnogobrojne neorganske supstance koje doprinose tvrdoći vode i utiču na njen kvalitet i higijensku ispravnost (Rajković, 2003). Postojeće metode za ispitivanje sadržaja (ili tragova) metala ne mogu detektovati prisustvo metala u niskim koncentracijama u vodi za piće, pa je zbog toga predložena nova metoda određivanja sadržaja metala koja je pokazala svoju potpunu primenljivost (Rajković et al., 2008a; Rajković et al., 2008b; Rajković et al., 2009). Suština metode je da se za ispitivanje kvaliteta vode iz vodovodne mreže koristi depozit (</w:t>
      </w:r>
      <w:r w:rsidRPr="00D50683">
        <w:rPr>
          <w:i/>
          <w:iCs/>
          <w:sz w:val="22"/>
          <w:szCs w:val="22"/>
          <w:lang w:val="sl-SI"/>
        </w:rPr>
        <w:t>kamenac</w:t>
      </w:r>
      <w:r w:rsidRPr="00D50683">
        <w:rPr>
          <w:sz w:val="22"/>
          <w:szCs w:val="22"/>
          <w:lang w:val="sl-SI"/>
        </w:rPr>
        <w:t xml:space="preserve">, suvi ostatak) koji se izdvaja na grejaču kućnog bojlera prilikom zagrevanja vode, a koji nastaje taloženjem neorganskih </w:t>
      </w:r>
      <w:r w:rsidRPr="00D50683">
        <w:rPr>
          <w:sz w:val="22"/>
          <w:szCs w:val="22"/>
          <w:lang w:val="sr-Latn-CS"/>
        </w:rPr>
        <w:t>nevolatilnih supstanci koje se nalaze u vodi za piće</w:t>
      </w:r>
      <w:r w:rsidRPr="00D50683">
        <w:rPr>
          <w:sz w:val="22"/>
          <w:szCs w:val="22"/>
          <w:lang w:val="sl-SI"/>
        </w:rPr>
        <w:t>.</w:t>
      </w:r>
      <w:r w:rsidRPr="00D50683">
        <w:rPr>
          <w:b/>
          <w:bCs/>
          <w:sz w:val="22"/>
          <w:szCs w:val="22"/>
          <w:lang w:val="sl-SI"/>
        </w:rPr>
        <w:t xml:space="preserve"> </w:t>
      </w:r>
      <w:r w:rsidRPr="00D50683">
        <w:rPr>
          <w:sz w:val="22"/>
          <w:szCs w:val="22"/>
          <w:lang w:val="sl-SI"/>
        </w:rPr>
        <w:t>Pošto sastav kamenca potiče od prisutnih neorganskih jedinjenja u vodi, ovom metodom je moguće da se pouzdano, određivanjem elementarnog sastava kamenca, a zatim preračunavanjem na sadržaj u vodi odrede masene koncentracije metala koji se nalaze u vodi za piće.</w:t>
      </w:r>
    </w:p>
    <w:p w:rsidR="00BE2F2E" w:rsidRPr="00D50683" w:rsidRDefault="00BE2F2E" w:rsidP="00D50683">
      <w:pPr>
        <w:ind w:firstLine="425"/>
        <w:jc w:val="both"/>
        <w:rPr>
          <w:sz w:val="22"/>
          <w:szCs w:val="22"/>
          <w:lang w:val="sl-SI"/>
        </w:rPr>
      </w:pPr>
      <w:r w:rsidRPr="00D50683">
        <w:rPr>
          <w:sz w:val="22"/>
          <w:szCs w:val="22"/>
          <w:lang w:val="sl-SI"/>
        </w:rPr>
        <w:t>Cilj ovoga rada bio je da se metoda indirektnog određivanja elemenata upotrebi za procenjivanje kvaliteta vode za piće sa aspekta sadržaja makro- i mikroelemenata tokom upotrebe vode za piće iz vodovodne mreže Grada Požarevca, u periodu 2012</w:t>
      </w:r>
      <w:r w:rsidRPr="005E6043">
        <w:rPr>
          <w:rFonts w:ascii="Cambria Math" w:hAnsi="Cambria Math" w:cs="Cambria Math"/>
          <w:lang w:val="sl-SI"/>
        </w:rPr>
        <w:t>‒</w:t>
      </w:r>
      <w:r w:rsidRPr="005E6043">
        <w:rPr>
          <w:sz w:val="22"/>
          <w:szCs w:val="22"/>
          <w:lang w:val="sl-SI"/>
        </w:rPr>
        <w:t>2017</w:t>
      </w:r>
      <w:r w:rsidRPr="00D50683">
        <w:rPr>
          <w:sz w:val="22"/>
          <w:szCs w:val="22"/>
          <w:lang w:val="sl-SI"/>
        </w:rPr>
        <w:t>. godine.</w:t>
      </w:r>
    </w:p>
    <w:p w:rsidR="00BE2F2E" w:rsidRDefault="00BE2F2E" w:rsidP="00D50683">
      <w:pPr>
        <w:jc w:val="center"/>
        <w:rPr>
          <w:sz w:val="22"/>
          <w:szCs w:val="22"/>
          <w:lang w:val="sl-SI"/>
        </w:rPr>
      </w:pPr>
    </w:p>
    <w:p w:rsidR="00BE2F2E" w:rsidRPr="00D50683" w:rsidRDefault="00BE2F2E" w:rsidP="00D50683">
      <w:pPr>
        <w:jc w:val="center"/>
        <w:rPr>
          <w:sz w:val="22"/>
          <w:szCs w:val="22"/>
          <w:lang w:val="sl-SI"/>
        </w:rPr>
      </w:pPr>
    </w:p>
    <w:p w:rsidR="00BE2F2E" w:rsidRPr="00D50683" w:rsidRDefault="00BE2F2E" w:rsidP="00D50683">
      <w:pPr>
        <w:jc w:val="center"/>
        <w:rPr>
          <w:sz w:val="22"/>
          <w:szCs w:val="22"/>
          <w:lang w:val="sr-Latn-CS"/>
        </w:rPr>
      </w:pPr>
      <w:r w:rsidRPr="00D50683">
        <w:rPr>
          <w:b/>
          <w:bCs/>
          <w:sz w:val="22"/>
          <w:szCs w:val="22"/>
          <w:lang w:val="sr-Latn-CS"/>
        </w:rPr>
        <w:lastRenderedPageBreak/>
        <w:t>Materijal i metode</w:t>
      </w:r>
    </w:p>
    <w:p w:rsidR="00BE2F2E" w:rsidRPr="003804EF" w:rsidRDefault="00BE2F2E" w:rsidP="00D50683">
      <w:pPr>
        <w:jc w:val="center"/>
        <w:rPr>
          <w:sz w:val="22"/>
          <w:szCs w:val="22"/>
          <w:lang w:val="sl-SI"/>
        </w:rPr>
      </w:pPr>
    </w:p>
    <w:p w:rsidR="00BE2F2E" w:rsidRPr="00D50683" w:rsidRDefault="00BE2F2E" w:rsidP="00D50683">
      <w:pPr>
        <w:ind w:firstLine="425"/>
        <w:jc w:val="both"/>
        <w:rPr>
          <w:sz w:val="22"/>
          <w:szCs w:val="22"/>
          <w:lang w:val="sr-Latn-CS"/>
        </w:rPr>
      </w:pPr>
      <w:r w:rsidRPr="00D50683">
        <w:rPr>
          <w:sz w:val="22"/>
          <w:szCs w:val="22"/>
          <w:lang w:val="sr-Latn-CS"/>
        </w:rPr>
        <w:t>Uzorkovanje</w:t>
      </w:r>
      <w:r w:rsidRPr="00D50683">
        <w:rPr>
          <w:sz w:val="22"/>
          <w:szCs w:val="22"/>
          <w:lang w:val="sr-Cyrl-CS"/>
        </w:rPr>
        <w:t xml:space="preserve">, </w:t>
      </w:r>
      <w:r w:rsidRPr="00D50683">
        <w:rPr>
          <w:sz w:val="22"/>
          <w:szCs w:val="22"/>
          <w:lang w:val="sr-Latn-CS"/>
        </w:rPr>
        <w:t>metode</w:t>
      </w:r>
      <w:r w:rsidRPr="00D50683">
        <w:rPr>
          <w:sz w:val="22"/>
          <w:szCs w:val="22"/>
          <w:lang w:val="sr-Cyrl-CS"/>
        </w:rPr>
        <w:t xml:space="preserve"> </w:t>
      </w:r>
      <w:r w:rsidRPr="00D50683">
        <w:rPr>
          <w:sz w:val="22"/>
          <w:szCs w:val="22"/>
          <w:lang w:val="sr-Latn-CS"/>
        </w:rPr>
        <w:t>ispitivanja</w:t>
      </w:r>
      <w:r w:rsidRPr="00D50683">
        <w:rPr>
          <w:sz w:val="22"/>
          <w:szCs w:val="22"/>
          <w:lang w:val="sr-Cyrl-CS"/>
        </w:rPr>
        <w:t xml:space="preserve"> </w:t>
      </w:r>
      <w:r w:rsidRPr="00D50683">
        <w:rPr>
          <w:sz w:val="22"/>
          <w:szCs w:val="22"/>
          <w:lang w:val="sr-Latn-CS"/>
        </w:rPr>
        <w:t>i</w:t>
      </w:r>
      <w:r w:rsidRPr="00D50683">
        <w:rPr>
          <w:sz w:val="22"/>
          <w:szCs w:val="22"/>
          <w:lang w:val="sr-Cyrl-CS"/>
        </w:rPr>
        <w:t xml:space="preserve"> </w:t>
      </w:r>
      <w:r w:rsidRPr="00D50683">
        <w:rPr>
          <w:sz w:val="22"/>
          <w:szCs w:val="22"/>
          <w:lang w:val="sr-Latn-CS"/>
        </w:rPr>
        <w:t>tuma</w:t>
      </w:r>
      <w:r w:rsidRPr="00D50683">
        <w:rPr>
          <w:sz w:val="22"/>
          <w:szCs w:val="22"/>
          <w:lang w:val="sr-Cyrl-CS"/>
        </w:rPr>
        <w:t>č</w:t>
      </w:r>
      <w:r w:rsidRPr="00D50683">
        <w:rPr>
          <w:sz w:val="22"/>
          <w:szCs w:val="22"/>
          <w:lang w:val="sr-Latn-CS"/>
        </w:rPr>
        <w:t>enje</w:t>
      </w:r>
      <w:r w:rsidRPr="00D50683">
        <w:rPr>
          <w:sz w:val="22"/>
          <w:szCs w:val="22"/>
          <w:lang w:val="sr-Cyrl-CS"/>
        </w:rPr>
        <w:t xml:space="preserve"> </w:t>
      </w:r>
      <w:r w:rsidRPr="00D50683">
        <w:rPr>
          <w:sz w:val="22"/>
          <w:szCs w:val="22"/>
          <w:lang w:val="sr-Latn-CS"/>
        </w:rPr>
        <w:t>rezultata</w:t>
      </w:r>
      <w:r w:rsidRPr="00D50683">
        <w:rPr>
          <w:sz w:val="22"/>
          <w:szCs w:val="22"/>
          <w:lang w:val="sr-Cyrl-CS"/>
        </w:rPr>
        <w:t xml:space="preserve"> u</w:t>
      </w:r>
      <w:r w:rsidRPr="00D50683">
        <w:rPr>
          <w:sz w:val="22"/>
          <w:szCs w:val="22"/>
          <w:lang w:val="sr-Latn-CS"/>
        </w:rPr>
        <w:t>ra</w:t>
      </w:r>
      <w:r w:rsidRPr="00D50683">
        <w:rPr>
          <w:sz w:val="22"/>
          <w:szCs w:val="22"/>
          <w:lang w:val="sr-Cyrl-CS"/>
        </w:rPr>
        <w:t xml:space="preserve">đeni su </w:t>
      </w:r>
      <w:r w:rsidRPr="00D50683">
        <w:rPr>
          <w:sz w:val="22"/>
          <w:szCs w:val="22"/>
          <w:lang w:val="sr-Latn-CS"/>
        </w:rPr>
        <w:t>u</w:t>
      </w:r>
      <w:r w:rsidRPr="00D50683">
        <w:rPr>
          <w:sz w:val="22"/>
          <w:szCs w:val="22"/>
          <w:lang w:val="sr-Cyrl-CS"/>
        </w:rPr>
        <w:t xml:space="preserve"> </w:t>
      </w:r>
      <w:r w:rsidRPr="00D50683">
        <w:rPr>
          <w:sz w:val="22"/>
          <w:szCs w:val="22"/>
          <w:lang w:val="sr-Latn-CS"/>
        </w:rPr>
        <w:t>skladu</w:t>
      </w:r>
      <w:r w:rsidRPr="00D50683">
        <w:rPr>
          <w:sz w:val="22"/>
          <w:szCs w:val="22"/>
          <w:lang w:val="sr-Cyrl-CS"/>
        </w:rPr>
        <w:t xml:space="preserve"> </w:t>
      </w:r>
      <w:r w:rsidRPr="00D50683">
        <w:rPr>
          <w:sz w:val="22"/>
          <w:szCs w:val="22"/>
          <w:lang w:val="sr-Latn-CS"/>
        </w:rPr>
        <w:t>sa</w:t>
      </w:r>
      <w:r w:rsidRPr="00D50683">
        <w:rPr>
          <w:sz w:val="22"/>
          <w:szCs w:val="22"/>
          <w:lang w:val="sr-Cyrl-CS"/>
        </w:rPr>
        <w:t xml:space="preserve"> </w:t>
      </w:r>
      <w:r w:rsidRPr="00D50683">
        <w:rPr>
          <w:sz w:val="22"/>
          <w:szCs w:val="22"/>
          <w:lang w:val="sr-Latn-CS"/>
        </w:rPr>
        <w:t>Pravilnikom</w:t>
      </w:r>
      <w:r w:rsidRPr="00D50683">
        <w:rPr>
          <w:sz w:val="22"/>
          <w:szCs w:val="22"/>
          <w:lang w:val="sr-Cyrl-CS"/>
        </w:rPr>
        <w:t xml:space="preserve"> </w:t>
      </w:r>
      <w:r w:rsidRPr="00D50683">
        <w:rPr>
          <w:sz w:val="22"/>
          <w:szCs w:val="22"/>
          <w:lang w:val="sr-Latn-CS"/>
        </w:rPr>
        <w:t>o</w:t>
      </w:r>
      <w:r w:rsidRPr="00D50683">
        <w:rPr>
          <w:sz w:val="22"/>
          <w:szCs w:val="22"/>
          <w:lang w:val="sr-Cyrl-CS"/>
        </w:rPr>
        <w:t xml:space="preserve"> </w:t>
      </w:r>
      <w:r w:rsidRPr="00D50683">
        <w:rPr>
          <w:sz w:val="22"/>
          <w:szCs w:val="22"/>
          <w:lang w:val="sr-Latn-CS"/>
        </w:rPr>
        <w:t>higijenskoj</w:t>
      </w:r>
      <w:r w:rsidRPr="00D50683">
        <w:rPr>
          <w:sz w:val="22"/>
          <w:szCs w:val="22"/>
          <w:lang w:val="sr-Cyrl-CS"/>
        </w:rPr>
        <w:t xml:space="preserve"> </w:t>
      </w:r>
      <w:r w:rsidRPr="00D50683">
        <w:rPr>
          <w:sz w:val="22"/>
          <w:szCs w:val="22"/>
          <w:lang w:val="sr-Latn-CS"/>
        </w:rPr>
        <w:t>ispravnosti</w:t>
      </w:r>
      <w:r w:rsidRPr="00D50683">
        <w:rPr>
          <w:sz w:val="22"/>
          <w:szCs w:val="22"/>
          <w:lang w:val="sr-Cyrl-CS"/>
        </w:rPr>
        <w:t xml:space="preserve"> </w:t>
      </w:r>
      <w:r w:rsidRPr="00D50683">
        <w:rPr>
          <w:sz w:val="22"/>
          <w:szCs w:val="22"/>
          <w:lang w:val="sr-Latn-CS"/>
        </w:rPr>
        <w:t>vode</w:t>
      </w:r>
      <w:r w:rsidRPr="00D50683">
        <w:rPr>
          <w:sz w:val="22"/>
          <w:szCs w:val="22"/>
          <w:lang w:val="sr-Cyrl-CS"/>
        </w:rPr>
        <w:t xml:space="preserve"> </w:t>
      </w:r>
      <w:r w:rsidRPr="00D50683">
        <w:rPr>
          <w:sz w:val="22"/>
          <w:szCs w:val="22"/>
          <w:lang w:val="sr-Latn-CS"/>
        </w:rPr>
        <w:t>za</w:t>
      </w:r>
      <w:r w:rsidRPr="00D50683">
        <w:rPr>
          <w:sz w:val="22"/>
          <w:szCs w:val="22"/>
          <w:lang w:val="sr-Cyrl-CS"/>
        </w:rPr>
        <w:t xml:space="preserve"> </w:t>
      </w:r>
      <w:r w:rsidRPr="00D50683">
        <w:rPr>
          <w:sz w:val="22"/>
          <w:szCs w:val="22"/>
          <w:lang w:val="sr-Latn-CS"/>
        </w:rPr>
        <w:t>pi</w:t>
      </w:r>
      <w:r w:rsidRPr="00D50683">
        <w:rPr>
          <w:sz w:val="22"/>
          <w:szCs w:val="22"/>
          <w:lang w:val="sr-Cyrl-CS"/>
        </w:rPr>
        <w:t>ć</w:t>
      </w:r>
      <w:r w:rsidRPr="00D50683">
        <w:rPr>
          <w:sz w:val="22"/>
          <w:szCs w:val="22"/>
          <w:lang w:val="sr-Latn-CS"/>
        </w:rPr>
        <w:t>e</w:t>
      </w:r>
      <w:r w:rsidRPr="00D50683">
        <w:rPr>
          <w:sz w:val="22"/>
          <w:szCs w:val="22"/>
          <w:lang w:val="sr-Cyrl-CS"/>
        </w:rPr>
        <w:t xml:space="preserve"> </w:t>
      </w:r>
      <w:r w:rsidRPr="00D50683">
        <w:rPr>
          <w:sz w:val="22"/>
          <w:szCs w:val="22"/>
          <w:lang w:val="sr-Latn-CS"/>
        </w:rPr>
        <w:t>(Rajković et al., 2008b; Sl.list SRJ br. 42/98 i 44/99; Sl.list SCG br. 53/05; Rajković, 2010). Uziman je zahvaćen uzorak vode u plastične boce, pri čemu uzorci nisu konzervirani (Rajković et al., 2012). Na samom mestu uzorkovanja merena je temperatura i provodljivost uzoraka vode (Sl.list SRJ br. 42/98). Radi</w:t>
      </w:r>
      <w:r w:rsidRPr="00D50683">
        <w:rPr>
          <w:sz w:val="22"/>
          <w:szCs w:val="22"/>
          <w:lang w:val="sr-Cyrl-CS"/>
        </w:rPr>
        <w:t xml:space="preserve">la </w:t>
      </w:r>
      <w:r w:rsidRPr="00D50683">
        <w:rPr>
          <w:sz w:val="22"/>
          <w:szCs w:val="22"/>
          <w:lang w:val="sr-Latn-CS"/>
        </w:rPr>
        <w:t>se</w:t>
      </w:r>
      <w:r w:rsidRPr="00D50683">
        <w:rPr>
          <w:sz w:val="22"/>
          <w:szCs w:val="22"/>
          <w:lang w:val="sr-Cyrl-CS"/>
        </w:rPr>
        <w:t xml:space="preserve"> </w:t>
      </w:r>
      <w:r w:rsidRPr="00D50683">
        <w:rPr>
          <w:sz w:val="22"/>
          <w:szCs w:val="22"/>
          <w:lang w:val="sr-Latn-CS"/>
        </w:rPr>
        <w:t>fizičko-hemijska</w:t>
      </w:r>
      <w:r w:rsidRPr="00D50683">
        <w:rPr>
          <w:sz w:val="22"/>
          <w:szCs w:val="22"/>
          <w:lang w:val="sr-Cyrl-CS"/>
        </w:rPr>
        <w:t xml:space="preserve"> </w:t>
      </w:r>
      <w:r w:rsidRPr="00D50683">
        <w:rPr>
          <w:sz w:val="22"/>
          <w:szCs w:val="22"/>
          <w:lang w:val="sr-Latn-CS"/>
        </w:rPr>
        <w:t>analiza</w:t>
      </w:r>
      <w:r w:rsidRPr="00D50683">
        <w:rPr>
          <w:sz w:val="22"/>
          <w:szCs w:val="22"/>
          <w:lang w:val="sr-Cyrl-CS"/>
        </w:rPr>
        <w:t xml:space="preserve"> </w:t>
      </w:r>
      <w:r w:rsidRPr="00D50683">
        <w:rPr>
          <w:sz w:val="22"/>
          <w:szCs w:val="22"/>
          <w:lang w:val="sr-Latn-CS"/>
        </w:rPr>
        <w:t>vode</w:t>
      </w:r>
      <w:r w:rsidRPr="00D50683">
        <w:rPr>
          <w:sz w:val="22"/>
          <w:szCs w:val="22"/>
          <w:lang w:val="sr-Cyrl-CS"/>
        </w:rPr>
        <w:t xml:space="preserve"> </w:t>
      </w:r>
      <w:r w:rsidRPr="00D50683">
        <w:rPr>
          <w:sz w:val="22"/>
          <w:szCs w:val="22"/>
          <w:lang w:val="sr-Latn-CS"/>
        </w:rPr>
        <w:t>koja</w:t>
      </w:r>
      <w:r w:rsidRPr="00D50683">
        <w:rPr>
          <w:sz w:val="22"/>
          <w:szCs w:val="22"/>
          <w:lang w:val="sr-Cyrl-CS"/>
        </w:rPr>
        <w:t xml:space="preserve"> </w:t>
      </w:r>
      <w:r w:rsidRPr="00D50683">
        <w:rPr>
          <w:sz w:val="22"/>
          <w:szCs w:val="22"/>
          <w:lang w:val="sr-Latn-CS"/>
        </w:rPr>
        <w:t>obuhvata</w:t>
      </w:r>
      <w:r w:rsidRPr="00D50683">
        <w:rPr>
          <w:sz w:val="22"/>
          <w:szCs w:val="22"/>
          <w:lang w:val="sr-Cyrl-CS"/>
        </w:rPr>
        <w:t xml:space="preserve"> </w:t>
      </w:r>
      <w:r w:rsidRPr="00D50683">
        <w:rPr>
          <w:sz w:val="22"/>
          <w:szCs w:val="22"/>
          <w:lang w:val="sr-Latn-CS"/>
        </w:rPr>
        <w:t>slede</w:t>
      </w:r>
      <w:r w:rsidRPr="00D50683">
        <w:rPr>
          <w:sz w:val="22"/>
          <w:szCs w:val="22"/>
          <w:lang w:val="sr-Cyrl-CS"/>
        </w:rPr>
        <w:t>ć</w:t>
      </w:r>
      <w:r w:rsidRPr="00D50683">
        <w:rPr>
          <w:sz w:val="22"/>
          <w:szCs w:val="22"/>
          <w:lang w:val="sr-Latn-CS"/>
        </w:rPr>
        <w:t>e</w:t>
      </w:r>
      <w:r w:rsidRPr="00D50683">
        <w:rPr>
          <w:sz w:val="22"/>
          <w:szCs w:val="22"/>
          <w:lang w:val="sr-Cyrl-CS"/>
        </w:rPr>
        <w:t xml:space="preserve"> </w:t>
      </w:r>
      <w:r w:rsidRPr="00D50683">
        <w:rPr>
          <w:sz w:val="22"/>
          <w:szCs w:val="22"/>
          <w:lang w:val="sr-Latn-CS"/>
        </w:rPr>
        <w:t>parametre</w:t>
      </w:r>
      <w:r w:rsidRPr="00D50683">
        <w:rPr>
          <w:sz w:val="22"/>
          <w:szCs w:val="22"/>
          <w:lang w:val="sr-Cyrl-CS"/>
        </w:rPr>
        <w:t xml:space="preserve">: </w:t>
      </w:r>
      <w:r w:rsidRPr="00D50683">
        <w:rPr>
          <w:sz w:val="22"/>
          <w:szCs w:val="22"/>
          <w:lang w:val="sr-Latn-CS"/>
        </w:rPr>
        <w:t>miris</w:t>
      </w:r>
      <w:r w:rsidRPr="00D50683">
        <w:rPr>
          <w:sz w:val="22"/>
          <w:szCs w:val="22"/>
          <w:lang w:val="sr-Cyrl-CS"/>
        </w:rPr>
        <w:t xml:space="preserve">, </w:t>
      </w:r>
      <w:r w:rsidRPr="00D50683">
        <w:rPr>
          <w:sz w:val="22"/>
          <w:szCs w:val="22"/>
          <w:lang w:val="sr-Latn-CS"/>
        </w:rPr>
        <w:t>boj</w:t>
      </w:r>
      <w:r w:rsidRPr="00D50683">
        <w:rPr>
          <w:sz w:val="22"/>
          <w:szCs w:val="22"/>
          <w:lang w:val="sr-Cyrl-CS"/>
        </w:rPr>
        <w:t xml:space="preserve">u, </w:t>
      </w:r>
      <w:r w:rsidRPr="00D50683">
        <w:rPr>
          <w:sz w:val="22"/>
          <w:szCs w:val="22"/>
          <w:lang w:val="sr-Latn-CS"/>
        </w:rPr>
        <w:t>pH</w:t>
      </w:r>
      <w:r w:rsidRPr="00D50683">
        <w:rPr>
          <w:sz w:val="22"/>
          <w:szCs w:val="22"/>
          <w:lang w:val="sr-Cyrl-CS"/>
        </w:rPr>
        <w:t xml:space="preserve"> </w:t>
      </w:r>
      <w:r w:rsidRPr="00D50683">
        <w:rPr>
          <w:sz w:val="22"/>
          <w:szCs w:val="22"/>
          <w:lang w:val="sr-Latn-CS"/>
        </w:rPr>
        <w:t>vrednost</w:t>
      </w:r>
      <w:r w:rsidRPr="00D50683">
        <w:rPr>
          <w:sz w:val="22"/>
          <w:szCs w:val="22"/>
          <w:lang w:val="sr-Cyrl-CS"/>
        </w:rPr>
        <w:t xml:space="preserve">, </w:t>
      </w:r>
      <w:r w:rsidRPr="00D50683">
        <w:rPr>
          <w:sz w:val="22"/>
          <w:szCs w:val="22"/>
          <w:lang w:val="sr-Latn-CS"/>
        </w:rPr>
        <w:t>utro</w:t>
      </w:r>
      <w:r w:rsidRPr="00D50683">
        <w:rPr>
          <w:sz w:val="22"/>
          <w:szCs w:val="22"/>
          <w:lang w:val="sr-Cyrl-CS"/>
        </w:rPr>
        <w:t>š</w:t>
      </w:r>
      <w:r w:rsidRPr="00D50683">
        <w:rPr>
          <w:sz w:val="22"/>
          <w:szCs w:val="22"/>
          <w:lang w:val="sr-Latn-CS"/>
        </w:rPr>
        <w:t>ak</w:t>
      </w:r>
      <w:r w:rsidRPr="00D50683">
        <w:rPr>
          <w:sz w:val="22"/>
          <w:szCs w:val="22"/>
          <w:lang w:val="sr-Cyrl-CS"/>
        </w:rPr>
        <w:t xml:space="preserve"> </w:t>
      </w:r>
      <w:r w:rsidRPr="00D50683">
        <w:rPr>
          <w:sz w:val="22"/>
          <w:szCs w:val="22"/>
          <w:lang w:val="sr-Latn-CS"/>
        </w:rPr>
        <w:t>KMnO</w:t>
      </w:r>
      <w:r w:rsidRPr="00753150">
        <w:rPr>
          <w:sz w:val="22"/>
          <w:szCs w:val="22"/>
          <w:vertAlign w:val="subscript"/>
          <w:lang w:val="sr-Latn-CS"/>
        </w:rPr>
        <w:t>4</w:t>
      </w:r>
      <w:r w:rsidRPr="00D50683">
        <w:rPr>
          <w:sz w:val="22"/>
          <w:szCs w:val="22"/>
          <w:lang w:val="sr-Cyrl-CS"/>
        </w:rPr>
        <w:t xml:space="preserve">, </w:t>
      </w:r>
      <w:r w:rsidRPr="00D50683">
        <w:rPr>
          <w:sz w:val="22"/>
          <w:szCs w:val="22"/>
          <w:lang w:val="sr-Latn-CS"/>
        </w:rPr>
        <w:t>mutno</w:t>
      </w:r>
      <w:r w:rsidRPr="00D50683">
        <w:rPr>
          <w:sz w:val="22"/>
          <w:szCs w:val="22"/>
          <w:lang w:val="sr-Cyrl-CS"/>
        </w:rPr>
        <w:t xml:space="preserve">ću, </w:t>
      </w:r>
      <w:r w:rsidRPr="00D50683">
        <w:rPr>
          <w:sz w:val="22"/>
          <w:szCs w:val="22"/>
          <w:lang w:val="sr-Latn-CS"/>
        </w:rPr>
        <w:t>nitrit</w:t>
      </w:r>
      <w:r w:rsidRPr="00D50683">
        <w:rPr>
          <w:sz w:val="22"/>
          <w:szCs w:val="22"/>
          <w:lang w:val="sr-Cyrl-CS"/>
        </w:rPr>
        <w:t xml:space="preserve">e, </w:t>
      </w:r>
      <w:r w:rsidRPr="00D50683">
        <w:rPr>
          <w:sz w:val="22"/>
          <w:szCs w:val="22"/>
          <w:lang w:val="sr-Latn-CS"/>
        </w:rPr>
        <w:t>nitrat</w:t>
      </w:r>
      <w:r w:rsidRPr="00D50683">
        <w:rPr>
          <w:sz w:val="22"/>
          <w:szCs w:val="22"/>
          <w:lang w:val="sr-Cyrl-CS"/>
        </w:rPr>
        <w:t xml:space="preserve">e, </w:t>
      </w:r>
      <w:r w:rsidRPr="00D50683">
        <w:rPr>
          <w:sz w:val="22"/>
          <w:szCs w:val="22"/>
          <w:lang w:val="sr-Latn-CS"/>
        </w:rPr>
        <w:t>amonijak</w:t>
      </w:r>
      <w:r w:rsidRPr="00D50683">
        <w:rPr>
          <w:sz w:val="22"/>
          <w:szCs w:val="22"/>
          <w:lang w:val="sr-Cyrl-CS"/>
        </w:rPr>
        <w:t xml:space="preserve">, </w:t>
      </w:r>
      <w:r w:rsidRPr="00D50683">
        <w:rPr>
          <w:sz w:val="22"/>
          <w:szCs w:val="22"/>
          <w:lang w:val="sr-Latn-CS"/>
        </w:rPr>
        <w:t>hlorid</w:t>
      </w:r>
      <w:r w:rsidRPr="00D50683">
        <w:rPr>
          <w:sz w:val="22"/>
          <w:szCs w:val="22"/>
          <w:lang w:val="sr-Cyrl-CS"/>
        </w:rPr>
        <w:t xml:space="preserve">e, </w:t>
      </w:r>
      <w:r w:rsidRPr="00D50683">
        <w:rPr>
          <w:sz w:val="22"/>
          <w:szCs w:val="22"/>
          <w:lang w:val="sr-Latn-CS"/>
        </w:rPr>
        <w:t>elektroprovodljivost, kao i mikrobi</w:t>
      </w:r>
      <w:r w:rsidRPr="00D50683">
        <w:rPr>
          <w:sz w:val="22"/>
          <w:szCs w:val="22"/>
          <w:lang w:val="sr-Cyrl-CS"/>
        </w:rPr>
        <w:t>o</w:t>
      </w:r>
      <w:r w:rsidRPr="00D50683">
        <w:rPr>
          <w:sz w:val="22"/>
          <w:szCs w:val="22"/>
          <w:lang w:val="sr-Latn-CS"/>
        </w:rPr>
        <w:t>lo</w:t>
      </w:r>
      <w:r w:rsidRPr="00D50683">
        <w:rPr>
          <w:sz w:val="22"/>
          <w:szCs w:val="22"/>
          <w:lang w:val="sr-Cyrl-CS"/>
        </w:rPr>
        <w:t>š</w:t>
      </w:r>
      <w:r w:rsidRPr="00D50683">
        <w:rPr>
          <w:sz w:val="22"/>
          <w:szCs w:val="22"/>
          <w:lang w:val="sr-Latn-CS"/>
        </w:rPr>
        <w:t>ka</w:t>
      </w:r>
      <w:r w:rsidRPr="00D50683">
        <w:rPr>
          <w:sz w:val="22"/>
          <w:szCs w:val="22"/>
          <w:lang w:val="sr-Cyrl-CS"/>
        </w:rPr>
        <w:t xml:space="preserve"> </w:t>
      </w:r>
      <w:r w:rsidRPr="00D50683">
        <w:rPr>
          <w:sz w:val="22"/>
          <w:szCs w:val="22"/>
          <w:lang w:val="sr-Latn-CS"/>
        </w:rPr>
        <w:t>analiza (</w:t>
      </w:r>
      <w:r w:rsidR="007271FD">
        <w:rPr>
          <w:sz w:val="22"/>
          <w:szCs w:val="22"/>
          <w:lang w:val="sr-Latn-CS"/>
        </w:rPr>
        <w:t>Rajakovi</w:t>
      </w:r>
      <w:r w:rsidR="007271FD" w:rsidRPr="00EF4DBE">
        <w:rPr>
          <w:sz w:val="22"/>
          <w:szCs w:val="22"/>
          <w:lang w:val="sr-Latn-CS"/>
        </w:rPr>
        <w:t>ć-Ognjanović</w:t>
      </w:r>
      <w:r w:rsidRPr="00D50683">
        <w:rPr>
          <w:sz w:val="22"/>
          <w:szCs w:val="22"/>
          <w:lang w:val="sr-Latn-CS"/>
        </w:rPr>
        <w:t>, 20</w:t>
      </w:r>
      <w:r w:rsidR="007271FD">
        <w:rPr>
          <w:sz w:val="22"/>
          <w:szCs w:val="22"/>
          <w:lang w:val="sr-Latn-CS"/>
        </w:rPr>
        <w:t>1</w:t>
      </w:r>
      <w:r w:rsidRPr="00D50683">
        <w:rPr>
          <w:sz w:val="22"/>
          <w:szCs w:val="22"/>
          <w:lang w:val="sr-Latn-CS"/>
        </w:rPr>
        <w:t>6).</w:t>
      </w:r>
    </w:p>
    <w:p w:rsidR="00BE2F2E" w:rsidRDefault="00BE2F2E" w:rsidP="00D50683">
      <w:pPr>
        <w:ind w:firstLine="425"/>
        <w:jc w:val="both"/>
        <w:rPr>
          <w:sz w:val="22"/>
          <w:szCs w:val="22"/>
          <w:lang w:val="sr-Latn-CS"/>
        </w:rPr>
      </w:pPr>
      <w:r w:rsidRPr="00D50683">
        <w:rPr>
          <w:sz w:val="22"/>
          <w:szCs w:val="22"/>
          <w:lang w:val="sr-Latn-CS"/>
        </w:rPr>
        <w:t>Analitičke metode i granica detekcije za sve ispitivane parametre prikazane su u tabeli 1 (EPA, 2015).</w:t>
      </w:r>
    </w:p>
    <w:p w:rsidR="00BE2F2E" w:rsidRDefault="00BE2F2E" w:rsidP="00D50683">
      <w:pPr>
        <w:ind w:firstLine="425"/>
        <w:jc w:val="both"/>
        <w:rPr>
          <w:sz w:val="22"/>
          <w:szCs w:val="22"/>
          <w:lang w:val="sr-Latn-CS"/>
        </w:rPr>
      </w:pPr>
    </w:p>
    <w:p w:rsidR="00BE2F2E" w:rsidRPr="00306C72" w:rsidRDefault="00BE2F2E" w:rsidP="00D50683">
      <w:pPr>
        <w:jc w:val="both"/>
        <w:rPr>
          <w:sz w:val="22"/>
          <w:szCs w:val="22"/>
          <w:lang w:val="sr-Latn-CS"/>
        </w:rPr>
      </w:pPr>
      <w:r w:rsidRPr="00306C72">
        <w:rPr>
          <w:sz w:val="22"/>
          <w:szCs w:val="22"/>
          <w:lang w:val="it-IT"/>
        </w:rPr>
        <w:t>Tabela</w:t>
      </w:r>
      <w:r w:rsidRPr="00306C72">
        <w:rPr>
          <w:sz w:val="22"/>
          <w:szCs w:val="22"/>
          <w:lang w:val="sr-Latn-CS"/>
        </w:rPr>
        <w:t xml:space="preserve"> 1. Analitičke metode primenjene u radu i njihova granica detekcije</w:t>
      </w:r>
      <w:r>
        <w:rPr>
          <w:sz w:val="22"/>
          <w:szCs w:val="22"/>
          <w:lang w:val="sr-Latn-CS"/>
        </w:rPr>
        <w:t>.</w:t>
      </w:r>
    </w:p>
    <w:p w:rsidR="00BE2F2E" w:rsidRPr="00DA0FEB" w:rsidRDefault="00BE2F2E" w:rsidP="00D50683">
      <w:pPr>
        <w:jc w:val="both"/>
        <w:rPr>
          <w:i/>
          <w:iCs/>
          <w:lang w:val="sr-Latn-CS"/>
        </w:rPr>
      </w:pPr>
      <w:r w:rsidRPr="00306C72">
        <w:rPr>
          <w:i/>
          <w:iCs/>
          <w:sz w:val="22"/>
          <w:szCs w:val="22"/>
          <w:lang w:val="sr-Latn-CS"/>
        </w:rPr>
        <w:t>Table 1. Analytical methods used in the paper and their detection limit</w:t>
      </w:r>
      <w:r>
        <w:rPr>
          <w:i/>
          <w:iCs/>
          <w:sz w:val="22"/>
          <w:szCs w:val="22"/>
          <w:lang w:val="sr-Latn-CS"/>
        </w:rPr>
        <w:t>.</w:t>
      </w:r>
    </w:p>
    <w:p w:rsidR="00BE2F2E" w:rsidRDefault="00BE2F2E" w:rsidP="00D50683">
      <w:pPr>
        <w:jc w:val="both"/>
        <w:rPr>
          <w:b/>
          <w:bCs/>
          <w:sz w:val="22"/>
          <w:szCs w:val="22"/>
          <w:lang w:val="sr-Latn-CS"/>
        </w:rPr>
      </w:pPr>
    </w:p>
    <w:tbl>
      <w:tblPr>
        <w:tblW w:w="7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20"/>
      </w:tblPr>
      <w:tblGrid>
        <w:gridCol w:w="1409"/>
        <w:gridCol w:w="712"/>
        <w:gridCol w:w="3061"/>
        <w:gridCol w:w="680"/>
        <w:gridCol w:w="1474"/>
      </w:tblGrid>
      <w:tr w:rsidR="00BE2F2E" w:rsidRPr="000D7C85">
        <w:trPr>
          <w:trHeight w:val="340"/>
          <w:jc w:val="center"/>
        </w:trPr>
        <w:tc>
          <w:tcPr>
            <w:tcW w:w="1409" w:type="dxa"/>
            <w:tcBorders>
              <w:left w:val="nil"/>
              <w:right w:val="nil"/>
            </w:tcBorders>
            <w:vAlign w:val="center"/>
          </w:tcPr>
          <w:p w:rsidR="00BE2F2E" w:rsidRPr="000D7C85" w:rsidRDefault="00BE2F2E" w:rsidP="00D50683">
            <w:pPr>
              <w:jc w:val="center"/>
              <w:rPr>
                <w:sz w:val="15"/>
                <w:szCs w:val="15"/>
                <w:lang w:val="sr-Latn-CS"/>
              </w:rPr>
            </w:pPr>
            <w:r w:rsidRPr="000D7C85">
              <w:rPr>
                <w:sz w:val="15"/>
                <w:szCs w:val="15"/>
                <w:lang w:val="sr-Latn-CS"/>
              </w:rPr>
              <w:t>Pokazatelj</w:t>
            </w:r>
          </w:p>
          <w:p w:rsidR="00BE2F2E" w:rsidRPr="000D7C85" w:rsidRDefault="00BE2F2E" w:rsidP="00D50683">
            <w:pPr>
              <w:jc w:val="center"/>
              <w:rPr>
                <w:i/>
                <w:iCs/>
                <w:sz w:val="15"/>
                <w:szCs w:val="15"/>
                <w:lang w:val="sr-Latn-CS"/>
              </w:rPr>
            </w:pPr>
            <w:r w:rsidRPr="000D7C85">
              <w:rPr>
                <w:i/>
                <w:iCs/>
                <w:sz w:val="15"/>
                <w:szCs w:val="15"/>
                <w:lang w:val="sr-Latn-CS"/>
              </w:rPr>
              <w:t>Parameter unit</w:t>
            </w:r>
          </w:p>
        </w:tc>
        <w:tc>
          <w:tcPr>
            <w:tcW w:w="712" w:type="dxa"/>
            <w:tcBorders>
              <w:left w:val="nil"/>
              <w:right w:val="nil"/>
            </w:tcBorders>
            <w:vAlign w:val="center"/>
          </w:tcPr>
          <w:p w:rsidR="00BE2F2E" w:rsidRPr="000D7C85" w:rsidRDefault="00BE2F2E" w:rsidP="00D50683">
            <w:pPr>
              <w:jc w:val="center"/>
              <w:rPr>
                <w:sz w:val="15"/>
                <w:szCs w:val="15"/>
                <w:lang w:val="sr-Latn-CS"/>
              </w:rPr>
            </w:pPr>
            <w:r w:rsidRPr="000D7C85">
              <w:rPr>
                <w:sz w:val="15"/>
                <w:szCs w:val="15"/>
                <w:lang w:val="sr-Latn-CS"/>
              </w:rPr>
              <w:t>Merna</w:t>
            </w:r>
          </w:p>
          <w:p w:rsidR="00BE2F2E" w:rsidRPr="000D7C85" w:rsidRDefault="00BE2F2E" w:rsidP="00D50683">
            <w:pPr>
              <w:jc w:val="center"/>
              <w:rPr>
                <w:sz w:val="15"/>
                <w:szCs w:val="15"/>
                <w:lang w:val="sr-Latn-CS"/>
              </w:rPr>
            </w:pPr>
            <w:r w:rsidRPr="000D7C85">
              <w:rPr>
                <w:sz w:val="15"/>
                <w:szCs w:val="15"/>
                <w:lang w:val="sr-Latn-CS"/>
              </w:rPr>
              <w:t>jedinica</w:t>
            </w:r>
          </w:p>
          <w:p w:rsidR="00BE2F2E" w:rsidRPr="000D7C85" w:rsidRDefault="00BE2F2E" w:rsidP="00D50683">
            <w:pPr>
              <w:jc w:val="center"/>
              <w:rPr>
                <w:i/>
                <w:iCs/>
                <w:sz w:val="15"/>
                <w:szCs w:val="15"/>
                <w:lang w:val="sr-Latn-CS"/>
              </w:rPr>
            </w:pPr>
            <w:r w:rsidRPr="000D7C85">
              <w:rPr>
                <w:rStyle w:val="shorttext"/>
                <w:i/>
                <w:iCs/>
                <w:sz w:val="15"/>
                <w:szCs w:val="15"/>
              </w:rPr>
              <w:t>Measurement unit</w:t>
            </w:r>
          </w:p>
        </w:tc>
        <w:tc>
          <w:tcPr>
            <w:tcW w:w="3061" w:type="dxa"/>
            <w:tcBorders>
              <w:left w:val="nil"/>
              <w:right w:val="nil"/>
            </w:tcBorders>
            <w:vAlign w:val="center"/>
          </w:tcPr>
          <w:p w:rsidR="00BE2F2E" w:rsidRPr="000D7C85" w:rsidRDefault="00BE2F2E" w:rsidP="00D50683">
            <w:pPr>
              <w:jc w:val="center"/>
              <w:rPr>
                <w:sz w:val="15"/>
                <w:szCs w:val="15"/>
                <w:lang w:val="sr-Latn-CS"/>
              </w:rPr>
            </w:pPr>
            <w:r w:rsidRPr="000D7C85">
              <w:rPr>
                <w:sz w:val="15"/>
                <w:szCs w:val="15"/>
                <w:lang w:val="sr-Latn-CS"/>
              </w:rPr>
              <w:t>Analitička metoda</w:t>
            </w:r>
          </w:p>
          <w:p w:rsidR="00BE2F2E" w:rsidRPr="000D7C85" w:rsidRDefault="00BE2F2E" w:rsidP="00D50683">
            <w:pPr>
              <w:jc w:val="center"/>
              <w:rPr>
                <w:i/>
                <w:iCs/>
                <w:sz w:val="15"/>
                <w:szCs w:val="15"/>
                <w:lang w:val="sr-Latn-CS"/>
              </w:rPr>
            </w:pPr>
            <w:r w:rsidRPr="000D7C85">
              <w:rPr>
                <w:i/>
                <w:iCs/>
                <w:sz w:val="15"/>
                <w:szCs w:val="15"/>
                <w:lang w:val="sr-Latn-CS"/>
              </w:rPr>
              <w:t>Analytical methods</w:t>
            </w:r>
          </w:p>
        </w:tc>
        <w:tc>
          <w:tcPr>
            <w:tcW w:w="680" w:type="dxa"/>
            <w:tcBorders>
              <w:left w:val="nil"/>
              <w:right w:val="nil"/>
            </w:tcBorders>
            <w:vAlign w:val="center"/>
          </w:tcPr>
          <w:p w:rsidR="00BE2F2E" w:rsidRPr="000D7C85" w:rsidRDefault="00BE2F2E" w:rsidP="00D50683">
            <w:pPr>
              <w:jc w:val="center"/>
              <w:rPr>
                <w:sz w:val="15"/>
                <w:szCs w:val="15"/>
                <w:lang w:val="sr-Latn-CS"/>
              </w:rPr>
            </w:pPr>
            <w:r w:rsidRPr="000D7C85">
              <w:rPr>
                <w:sz w:val="15"/>
                <w:szCs w:val="15"/>
                <w:lang w:val="sr-Latn-CS"/>
              </w:rPr>
              <w:t>Granica detekcije</w:t>
            </w:r>
          </w:p>
          <w:p w:rsidR="00BE2F2E" w:rsidRPr="000D7C85" w:rsidRDefault="00BE2F2E" w:rsidP="00D50683">
            <w:pPr>
              <w:jc w:val="center"/>
              <w:rPr>
                <w:i/>
                <w:iCs/>
                <w:sz w:val="15"/>
                <w:szCs w:val="15"/>
                <w:lang w:val="sr-Latn-CS"/>
              </w:rPr>
            </w:pPr>
            <w:r w:rsidRPr="000D7C85">
              <w:rPr>
                <w:rStyle w:val="shorttext"/>
                <w:i/>
                <w:iCs/>
                <w:sz w:val="15"/>
                <w:szCs w:val="15"/>
              </w:rPr>
              <w:t>Detection limit</w:t>
            </w:r>
          </w:p>
        </w:tc>
        <w:tc>
          <w:tcPr>
            <w:tcW w:w="1474" w:type="dxa"/>
            <w:tcBorders>
              <w:left w:val="nil"/>
              <w:right w:val="nil"/>
            </w:tcBorders>
            <w:vAlign w:val="center"/>
          </w:tcPr>
          <w:p w:rsidR="00BE2F2E" w:rsidRPr="000D7C85" w:rsidRDefault="00BE2F2E" w:rsidP="00D50683">
            <w:pPr>
              <w:jc w:val="center"/>
              <w:rPr>
                <w:sz w:val="15"/>
                <w:szCs w:val="15"/>
                <w:lang w:val="sr-Latn-CS"/>
              </w:rPr>
            </w:pPr>
            <w:r w:rsidRPr="000D7C85">
              <w:rPr>
                <w:sz w:val="15"/>
                <w:szCs w:val="15"/>
                <w:lang w:val="sr-Latn-CS"/>
              </w:rPr>
              <w:t>MDK vrednost</w:t>
            </w:r>
          </w:p>
          <w:p w:rsidR="00BE2F2E" w:rsidRPr="000D7C85" w:rsidRDefault="00BE2F2E" w:rsidP="00D50683">
            <w:pPr>
              <w:jc w:val="center"/>
              <w:rPr>
                <w:i/>
                <w:iCs/>
                <w:sz w:val="15"/>
                <w:szCs w:val="15"/>
                <w:lang w:val="sr-Latn-CS"/>
              </w:rPr>
            </w:pPr>
            <w:r w:rsidRPr="000D7C85">
              <w:rPr>
                <w:i/>
                <w:iCs/>
                <w:sz w:val="15"/>
                <w:szCs w:val="15"/>
                <w:lang w:val="sr-Latn-CS"/>
              </w:rPr>
              <w:t>Maximum acceptable concentration</w:t>
            </w:r>
            <w:r w:rsidRPr="000D7C85">
              <w:rPr>
                <w:sz w:val="15"/>
                <w:szCs w:val="15"/>
                <w:lang w:val="sr-Latn-CS"/>
              </w:rPr>
              <w:t xml:space="preserve"> (MAC)</w:t>
            </w:r>
          </w:p>
        </w:tc>
      </w:tr>
      <w:tr w:rsidR="00BE2F2E" w:rsidRPr="000D7C85">
        <w:trPr>
          <w:jc w:val="center"/>
        </w:trPr>
        <w:tc>
          <w:tcPr>
            <w:tcW w:w="1409" w:type="dxa"/>
            <w:tcBorders>
              <w:left w:val="nil"/>
              <w:bottom w:val="nil"/>
              <w:right w:val="nil"/>
            </w:tcBorders>
            <w:vAlign w:val="center"/>
          </w:tcPr>
          <w:p w:rsidR="00BE2F2E" w:rsidRPr="000D7C85" w:rsidRDefault="00BE2F2E" w:rsidP="000D7C85">
            <w:pPr>
              <w:rPr>
                <w:sz w:val="15"/>
                <w:szCs w:val="15"/>
                <w:lang w:val="sr-Latn-CS"/>
              </w:rPr>
            </w:pPr>
            <w:r w:rsidRPr="000D7C85">
              <w:rPr>
                <w:rStyle w:val="hpsalt-edited"/>
                <w:sz w:val="15"/>
                <w:szCs w:val="15"/>
              </w:rPr>
              <w:t>Amonijak</w:t>
            </w:r>
          </w:p>
        </w:tc>
        <w:tc>
          <w:tcPr>
            <w:tcW w:w="712" w:type="dxa"/>
            <w:tcBorders>
              <w:left w:val="nil"/>
              <w:bottom w:val="nil"/>
              <w:right w:val="nil"/>
            </w:tcBorders>
            <w:vAlign w:val="center"/>
          </w:tcPr>
          <w:p w:rsidR="00BE2F2E" w:rsidRPr="000D7C85" w:rsidRDefault="00BE2F2E" w:rsidP="000D7C85">
            <w:pPr>
              <w:jc w:val="center"/>
              <w:rPr>
                <w:sz w:val="15"/>
                <w:szCs w:val="15"/>
                <w:vertAlign w:val="superscript"/>
                <w:lang w:val="sr-Latn-CS"/>
              </w:rPr>
            </w:pPr>
            <w:r w:rsidRPr="000D7C85">
              <w:rPr>
                <w:sz w:val="15"/>
                <w:szCs w:val="15"/>
                <w:lang w:val="sr-Latn-CS"/>
              </w:rPr>
              <w:t>mg/dm</w:t>
            </w:r>
            <w:r w:rsidRPr="000D7C85">
              <w:rPr>
                <w:sz w:val="15"/>
                <w:szCs w:val="15"/>
                <w:vertAlign w:val="superscript"/>
                <w:lang w:val="sr-Latn-CS"/>
              </w:rPr>
              <w:t>3</w:t>
            </w:r>
          </w:p>
        </w:tc>
        <w:tc>
          <w:tcPr>
            <w:tcW w:w="3061" w:type="dxa"/>
            <w:tcBorders>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it-IT"/>
              </w:rPr>
              <w:t>spektrofotometrijski sa Neslerovim reagensom</w:t>
            </w:r>
          </w:p>
        </w:tc>
        <w:tc>
          <w:tcPr>
            <w:tcW w:w="680" w:type="dxa"/>
            <w:tcBorders>
              <w:left w:val="nil"/>
              <w:bottom w:val="nil"/>
              <w:right w:val="nil"/>
            </w:tcBorders>
            <w:vAlign w:val="center"/>
          </w:tcPr>
          <w:p w:rsidR="00BE2F2E" w:rsidRPr="000D7C85" w:rsidRDefault="00BE2F2E" w:rsidP="000D7C85">
            <w:pPr>
              <w:jc w:val="center"/>
              <w:rPr>
                <w:sz w:val="15"/>
                <w:szCs w:val="15"/>
                <w:lang w:val="sr-Latn-CS"/>
              </w:rPr>
            </w:pPr>
          </w:p>
        </w:tc>
        <w:tc>
          <w:tcPr>
            <w:tcW w:w="1474" w:type="dxa"/>
            <w:tcBorders>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0,50</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lang w:val="sr-Latn-CS"/>
              </w:rPr>
            </w:pPr>
            <w:r w:rsidRPr="000D7C85">
              <w:rPr>
                <w:sz w:val="15"/>
                <w:szCs w:val="15"/>
                <w:lang w:val="sr-Latn-CS"/>
              </w:rPr>
              <w:t>Boja</w:t>
            </w:r>
          </w:p>
        </w:tc>
        <w:tc>
          <w:tcPr>
            <w:tcW w:w="712"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mg/dm</w:t>
            </w:r>
            <w:r w:rsidRPr="000D7C85">
              <w:rPr>
                <w:sz w:val="15"/>
                <w:szCs w:val="15"/>
                <w:vertAlign w:val="superscript"/>
                <w:lang w:val="sr-Latn-CS"/>
              </w:rPr>
              <w:t>3</w:t>
            </w:r>
            <w:r w:rsidRPr="000D7C85">
              <w:rPr>
                <w:sz w:val="15"/>
                <w:szCs w:val="15"/>
                <w:lang w:val="sr-Latn-CS"/>
              </w:rPr>
              <w:t xml:space="preserve"> Pt/Co skale</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spektrofotometrijski:</w:t>
            </w:r>
          </w:p>
          <w:p w:rsidR="00BE2F2E" w:rsidRPr="000D7C85" w:rsidRDefault="00BE2F2E" w:rsidP="000D7C85">
            <w:pPr>
              <w:jc w:val="center"/>
              <w:rPr>
                <w:sz w:val="15"/>
                <w:szCs w:val="15"/>
                <w:lang w:val="sr-Latn-CS"/>
              </w:rPr>
            </w:pPr>
            <w:r w:rsidRPr="000D7C85">
              <w:rPr>
                <w:sz w:val="15"/>
                <w:szCs w:val="15"/>
                <w:lang w:val="sr-Latn-CS"/>
              </w:rPr>
              <w:t>kolorimetrijski pomoću Pt/Co skale</w:t>
            </w: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w:t>
            </w: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20</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lang w:val="sr-Latn-CS"/>
              </w:rPr>
            </w:pPr>
            <w:r w:rsidRPr="000D7C85">
              <w:rPr>
                <w:sz w:val="15"/>
                <w:szCs w:val="15"/>
                <w:lang w:val="sr-Latn-CS"/>
              </w:rPr>
              <w:t>Elektroprovodljivost</w:t>
            </w:r>
          </w:p>
        </w:tc>
        <w:tc>
          <w:tcPr>
            <w:tcW w:w="712"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μS/cm na 20ºC</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konduktometrijski</w:t>
            </w: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w:t>
            </w: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2500</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vertAlign w:val="superscript"/>
                <w:lang w:val="sr-Latn-CS"/>
              </w:rPr>
            </w:pPr>
            <w:r w:rsidRPr="000D7C85">
              <w:rPr>
                <w:sz w:val="15"/>
                <w:szCs w:val="15"/>
                <w:lang w:val="sr-Latn-CS"/>
              </w:rPr>
              <w:t>Hloridi, kao Cl</w:t>
            </w:r>
            <w:r w:rsidRPr="000D7C85">
              <w:rPr>
                <w:sz w:val="15"/>
                <w:szCs w:val="15"/>
                <w:vertAlign w:val="superscript"/>
                <w:lang w:val="sr-Latn-CS"/>
              </w:rPr>
              <w:t>–</w:t>
            </w:r>
          </w:p>
        </w:tc>
        <w:tc>
          <w:tcPr>
            <w:tcW w:w="712" w:type="dxa"/>
            <w:tcBorders>
              <w:top w:val="nil"/>
              <w:left w:val="nil"/>
              <w:bottom w:val="nil"/>
              <w:right w:val="nil"/>
            </w:tcBorders>
            <w:vAlign w:val="center"/>
          </w:tcPr>
          <w:p w:rsidR="00BE2F2E" w:rsidRPr="000D7C85" w:rsidRDefault="00BE2F2E" w:rsidP="000D7C85">
            <w:pPr>
              <w:jc w:val="center"/>
              <w:rPr>
                <w:sz w:val="15"/>
                <w:szCs w:val="15"/>
                <w:vertAlign w:val="superscript"/>
                <w:lang w:val="sr-Latn-CS"/>
              </w:rPr>
            </w:pPr>
            <w:r w:rsidRPr="000D7C85">
              <w:rPr>
                <w:sz w:val="15"/>
                <w:szCs w:val="15"/>
                <w:lang w:val="sr-Latn-CS"/>
              </w:rPr>
              <w:t>mg/dm</w:t>
            </w:r>
            <w:r w:rsidRPr="000D7C85">
              <w:rPr>
                <w:sz w:val="15"/>
                <w:szCs w:val="15"/>
                <w:vertAlign w:val="superscript"/>
                <w:lang w:val="sr-Latn-CS"/>
              </w:rPr>
              <w:t>3</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jon-selektivna elektroda (ISE)</w:t>
            </w: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0,01</w:t>
            </w: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250</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lang w:val="sr-Latn-CS"/>
              </w:rPr>
            </w:pPr>
            <w:r w:rsidRPr="000D7C85">
              <w:rPr>
                <w:sz w:val="15"/>
                <w:szCs w:val="15"/>
                <w:lang w:val="sr-Latn-CS"/>
              </w:rPr>
              <w:t>Kolimorfne bakterije</w:t>
            </w:r>
          </w:p>
        </w:tc>
        <w:tc>
          <w:tcPr>
            <w:tcW w:w="712" w:type="dxa"/>
            <w:tcBorders>
              <w:top w:val="nil"/>
              <w:left w:val="nil"/>
              <w:bottom w:val="nil"/>
              <w:right w:val="nil"/>
            </w:tcBorders>
            <w:vAlign w:val="center"/>
          </w:tcPr>
          <w:p w:rsidR="00BE2F2E" w:rsidRPr="000D7C85" w:rsidRDefault="00BE2F2E" w:rsidP="000D7C85">
            <w:pPr>
              <w:jc w:val="center"/>
              <w:rPr>
                <w:sz w:val="15"/>
                <w:szCs w:val="15"/>
                <w:vertAlign w:val="superscript"/>
                <w:lang w:val="sr-Latn-CS"/>
              </w:rPr>
            </w:pPr>
            <w:r w:rsidRPr="000D7C85">
              <w:rPr>
                <w:sz w:val="15"/>
                <w:szCs w:val="15"/>
                <w:lang w:val="sr-Latn-CS"/>
              </w:rPr>
              <w:t>broj/100 cm</w:t>
            </w:r>
            <w:r w:rsidRPr="000D7C85">
              <w:rPr>
                <w:sz w:val="15"/>
                <w:szCs w:val="15"/>
                <w:vertAlign w:val="superscript"/>
                <w:lang w:val="sr-Latn-CS"/>
              </w:rPr>
              <w:t>3</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sr-Latn-CS"/>
              </w:rPr>
            </w:pP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0</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lang w:val="sr-Latn-CS"/>
              </w:rPr>
            </w:pPr>
            <w:r w:rsidRPr="000D7C85">
              <w:rPr>
                <w:sz w:val="15"/>
                <w:szCs w:val="15"/>
                <w:lang w:val="sr-Latn-CS"/>
              </w:rPr>
              <w:t>pH vrednost</w:t>
            </w:r>
          </w:p>
        </w:tc>
        <w:tc>
          <w:tcPr>
            <w:tcW w:w="712"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 xml:space="preserve">potenciometrijski, ISE, </w:t>
            </w:r>
            <w:r w:rsidRPr="000D7C85">
              <w:rPr>
                <w:sz w:val="15"/>
                <w:szCs w:val="15"/>
              </w:rPr>
              <w:t>pH-metar CONSORT C830</w:t>
            </w: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w:t>
            </w: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6,50</w:t>
            </w:r>
            <w:r w:rsidRPr="000D7C85">
              <w:rPr>
                <w:rFonts w:ascii="Cambria Math" w:hAnsi="Cambria Math" w:cs="Cambria Math"/>
                <w:sz w:val="15"/>
                <w:szCs w:val="15"/>
              </w:rPr>
              <w:t>‒</w:t>
            </w:r>
            <w:r w:rsidRPr="000D7C85">
              <w:rPr>
                <w:sz w:val="15"/>
                <w:szCs w:val="15"/>
                <w:lang w:val="sr-Latn-CS"/>
              </w:rPr>
              <w:t>8,00</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lang w:val="sr-Latn-CS"/>
              </w:rPr>
            </w:pPr>
            <w:r w:rsidRPr="000D7C85">
              <w:rPr>
                <w:sz w:val="15"/>
                <w:szCs w:val="15"/>
                <w:lang w:val="sr-Latn-CS"/>
              </w:rPr>
              <w:t>Miris</w:t>
            </w:r>
          </w:p>
        </w:tc>
        <w:tc>
          <w:tcPr>
            <w:tcW w:w="712"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organoleptički</w:t>
            </w: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w:t>
            </w: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bez</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lang w:val="sr-Latn-CS"/>
              </w:rPr>
            </w:pPr>
            <w:r w:rsidRPr="000D7C85">
              <w:rPr>
                <w:sz w:val="15"/>
                <w:szCs w:val="15"/>
                <w:lang w:val="sr-Latn-CS"/>
              </w:rPr>
              <w:t>Mutnoća</w:t>
            </w:r>
          </w:p>
        </w:tc>
        <w:tc>
          <w:tcPr>
            <w:tcW w:w="712"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NTU jedinica</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it-IT"/>
              </w:rPr>
            </w:pPr>
            <w:r w:rsidRPr="000D7C85">
              <w:rPr>
                <w:sz w:val="15"/>
                <w:szCs w:val="15"/>
                <w:lang w:val="it-IT"/>
              </w:rPr>
              <w:t>metoda A: turbidimetrijski sa silikatnom zemljom</w:t>
            </w:r>
          </w:p>
          <w:p w:rsidR="00BE2F2E" w:rsidRPr="000D7C85" w:rsidRDefault="00BE2F2E" w:rsidP="000D7C85">
            <w:pPr>
              <w:jc w:val="center"/>
              <w:rPr>
                <w:sz w:val="15"/>
                <w:szCs w:val="15"/>
                <w:lang w:val="it-IT"/>
              </w:rPr>
            </w:pPr>
            <w:r w:rsidRPr="000D7C85">
              <w:rPr>
                <w:sz w:val="15"/>
                <w:szCs w:val="15"/>
                <w:lang w:val="it-IT"/>
              </w:rPr>
              <w:t>metoda B: nefelometrijski prema standardnom formazinskom polimeru</w:t>
            </w: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w:t>
            </w: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4</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vertAlign w:val="subscript"/>
                <w:lang w:val="sr-Latn-CS"/>
              </w:rPr>
            </w:pPr>
            <w:r w:rsidRPr="000D7C85">
              <w:rPr>
                <w:sz w:val="15"/>
                <w:szCs w:val="15"/>
              </w:rPr>
              <w:t>Oksidativnost</w:t>
            </w:r>
          </w:p>
        </w:tc>
        <w:tc>
          <w:tcPr>
            <w:tcW w:w="712" w:type="dxa"/>
            <w:tcBorders>
              <w:top w:val="nil"/>
              <w:left w:val="nil"/>
              <w:bottom w:val="nil"/>
              <w:right w:val="nil"/>
            </w:tcBorders>
            <w:vAlign w:val="center"/>
          </w:tcPr>
          <w:p w:rsidR="00BE2F2E" w:rsidRPr="000D7C85" w:rsidRDefault="00BE2F2E" w:rsidP="000D7C85">
            <w:pPr>
              <w:jc w:val="center"/>
              <w:rPr>
                <w:sz w:val="15"/>
                <w:szCs w:val="15"/>
                <w:vertAlign w:val="superscript"/>
                <w:lang w:val="sr-Latn-CS"/>
              </w:rPr>
            </w:pPr>
            <w:r w:rsidRPr="000D7C85">
              <w:rPr>
                <w:sz w:val="15"/>
                <w:szCs w:val="15"/>
                <w:lang w:val="sr-Latn-CS"/>
              </w:rPr>
              <w:t>mg O</w:t>
            </w:r>
            <w:r w:rsidRPr="000D7C85">
              <w:rPr>
                <w:sz w:val="15"/>
                <w:szCs w:val="15"/>
                <w:vertAlign w:val="subscript"/>
                <w:lang w:val="sr-Latn-CS"/>
              </w:rPr>
              <w:t>2</w:t>
            </w:r>
            <w:r w:rsidRPr="000D7C85">
              <w:rPr>
                <w:sz w:val="15"/>
                <w:szCs w:val="15"/>
                <w:lang w:val="sr-Latn-CS"/>
              </w:rPr>
              <w:t>/dm</w:t>
            </w:r>
            <w:r w:rsidRPr="000D7C85">
              <w:rPr>
                <w:sz w:val="15"/>
                <w:szCs w:val="15"/>
                <w:vertAlign w:val="superscript"/>
                <w:lang w:val="sr-Latn-CS"/>
              </w:rPr>
              <w:t>3</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potrošnja KMnO</w:t>
            </w:r>
            <w:r w:rsidRPr="000D7C85">
              <w:rPr>
                <w:sz w:val="15"/>
                <w:szCs w:val="15"/>
                <w:vertAlign w:val="subscript"/>
                <w:lang w:val="sr-Latn-CS"/>
              </w:rPr>
              <w:t>4</w:t>
            </w:r>
            <w:r w:rsidRPr="000D7C85">
              <w:rPr>
                <w:sz w:val="15"/>
                <w:szCs w:val="15"/>
                <w:lang w:val="sr-Latn-CS"/>
              </w:rPr>
              <w:t>, titracijom prema Kubel-Tijemanu</w:t>
            </w: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do 8 mg/dm</w:t>
            </w:r>
            <w:r w:rsidRPr="000D7C85">
              <w:rPr>
                <w:sz w:val="15"/>
                <w:szCs w:val="15"/>
                <w:vertAlign w:val="superscript"/>
                <w:lang w:val="sr-Latn-CS"/>
              </w:rPr>
              <w:t>3</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lang w:val="sr-Latn-CS"/>
              </w:rPr>
            </w:pPr>
            <w:r w:rsidRPr="000D7C85">
              <w:rPr>
                <w:sz w:val="15"/>
                <w:szCs w:val="15"/>
                <w:lang w:val="sr-Latn-CS"/>
              </w:rPr>
              <w:t>Ukus</w:t>
            </w:r>
          </w:p>
        </w:tc>
        <w:tc>
          <w:tcPr>
            <w:tcW w:w="712"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organoleptički</w:t>
            </w: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w:t>
            </w: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bez</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vertAlign w:val="superscript"/>
                <w:lang w:val="sr-Latn-CS"/>
              </w:rPr>
            </w:pPr>
            <w:r w:rsidRPr="000D7C85">
              <w:rPr>
                <w:sz w:val="15"/>
                <w:szCs w:val="15"/>
                <w:lang w:val="sr-Latn-CS"/>
              </w:rPr>
              <w:t>Nitrati, kao NO</w:t>
            </w:r>
            <w:r w:rsidRPr="000D7C85">
              <w:rPr>
                <w:sz w:val="15"/>
                <w:szCs w:val="15"/>
                <w:vertAlign w:val="subscript"/>
                <w:lang w:val="sr-Latn-CS"/>
              </w:rPr>
              <w:t>3</w:t>
            </w:r>
            <w:r w:rsidRPr="000D7C85">
              <w:rPr>
                <w:sz w:val="15"/>
                <w:szCs w:val="15"/>
                <w:vertAlign w:val="superscript"/>
                <w:lang w:val="sr-Latn-CS"/>
              </w:rPr>
              <w:t>–</w:t>
            </w:r>
          </w:p>
        </w:tc>
        <w:tc>
          <w:tcPr>
            <w:tcW w:w="712"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mg/dm</w:t>
            </w:r>
            <w:r w:rsidRPr="000D7C85">
              <w:rPr>
                <w:sz w:val="15"/>
                <w:szCs w:val="15"/>
                <w:vertAlign w:val="superscript"/>
                <w:lang w:val="sr-Latn-CS"/>
              </w:rPr>
              <w:t>3</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l-SI"/>
              </w:rPr>
              <w:t>jonska hromatografija (IC)</w:t>
            </w: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0,01</w:t>
            </w: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0,5</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vertAlign w:val="superscript"/>
                <w:lang w:val="sr-Latn-CS"/>
              </w:rPr>
            </w:pPr>
            <w:r w:rsidRPr="000D7C85">
              <w:rPr>
                <w:sz w:val="15"/>
                <w:szCs w:val="15"/>
                <w:lang w:val="sr-Latn-CS"/>
              </w:rPr>
              <w:t>Nitriti, kao NO</w:t>
            </w:r>
            <w:r w:rsidRPr="000D7C85">
              <w:rPr>
                <w:sz w:val="15"/>
                <w:szCs w:val="15"/>
                <w:vertAlign w:val="subscript"/>
                <w:lang w:val="sr-Latn-CS"/>
              </w:rPr>
              <w:t>2</w:t>
            </w:r>
            <w:r w:rsidRPr="000D7C85">
              <w:rPr>
                <w:sz w:val="15"/>
                <w:szCs w:val="15"/>
                <w:vertAlign w:val="superscript"/>
                <w:lang w:val="sr-Latn-CS"/>
              </w:rPr>
              <w:t>–</w:t>
            </w:r>
          </w:p>
        </w:tc>
        <w:tc>
          <w:tcPr>
            <w:tcW w:w="712"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mg/dm</w:t>
            </w:r>
            <w:r w:rsidRPr="000D7C85">
              <w:rPr>
                <w:sz w:val="15"/>
                <w:szCs w:val="15"/>
                <w:vertAlign w:val="superscript"/>
                <w:lang w:val="sr-Latn-CS"/>
              </w:rPr>
              <w:t>3</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l-SI"/>
              </w:rPr>
              <w:t>jonska hromatografija (IC)</w:t>
            </w: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0,01</w:t>
            </w: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0,005</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lang w:val="sr-Latn-CS"/>
              </w:rPr>
            </w:pPr>
            <w:r w:rsidRPr="000D7C85">
              <w:rPr>
                <w:sz w:val="15"/>
                <w:szCs w:val="15"/>
                <w:lang w:val="sr-Latn-CS"/>
              </w:rPr>
              <w:t>Arsen, kao As</w:t>
            </w:r>
          </w:p>
        </w:tc>
        <w:tc>
          <w:tcPr>
            <w:tcW w:w="712"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mg/dm</w:t>
            </w:r>
            <w:r w:rsidRPr="000D7C85">
              <w:rPr>
                <w:sz w:val="15"/>
                <w:szCs w:val="15"/>
                <w:vertAlign w:val="superscript"/>
                <w:lang w:val="sr-Latn-CS"/>
              </w:rPr>
              <w:t>3</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AAS hidridna tehnika</w:t>
            </w: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0,01</w:t>
            </w: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0,01</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lang w:val="sr-Latn-CS"/>
              </w:rPr>
            </w:pPr>
            <w:r w:rsidRPr="000D7C85">
              <w:rPr>
                <w:sz w:val="15"/>
                <w:szCs w:val="15"/>
              </w:rPr>
              <w:t>metali: Ca, Mg, Fe, Mn, Al, Pb, Zn, Cu, Ni, Cd, Cr</w:t>
            </w:r>
          </w:p>
        </w:tc>
        <w:tc>
          <w:tcPr>
            <w:tcW w:w="712"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mg/dm</w:t>
            </w:r>
            <w:r w:rsidRPr="000D7C85">
              <w:rPr>
                <w:sz w:val="15"/>
                <w:szCs w:val="15"/>
                <w:vertAlign w:val="superscript"/>
                <w:lang w:val="sr-Latn-CS"/>
              </w:rPr>
              <w:t>3</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l-SI"/>
              </w:rPr>
              <w:t>atomska apsorpciona spektrofotometrija</w:t>
            </w:r>
            <w:r w:rsidRPr="000D7C85">
              <w:rPr>
                <w:sz w:val="15"/>
                <w:szCs w:val="15"/>
                <w:lang w:val="sr-Latn-CS"/>
              </w:rPr>
              <w:t xml:space="preserve"> (AAS)</w:t>
            </w: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0,01</w:t>
            </w: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z w:val="15"/>
                <w:szCs w:val="15"/>
                <w:lang w:val="sr-Latn-CS"/>
              </w:rPr>
              <w:t>0,01</w:t>
            </w:r>
          </w:p>
        </w:tc>
      </w:tr>
      <w:tr w:rsidR="00BE2F2E" w:rsidRPr="000D7C85">
        <w:trPr>
          <w:jc w:val="center"/>
        </w:trPr>
        <w:tc>
          <w:tcPr>
            <w:tcW w:w="1409" w:type="dxa"/>
            <w:tcBorders>
              <w:top w:val="nil"/>
              <w:left w:val="nil"/>
              <w:bottom w:val="nil"/>
              <w:right w:val="nil"/>
            </w:tcBorders>
            <w:vAlign w:val="center"/>
          </w:tcPr>
          <w:p w:rsidR="00BE2F2E" w:rsidRPr="000D7C85" w:rsidRDefault="00BE2F2E" w:rsidP="000D7C85">
            <w:pPr>
              <w:rPr>
                <w:sz w:val="15"/>
                <w:szCs w:val="15"/>
                <w:lang w:val="sr-Latn-CS"/>
              </w:rPr>
            </w:pPr>
            <w:r w:rsidRPr="000D7C85">
              <w:rPr>
                <w:sz w:val="15"/>
                <w:szCs w:val="15"/>
                <w:lang w:val="sr-Latn-CS"/>
              </w:rPr>
              <w:t>Temperatura vode</w:t>
            </w:r>
          </w:p>
        </w:tc>
        <w:tc>
          <w:tcPr>
            <w:tcW w:w="712"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pacing w:val="-1"/>
                <w:sz w:val="15"/>
                <w:szCs w:val="15"/>
                <w:lang w:val="sr-Latn-CS"/>
              </w:rPr>
              <w:t>°</w:t>
            </w:r>
            <w:r w:rsidRPr="000D7C85">
              <w:rPr>
                <w:sz w:val="15"/>
                <w:szCs w:val="15"/>
                <w:lang w:val="sr-Latn-CS"/>
              </w:rPr>
              <w:t>C</w:t>
            </w:r>
          </w:p>
        </w:tc>
        <w:tc>
          <w:tcPr>
            <w:tcW w:w="3061" w:type="dxa"/>
            <w:tcBorders>
              <w:top w:val="nil"/>
              <w:left w:val="nil"/>
              <w:bottom w:val="nil"/>
              <w:right w:val="nil"/>
            </w:tcBorders>
            <w:vAlign w:val="center"/>
          </w:tcPr>
          <w:p w:rsidR="00BE2F2E" w:rsidRPr="000D7C85" w:rsidRDefault="00BE2F2E" w:rsidP="000D7C85">
            <w:pPr>
              <w:jc w:val="center"/>
              <w:rPr>
                <w:sz w:val="15"/>
                <w:szCs w:val="15"/>
                <w:lang w:val="sr-Latn-CS"/>
              </w:rPr>
            </w:pPr>
            <w:r w:rsidRPr="000D7C85">
              <w:rPr>
                <w:spacing w:val="-1"/>
                <w:sz w:val="15"/>
                <w:szCs w:val="15"/>
                <w:lang w:val="sr-Latn-CS"/>
              </w:rPr>
              <w:t>ž</w:t>
            </w:r>
            <w:r w:rsidRPr="000D7C85">
              <w:rPr>
                <w:spacing w:val="1"/>
                <w:sz w:val="15"/>
                <w:szCs w:val="15"/>
                <w:lang w:val="sr-Latn-CS"/>
              </w:rPr>
              <w:t>i</w:t>
            </w:r>
            <w:r w:rsidRPr="000D7C85">
              <w:rPr>
                <w:spacing w:val="-1"/>
                <w:sz w:val="15"/>
                <w:szCs w:val="15"/>
                <w:lang w:val="sr-Latn-CS"/>
              </w:rPr>
              <w:t>v</w:t>
            </w:r>
            <w:r w:rsidRPr="000D7C85">
              <w:rPr>
                <w:spacing w:val="1"/>
                <w:sz w:val="15"/>
                <w:szCs w:val="15"/>
                <w:lang w:val="sr-Latn-CS"/>
              </w:rPr>
              <w:t>in</w:t>
            </w:r>
            <w:r w:rsidRPr="000D7C85">
              <w:rPr>
                <w:sz w:val="15"/>
                <w:szCs w:val="15"/>
                <w:lang w:val="sr-Latn-CS"/>
              </w:rPr>
              <w:t xml:space="preserve"> </w:t>
            </w:r>
            <w:r w:rsidRPr="000D7C85">
              <w:rPr>
                <w:spacing w:val="1"/>
                <w:sz w:val="15"/>
                <w:szCs w:val="15"/>
                <w:lang w:val="sr-Latn-CS"/>
              </w:rPr>
              <w:t>te</w:t>
            </w:r>
            <w:r w:rsidRPr="000D7C85">
              <w:rPr>
                <w:sz w:val="15"/>
                <w:szCs w:val="15"/>
                <w:lang w:val="sr-Latn-CS"/>
              </w:rPr>
              <w:t>rm</w:t>
            </w:r>
            <w:r w:rsidRPr="000D7C85">
              <w:rPr>
                <w:spacing w:val="-2"/>
                <w:sz w:val="15"/>
                <w:szCs w:val="15"/>
                <w:lang w:val="sr-Latn-CS"/>
              </w:rPr>
              <w:t>o</w:t>
            </w:r>
            <w:r w:rsidRPr="000D7C85">
              <w:rPr>
                <w:sz w:val="15"/>
                <w:szCs w:val="15"/>
                <w:lang w:val="sr-Latn-CS"/>
              </w:rPr>
              <w:t>m</w:t>
            </w:r>
            <w:r w:rsidRPr="000D7C85">
              <w:rPr>
                <w:spacing w:val="1"/>
                <w:sz w:val="15"/>
                <w:szCs w:val="15"/>
                <w:lang w:val="sr-Latn-CS"/>
              </w:rPr>
              <w:t>eta</w:t>
            </w:r>
            <w:r w:rsidRPr="000D7C85">
              <w:rPr>
                <w:sz w:val="15"/>
                <w:szCs w:val="15"/>
                <w:lang w:val="sr-Latn-CS"/>
              </w:rPr>
              <w:t>r</w:t>
            </w:r>
          </w:p>
        </w:tc>
        <w:tc>
          <w:tcPr>
            <w:tcW w:w="680" w:type="dxa"/>
            <w:tcBorders>
              <w:top w:val="nil"/>
              <w:left w:val="nil"/>
              <w:bottom w:val="nil"/>
              <w:right w:val="nil"/>
            </w:tcBorders>
            <w:vAlign w:val="center"/>
          </w:tcPr>
          <w:p w:rsidR="00BE2F2E" w:rsidRPr="000D7C85" w:rsidRDefault="00BE2F2E" w:rsidP="000D7C85">
            <w:pPr>
              <w:jc w:val="center"/>
              <w:rPr>
                <w:sz w:val="15"/>
                <w:szCs w:val="15"/>
                <w:lang w:val="sr-Latn-CS"/>
              </w:rPr>
            </w:pPr>
          </w:p>
        </w:tc>
        <w:tc>
          <w:tcPr>
            <w:tcW w:w="1474" w:type="dxa"/>
            <w:tcBorders>
              <w:top w:val="nil"/>
              <w:left w:val="nil"/>
              <w:bottom w:val="nil"/>
              <w:right w:val="nil"/>
            </w:tcBorders>
            <w:vAlign w:val="center"/>
          </w:tcPr>
          <w:p w:rsidR="00BE2F2E" w:rsidRPr="000D7C85" w:rsidRDefault="00BE2F2E" w:rsidP="000D7C85">
            <w:pPr>
              <w:jc w:val="center"/>
              <w:rPr>
                <w:sz w:val="15"/>
                <w:szCs w:val="15"/>
                <w:lang w:val="sr-Latn-CS"/>
              </w:rPr>
            </w:pPr>
          </w:p>
        </w:tc>
      </w:tr>
      <w:tr w:rsidR="00BE2F2E" w:rsidRPr="000D7C85">
        <w:trPr>
          <w:jc w:val="center"/>
        </w:trPr>
        <w:tc>
          <w:tcPr>
            <w:tcW w:w="1409" w:type="dxa"/>
            <w:tcBorders>
              <w:top w:val="nil"/>
              <w:left w:val="nil"/>
              <w:right w:val="nil"/>
            </w:tcBorders>
            <w:vAlign w:val="center"/>
          </w:tcPr>
          <w:p w:rsidR="00BE2F2E" w:rsidRPr="000D7C85" w:rsidRDefault="00BE2F2E" w:rsidP="000D7C85">
            <w:pPr>
              <w:rPr>
                <w:sz w:val="15"/>
                <w:szCs w:val="15"/>
                <w:lang w:val="sr-Latn-CS"/>
              </w:rPr>
            </w:pPr>
            <w:r w:rsidRPr="000D7C85">
              <w:rPr>
                <w:sz w:val="15"/>
                <w:szCs w:val="15"/>
                <w:lang w:val="sr-Latn-CS"/>
              </w:rPr>
              <w:t xml:space="preserve">Mineralizacija (ili </w:t>
            </w:r>
            <w:r w:rsidRPr="000D7C85">
              <w:rPr>
                <w:i/>
                <w:iCs/>
                <w:sz w:val="15"/>
                <w:szCs w:val="15"/>
                <w:lang w:val="sr-Latn-CS"/>
              </w:rPr>
              <w:t>suvi ostatak</w:t>
            </w:r>
            <w:r w:rsidRPr="000D7C85">
              <w:rPr>
                <w:sz w:val="15"/>
                <w:szCs w:val="15"/>
                <w:lang w:val="sr-Latn-CS"/>
              </w:rPr>
              <w:t xml:space="preserve"> na 180°C) je ukupni maseni sadržaj svih prisutnih materija u vodi.</w:t>
            </w:r>
          </w:p>
        </w:tc>
        <w:tc>
          <w:tcPr>
            <w:tcW w:w="712" w:type="dxa"/>
            <w:tcBorders>
              <w:top w:val="nil"/>
              <w:left w:val="nil"/>
              <w:right w:val="nil"/>
            </w:tcBorders>
            <w:vAlign w:val="center"/>
          </w:tcPr>
          <w:p w:rsidR="00BE2F2E" w:rsidRPr="000D7C85" w:rsidRDefault="00BE2F2E" w:rsidP="000D7C85">
            <w:pPr>
              <w:jc w:val="center"/>
              <w:rPr>
                <w:sz w:val="15"/>
                <w:szCs w:val="15"/>
                <w:vertAlign w:val="superscript"/>
                <w:lang w:val="sr-Latn-CS"/>
              </w:rPr>
            </w:pPr>
            <w:r w:rsidRPr="000D7C85">
              <w:rPr>
                <w:sz w:val="15"/>
                <w:szCs w:val="15"/>
                <w:lang w:val="sr-Latn-CS"/>
              </w:rPr>
              <w:t>g/dm</w:t>
            </w:r>
            <w:r w:rsidRPr="000D7C85">
              <w:rPr>
                <w:sz w:val="15"/>
                <w:szCs w:val="15"/>
                <w:vertAlign w:val="superscript"/>
                <w:lang w:val="sr-Latn-CS"/>
              </w:rPr>
              <w:t>3</w:t>
            </w:r>
          </w:p>
        </w:tc>
        <w:tc>
          <w:tcPr>
            <w:tcW w:w="3061" w:type="dxa"/>
            <w:tcBorders>
              <w:top w:val="nil"/>
              <w:left w:val="nil"/>
              <w:right w:val="nil"/>
            </w:tcBorders>
            <w:vAlign w:val="center"/>
          </w:tcPr>
          <w:p w:rsidR="00BE2F2E" w:rsidRPr="000D7C85" w:rsidRDefault="00BE2F2E" w:rsidP="000D7C85">
            <w:pPr>
              <w:widowControl w:val="0"/>
              <w:jc w:val="both"/>
              <w:rPr>
                <w:sz w:val="15"/>
                <w:szCs w:val="15"/>
                <w:lang w:val="sr-Latn-CS"/>
              </w:rPr>
            </w:pPr>
            <w:r w:rsidRPr="000D7C85">
              <w:rPr>
                <w:sz w:val="15"/>
                <w:szCs w:val="15"/>
                <w:lang w:val="sr-Latn-CS"/>
              </w:rPr>
              <w:t>Na analitičkoj vagi se izmeri čaša iz koje će uparavati uzorak. Uparavanje 100 cm3 uzorka se vrši na vodenom kupatilu do suva. Potom se ostatak u čaši suši 8h u sušnici na 180°C. Čaša se hladi i meri.</w:t>
            </w:r>
          </w:p>
        </w:tc>
        <w:tc>
          <w:tcPr>
            <w:tcW w:w="680" w:type="dxa"/>
            <w:tcBorders>
              <w:top w:val="nil"/>
              <w:left w:val="nil"/>
              <w:right w:val="nil"/>
            </w:tcBorders>
            <w:vAlign w:val="center"/>
          </w:tcPr>
          <w:p w:rsidR="00BE2F2E" w:rsidRPr="000D7C85" w:rsidRDefault="00BE2F2E" w:rsidP="000D7C85">
            <w:pPr>
              <w:jc w:val="center"/>
              <w:rPr>
                <w:sz w:val="15"/>
                <w:szCs w:val="15"/>
                <w:lang w:val="sr-Latn-CS"/>
              </w:rPr>
            </w:pPr>
          </w:p>
        </w:tc>
        <w:tc>
          <w:tcPr>
            <w:tcW w:w="1474" w:type="dxa"/>
            <w:tcBorders>
              <w:top w:val="nil"/>
              <w:left w:val="nil"/>
              <w:right w:val="nil"/>
            </w:tcBorders>
            <w:vAlign w:val="center"/>
          </w:tcPr>
          <w:p w:rsidR="00BE2F2E" w:rsidRPr="000D7C85" w:rsidRDefault="00BE2F2E" w:rsidP="000D7C85">
            <w:pPr>
              <w:jc w:val="center"/>
              <w:rPr>
                <w:sz w:val="15"/>
                <w:szCs w:val="15"/>
                <w:lang w:val="sr-Latn-CS"/>
              </w:rPr>
            </w:pPr>
          </w:p>
        </w:tc>
      </w:tr>
    </w:tbl>
    <w:p w:rsidR="00BE2F2E" w:rsidRPr="00D50683" w:rsidRDefault="00BE2F2E" w:rsidP="000D7C85">
      <w:pPr>
        <w:ind w:firstLine="425"/>
        <w:jc w:val="both"/>
        <w:rPr>
          <w:sz w:val="22"/>
          <w:szCs w:val="22"/>
          <w:lang w:val="sl-SI"/>
        </w:rPr>
      </w:pPr>
      <w:r w:rsidRPr="00D50683">
        <w:rPr>
          <w:sz w:val="22"/>
          <w:szCs w:val="22"/>
          <w:lang w:val="sl-SI"/>
        </w:rPr>
        <w:lastRenderedPageBreak/>
        <w:t>Depozit (</w:t>
      </w:r>
      <w:r w:rsidRPr="00D50683">
        <w:rPr>
          <w:i/>
          <w:iCs/>
          <w:sz w:val="22"/>
          <w:szCs w:val="22"/>
          <w:lang w:val="sl-SI"/>
        </w:rPr>
        <w:t>kamenac</w:t>
      </w:r>
      <w:r w:rsidRPr="00D50683">
        <w:rPr>
          <w:sz w:val="22"/>
          <w:szCs w:val="22"/>
          <w:lang w:val="sl-SI"/>
        </w:rPr>
        <w:t>, suvi ostatak) koji je ispitivan u radu nastao je iz vode koja se nalazi u vodovodnoj mreži Grada Požarevca</w:t>
      </w:r>
      <w:r w:rsidRPr="00D50683">
        <w:rPr>
          <w:sz w:val="22"/>
          <w:szCs w:val="22"/>
          <w:lang w:val="sr-Latn-CS"/>
        </w:rPr>
        <w:t xml:space="preserve"> (</w:t>
      </w:r>
      <w:r w:rsidRPr="00D50683">
        <w:rPr>
          <w:sz w:val="22"/>
          <w:szCs w:val="22"/>
          <w:lang w:val="sl-SI"/>
        </w:rPr>
        <w:t>44°36′33″ N, 21°10′34″ E</w:t>
      </w:r>
      <w:r w:rsidRPr="00D50683">
        <w:rPr>
          <w:sz w:val="22"/>
          <w:szCs w:val="22"/>
          <w:lang w:val="sr-Latn-CS"/>
        </w:rPr>
        <w:t>)</w:t>
      </w:r>
      <w:r w:rsidRPr="00D50683">
        <w:rPr>
          <w:sz w:val="22"/>
          <w:szCs w:val="22"/>
          <w:lang w:val="sl-SI"/>
        </w:rPr>
        <w:t>, tokom vremenskog perioda od 2012. do 2017. godine.</w:t>
      </w:r>
    </w:p>
    <w:p w:rsidR="00BE2F2E" w:rsidRPr="00D50683" w:rsidRDefault="00BE2F2E" w:rsidP="000D7C85">
      <w:pPr>
        <w:ind w:firstLine="425"/>
        <w:jc w:val="both"/>
        <w:rPr>
          <w:sz w:val="22"/>
          <w:szCs w:val="22"/>
          <w:lang w:val="sl-SI"/>
        </w:rPr>
      </w:pPr>
      <w:r w:rsidRPr="00D50683">
        <w:rPr>
          <w:i/>
          <w:iCs/>
          <w:sz w:val="22"/>
          <w:szCs w:val="22"/>
          <w:lang w:val="sl-SI"/>
        </w:rPr>
        <w:t xml:space="preserve">Kamenac </w:t>
      </w:r>
      <w:r w:rsidRPr="00D50683">
        <w:rPr>
          <w:sz w:val="22"/>
          <w:szCs w:val="22"/>
          <w:lang w:val="sl-SI"/>
        </w:rPr>
        <w:t xml:space="preserve">dobijen je tako što je 1 dm3 vode za piće (sakupljene na mesečnom nivou) zagrevan do ključanja i uparavan do suva. Sastav tako dobijenog kamenca određen je upotrebom atomskog apsorpcionog spektrofotometra Perkin Elmer </w:t>
      </w:r>
      <w:r w:rsidRPr="00D50683">
        <w:rPr>
          <w:i/>
          <w:iCs/>
          <w:sz w:val="22"/>
          <w:szCs w:val="22"/>
          <w:lang w:val="sl-SI"/>
        </w:rPr>
        <w:t>AAnalyst</w:t>
      </w:r>
      <w:r w:rsidRPr="00D50683">
        <w:rPr>
          <w:sz w:val="22"/>
          <w:szCs w:val="22"/>
          <w:lang w:val="sl-SI"/>
        </w:rPr>
        <w:t xml:space="preserve"> 300 Atomic Absorption Spectrometer, prema standardu SRPS B.B8.070:1970 </w:t>
      </w:r>
      <w:r w:rsidRPr="00D50683">
        <w:rPr>
          <w:sz w:val="22"/>
          <w:szCs w:val="22"/>
          <w:lang w:val="sr-Latn-CS"/>
        </w:rPr>
        <w:t>(</w:t>
      </w:r>
      <w:r w:rsidRPr="00D50683">
        <w:rPr>
          <w:sz w:val="22"/>
          <w:szCs w:val="22"/>
          <w:lang w:val="sl-SI"/>
        </w:rPr>
        <w:t>dopunjen sa SRPS B.B8.070:1982) (Rajković et al., 2004; Rajković et al., 2008a; Rajković et al., 2009).</w:t>
      </w:r>
    </w:p>
    <w:p w:rsidR="00BE2F2E" w:rsidRDefault="00BE2F2E" w:rsidP="000D7C85">
      <w:pPr>
        <w:ind w:firstLine="425"/>
        <w:jc w:val="both"/>
        <w:rPr>
          <w:sz w:val="22"/>
          <w:szCs w:val="22"/>
          <w:lang w:val="sl-SI"/>
        </w:rPr>
      </w:pPr>
      <w:r w:rsidRPr="00D50683">
        <w:rPr>
          <w:sz w:val="22"/>
          <w:szCs w:val="22"/>
          <w:lang w:val="sl-SI"/>
        </w:rPr>
        <w:t>Na osnovu sadržaja elemenata u kamencu, koji je dobijen iz vode iz vodovodne mreže Grada Požarevca, izvršen je proračun njihove koncentracije u vodi za piće.</w:t>
      </w:r>
    </w:p>
    <w:p w:rsidR="00BE2F2E" w:rsidRPr="00D50683" w:rsidRDefault="00BE2F2E" w:rsidP="0076503E">
      <w:pPr>
        <w:jc w:val="center"/>
        <w:rPr>
          <w:sz w:val="22"/>
          <w:szCs w:val="22"/>
          <w:lang w:val="sl-SI"/>
        </w:rPr>
      </w:pPr>
    </w:p>
    <w:p w:rsidR="00BE2F2E" w:rsidRPr="006469D0" w:rsidRDefault="00BE2F2E" w:rsidP="006469D0">
      <w:pPr>
        <w:jc w:val="center"/>
        <w:rPr>
          <w:sz w:val="22"/>
          <w:szCs w:val="22"/>
          <w:lang w:val="sr-Latn-CS"/>
        </w:rPr>
      </w:pPr>
      <w:r w:rsidRPr="006469D0">
        <w:rPr>
          <w:b/>
          <w:bCs/>
          <w:sz w:val="22"/>
          <w:szCs w:val="22"/>
          <w:lang w:val="sl-SI"/>
        </w:rPr>
        <w:t>Rezultati i diskusija</w:t>
      </w:r>
    </w:p>
    <w:p w:rsidR="00BE2F2E" w:rsidRPr="006469D0" w:rsidRDefault="00BE2F2E" w:rsidP="006469D0">
      <w:pPr>
        <w:jc w:val="center"/>
        <w:rPr>
          <w:sz w:val="22"/>
          <w:szCs w:val="22"/>
          <w:lang w:val="sr-Latn-CS"/>
        </w:rPr>
      </w:pPr>
    </w:p>
    <w:p w:rsidR="00BE2F2E" w:rsidRPr="0076503E" w:rsidRDefault="00BE2F2E" w:rsidP="0076503E">
      <w:pPr>
        <w:ind w:firstLine="425"/>
        <w:jc w:val="both"/>
        <w:rPr>
          <w:sz w:val="22"/>
          <w:szCs w:val="22"/>
          <w:lang w:val="sr-Latn-CS"/>
        </w:rPr>
      </w:pPr>
      <w:r w:rsidRPr="0076503E">
        <w:rPr>
          <w:sz w:val="22"/>
          <w:szCs w:val="22"/>
          <w:lang w:val="sr-Latn-CS"/>
        </w:rPr>
        <w:t>Geološka karta Grada Požarevca</w:t>
      </w:r>
    </w:p>
    <w:p w:rsidR="00BE2F2E" w:rsidRPr="006469D0" w:rsidRDefault="00BE2F2E" w:rsidP="0076503E">
      <w:pPr>
        <w:ind w:firstLine="425"/>
        <w:jc w:val="both"/>
        <w:rPr>
          <w:sz w:val="22"/>
          <w:szCs w:val="22"/>
          <w:lang w:val="sr-Latn-CS"/>
        </w:rPr>
      </w:pPr>
    </w:p>
    <w:p w:rsidR="00BE2F2E" w:rsidRDefault="00BE2F2E" w:rsidP="0076503E">
      <w:pPr>
        <w:ind w:firstLine="425"/>
        <w:jc w:val="both"/>
        <w:rPr>
          <w:b/>
          <w:bCs/>
          <w:sz w:val="22"/>
          <w:szCs w:val="22"/>
          <w:lang w:val="sr-Latn-CS"/>
        </w:rPr>
      </w:pPr>
      <w:r w:rsidRPr="006469D0">
        <w:rPr>
          <w:sz w:val="22"/>
          <w:szCs w:val="22"/>
          <w:lang w:val="it-IT"/>
        </w:rPr>
        <w:t>Na slici 1 prikazana je geološka karta i legenda Grada Požarevca (Rakić, 1984; Jelenković, 1999). Kao što se može videti sa slike 1, Grad Požarevac leži na sedimentima rečne terase t1, a desno su stene pontske serije (Rakić, 1984</w:t>
      </w:r>
      <w:r>
        <w:rPr>
          <w:sz w:val="22"/>
          <w:szCs w:val="22"/>
          <w:lang w:val="it-IT"/>
        </w:rPr>
        <w:t>;</w:t>
      </w:r>
      <w:r w:rsidRPr="0076503E">
        <w:rPr>
          <w:sz w:val="22"/>
          <w:szCs w:val="22"/>
          <w:lang w:val="it-IT"/>
        </w:rPr>
        <w:t xml:space="preserve"> </w:t>
      </w:r>
      <w:r>
        <w:rPr>
          <w:sz w:val="22"/>
          <w:szCs w:val="22"/>
          <w:lang w:val="it-IT"/>
        </w:rPr>
        <w:t>Jelenković, 1999)</w:t>
      </w:r>
      <w:r w:rsidRPr="00B52EDF">
        <w:rPr>
          <w:sz w:val="22"/>
          <w:szCs w:val="22"/>
          <w:lang w:val="it-IT"/>
        </w:rPr>
        <w:t>.</w:t>
      </w:r>
    </w:p>
    <w:p w:rsidR="00BE2F2E" w:rsidRPr="0076503E" w:rsidRDefault="00BE2F2E" w:rsidP="0076503E">
      <w:pPr>
        <w:ind w:firstLine="425"/>
        <w:rPr>
          <w:sz w:val="22"/>
          <w:szCs w:val="22"/>
          <w:lang w:val="sr-Latn-CS"/>
        </w:rPr>
      </w:pPr>
    </w:p>
    <w:p w:rsidR="00BE2F2E" w:rsidRPr="0076503E" w:rsidRDefault="00BE2F2E" w:rsidP="00A5338B">
      <w:pPr>
        <w:rPr>
          <w:sz w:val="22"/>
          <w:szCs w:val="22"/>
          <w:lang w:val="sr-Latn-CS"/>
        </w:rPr>
      </w:pPr>
    </w:p>
    <w:p w:rsidR="00BE2F2E" w:rsidRPr="0076503E" w:rsidRDefault="00BE2F2E" w:rsidP="00A5338B">
      <w:pPr>
        <w:rPr>
          <w:sz w:val="22"/>
          <w:szCs w:val="22"/>
          <w:lang w:val="sr-Latn-CS"/>
        </w:rPr>
      </w:pPr>
    </w:p>
    <w:p w:rsidR="00BE2F2E" w:rsidRDefault="00F65EAE" w:rsidP="00A5338B">
      <w:pPr>
        <w:rPr>
          <w:b/>
          <w:bCs/>
          <w:sz w:val="22"/>
          <w:szCs w:val="22"/>
          <w:lang w:val="sr-Latn-CS"/>
        </w:rPr>
      </w:pPr>
      <w:r>
        <w:rPr>
          <w:noProof/>
        </w:rPr>
        <w:lastRenderedPageBreak/>
        <w:drawing>
          <wp:inline distT="0" distB="0" distL="0" distR="0">
            <wp:extent cx="4579620" cy="4447540"/>
            <wp:effectExtent l="19050" t="0" r="0" b="0"/>
            <wp:docPr id="1" name="Picture 1" descr="Description: Pozarevac%20-%20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ozarevac%20-%20karta"/>
                    <pic:cNvPicPr>
                      <a:picLocks noChangeAspect="1" noChangeArrowheads="1"/>
                    </pic:cNvPicPr>
                  </pic:nvPicPr>
                  <pic:blipFill>
                    <a:blip r:embed="rId7"/>
                    <a:srcRect/>
                    <a:stretch>
                      <a:fillRect/>
                    </a:stretch>
                  </pic:blipFill>
                  <pic:spPr bwMode="auto">
                    <a:xfrm>
                      <a:off x="0" y="0"/>
                      <a:ext cx="4579620" cy="4447540"/>
                    </a:xfrm>
                    <a:prstGeom prst="rect">
                      <a:avLst/>
                    </a:prstGeom>
                    <a:noFill/>
                    <a:ln w="9525">
                      <a:noFill/>
                      <a:miter lim="800000"/>
                      <a:headEnd/>
                      <a:tailEnd/>
                    </a:ln>
                  </pic:spPr>
                </pic:pic>
              </a:graphicData>
            </a:graphic>
          </wp:inline>
        </w:drawing>
      </w:r>
    </w:p>
    <w:p w:rsidR="00BE2F2E" w:rsidRPr="0076503E" w:rsidRDefault="00BE2F2E" w:rsidP="00A5338B">
      <w:pPr>
        <w:rPr>
          <w:sz w:val="22"/>
          <w:szCs w:val="22"/>
          <w:lang w:val="sr-Cyrl-CS"/>
        </w:rPr>
      </w:pPr>
    </w:p>
    <w:p w:rsidR="00BE2F2E" w:rsidRDefault="00F65EAE" w:rsidP="00930B88">
      <w:pPr>
        <w:jc w:val="center"/>
        <w:rPr>
          <w:b/>
          <w:bCs/>
          <w:sz w:val="22"/>
          <w:szCs w:val="22"/>
          <w:lang w:val="sr-Cyrl-CS"/>
        </w:rPr>
      </w:pPr>
      <w:r>
        <w:rPr>
          <w:b/>
          <w:bCs/>
          <w:noProof/>
          <w:sz w:val="22"/>
          <w:szCs w:val="22"/>
        </w:rPr>
        <w:drawing>
          <wp:inline distT="0" distB="0" distL="0" distR="0">
            <wp:extent cx="4476750" cy="841375"/>
            <wp:effectExtent l="19050" t="0" r="0" b="0"/>
            <wp:docPr id="2" name="Picture 128" descr="Description: Pozarevac%20-%20le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Description: Pozarevac%20-%20legenda"/>
                    <pic:cNvPicPr>
                      <a:picLocks noChangeAspect="1" noChangeArrowheads="1"/>
                    </pic:cNvPicPr>
                  </pic:nvPicPr>
                  <pic:blipFill>
                    <a:blip r:embed="rId8"/>
                    <a:srcRect/>
                    <a:stretch>
                      <a:fillRect/>
                    </a:stretch>
                  </pic:blipFill>
                  <pic:spPr bwMode="auto">
                    <a:xfrm flipV="1">
                      <a:off x="0" y="0"/>
                      <a:ext cx="4476750" cy="841375"/>
                    </a:xfrm>
                    <a:prstGeom prst="rect">
                      <a:avLst/>
                    </a:prstGeom>
                    <a:noFill/>
                    <a:ln w="9525">
                      <a:noFill/>
                      <a:miter lim="800000"/>
                      <a:headEnd/>
                      <a:tailEnd/>
                    </a:ln>
                  </pic:spPr>
                </pic:pic>
              </a:graphicData>
            </a:graphic>
          </wp:inline>
        </w:drawing>
      </w:r>
    </w:p>
    <w:p w:rsidR="00BE2F2E" w:rsidRPr="0076503E" w:rsidRDefault="00BE2F2E" w:rsidP="00A5338B">
      <w:pPr>
        <w:rPr>
          <w:sz w:val="22"/>
          <w:szCs w:val="22"/>
          <w:lang w:val="sr-Cyrl-CS"/>
        </w:rPr>
      </w:pPr>
    </w:p>
    <w:p w:rsidR="00BE2F2E" w:rsidRPr="00E94EA2" w:rsidRDefault="00BE2F2E" w:rsidP="00956754">
      <w:pPr>
        <w:jc w:val="center"/>
        <w:rPr>
          <w:sz w:val="22"/>
          <w:szCs w:val="22"/>
          <w:lang w:val="it-IT"/>
        </w:rPr>
      </w:pPr>
      <w:r w:rsidRPr="00E94EA2">
        <w:rPr>
          <w:sz w:val="22"/>
          <w:szCs w:val="22"/>
          <w:lang w:val="it-IT"/>
        </w:rPr>
        <w:t xml:space="preserve">Slika </w:t>
      </w:r>
      <w:r>
        <w:rPr>
          <w:sz w:val="22"/>
          <w:szCs w:val="22"/>
          <w:lang w:val="it-IT"/>
        </w:rPr>
        <w:t>1</w:t>
      </w:r>
      <w:r w:rsidRPr="00E94EA2">
        <w:rPr>
          <w:sz w:val="22"/>
          <w:szCs w:val="22"/>
          <w:lang w:val="it-IT"/>
        </w:rPr>
        <w:t>. Geološka karta Grada Požarevca sa legendom</w:t>
      </w:r>
      <w:r>
        <w:rPr>
          <w:sz w:val="22"/>
          <w:szCs w:val="22"/>
          <w:lang w:val="it-IT"/>
        </w:rPr>
        <w:t>.</w:t>
      </w:r>
    </w:p>
    <w:p w:rsidR="00BE2F2E" w:rsidRPr="003F0C69" w:rsidRDefault="00BE2F2E" w:rsidP="00956754">
      <w:pPr>
        <w:jc w:val="center"/>
      </w:pPr>
      <w:r w:rsidRPr="0046200E">
        <w:rPr>
          <w:i/>
          <w:iCs/>
          <w:sz w:val="22"/>
          <w:szCs w:val="22"/>
        </w:rPr>
        <w:t xml:space="preserve">Figure 1. Geological </w:t>
      </w:r>
      <w:r>
        <w:rPr>
          <w:i/>
          <w:iCs/>
          <w:sz w:val="22"/>
          <w:szCs w:val="22"/>
        </w:rPr>
        <w:t>m</w:t>
      </w:r>
      <w:r w:rsidRPr="0046200E">
        <w:rPr>
          <w:i/>
          <w:iCs/>
          <w:sz w:val="22"/>
          <w:szCs w:val="22"/>
        </w:rPr>
        <w:t xml:space="preserve">ap of </w:t>
      </w:r>
      <w:r>
        <w:rPr>
          <w:i/>
          <w:iCs/>
          <w:sz w:val="22"/>
          <w:szCs w:val="22"/>
        </w:rPr>
        <w:t>the c</w:t>
      </w:r>
      <w:r w:rsidRPr="0046200E">
        <w:rPr>
          <w:i/>
          <w:iCs/>
          <w:sz w:val="22"/>
          <w:szCs w:val="22"/>
        </w:rPr>
        <w:t>ity of Po</w:t>
      </w:r>
      <w:r>
        <w:rPr>
          <w:i/>
          <w:iCs/>
          <w:sz w:val="22"/>
          <w:szCs w:val="22"/>
        </w:rPr>
        <w:t>ž</w:t>
      </w:r>
      <w:r w:rsidRPr="0046200E">
        <w:rPr>
          <w:i/>
          <w:iCs/>
          <w:sz w:val="22"/>
          <w:szCs w:val="22"/>
        </w:rPr>
        <w:t xml:space="preserve">arevac with </w:t>
      </w:r>
      <w:r>
        <w:rPr>
          <w:i/>
          <w:iCs/>
          <w:sz w:val="22"/>
          <w:szCs w:val="22"/>
        </w:rPr>
        <w:t xml:space="preserve">the </w:t>
      </w:r>
      <w:r w:rsidRPr="0046200E">
        <w:rPr>
          <w:i/>
          <w:iCs/>
          <w:sz w:val="22"/>
          <w:szCs w:val="22"/>
        </w:rPr>
        <w:t>legend</w:t>
      </w:r>
      <w:r>
        <w:rPr>
          <w:i/>
          <w:iCs/>
          <w:sz w:val="22"/>
          <w:szCs w:val="22"/>
        </w:rPr>
        <w:t>.</w:t>
      </w:r>
    </w:p>
    <w:p w:rsidR="00BE2F2E" w:rsidRPr="003F0C69" w:rsidRDefault="00BE2F2E" w:rsidP="00956754">
      <w:pPr>
        <w:jc w:val="center"/>
      </w:pPr>
    </w:p>
    <w:p w:rsidR="00BE2F2E" w:rsidRPr="0076503E" w:rsidRDefault="00BE2F2E" w:rsidP="0076503E">
      <w:pPr>
        <w:ind w:firstLine="425"/>
        <w:jc w:val="both"/>
        <w:rPr>
          <w:sz w:val="22"/>
          <w:szCs w:val="22"/>
          <w:lang w:val="it-IT"/>
        </w:rPr>
      </w:pPr>
      <w:r w:rsidRPr="0076503E">
        <w:rPr>
          <w:sz w:val="22"/>
          <w:szCs w:val="22"/>
        </w:rPr>
        <w:t xml:space="preserve">Formiranje </w:t>
      </w:r>
      <w:r w:rsidRPr="0076503E">
        <w:rPr>
          <w:b/>
          <w:bCs/>
          <w:sz w:val="22"/>
          <w:szCs w:val="22"/>
        </w:rPr>
        <w:t>niže rečne terase (t1)</w:t>
      </w:r>
      <w:r w:rsidRPr="0076503E">
        <w:rPr>
          <w:sz w:val="22"/>
          <w:szCs w:val="22"/>
        </w:rPr>
        <w:t xml:space="preserve"> započelo je najverovatnije krajem najmlađeg pleistocena, a glavno formiranje je izvršeno u toku starijeg holocena. </w:t>
      </w:r>
      <w:r w:rsidRPr="0076503E">
        <w:rPr>
          <w:sz w:val="22"/>
          <w:szCs w:val="22"/>
          <w:lang w:val="de-DE"/>
        </w:rPr>
        <w:t xml:space="preserve">Terasa je akumulativnog karaktera i izgrađena je od dva dela. </w:t>
      </w:r>
      <w:r w:rsidRPr="0076503E">
        <w:rPr>
          <w:sz w:val="22"/>
          <w:szCs w:val="22"/>
          <w:lang w:val="it-IT"/>
        </w:rPr>
        <w:t xml:space="preserve">U donjem delu nalaze se peskoviti šljunkovi i šljunkoviti peskovi sa valucima veličine i do 5 cm u </w:t>
      </w:r>
      <w:r w:rsidRPr="0076503E">
        <w:rPr>
          <w:sz w:val="22"/>
          <w:szCs w:val="22"/>
          <w:lang w:val="it-IT"/>
        </w:rPr>
        <w:lastRenderedPageBreak/>
        <w:t xml:space="preserve">prečniku. Petrografska proučavanja utvrdila su pretežno prisustvo </w:t>
      </w:r>
      <w:r w:rsidRPr="0076503E">
        <w:rPr>
          <w:i/>
          <w:iCs/>
          <w:sz w:val="22"/>
          <w:szCs w:val="22"/>
          <w:lang w:val="it-IT"/>
        </w:rPr>
        <w:t>kvarcita</w:t>
      </w:r>
      <w:r w:rsidRPr="0076503E">
        <w:rPr>
          <w:b/>
          <w:bCs/>
          <w:sz w:val="22"/>
          <w:szCs w:val="22"/>
          <w:lang w:val="it-IT"/>
        </w:rPr>
        <w:t xml:space="preserve"> </w:t>
      </w:r>
      <w:r w:rsidRPr="0076503E">
        <w:rPr>
          <w:sz w:val="22"/>
          <w:szCs w:val="22"/>
          <w:lang w:val="it-IT"/>
        </w:rPr>
        <w:t>i</w:t>
      </w:r>
      <w:r w:rsidRPr="0076503E">
        <w:rPr>
          <w:b/>
          <w:bCs/>
          <w:sz w:val="22"/>
          <w:szCs w:val="22"/>
          <w:lang w:val="it-IT"/>
        </w:rPr>
        <w:t xml:space="preserve"> </w:t>
      </w:r>
      <w:r w:rsidRPr="0076503E">
        <w:rPr>
          <w:i/>
          <w:iCs/>
          <w:sz w:val="22"/>
          <w:szCs w:val="22"/>
          <w:lang w:val="it-IT"/>
        </w:rPr>
        <w:t>rožnaca</w:t>
      </w:r>
      <w:r w:rsidRPr="0076503E">
        <w:rPr>
          <w:sz w:val="22"/>
          <w:szCs w:val="22"/>
          <w:lang w:val="it-IT"/>
        </w:rPr>
        <w:t>. Među mineralima teške frakcije preovlađuju metalični minerali (22</w:t>
      </w:r>
      <w:r w:rsidRPr="005E6043">
        <w:rPr>
          <w:rFonts w:ascii="Cambria Math" w:hAnsi="Cambria Math" w:cs="Cambria Math"/>
          <w:sz w:val="22"/>
          <w:szCs w:val="22"/>
          <w:lang w:val="it-IT"/>
        </w:rPr>
        <w:t>‒</w:t>
      </w:r>
      <w:r w:rsidRPr="0076503E">
        <w:rPr>
          <w:sz w:val="22"/>
          <w:szCs w:val="22"/>
          <w:lang w:val="it-IT"/>
        </w:rPr>
        <w:t>50%), zatim amfiboli (14</w:t>
      </w:r>
      <w:r w:rsidRPr="005E6043">
        <w:rPr>
          <w:rFonts w:ascii="Cambria Math" w:hAnsi="Cambria Math" w:cs="Cambria Math"/>
          <w:sz w:val="22"/>
          <w:szCs w:val="22"/>
          <w:lang w:val="it-IT"/>
        </w:rPr>
        <w:t>‒</w:t>
      </w:r>
      <w:r w:rsidRPr="0076503E">
        <w:rPr>
          <w:sz w:val="22"/>
          <w:szCs w:val="22"/>
          <w:lang w:val="it-IT"/>
        </w:rPr>
        <w:t>26%) i granati (oko 14%), dok su ostali zastupljeni sasvim malo. Kod lake frakcije najčešći su kvarc, feldspat i alterisana mineralna zrna.</w:t>
      </w:r>
    </w:p>
    <w:p w:rsidR="00BE2F2E" w:rsidRPr="0076503E" w:rsidRDefault="00BE2F2E" w:rsidP="0076503E">
      <w:pPr>
        <w:ind w:firstLine="425"/>
        <w:jc w:val="both"/>
        <w:rPr>
          <w:sz w:val="22"/>
          <w:szCs w:val="22"/>
          <w:lang w:val="it-IT"/>
        </w:rPr>
      </w:pPr>
      <w:r w:rsidRPr="0076503E">
        <w:rPr>
          <w:sz w:val="22"/>
          <w:szCs w:val="22"/>
          <w:lang w:val="it-IT"/>
        </w:rPr>
        <w:t xml:space="preserve">Gornji deo terase predstavljen je povodanjskom facijom koja je sastavljena od alevritskih peskova, peskovito-glinovitih alevrita i peskovitih glina. Imaju istu mineralnu asocijaciju kao i sedimenti facije korita. Na površini terase, mestimično uz njen obod, javljaju se </w:t>
      </w:r>
      <w:r w:rsidRPr="0076503E">
        <w:rPr>
          <w:b/>
          <w:bCs/>
          <w:sz w:val="22"/>
          <w:szCs w:val="22"/>
          <w:lang w:val="it-IT"/>
        </w:rPr>
        <w:t>lesoidni sedimenti</w:t>
      </w:r>
      <w:r w:rsidRPr="0076503E">
        <w:rPr>
          <w:sz w:val="22"/>
          <w:szCs w:val="22"/>
          <w:lang w:val="it-IT"/>
        </w:rPr>
        <w:t xml:space="preserve"> kao produkti deluvijalnih spiranja kopnenih lesova na obodu doline. Debljina terase je različita: na potezu Žabari </w:t>
      </w:r>
      <w:r w:rsidRPr="0076503E">
        <w:rPr>
          <w:rFonts w:ascii="Calibri" w:hAnsi="Calibri" w:cs="Calibri"/>
          <w:sz w:val="22"/>
          <w:szCs w:val="22"/>
          <w:lang w:val="it-IT"/>
        </w:rPr>
        <w:t>‒</w:t>
      </w:r>
      <w:r w:rsidRPr="0076503E">
        <w:rPr>
          <w:sz w:val="22"/>
          <w:szCs w:val="22"/>
          <w:lang w:val="it-IT"/>
        </w:rPr>
        <w:t xml:space="preserve"> Donja Livadica iznosi oko 12 m, a nizvodno od Goloboka i Poljane ona se naglo povećava i iznosi oko 35 m.</w:t>
      </w:r>
    </w:p>
    <w:p w:rsidR="00BE2F2E" w:rsidRPr="0076503E" w:rsidRDefault="00BE2F2E" w:rsidP="0076503E">
      <w:pPr>
        <w:ind w:firstLine="425"/>
        <w:jc w:val="both"/>
        <w:rPr>
          <w:sz w:val="22"/>
          <w:szCs w:val="22"/>
          <w:lang w:val="it-IT"/>
        </w:rPr>
      </w:pPr>
      <w:r w:rsidRPr="0076503E">
        <w:rPr>
          <w:sz w:val="22"/>
          <w:szCs w:val="22"/>
          <w:lang w:val="it-IT"/>
        </w:rPr>
        <w:t xml:space="preserve">Tvorevine </w:t>
      </w:r>
      <w:r w:rsidRPr="0076503E">
        <w:rPr>
          <w:b/>
          <w:bCs/>
          <w:sz w:val="22"/>
          <w:szCs w:val="22"/>
          <w:lang w:val="it-IT"/>
        </w:rPr>
        <w:t>PONTA</w:t>
      </w:r>
      <w:r w:rsidRPr="0076503E">
        <w:rPr>
          <w:sz w:val="22"/>
          <w:szCs w:val="22"/>
          <w:lang w:val="it-IT"/>
        </w:rPr>
        <w:t xml:space="preserve"> </w:t>
      </w:r>
      <w:r w:rsidRPr="0076503E">
        <w:rPr>
          <w:b/>
          <w:bCs/>
          <w:sz w:val="22"/>
          <w:szCs w:val="22"/>
          <w:lang w:val="it-IT"/>
        </w:rPr>
        <w:t xml:space="preserve">(Pl1) </w:t>
      </w:r>
      <w:r w:rsidRPr="0076503E">
        <w:rPr>
          <w:sz w:val="22"/>
          <w:szCs w:val="22"/>
          <w:lang w:val="it-IT"/>
        </w:rPr>
        <w:t>otkrivene su na severnom delu Požarevačke grede, na ukupnoj površini oko 15 km</w:t>
      </w:r>
      <w:r w:rsidRPr="0076503E">
        <w:rPr>
          <w:sz w:val="22"/>
          <w:szCs w:val="22"/>
          <w:vertAlign w:val="superscript"/>
          <w:lang w:val="it-IT"/>
        </w:rPr>
        <w:t>2</w:t>
      </w:r>
      <w:r w:rsidRPr="0076503E">
        <w:rPr>
          <w:sz w:val="22"/>
          <w:szCs w:val="22"/>
          <w:lang w:val="it-IT"/>
        </w:rPr>
        <w:t>. Leže preko panonskih sedimenata, iz kojih se postepeno i razvijaju. Osnovni sastav ponta čine: peskovi, peskovite i ugljevite gline, retkih proslojaka peščara i ugljeva. Najzastupljeniji su srednjezrni i sitnozrni, liskunoviti, sivo-žuti peskovi koji se javljaju i u setovima od nekoliko desetina metara debljine.</w:t>
      </w:r>
    </w:p>
    <w:p w:rsidR="00BE2F2E" w:rsidRPr="0076503E" w:rsidRDefault="00BE2F2E" w:rsidP="0076503E">
      <w:pPr>
        <w:ind w:firstLine="425"/>
        <w:jc w:val="both"/>
        <w:rPr>
          <w:sz w:val="22"/>
          <w:szCs w:val="22"/>
          <w:lang w:val="it-IT"/>
        </w:rPr>
      </w:pPr>
      <w:r w:rsidRPr="0076503E">
        <w:rPr>
          <w:sz w:val="22"/>
          <w:szCs w:val="22"/>
          <w:lang w:val="it-IT"/>
        </w:rPr>
        <w:t>Sedimenti ponta blago tonu u pravcu SSZ gde ih u dolini Velike Morave pokrivaju debele fluvijalne akumulacije. Padni uglovi se kreću u granicama od 2 do 8 stepeni. Istražnim bušenjima utvrđeno je prisustvo pontijskih sedimenata i istočno od Požarevačke grede, u dolini reke Mlave. Debljina pontijskih sedimenata iznosi oko 150 m. Ovi sedimenti predstavljaju podinsku seriju glavnom, trećem ugljenom sloju „kostolačke produktivne serije”. Sadrže, pored karakteristične ostrakodske vrste, i bogat palinološki spektar karakterističan za donji pliocen.</w:t>
      </w:r>
    </w:p>
    <w:p w:rsidR="00BE2F2E" w:rsidRPr="0076503E" w:rsidRDefault="00BE2F2E" w:rsidP="0076503E">
      <w:pPr>
        <w:ind w:firstLine="425"/>
        <w:jc w:val="both"/>
        <w:rPr>
          <w:sz w:val="22"/>
          <w:szCs w:val="22"/>
          <w:lang w:val="sl-SI"/>
        </w:rPr>
      </w:pPr>
    </w:p>
    <w:p w:rsidR="00BE2F2E" w:rsidRPr="0076503E" w:rsidRDefault="00BE2F2E" w:rsidP="0076503E">
      <w:pPr>
        <w:ind w:firstLine="425"/>
        <w:jc w:val="both"/>
        <w:rPr>
          <w:sz w:val="22"/>
          <w:szCs w:val="22"/>
          <w:lang w:val="sl-SI"/>
        </w:rPr>
      </w:pPr>
      <w:r w:rsidRPr="0076503E">
        <w:rPr>
          <w:sz w:val="22"/>
          <w:szCs w:val="22"/>
          <w:lang w:val="sl-SI"/>
        </w:rPr>
        <w:t>Rezultati ispitivanja vode za piće iz vodovodne mreže Grada Požarevca</w:t>
      </w:r>
    </w:p>
    <w:p w:rsidR="00BE2F2E" w:rsidRPr="0076503E" w:rsidRDefault="00BE2F2E" w:rsidP="0076503E">
      <w:pPr>
        <w:ind w:firstLine="425"/>
        <w:jc w:val="both"/>
        <w:rPr>
          <w:lang w:val="sl-SI"/>
        </w:rPr>
      </w:pPr>
    </w:p>
    <w:p w:rsidR="00BE2F2E" w:rsidRPr="0076503E" w:rsidRDefault="00BE2F2E" w:rsidP="0076503E">
      <w:pPr>
        <w:ind w:firstLine="425"/>
        <w:jc w:val="both"/>
        <w:rPr>
          <w:sz w:val="22"/>
          <w:szCs w:val="22"/>
          <w:lang w:val="sl-SI"/>
        </w:rPr>
      </w:pPr>
      <w:r w:rsidRPr="0076503E">
        <w:rPr>
          <w:sz w:val="22"/>
          <w:szCs w:val="22"/>
          <w:lang w:val="sl-SI"/>
        </w:rPr>
        <w:t xml:space="preserve">U tabeli 2 prikazani su rezultati </w:t>
      </w:r>
      <w:r w:rsidRPr="0076503E">
        <w:rPr>
          <w:sz w:val="22"/>
          <w:szCs w:val="22"/>
          <w:lang w:val="sr-Latn-CS"/>
        </w:rPr>
        <w:t xml:space="preserve">fizičko-hemijskog ispitivanja, a u tabeli 3 mikrobiološkog ispitivanja vode za piće iz </w:t>
      </w:r>
      <w:r w:rsidRPr="0076503E">
        <w:rPr>
          <w:sz w:val="22"/>
          <w:szCs w:val="22"/>
          <w:lang w:val="sl-SI"/>
        </w:rPr>
        <w:t>vodovodne mreže Grada Požarevca.</w:t>
      </w:r>
    </w:p>
    <w:p w:rsidR="00BE2F2E" w:rsidRPr="0076503E" w:rsidRDefault="00BE2F2E" w:rsidP="0076503E">
      <w:pPr>
        <w:ind w:firstLine="425"/>
        <w:jc w:val="both"/>
        <w:rPr>
          <w:sz w:val="22"/>
          <w:szCs w:val="22"/>
          <w:lang w:val="sl-SI"/>
        </w:rPr>
      </w:pPr>
    </w:p>
    <w:p w:rsidR="00BE2F2E" w:rsidRPr="0076503E" w:rsidRDefault="00BE2F2E" w:rsidP="0076503E">
      <w:pPr>
        <w:tabs>
          <w:tab w:val="left" w:pos="-1843"/>
        </w:tabs>
        <w:ind w:firstLine="425"/>
        <w:jc w:val="both"/>
        <w:rPr>
          <w:sz w:val="22"/>
          <w:szCs w:val="22"/>
          <w:lang w:val="it-IT"/>
        </w:rPr>
      </w:pPr>
      <w:r w:rsidRPr="0076503E">
        <w:rPr>
          <w:sz w:val="22"/>
          <w:szCs w:val="22"/>
          <w:lang w:val="sl-SI"/>
        </w:rPr>
        <w:t>Proračunate koncentracije elemenata u vodi za piće</w:t>
      </w:r>
    </w:p>
    <w:p w:rsidR="00BE2F2E" w:rsidRPr="0076503E" w:rsidRDefault="00BE2F2E" w:rsidP="0076503E">
      <w:pPr>
        <w:ind w:firstLine="425"/>
        <w:rPr>
          <w:lang w:val="sr-Latn-CS"/>
        </w:rPr>
      </w:pPr>
    </w:p>
    <w:p w:rsidR="00BE2F2E" w:rsidRPr="0076503E" w:rsidRDefault="00BE2F2E" w:rsidP="0076503E">
      <w:pPr>
        <w:ind w:firstLine="425"/>
        <w:jc w:val="both"/>
        <w:rPr>
          <w:sz w:val="22"/>
          <w:szCs w:val="22"/>
          <w:lang w:val="sl-SI"/>
        </w:rPr>
      </w:pPr>
      <w:r w:rsidRPr="0076503E">
        <w:rPr>
          <w:sz w:val="22"/>
          <w:szCs w:val="22"/>
          <w:lang w:val="sl-SI"/>
        </w:rPr>
        <w:t>Rezultati ispitivanja kamenca nastalog u periodu 2012</w:t>
      </w:r>
      <w:r w:rsidRPr="005E6043">
        <w:rPr>
          <w:rFonts w:ascii="Cambria Math" w:hAnsi="Cambria Math" w:cs="Cambria Math"/>
          <w:sz w:val="22"/>
          <w:szCs w:val="22"/>
          <w:lang w:val="sr-Latn-CS"/>
        </w:rPr>
        <w:t>‒</w:t>
      </w:r>
      <w:r w:rsidRPr="0076503E">
        <w:rPr>
          <w:sz w:val="22"/>
          <w:szCs w:val="22"/>
          <w:lang w:val="sl-SI"/>
        </w:rPr>
        <w:t>2017. godine, dobijenog iz vode koja se nalazi u vodovodnom sistemu Grada Požarevca</w:t>
      </w:r>
      <w:r w:rsidRPr="0076503E">
        <w:rPr>
          <w:lang w:val="sr-Latn-CS"/>
        </w:rPr>
        <w:t xml:space="preserve"> </w:t>
      </w:r>
      <w:r w:rsidRPr="0076503E">
        <w:rPr>
          <w:sz w:val="22"/>
          <w:szCs w:val="22"/>
          <w:lang w:val="sl-SI"/>
        </w:rPr>
        <w:t>prikazani su u tabeli 4. Na osnovu rezultata ispitivanja kamenca, proračunate su koncentracije elemenata u vodi za piće i upoređene sa pravilnikom Republike Srbije i standardom EU i WHO, što je prikazano u tabeli 5.</w:t>
      </w:r>
    </w:p>
    <w:p w:rsidR="00BE2F2E" w:rsidRPr="0076503E" w:rsidRDefault="00BE2F2E" w:rsidP="0076503E">
      <w:pPr>
        <w:ind w:firstLine="425"/>
        <w:jc w:val="both"/>
        <w:rPr>
          <w:sz w:val="22"/>
          <w:szCs w:val="22"/>
          <w:lang w:val="sr-Cyrl-CS"/>
        </w:rPr>
      </w:pPr>
      <w:r w:rsidRPr="0076503E">
        <w:rPr>
          <w:sz w:val="22"/>
          <w:szCs w:val="22"/>
          <w:lang w:val="sr-Latn-CS"/>
        </w:rPr>
        <w:t>U pravilnicima nije definisana maksimalno dozvoljena količina za HCO</w:t>
      </w:r>
      <w:r w:rsidRPr="0076503E">
        <w:rPr>
          <w:sz w:val="22"/>
          <w:szCs w:val="22"/>
          <w:vertAlign w:val="subscript"/>
          <w:lang w:val="sr-Latn-CS"/>
        </w:rPr>
        <w:t>3</w:t>
      </w:r>
      <w:r w:rsidRPr="0076503E">
        <w:rPr>
          <w:sz w:val="22"/>
          <w:szCs w:val="22"/>
          <w:vertAlign w:val="superscript"/>
          <w:lang w:val="sr-Latn-CS"/>
        </w:rPr>
        <w:t>–</w:t>
      </w:r>
      <w:r w:rsidRPr="0076503E">
        <w:rPr>
          <w:sz w:val="22"/>
          <w:szCs w:val="22"/>
          <w:lang w:val="sr-Latn-CS"/>
        </w:rPr>
        <w:t>, budući da nije utvrđen negativni uticaj na zdravlje čoveka.</w:t>
      </w:r>
    </w:p>
    <w:p w:rsidR="00BE2F2E" w:rsidRPr="00A46117" w:rsidRDefault="00BE2F2E" w:rsidP="00956754">
      <w:pPr>
        <w:jc w:val="both"/>
        <w:rPr>
          <w:sz w:val="22"/>
          <w:szCs w:val="22"/>
          <w:lang w:val="sr-Latn-CS"/>
        </w:rPr>
      </w:pPr>
      <w:r w:rsidRPr="00A46117">
        <w:rPr>
          <w:sz w:val="22"/>
          <w:szCs w:val="22"/>
          <w:lang w:val="sr-Latn-CS"/>
        </w:rPr>
        <w:lastRenderedPageBreak/>
        <w:t xml:space="preserve">Tabela 2. Rezultati fizičko-hemijskog ispitivanja vode za piće iz </w:t>
      </w:r>
      <w:r w:rsidRPr="00A46117">
        <w:rPr>
          <w:sz w:val="22"/>
          <w:szCs w:val="22"/>
          <w:lang w:val="sl-SI"/>
        </w:rPr>
        <w:t>vodovodne mreže Grada Požarevca</w:t>
      </w:r>
      <w:r>
        <w:rPr>
          <w:sz w:val="22"/>
          <w:szCs w:val="22"/>
          <w:lang w:val="sl-SI"/>
        </w:rPr>
        <w:t>.</w:t>
      </w:r>
    </w:p>
    <w:p w:rsidR="00BE2F2E" w:rsidRPr="0076503E" w:rsidRDefault="00BE2F2E" w:rsidP="00956754">
      <w:pPr>
        <w:jc w:val="both"/>
        <w:rPr>
          <w:sz w:val="22"/>
          <w:szCs w:val="22"/>
          <w:lang w:val="sr-Latn-CS"/>
        </w:rPr>
      </w:pPr>
      <w:r w:rsidRPr="0046200E">
        <w:rPr>
          <w:i/>
          <w:iCs/>
          <w:sz w:val="22"/>
          <w:szCs w:val="22"/>
        </w:rPr>
        <w:t>Table</w:t>
      </w:r>
      <w:r>
        <w:rPr>
          <w:i/>
          <w:iCs/>
          <w:sz w:val="22"/>
          <w:szCs w:val="22"/>
        </w:rPr>
        <w:t xml:space="preserve"> </w:t>
      </w:r>
      <w:r w:rsidRPr="0046200E">
        <w:rPr>
          <w:i/>
          <w:iCs/>
          <w:sz w:val="22"/>
          <w:szCs w:val="22"/>
        </w:rPr>
        <w:t>2. Results of the physical and chemical analysis of drinking water from the Po</w:t>
      </w:r>
      <w:r>
        <w:rPr>
          <w:i/>
          <w:iCs/>
          <w:sz w:val="22"/>
          <w:szCs w:val="22"/>
        </w:rPr>
        <w:t>ž</w:t>
      </w:r>
      <w:r w:rsidRPr="0046200E">
        <w:rPr>
          <w:i/>
          <w:iCs/>
          <w:sz w:val="22"/>
          <w:szCs w:val="22"/>
        </w:rPr>
        <w:t xml:space="preserve">arevac </w:t>
      </w:r>
      <w:r>
        <w:rPr>
          <w:i/>
          <w:iCs/>
          <w:sz w:val="22"/>
          <w:szCs w:val="22"/>
        </w:rPr>
        <w:t>c</w:t>
      </w:r>
      <w:r w:rsidRPr="0046200E">
        <w:rPr>
          <w:i/>
          <w:iCs/>
          <w:sz w:val="22"/>
          <w:szCs w:val="22"/>
        </w:rPr>
        <w:t>ity public water supply</w:t>
      </w:r>
      <w:r>
        <w:rPr>
          <w:i/>
          <w:iCs/>
          <w:sz w:val="22"/>
          <w:szCs w:val="22"/>
        </w:rPr>
        <w:t>.</w:t>
      </w:r>
    </w:p>
    <w:p w:rsidR="00BE2F2E" w:rsidRPr="0076503E" w:rsidRDefault="00BE2F2E" w:rsidP="00A5338B">
      <w:pPr>
        <w:rPr>
          <w:sz w:val="22"/>
          <w:szCs w:val="22"/>
          <w:lang w:val="sr-Latn-CS"/>
        </w:rPr>
      </w:pPr>
    </w:p>
    <w:tbl>
      <w:tblPr>
        <w:tblW w:w="7336" w:type="dxa"/>
        <w:jc w:val="center"/>
        <w:tblCellMar>
          <w:left w:w="28" w:type="dxa"/>
          <w:right w:w="28" w:type="dxa"/>
        </w:tblCellMar>
        <w:tblLook w:val="00A0"/>
      </w:tblPr>
      <w:tblGrid>
        <w:gridCol w:w="737"/>
        <w:gridCol w:w="490"/>
        <w:gridCol w:w="488"/>
        <w:gridCol w:w="529"/>
        <w:gridCol w:w="514"/>
        <w:gridCol w:w="604"/>
        <w:gridCol w:w="657"/>
        <w:gridCol w:w="675"/>
        <w:gridCol w:w="682"/>
        <w:gridCol w:w="682"/>
        <w:gridCol w:w="682"/>
        <w:gridCol w:w="596"/>
      </w:tblGrid>
      <w:tr w:rsidR="00BE2F2E" w:rsidRPr="0076503E">
        <w:trPr>
          <w:cantSplit/>
          <w:trHeight w:val="1701"/>
          <w:jc w:val="center"/>
        </w:trPr>
        <w:tc>
          <w:tcPr>
            <w:tcW w:w="737" w:type="dxa"/>
            <w:tcBorders>
              <w:top w:val="single" w:sz="4" w:space="0" w:color="auto"/>
              <w:bottom w:val="single" w:sz="4" w:space="0" w:color="auto"/>
            </w:tcBorders>
            <w:textDirection w:val="btLr"/>
            <w:vAlign w:val="center"/>
          </w:tcPr>
          <w:p w:rsidR="00BE2F2E" w:rsidRPr="00E7314B" w:rsidRDefault="00BE2F2E" w:rsidP="00E7314B">
            <w:pPr>
              <w:widowControl w:val="0"/>
              <w:ind w:left="57"/>
              <w:rPr>
                <w:sz w:val="18"/>
                <w:szCs w:val="18"/>
                <w:lang w:val="sr-Latn-CS"/>
              </w:rPr>
            </w:pPr>
            <w:r w:rsidRPr="00E7314B">
              <w:rPr>
                <w:sz w:val="18"/>
                <w:szCs w:val="18"/>
                <w:lang w:val="sr-Latn-CS"/>
              </w:rPr>
              <w:t>Broj uzorka</w:t>
            </w:r>
          </w:p>
          <w:p w:rsidR="00BE2F2E" w:rsidRPr="00E7314B" w:rsidRDefault="00BE2F2E" w:rsidP="00E7314B">
            <w:pPr>
              <w:widowControl w:val="0"/>
              <w:ind w:left="57"/>
              <w:rPr>
                <w:i/>
                <w:iCs/>
                <w:sz w:val="18"/>
                <w:szCs w:val="18"/>
                <w:lang w:val="sr-Latn-CS"/>
              </w:rPr>
            </w:pPr>
            <w:r w:rsidRPr="00E7314B">
              <w:rPr>
                <w:i/>
                <w:iCs/>
                <w:sz w:val="18"/>
                <w:szCs w:val="18"/>
                <w:lang w:val="sr-Latn-CS"/>
              </w:rPr>
              <w:t>Number of samples</w:t>
            </w:r>
          </w:p>
        </w:tc>
        <w:tc>
          <w:tcPr>
            <w:tcW w:w="490" w:type="dxa"/>
            <w:tcBorders>
              <w:top w:val="single" w:sz="4" w:space="0" w:color="auto"/>
              <w:bottom w:val="single" w:sz="4" w:space="0" w:color="auto"/>
            </w:tcBorders>
            <w:textDirection w:val="btLr"/>
            <w:vAlign w:val="center"/>
          </w:tcPr>
          <w:p w:rsidR="00BE2F2E" w:rsidRPr="00E7314B" w:rsidRDefault="00BE2F2E" w:rsidP="00E7314B">
            <w:pPr>
              <w:widowControl w:val="0"/>
              <w:ind w:left="57"/>
              <w:rPr>
                <w:sz w:val="18"/>
                <w:szCs w:val="18"/>
                <w:lang w:val="sr-Latn-CS"/>
              </w:rPr>
            </w:pPr>
            <w:r w:rsidRPr="00E7314B">
              <w:rPr>
                <w:sz w:val="18"/>
                <w:szCs w:val="18"/>
                <w:lang w:val="sr-Latn-CS"/>
              </w:rPr>
              <w:t>Miris</w:t>
            </w:r>
          </w:p>
          <w:p w:rsidR="00BE2F2E" w:rsidRPr="00E7314B" w:rsidRDefault="00BE2F2E" w:rsidP="00E7314B">
            <w:pPr>
              <w:widowControl w:val="0"/>
              <w:ind w:left="57"/>
              <w:rPr>
                <w:i/>
                <w:iCs/>
                <w:sz w:val="18"/>
                <w:szCs w:val="18"/>
                <w:lang w:val="sr-Latn-CS"/>
              </w:rPr>
            </w:pPr>
            <w:r w:rsidRPr="00E7314B">
              <w:rPr>
                <w:i/>
                <w:iCs/>
                <w:sz w:val="18"/>
                <w:szCs w:val="18"/>
                <w:lang w:val="sr-Latn-CS"/>
              </w:rPr>
              <w:t>Smell</w:t>
            </w:r>
          </w:p>
        </w:tc>
        <w:tc>
          <w:tcPr>
            <w:tcW w:w="488" w:type="dxa"/>
            <w:tcBorders>
              <w:top w:val="single" w:sz="4" w:space="0" w:color="auto"/>
              <w:bottom w:val="single" w:sz="4" w:space="0" w:color="auto"/>
            </w:tcBorders>
            <w:textDirection w:val="btLr"/>
            <w:vAlign w:val="center"/>
          </w:tcPr>
          <w:p w:rsidR="00BE2F2E" w:rsidRPr="00E7314B" w:rsidRDefault="00BE2F2E" w:rsidP="00E7314B">
            <w:pPr>
              <w:widowControl w:val="0"/>
              <w:ind w:left="57"/>
              <w:rPr>
                <w:sz w:val="18"/>
                <w:szCs w:val="18"/>
                <w:lang w:val="sr-Latn-CS"/>
              </w:rPr>
            </w:pPr>
            <w:r w:rsidRPr="00E7314B">
              <w:rPr>
                <w:sz w:val="18"/>
                <w:szCs w:val="18"/>
                <w:lang w:val="sr-Latn-CS"/>
              </w:rPr>
              <w:t>Ukus</w:t>
            </w:r>
          </w:p>
          <w:p w:rsidR="00BE2F2E" w:rsidRPr="00E7314B" w:rsidRDefault="00BE2F2E" w:rsidP="00E7314B">
            <w:pPr>
              <w:widowControl w:val="0"/>
              <w:ind w:left="57"/>
              <w:rPr>
                <w:i/>
                <w:iCs/>
                <w:sz w:val="18"/>
                <w:szCs w:val="18"/>
                <w:lang w:val="sr-Latn-CS"/>
              </w:rPr>
            </w:pPr>
            <w:r w:rsidRPr="00E7314B">
              <w:rPr>
                <w:i/>
                <w:iCs/>
                <w:sz w:val="18"/>
                <w:szCs w:val="18"/>
                <w:lang w:val="sr-Latn-CS"/>
              </w:rPr>
              <w:t>Taste</w:t>
            </w:r>
          </w:p>
        </w:tc>
        <w:tc>
          <w:tcPr>
            <w:tcW w:w="529" w:type="dxa"/>
            <w:tcBorders>
              <w:top w:val="single" w:sz="4" w:space="0" w:color="auto"/>
              <w:bottom w:val="single" w:sz="4" w:space="0" w:color="auto"/>
            </w:tcBorders>
            <w:textDirection w:val="btLr"/>
            <w:vAlign w:val="center"/>
          </w:tcPr>
          <w:p w:rsidR="00BE2F2E" w:rsidRPr="00E7314B" w:rsidRDefault="00BE2F2E" w:rsidP="00E7314B">
            <w:pPr>
              <w:widowControl w:val="0"/>
              <w:ind w:left="57"/>
              <w:rPr>
                <w:sz w:val="18"/>
                <w:szCs w:val="18"/>
                <w:lang w:val="sr-Latn-CS"/>
              </w:rPr>
            </w:pPr>
            <w:r w:rsidRPr="00E7314B">
              <w:rPr>
                <w:sz w:val="18"/>
                <w:szCs w:val="18"/>
                <w:lang w:val="sr-Latn-CS"/>
              </w:rPr>
              <w:t>Mutnoća</w:t>
            </w:r>
          </w:p>
          <w:p w:rsidR="00BE2F2E" w:rsidRPr="00E7314B" w:rsidRDefault="00BE2F2E" w:rsidP="00E7314B">
            <w:pPr>
              <w:widowControl w:val="0"/>
              <w:ind w:left="57"/>
              <w:rPr>
                <w:i/>
                <w:iCs/>
                <w:sz w:val="18"/>
                <w:szCs w:val="18"/>
                <w:lang w:val="sr-Latn-CS"/>
              </w:rPr>
            </w:pPr>
            <w:r w:rsidRPr="00E7314B">
              <w:rPr>
                <w:i/>
                <w:iCs/>
                <w:sz w:val="18"/>
                <w:szCs w:val="18"/>
                <w:lang w:val="sr-Latn-CS"/>
              </w:rPr>
              <w:t>Turbidity</w:t>
            </w:r>
          </w:p>
        </w:tc>
        <w:tc>
          <w:tcPr>
            <w:tcW w:w="514" w:type="dxa"/>
            <w:tcBorders>
              <w:top w:val="single" w:sz="4" w:space="0" w:color="auto"/>
              <w:bottom w:val="single" w:sz="4" w:space="0" w:color="auto"/>
            </w:tcBorders>
            <w:textDirection w:val="btLr"/>
            <w:vAlign w:val="center"/>
          </w:tcPr>
          <w:p w:rsidR="00BE2F2E" w:rsidRPr="00E7314B" w:rsidRDefault="00BE2F2E" w:rsidP="00E7314B">
            <w:pPr>
              <w:widowControl w:val="0"/>
              <w:ind w:left="57"/>
              <w:rPr>
                <w:sz w:val="18"/>
                <w:szCs w:val="18"/>
                <w:lang w:val="sr-Latn-CS"/>
              </w:rPr>
            </w:pPr>
            <w:r w:rsidRPr="00E7314B">
              <w:rPr>
                <w:sz w:val="18"/>
                <w:szCs w:val="18"/>
                <w:lang w:val="sr-Latn-CS"/>
              </w:rPr>
              <w:t>Boja</w:t>
            </w:r>
          </w:p>
          <w:p w:rsidR="00BE2F2E" w:rsidRPr="00E7314B" w:rsidRDefault="00BE2F2E" w:rsidP="00E7314B">
            <w:pPr>
              <w:widowControl w:val="0"/>
              <w:ind w:left="57"/>
              <w:rPr>
                <w:i/>
                <w:iCs/>
                <w:sz w:val="18"/>
                <w:szCs w:val="18"/>
                <w:lang w:val="sr-Latn-CS"/>
              </w:rPr>
            </w:pPr>
            <w:r w:rsidRPr="00E7314B">
              <w:rPr>
                <w:i/>
                <w:iCs/>
                <w:sz w:val="18"/>
                <w:szCs w:val="18"/>
                <w:lang w:val="sr-Latn-CS"/>
              </w:rPr>
              <w:t>Colour</w:t>
            </w:r>
          </w:p>
        </w:tc>
        <w:tc>
          <w:tcPr>
            <w:tcW w:w="604" w:type="dxa"/>
            <w:tcBorders>
              <w:top w:val="single" w:sz="4" w:space="0" w:color="auto"/>
              <w:bottom w:val="single" w:sz="4" w:space="0" w:color="auto"/>
            </w:tcBorders>
            <w:textDirection w:val="btLr"/>
            <w:vAlign w:val="center"/>
          </w:tcPr>
          <w:p w:rsidR="00BE2F2E" w:rsidRPr="00E7314B" w:rsidRDefault="00BE2F2E" w:rsidP="00E7314B">
            <w:pPr>
              <w:widowControl w:val="0"/>
              <w:ind w:left="57"/>
              <w:rPr>
                <w:sz w:val="18"/>
                <w:szCs w:val="18"/>
                <w:lang w:val="sr-Latn-CS"/>
              </w:rPr>
            </w:pPr>
            <w:r w:rsidRPr="00E7314B">
              <w:rPr>
                <w:sz w:val="18"/>
                <w:szCs w:val="18"/>
                <w:lang w:val="sr-Latn-CS"/>
              </w:rPr>
              <w:t>pH vrednost</w:t>
            </w:r>
          </w:p>
          <w:p w:rsidR="00BE2F2E" w:rsidRPr="00E7314B" w:rsidRDefault="00BE2F2E" w:rsidP="00E7314B">
            <w:pPr>
              <w:widowControl w:val="0"/>
              <w:ind w:left="57"/>
              <w:rPr>
                <w:i/>
                <w:iCs/>
                <w:sz w:val="18"/>
                <w:szCs w:val="18"/>
                <w:lang w:val="sr-Latn-CS"/>
              </w:rPr>
            </w:pPr>
            <w:r w:rsidRPr="00E7314B">
              <w:rPr>
                <w:i/>
                <w:iCs/>
                <w:sz w:val="18"/>
                <w:szCs w:val="18"/>
                <w:lang w:val="sr-Latn-CS"/>
              </w:rPr>
              <w:t>pH value</w:t>
            </w:r>
          </w:p>
        </w:tc>
        <w:tc>
          <w:tcPr>
            <w:tcW w:w="657" w:type="dxa"/>
            <w:tcBorders>
              <w:top w:val="single" w:sz="4" w:space="0" w:color="auto"/>
              <w:bottom w:val="single" w:sz="4" w:space="0" w:color="auto"/>
            </w:tcBorders>
            <w:textDirection w:val="btLr"/>
            <w:vAlign w:val="center"/>
          </w:tcPr>
          <w:p w:rsidR="00BE2F2E" w:rsidRPr="00E7314B" w:rsidRDefault="00BE2F2E" w:rsidP="00E7314B">
            <w:pPr>
              <w:widowControl w:val="0"/>
              <w:ind w:left="57"/>
              <w:rPr>
                <w:sz w:val="18"/>
                <w:szCs w:val="18"/>
                <w:lang w:val="sr-Latn-CS"/>
              </w:rPr>
            </w:pPr>
            <w:r w:rsidRPr="00E7314B">
              <w:rPr>
                <w:sz w:val="18"/>
                <w:szCs w:val="18"/>
                <w:lang w:val="sr-Latn-CS"/>
              </w:rPr>
              <w:t>Nitrati</w:t>
            </w:r>
          </w:p>
          <w:p w:rsidR="00BE2F2E" w:rsidRPr="00E7314B" w:rsidRDefault="00BE2F2E" w:rsidP="00E7314B">
            <w:pPr>
              <w:widowControl w:val="0"/>
              <w:ind w:left="57"/>
              <w:rPr>
                <w:i/>
                <w:iCs/>
                <w:sz w:val="18"/>
                <w:szCs w:val="18"/>
                <w:lang w:val="sr-Latn-CS"/>
              </w:rPr>
            </w:pPr>
            <w:r w:rsidRPr="00E7314B">
              <w:rPr>
                <w:i/>
                <w:iCs/>
                <w:sz w:val="18"/>
                <w:szCs w:val="18"/>
                <w:lang w:val="sr-Latn-CS"/>
              </w:rPr>
              <w:t>Nitrates</w:t>
            </w:r>
          </w:p>
        </w:tc>
        <w:tc>
          <w:tcPr>
            <w:tcW w:w="675" w:type="dxa"/>
            <w:tcBorders>
              <w:top w:val="single" w:sz="4" w:space="0" w:color="auto"/>
              <w:bottom w:val="single" w:sz="4" w:space="0" w:color="auto"/>
            </w:tcBorders>
            <w:textDirection w:val="btLr"/>
            <w:vAlign w:val="center"/>
          </w:tcPr>
          <w:p w:rsidR="00BE2F2E" w:rsidRPr="00E7314B" w:rsidRDefault="00BE2F2E" w:rsidP="00E7314B">
            <w:pPr>
              <w:widowControl w:val="0"/>
              <w:ind w:left="57"/>
              <w:rPr>
                <w:sz w:val="18"/>
                <w:szCs w:val="18"/>
                <w:lang w:val="sr-Latn-CS"/>
              </w:rPr>
            </w:pPr>
            <w:r w:rsidRPr="00E7314B">
              <w:rPr>
                <w:sz w:val="18"/>
                <w:szCs w:val="18"/>
                <w:lang w:val="sr-Latn-CS"/>
              </w:rPr>
              <w:t>Nitriti</w:t>
            </w:r>
          </w:p>
          <w:p w:rsidR="00BE2F2E" w:rsidRPr="00E7314B" w:rsidRDefault="00BE2F2E" w:rsidP="00E7314B">
            <w:pPr>
              <w:widowControl w:val="0"/>
              <w:ind w:left="57"/>
              <w:rPr>
                <w:i/>
                <w:iCs/>
                <w:sz w:val="18"/>
                <w:szCs w:val="18"/>
                <w:lang w:val="sr-Latn-CS"/>
              </w:rPr>
            </w:pPr>
            <w:r w:rsidRPr="00E7314B">
              <w:rPr>
                <w:i/>
                <w:iCs/>
                <w:sz w:val="18"/>
                <w:szCs w:val="18"/>
                <w:lang w:val="sr-Latn-CS"/>
              </w:rPr>
              <w:t>Nitrites</w:t>
            </w:r>
          </w:p>
        </w:tc>
        <w:tc>
          <w:tcPr>
            <w:tcW w:w="682" w:type="dxa"/>
            <w:tcBorders>
              <w:top w:val="single" w:sz="4" w:space="0" w:color="auto"/>
              <w:bottom w:val="single" w:sz="4" w:space="0" w:color="auto"/>
            </w:tcBorders>
            <w:textDirection w:val="btLr"/>
            <w:vAlign w:val="center"/>
          </w:tcPr>
          <w:p w:rsidR="00BE2F2E" w:rsidRPr="00E7314B" w:rsidRDefault="00BE2F2E" w:rsidP="00E7314B">
            <w:pPr>
              <w:widowControl w:val="0"/>
              <w:ind w:left="57"/>
              <w:rPr>
                <w:sz w:val="18"/>
                <w:szCs w:val="18"/>
                <w:lang w:val="sr-Latn-CS"/>
              </w:rPr>
            </w:pPr>
            <w:r w:rsidRPr="00E7314B">
              <w:rPr>
                <w:sz w:val="18"/>
                <w:szCs w:val="18"/>
                <w:lang w:val="sr-Latn-CS"/>
              </w:rPr>
              <w:t>Amonijak</w:t>
            </w:r>
          </w:p>
          <w:p w:rsidR="00BE2F2E" w:rsidRPr="00E7314B" w:rsidRDefault="00BE2F2E" w:rsidP="00E7314B">
            <w:pPr>
              <w:widowControl w:val="0"/>
              <w:ind w:left="57"/>
              <w:rPr>
                <w:i/>
                <w:iCs/>
                <w:sz w:val="18"/>
                <w:szCs w:val="18"/>
                <w:lang w:val="sr-Latn-CS"/>
              </w:rPr>
            </w:pPr>
            <w:r w:rsidRPr="00E7314B">
              <w:rPr>
                <w:i/>
                <w:iCs/>
                <w:sz w:val="18"/>
                <w:szCs w:val="18"/>
                <w:lang w:val="sr-Latn-CS"/>
              </w:rPr>
              <w:t xml:space="preserve">Ammonia </w:t>
            </w:r>
          </w:p>
        </w:tc>
        <w:tc>
          <w:tcPr>
            <w:tcW w:w="682" w:type="dxa"/>
            <w:tcBorders>
              <w:top w:val="single" w:sz="4" w:space="0" w:color="auto"/>
              <w:bottom w:val="single" w:sz="4" w:space="0" w:color="auto"/>
            </w:tcBorders>
            <w:textDirection w:val="btLr"/>
            <w:vAlign w:val="center"/>
          </w:tcPr>
          <w:p w:rsidR="00BE2F2E" w:rsidRPr="00E7314B" w:rsidRDefault="00BE2F2E" w:rsidP="00E7314B">
            <w:pPr>
              <w:widowControl w:val="0"/>
              <w:ind w:left="57"/>
              <w:rPr>
                <w:sz w:val="18"/>
                <w:szCs w:val="18"/>
                <w:lang w:val="sr-Latn-CS"/>
              </w:rPr>
            </w:pPr>
            <w:r w:rsidRPr="00E7314B">
              <w:rPr>
                <w:sz w:val="18"/>
                <w:szCs w:val="18"/>
                <w:lang w:val="sr-Latn-CS"/>
              </w:rPr>
              <w:t>Hloridi</w:t>
            </w:r>
          </w:p>
          <w:p w:rsidR="00BE2F2E" w:rsidRPr="00E7314B" w:rsidRDefault="00BE2F2E" w:rsidP="00E7314B">
            <w:pPr>
              <w:widowControl w:val="0"/>
              <w:ind w:left="57"/>
              <w:rPr>
                <w:i/>
                <w:iCs/>
                <w:sz w:val="18"/>
                <w:szCs w:val="18"/>
                <w:lang w:val="sr-Latn-CS"/>
              </w:rPr>
            </w:pPr>
            <w:r w:rsidRPr="00E7314B">
              <w:rPr>
                <w:i/>
                <w:iCs/>
                <w:sz w:val="18"/>
                <w:szCs w:val="18"/>
                <w:lang w:val="sr-Latn-CS"/>
              </w:rPr>
              <w:t>Chlorides</w:t>
            </w:r>
          </w:p>
        </w:tc>
        <w:tc>
          <w:tcPr>
            <w:tcW w:w="682" w:type="dxa"/>
            <w:tcBorders>
              <w:top w:val="single" w:sz="4" w:space="0" w:color="auto"/>
              <w:bottom w:val="single" w:sz="4" w:space="0" w:color="auto"/>
            </w:tcBorders>
            <w:textDirection w:val="btLr"/>
            <w:vAlign w:val="center"/>
          </w:tcPr>
          <w:p w:rsidR="00BE2F2E" w:rsidRPr="00E7314B" w:rsidRDefault="00BE2F2E" w:rsidP="00E7314B">
            <w:pPr>
              <w:widowControl w:val="0"/>
              <w:ind w:left="57"/>
              <w:rPr>
                <w:sz w:val="18"/>
                <w:szCs w:val="18"/>
                <w:lang w:val="sr-Latn-CS"/>
              </w:rPr>
            </w:pPr>
            <w:r w:rsidRPr="00E7314B">
              <w:rPr>
                <w:sz w:val="18"/>
                <w:szCs w:val="18"/>
                <w:lang w:val="sr-Latn-CS"/>
              </w:rPr>
              <w:t>Utrošak KMnO4</w:t>
            </w:r>
          </w:p>
          <w:p w:rsidR="00BE2F2E" w:rsidRPr="00E7314B" w:rsidRDefault="00BE2F2E" w:rsidP="00E7314B">
            <w:pPr>
              <w:widowControl w:val="0"/>
              <w:ind w:left="57"/>
              <w:rPr>
                <w:sz w:val="18"/>
                <w:szCs w:val="18"/>
                <w:lang w:val="sr-Latn-CS"/>
              </w:rPr>
            </w:pPr>
            <w:r w:rsidRPr="00E7314B">
              <w:rPr>
                <w:i/>
                <w:iCs/>
                <w:sz w:val="18"/>
                <w:szCs w:val="18"/>
                <w:lang w:val="sr-Latn-CS"/>
              </w:rPr>
              <w:t>Consumption of</w:t>
            </w:r>
            <w:r w:rsidRPr="00E7314B">
              <w:rPr>
                <w:sz w:val="18"/>
                <w:szCs w:val="18"/>
                <w:lang w:val="sr-Latn-CS"/>
              </w:rPr>
              <w:t xml:space="preserve"> KMnO4</w:t>
            </w:r>
          </w:p>
        </w:tc>
        <w:tc>
          <w:tcPr>
            <w:tcW w:w="596" w:type="dxa"/>
            <w:tcBorders>
              <w:top w:val="single" w:sz="4" w:space="0" w:color="auto"/>
              <w:bottom w:val="single" w:sz="4" w:space="0" w:color="auto"/>
            </w:tcBorders>
            <w:textDirection w:val="btLr"/>
            <w:vAlign w:val="center"/>
          </w:tcPr>
          <w:p w:rsidR="00BE2F2E" w:rsidRPr="00E7314B" w:rsidRDefault="00BE2F2E" w:rsidP="00E7314B">
            <w:pPr>
              <w:widowControl w:val="0"/>
              <w:ind w:left="57"/>
              <w:rPr>
                <w:sz w:val="18"/>
                <w:szCs w:val="18"/>
                <w:lang w:val="sr-Latn-CS"/>
              </w:rPr>
            </w:pPr>
            <w:r w:rsidRPr="00E7314B">
              <w:rPr>
                <w:sz w:val="18"/>
                <w:szCs w:val="18"/>
                <w:lang w:val="sr-Latn-CS"/>
              </w:rPr>
              <w:t>Elektroprovodljivost</w:t>
            </w:r>
          </w:p>
          <w:p w:rsidR="00BE2F2E" w:rsidRPr="00E7314B" w:rsidRDefault="00BE2F2E" w:rsidP="00E7314B">
            <w:pPr>
              <w:widowControl w:val="0"/>
              <w:ind w:left="57"/>
              <w:rPr>
                <w:i/>
                <w:iCs/>
                <w:sz w:val="18"/>
                <w:szCs w:val="18"/>
                <w:lang w:val="sr-Latn-CS"/>
              </w:rPr>
            </w:pPr>
            <w:r w:rsidRPr="00E7314B">
              <w:rPr>
                <w:i/>
                <w:iCs/>
                <w:sz w:val="18"/>
                <w:szCs w:val="18"/>
                <w:lang w:val="sr-Latn-CS"/>
              </w:rPr>
              <w:t>Electroconductivity</w:t>
            </w:r>
          </w:p>
        </w:tc>
      </w:tr>
      <w:tr w:rsidR="00BE2F2E" w:rsidRPr="0076503E">
        <w:trPr>
          <w:trHeight w:val="340"/>
          <w:jc w:val="center"/>
        </w:trPr>
        <w:tc>
          <w:tcPr>
            <w:tcW w:w="737" w:type="dxa"/>
            <w:vMerge w:val="restart"/>
            <w:tcBorders>
              <w:top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MDK</w:t>
            </w:r>
          </w:p>
          <w:p w:rsidR="00BE2F2E" w:rsidRPr="00E7314B" w:rsidRDefault="00BE2F2E" w:rsidP="00E7314B">
            <w:pPr>
              <w:widowControl w:val="0"/>
              <w:jc w:val="center"/>
              <w:rPr>
                <w:sz w:val="16"/>
                <w:szCs w:val="16"/>
                <w:lang w:val="sr-Latn-CS"/>
              </w:rPr>
            </w:pPr>
            <w:r w:rsidRPr="00E7314B">
              <w:rPr>
                <w:sz w:val="16"/>
                <w:szCs w:val="16"/>
                <w:lang w:val="sr-Latn-CS"/>
              </w:rPr>
              <w:t>(</w:t>
            </w:r>
            <w:r w:rsidRPr="00E7314B">
              <w:rPr>
                <w:i/>
                <w:iCs/>
                <w:sz w:val="16"/>
                <w:szCs w:val="16"/>
                <w:lang w:val="sr-Latn-CS"/>
              </w:rPr>
              <w:t>MAC</w:t>
            </w:r>
            <w:r w:rsidRPr="00E7314B">
              <w:rPr>
                <w:sz w:val="16"/>
                <w:szCs w:val="16"/>
                <w:lang w:val="sr-Latn-CS"/>
              </w:rPr>
              <w:t>)</w:t>
            </w:r>
          </w:p>
        </w:tc>
        <w:tc>
          <w:tcPr>
            <w:tcW w:w="490" w:type="dxa"/>
            <w:tcBorders>
              <w:top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w:t>
            </w:r>
          </w:p>
        </w:tc>
        <w:tc>
          <w:tcPr>
            <w:tcW w:w="488" w:type="dxa"/>
            <w:tcBorders>
              <w:top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w:t>
            </w:r>
          </w:p>
        </w:tc>
        <w:tc>
          <w:tcPr>
            <w:tcW w:w="529" w:type="dxa"/>
            <w:tcBorders>
              <w:top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NTU</w:t>
            </w:r>
          </w:p>
        </w:tc>
        <w:tc>
          <w:tcPr>
            <w:tcW w:w="514" w:type="dxa"/>
            <w:tcBorders>
              <w:top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Co-Pt</w:t>
            </w:r>
          </w:p>
        </w:tc>
        <w:tc>
          <w:tcPr>
            <w:tcW w:w="604" w:type="dxa"/>
            <w:tcBorders>
              <w:top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w:t>
            </w:r>
          </w:p>
        </w:tc>
        <w:tc>
          <w:tcPr>
            <w:tcW w:w="657" w:type="dxa"/>
            <w:tcBorders>
              <w:top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mg/dm3</w:t>
            </w:r>
          </w:p>
        </w:tc>
        <w:tc>
          <w:tcPr>
            <w:tcW w:w="675" w:type="dxa"/>
            <w:tcBorders>
              <w:top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mg/dm3</w:t>
            </w:r>
          </w:p>
        </w:tc>
        <w:tc>
          <w:tcPr>
            <w:tcW w:w="682" w:type="dxa"/>
            <w:tcBorders>
              <w:top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mg/dm3</w:t>
            </w:r>
          </w:p>
        </w:tc>
        <w:tc>
          <w:tcPr>
            <w:tcW w:w="682" w:type="dxa"/>
            <w:tcBorders>
              <w:top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mg/dm3</w:t>
            </w:r>
          </w:p>
        </w:tc>
        <w:tc>
          <w:tcPr>
            <w:tcW w:w="682" w:type="dxa"/>
            <w:tcBorders>
              <w:top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mg/dm3</w:t>
            </w:r>
          </w:p>
        </w:tc>
        <w:tc>
          <w:tcPr>
            <w:tcW w:w="596" w:type="dxa"/>
            <w:tcBorders>
              <w:top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µS</w:t>
            </w:r>
          </w:p>
        </w:tc>
      </w:tr>
      <w:tr w:rsidR="00BE2F2E" w:rsidRPr="0076503E">
        <w:trPr>
          <w:trHeight w:val="340"/>
          <w:jc w:val="center"/>
        </w:trPr>
        <w:tc>
          <w:tcPr>
            <w:tcW w:w="737" w:type="dxa"/>
            <w:vMerge/>
            <w:vAlign w:val="center"/>
          </w:tcPr>
          <w:p w:rsidR="00BE2F2E" w:rsidRPr="00E7314B" w:rsidRDefault="00BE2F2E" w:rsidP="00E7314B">
            <w:pPr>
              <w:widowControl w:val="0"/>
              <w:jc w:val="center"/>
              <w:rPr>
                <w:sz w:val="16"/>
                <w:szCs w:val="16"/>
                <w:lang w:val="sr-Latn-CS"/>
              </w:rPr>
            </w:pPr>
          </w:p>
        </w:tc>
        <w:tc>
          <w:tcPr>
            <w:tcW w:w="490"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bez</w:t>
            </w:r>
          </w:p>
        </w:tc>
        <w:tc>
          <w:tcPr>
            <w:tcW w:w="488"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bez</w:t>
            </w:r>
          </w:p>
        </w:tc>
        <w:tc>
          <w:tcPr>
            <w:tcW w:w="529"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5</w:t>
            </w:r>
          </w:p>
        </w:tc>
        <w:tc>
          <w:tcPr>
            <w:tcW w:w="514"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5</w:t>
            </w:r>
          </w:p>
        </w:tc>
        <w:tc>
          <w:tcPr>
            <w:tcW w:w="604"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6,8</w:t>
            </w:r>
            <w:r w:rsidRPr="00E7314B">
              <w:rPr>
                <w:rFonts w:ascii="Cambria Math" w:hAnsi="Cambria Math" w:cs="Cambria Math"/>
                <w:sz w:val="16"/>
                <w:szCs w:val="16"/>
              </w:rPr>
              <w:t>‒</w:t>
            </w:r>
            <w:r w:rsidRPr="00E7314B">
              <w:rPr>
                <w:sz w:val="16"/>
                <w:szCs w:val="16"/>
                <w:lang w:val="sr-Latn-CS"/>
              </w:rPr>
              <w:t>8,5</w:t>
            </w:r>
          </w:p>
        </w:tc>
        <w:tc>
          <w:tcPr>
            <w:tcW w:w="657"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50,0</w:t>
            </w:r>
          </w:p>
        </w:tc>
        <w:tc>
          <w:tcPr>
            <w:tcW w:w="675"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0,03</w:t>
            </w:r>
          </w:p>
        </w:tc>
        <w:tc>
          <w:tcPr>
            <w:tcW w:w="682"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1,0</w:t>
            </w:r>
          </w:p>
        </w:tc>
        <w:tc>
          <w:tcPr>
            <w:tcW w:w="682"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200,0</w:t>
            </w:r>
          </w:p>
        </w:tc>
        <w:tc>
          <w:tcPr>
            <w:tcW w:w="682"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8,0</w:t>
            </w:r>
          </w:p>
        </w:tc>
        <w:tc>
          <w:tcPr>
            <w:tcW w:w="596"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do 1000</w:t>
            </w:r>
          </w:p>
        </w:tc>
      </w:tr>
      <w:tr w:rsidR="00BE2F2E" w:rsidRPr="0076503E">
        <w:trPr>
          <w:trHeight w:val="510"/>
          <w:jc w:val="center"/>
        </w:trPr>
        <w:tc>
          <w:tcPr>
            <w:tcW w:w="737"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uzorak 1</w:t>
            </w:r>
          </w:p>
          <w:p w:rsidR="00BE2F2E" w:rsidRPr="00E7314B" w:rsidRDefault="00BE2F2E" w:rsidP="00E7314B">
            <w:pPr>
              <w:widowControl w:val="0"/>
              <w:jc w:val="center"/>
              <w:rPr>
                <w:i/>
                <w:iCs/>
                <w:sz w:val="16"/>
                <w:szCs w:val="16"/>
                <w:lang w:val="sr-Latn-CS"/>
              </w:rPr>
            </w:pPr>
            <w:r w:rsidRPr="00E7314B">
              <w:rPr>
                <w:i/>
                <w:iCs/>
                <w:sz w:val="16"/>
                <w:szCs w:val="16"/>
                <w:lang w:val="sr-Latn-CS"/>
              </w:rPr>
              <w:t>sample 1</w:t>
            </w:r>
          </w:p>
        </w:tc>
        <w:tc>
          <w:tcPr>
            <w:tcW w:w="490"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bez</w:t>
            </w:r>
          </w:p>
        </w:tc>
        <w:tc>
          <w:tcPr>
            <w:tcW w:w="488"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w:t>
            </w:r>
          </w:p>
        </w:tc>
        <w:tc>
          <w:tcPr>
            <w:tcW w:w="529"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&lt;0,10</w:t>
            </w:r>
          </w:p>
        </w:tc>
        <w:tc>
          <w:tcPr>
            <w:tcW w:w="514"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&lt;5</w:t>
            </w:r>
          </w:p>
        </w:tc>
        <w:tc>
          <w:tcPr>
            <w:tcW w:w="604"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7,18</w:t>
            </w:r>
          </w:p>
        </w:tc>
        <w:tc>
          <w:tcPr>
            <w:tcW w:w="657"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44,60</w:t>
            </w:r>
          </w:p>
        </w:tc>
        <w:tc>
          <w:tcPr>
            <w:tcW w:w="675"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&lt;0,005</w:t>
            </w:r>
          </w:p>
        </w:tc>
        <w:tc>
          <w:tcPr>
            <w:tcW w:w="682"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&lt;0,050</w:t>
            </w:r>
          </w:p>
        </w:tc>
        <w:tc>
          <w:tcPr>
            <w:tcW w:w="682"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22,70</w:t>
            </w:r>
          </w:p>
        </w:tc>
        <w:tc>
          <w:tcPr>
            <w:tcW w:w="682"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1,93</w:t>
            </w:r>
          </w:p>
        </w:tc>
        <w:tc>
          <w:tcPr>
            <w:tcW w:w="596" w:type="dxa"/>
            <w:vAlign w:val="center"/>
          </w:tcPr>
          <w:p w:rsidR="00BE2F2E" w:rsidRPr="00E7314B" w:rsidRDefault="00BE2F2E" w:rsidP="00E7314B">
            <w:pPr>
              <w:widowControl w:val="0"/>
              <w:jc w:val="center"/>
              <w:rPr>
                <w:sz w:val="16"/>
                <w:szCs w:val="16"/>
                <w:lang w:val="sr-Latn-CS"/>
              </w:rPr>
            </w:pPr>
            <w:r w:rsidRPr="00E7314B">
              <w:rPr>
                <w:sz w:val="16"/>
                <w:szCs w:val="16"/>
                <w:lang w:val="sr-Latn-CS"/>
              </w:rPr>
              <w:t>861</w:t>
            </w:r>
          </w:p>
        </w:tc>
      </w:tr>
      <w:tr w:rsidR="00BE2F2E" w:rsidRPr="0076503E">
        <w:trPr>
          <w:trHeight w:val="510"/>
          <w:jc w:val="center"/>
        </w:trPr>
        <w:tc>
          <w:tcPr>
            <w:tcW w:w="737" w:type="dxa"/>
            <w:tcBorders>
              <w:bottom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uzorak 2</w:t>
            </w:r>
          </w:p>
          <w:p w:rsidR="00BE2F2E" w:rsidRPr="00E7314B" w:rsidRDefault="00BE2F2E" w:rsidP="00E7314B">
            <w:pPr>
              <w:widowControl w:val="0"/>
              <w:jc w:val="center"/>
              <w:rPr>
                <w:i/>
                <w:iCs/>
                <w:sz w:val="16"/>
                <w:szCs w:val="16"/>
                <w:lang w:val="sr-Latn-CS"/>
              </w:rPr>
            </w:pPr>
            <w:r w:rsidRPr="00E7314B">
              <w:rPr>
                <w:i/>
                <w:iCs/>
                <w:sz w:val="16"/>
                <w:szCs w:val="16"/>
                <w:lang w:val="sr-Latn-CS"/>
              </w:rPr>
              <w:t>sample 2</w:t>
            </w:r>
          </w:p>
        </w:tc>
        <w:tc>
          <w:tcPr>
            <w:tcW w:w="490" w:type="dxa"/>
            <w:tcBorders>
              <w:bottom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bez</w:t>
            </w:r>
          </w:p>
        </w:tc>
        <w:tc>
          <w:tcPr>
            <w:tcW w:w="488" w:type="dxa"/>
            <w:tcBorders>
              <w:bottom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w:t>
            </w:r>
          </w:p>
        </w:tc>
        <w:tc>
          <w:tcPr>
            <w:tcW w:w="529" w:type="dxa"/>
            <w:tcBorders>
              <w:bottom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&lt;0,10</w:t>
            </w:r>
          </w:p>
        </w:tc>
        <w:tc>
          <w:tcPr>
            <w:tcW w:w="514" w:type="dxa"/>
            <w:tcBorders>
              <w:bottom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&lt;5</w:t>
            </w:r>
          </w:p>
        </w:tc>
        <w:tc>
          <w:tcPr>
            <w:tcW w:w="604" w:type="dxa"/>
            <w:tcBorders>
              <w:bottom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7,20</w:t>
            </w:r>
          </w:p>
        </w:tc>
        <w:tc>
          <w:tcPr>
            <w:tcW w:w="657" w:type="dxa"/>
            <w:tcBorders>
              <w:bottom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44,80</w:t>
            </w:r>
          </w:p>
        </w:tc>
        <w:tc>
          <w:tcPr>
            <w:tcW w:w="675" w:type="dxa"/>
            <w:tcBorders>
              <w:bottom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&lt;0,005</w:t>
            </w:r>
          </w:p>
        </w:tc>
        <w:tc>
          <w:tcPr>
            <w:tcW w:w="682" w:type="dxa"/>
            <w:tcBorders>
              <w:bottom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&lt;0,050</w:t>
            </w:r>
          </w:p>
        </w:tc>
        <w:tc>
          <w:tcPr>
            <w:tcW w:w="682" w:type="dxa"/>
            <w:tcBorders>
              <w:bottom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27,10</w:t>
            </w:r>
          </w:p>
        </w:tc>
        <w:tc>
          <w:tcPr>
            <w:tcW w:w="682" w:type="dxa"/>
            <w:tcBorders>
              <w:bottom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2,18</w:t>
            </w:r>
          </w:p>
        </w:tc>
        <w:tc>
          <w:tcPr>
            <w:tcW w:w="596" w:type="dxa"/>
            <w:tcBorders>
              <w:bottom w:val="single" w:sz="4" w:space="0" w:color="auto"/>
            </w:tcBorders>
            <w:vAlign w:val="center"/>
          </w:tcPr>
          <w:p w:rsidR="00BE2F2E" w:rsidRPr="00E7314B" w:rsidRDefault="00BE2F2E" w:rsidP="00E7314B">
            <w:pPr>
              <w:widowControl w:val="0"/>
              <w:jc w:val="center"/>
              <w:rPr>
                <w:sz w:val="16"/>
                <w:szCs w:val="16"/>
                <w:lang w:val="sr-Latn-CS"/>
              </w:rPr>
            </w:pPr>
            <w:r w:rsidRPr="00E7314B">
              <w:rPr>
                <w:sz w:val="16"/>
                <w:szCs w:val="16"/>
                <w:lang w:val="sr-Latn-CS"/>
              </w:rPr>
              <w:t>866</w:t>
            </w:r>
          </w:p>
        </w:tc>
      </w:tr>
    </w:tbl>
    <w:p w:rsidR="00BE2F2E" w:rsidRPr="006F0134" w:rsidRDefault="00BE2F2E" w:rsidP="00A5338B">
      <w:pPr>
        <w:rPr>
          <w:sz w:val="22"/>
          <w:szCs w:val="22"/>
          <w:lang w:val="sr-Latn-CS"/>
        </w:rPr>
      </w:pPr>
    </w:p>
    <w:p w:rsidR="00BE2F2E" w:rsidRPr="00A46117" w:rsidRDefault="00BE2F2E" w:rsidP="005E2BED">
      <w:pPr>
        <w:tabs>
          <w:tab w:val="left" w:pos="2210"/>
        </w:tabs>
        <w:jc w:val="both"/>
        <w:outlineLvl w:val="0"/>
        <w:rPr>
          <w:sz w:val="22"/>
          <w:szCs w:val="22"/>
          <w:lang w:val="sr-Latn-CS"/>
        </w:rPr>
      </w:pPr>
      <w:r w:rsidRPr="00A46117">
        <w:rPr>
          <w:sz w:val="22"/>
          <w:szCs w:val="22"/>
          <w:lang w:val="sr-Latn-CS"/>
        </w:rPr>
        <w:t xml:space="preserve">Tabela 3. Rezultati mikrobiološkog ispitivanja vode za piće iz </w:t>
      </w:r>
      <w:r w:rsidRPr="00A46117">
        <w:rPr>
          <w:sz w:val="22"/>
          <w:szCs w:val="22"/>
          <w:lang w:val="sl-SI"/>
        </w:rPr>
        <w:t>vodovodne mreže Grada Požarevca</w:t>
      </w:r>
      <w:r>
        <w:rPr>
          <w:sz w:val="22"/>
          <w:szCs w:val="22"/>
          <w:lang w:val="sl-SI"/>
        </w:rPr>
        <w:t>.</w:t>
      </w:r>
    </w:p>
    <w:p w:rsidR="00BE2F2E" w:rsidRDefault="00BE2F2E" w:rsidP="005E2BED">
      <w:pPr>
        <w:jc w:val="both"/>
        <w:rPr>
          <w:b/>
          <w:bCs/>
          <w:sz w:val="22"/>
          <w:szCs w:val="22"/>
          <w:lang w:val="sr-Latn-CS"/>
        </w:rPr>
      </w:pPr>
      <w:r w:rsidRPr="0046200E">
        <w:rPr>
          <w:i/>
          <w:iCs/>
          <w:sz w:val="22"/>
          <w:szCs w:val="22"/>
        </w:rPr>
        <w:t xml:space="preserve">Table 3. Results of microbiological </w:t>
      </w:r>
      <w:r>
        <w:rPr>
          <w:i/>
          <w:iCs/>
          <w:sz w:val="22"/>
          <w:szCs w:val="22"/>
        </w:rPr>
        <w:t>analysis of drinking water from t</w:t>
      </w:r>
      <w:r w:rsidRPr="0046200E">
        <w:rPr>
          <w:i/>
          <w:iCs/>
          <w:sz w:val="22"/>
          <w:szCs w:val="22"/>
        </w:rPr>
        <w:t>he Po</w:t>
      </w:r>
      <w:r>
        <w:rPr>
          <w:i/>
          <w:iCs/>
          <w:sz w:val="22"/>
          <w:szCs w:val="22"/>
        </w:rPr>
        <w:t>ž</w:t>
      </w:r>
      <w:r w:rsidRPr="0046200E">
        <w:rPr>
          <w:i/>
          <w:iCs/>
          <w:sz w:val="22"/>
          <w:szCs w:val="22"/>
        </w:rPr>
        <w:t xml:space="preserve">arevac </w:t>
      </w:r>
      <w:r>
        <w:rPr>
          <w:i/>
          <w:iCs/>
          <w:sz w:val="22"/>
          <w:szCs w:val="22"/>
        </w:rPr>
        <w:t>c</w:t>
      </w:r>
      <w:r w:rsidRPr="0046200E">
        <w:rPr>
          <w:i/>
          <w:iCs/>
          <w:sz w:val="22"/>
          <w:szCs w:val="22"/>
        </w:rPr>
        <w:t>ity public water supply</w:t>
      </w:r>
      <w:r>
        <w:rPr>
          <w:i/>
          <w:iCs/>
          <w:sz w:val="22"/>
          <w:szCs w:val="22"/>
        </w:rPr>
        <w:t>.</w:t>
      </w:r>
    </w:p>
    <w:p w:rsidR="00BE2F2E" w:rsidRPr="006F0134" w:rsidRDefault="00BE2F2E" w:rsidP="005E2BED">
      <w:pPr>
        <w:jc w:val="both"/>
        <w:rPr>
          <w:sz w:val="22"/>
          <w:szCs w:val="22"/>
          <w:lang w:val="sr-Cyrl-CS"/>
        </w:rPr>
      </w:pPr>
    </w:p>
    <w:tbl>
      <w:tblPr>
        <w:tblW w:w="7371" w:type="dxa"/>
        <w:jc w:val="center"/>
        <w:tblCellMar>
          <w:left w:w="28" w:type="dxa"/>
          <w:right w:w="28" w:type="dxa"/>
        </w:tblCellMar>
        <w:tblLook w:val="0020"/>
      </w:tblPr>
      <w:tblGrid>
        <w:gridCol w:w="901"/>
        <w:gridCol w:w="1252"/>
        <w:gridCol w:w="831"/>
        <w:gridCol w:w="758"/>
        <w:gridCol w:w="932"/>
        <w:gridCol w:w="780"/>
        <w:gridCol w:w="879"/>
        <w:gridCol w:w="1038"/>
      </w:tblGrid>
      <w:tr w:rsidR="00BE2F2E" w:rsidRPr="006F0134">
        <w:trPr>
          <w:cantSplit/>
          <w:trHeight w:val="2835"/>
          <w:jc w:val="center"/>
        </w:trPr>
        <w:tc>
          <w:tcPr>
            <w:tcW w:w="901" w:type="dxa"/>
            <w:tcBorders>
              <w:top w:val="single" w:sz="4" w:space="0" w:color="auto"/>
              <w:bottom w:val="single" w:sz="4" w:space="0" w:color="auto"/>
            </w:tcBorders>
            <w:vAlign w:val="center"/>
          </w:tcPr>
          <w:p w:rsidR="00BE2F2E" w:rsidRPr="00E7314B" w:rsidRDefault="00BE2F2E" w:rsidP="00E7314B">
            <w:pPr>
              <w:widowControl w:val="0"/>
              <w:jc w:val="center"/>
              <w:rPr>
                <w:sz w:val="18"/>
                <w:szCs w:val="18"/>
                <w:lang w:val="sr-Latn-CS"/>
              </w:rPr>
            </w:pPr>
            <w:r w:rsidRPr="00E7314B">
              <w:rPr>
                <w:sz w:val="18"/>
                <w:szCs w:val="18"/>
                <w:lang w:val="sr-Latn-CS"/>
              </w:rPr>
              <w:t>Parametar</w:t>
            </w:r>
          </w:p>
          <w:p w:rsidR="00BE2F2E" w:rsidRPr="00E7314B" w:rsidRDefault="00BE2F2E" w:rsidP="00E7314B">
            <w:pPr>
              <w:widowControl w:val="0"/>
              <w:jc w:val="center"/>
              <w:rPr>
                <w:i/>
                <w:iCs/>
                <w:sz w:val="18"/>
                <w:szCs w:val="18"/>
                <w:lang w:val="sr-Latn-CS"/>
              </w:rPr>
            </w:pPr>
            <w:r w:rsidRPr="00E7314B">
              <w:rPr>
                <w:i/>
                <w:iCs/>
                <w:sz w:val="18"/>
                <w:szCs w:val="18"/>
                <w:lang w:val="sr-Latn-CS"/>
              </w:rPr>
              <w:t>Parameter</w:t>
            </w:r>
          </w:p>
        </w:tc>
        <w:tc>
          <w:tcPr>
            <w:tcW w:w="1252" w:type="dxa"/>
            <w:tcBorders>
              <w:top w:val="single" w:sz="4" w:space="0" w:color="auto"/>
              <w:bottom w:val="single" w:sz="4" w:space="0" w:color="auto"/>
            </w:tcBorders>
            <w:textDirection w:val="btLr"/>
            <w:vAlign w:val="center"/>
          </w:tcPr>
          <w:p w:rsidR="00BE2F2E" w:rsidRPr="00E7314B" w:rsidRDefault="00BE2F2E" w:rsidP="00E7314B">
            <w:pPr>
              <w:widowControl w:val="0"/>
              <w:ind w:left="28"/>
              <w:rPr>
                <w:sz w:val="18"/>
                <w:szCs w:val="18"/>
                <w:lang w:val="sr-Latn-CS"/>
              </w:rPr>
            </w:pPr>
            <w:r w:rsidRPr="00E7314B">
              <w:rPr>
                <w:sz w:val="18"/>
                <w:szCs w:val="18"/>
                <w:lang w:val="sr-Latn-CS"/>
              </w:rPr>
              <w:t>Ukupan broj aerobnih mezofilnih bakterija u 1cm</w:t>
            </w:r>
            <w:r w:rsidRPr="00E7314B">
              <w:rPr>
                <w:sz w:val="18"/>
                <w:szCs w:val="18"/>
                <w:vertAlign w:val="superscript"/>
                <w:lang w:val="sr-Latn-CS"/>
              </w:rPr>
              <w:t xml:space="preserve">3 </w:t>
            </w:r>
            <w:r w:rsidRPr="00E7314B">
              <w:rPr>
                <w:sz w:val="18"/>
                <w:szCs w:val="18"/>
                <w:lang w:val="sr-Latn-CS"/>
              </w:rPr>
              <w:t xml:space="preserve"> vode</w:t>
            </w:r>
          </w:p>
          <w:p w:rsidR="00BE2F2E" w:rsidRPr="00E7314B" w:rsidRDefault="00BE2F2E" w:rsidP="00E7314B">
            <w:pPr>
              <w:widowControl w:val="0"/>
              <w:ind w:left="28"/>
              <w:rPr>
                <w:i/>
                <w:iCs/>
                <w:sz w:val="18"/>
                <w:szCs w:val="18"/>
                <w:lang w:val="sr-Latn-CS"/>
              </w:rPr>
            </w:pPr>
            <w:r w:rsidRPr="00E7314B">
              <w:rPr>
                <w:i/>
                <w:iCs/>
                <w:sz w:val="18"/>
                <w:szCs w:val="18"/>
                <w:lang w:val="sr-Latn-CS"/>
              </w:rPr>
              <w:t>Total number of aerobic mesophilic bacteria in 1 cm</w:t>
            </w:r>
            <w:r w:rsidRPr="00E7314B">
              <w:rPr>
                <w:i/>
                <w:iCs/>
                <w:sz w:val="18"/>
                <w:szCs w:val="18"/>
                <w:vertAlign w:val="superscript"/>
                <w:lang w:val="sr-Latn-CS"/>
              </w:rPr>
              <w:t>3</w:t>
            </w:r>
            <w:r w:rsidRPr="00E7314B">
              <w:rPr>
                <w:i/>
                <w:iCs/>
                <w:sz w:val="18"/>
                <w:szCs w:val="18"/>
                <w:lang w:val="sr-Latn-CS"/>
              </w:rPr>
              <w:t xml:space="preserve"> of water</w:t>
            </w:r>
          </w:p>
        </w:tc>
        <w:tc>
          <w:tcPr>
            <w:tcW w:w="831" w:type="dxa"/>
            <w:tcBorders>
              <w:top w:val="single" w:sz="4" w:space="0" w:color="auto"/>
              <w:bottom w:val="single" w:sz="4" w:space="0" w:color="auto"/>
            </w:tcBorders>
            <w:textDirection w:val="btLr"/>
            <w:vAlign w:val="center"/>
          </w:tcPr>
          <w:p w:rsidR="00BE2F2E" w:rsidRPr="00E7314B" w:rsidRDefault="00BE2F2E" w:rsidP="00E7314B">
            <w:pPr>
              <w:widowControl w:val="0"/>
              <w:ind w:left="28"/>
              <w:rPr>
                <w:sz w:val="18"/>
                <w:szCs w:val="18"/>
                <w:lang w:val="sr-Latn-CS"/>
              </w:rPr>
            </w:pPr>
            <w:r w:rsidRPr="00E7314B">
              <w:rPr>
                <w:sz w:val="18"/>
                <w:szCs w:val="18"/>
                <w:lang w:val="sr-Latn-CS"/>
              </w:rPr>
              <w:t>Ukupne koliformne bakterije u 100 cm</w:t>
            </w:r>
            <w:r w:rsidRPr="00E7314B">
              <w:rPr>
                <w:sz w:val="18"/>
                <w:szCs w:val="18"/>
                <w:vertAlign w:val="superscript"/>
                <w:lang w:val="sr-Latn-CS"/>
              </w:rPr>
              <w:t xml:space="preserve">3 </w:t>
            </w:r>
            <w:r w:rsidRPr="00E7314B">
              <w:rPr>
                <w:sz w:val="18"/>
                <w:szCs w:val="18"/>
                <w:lang w:val="sr-Latn-CS"/>
              </w:rPr>
              <w:t>vode</w:t>
            </w:r>
          </w:p>
          <w:p w:rsidR="00BE2F2E" w:rsidRPr="00E7314B" w:rsidRDefault="00BE2F2E" w:rsidP="00E7314B">
            <w:pPr>
              <w:widowControl w:val="0"/>
              <w:ind w:left="28"/>
              <w:rPr>
                <w:i/>
                <w:iCs/>
                <w:sz w:val="18"/>
                <w:szCs w:val="18"/>
                <w:lang w:val="sr-Latn-CS"/>
              </w:rPr>
            </w:pPr>
            <w:r w:rsidRPr="00E7314B">
              <w:rPr>
                <w:i/>
                <w:iCs/>
                <w:sz w:val="18"/>
                <w:szCs w:val="18"/>
                <w:lang w:val="sr-Latn-CS"/>
              </w:rPr>
              <w:t xml:space="preserve">Total coliform bacteria in </w:t>
            </w:r>
          </w:p>
          <w:p w:rsidR="00BE2F2E" w:rsidRPr="00E7314B" w:rsidRDefault="00BE2F2E" w:rsidP="00E7314B">
            <w:pPr>
              <w:widowControl w:val="0"/>
              <w:ind w:left="28"/>
              <w:rPr>
                <w:i/>
                <w:iCs/>
                <w:sz w:val="18"/>
                <w:szCs w:val="18"/>
                <w:lang w:val="sr-Latn-CS"/>
              </w:rPr>
            </w:pPr>
            <w:r w:rsidRPr="00E7314B">
              <w:rPr>
                <w:i/>
                <w:iCs/>
                <w:sz w:val="18"/>
                <w:szCs w:val="18"/>
                <w:lang w:val="sr-Latn-CS"/>
              </w:rPr>
              <w:t>100 cm</w:t>
            </w:r>
            <w:r w:rsidRPr="00E7314B">
              <w:rPr>
                <w:i/>
                <w:iCs/>
                <w:sz w:val="18"/>
                <w:szCs w:val="18"/>
                <w:vertAlign w:val="superscript"/>
                <w:lang w:val="sr-Latn-CS"/>
              </w:rPr>
              <w:t>3</w:t>
            </w:r>
            <w:r w:rsidRPr="00E7314B">
              <w:rPr>
                <w:i/>
                <w:iCs/>
                <w:sz w:val="18"/>
                <w:szCs w:val="18"/>
                <w:lang w:val="sr-Latn-CS"/>
              </w:rPr>
              <w:t xml:space="preserve"> of water</w:t>
            </w:r>
          </w:p>
        </w:tc>
        <w:tc>
          <w:tcPr>
            <w:tcW w:w="758" w:type="dxa"/>
            <w:tcBorders>
              <w:top w:val="single" w:sz="4" w:space="0" w:color="auto"/>
              <w:bottom w:val="single" w:sz="4" w:space="0" w:color="auto"/>
            </w:tcBorders>
            <w:textDirection w:val="btLr"/>
            <w:vAlign w:val="center"/>
          </w:tcPr>
          <w:p w:rsidR="00BE2F2E" w:rsidRPr="00E7314B" w:rsidRDefault="00BE2F2E" w:rsidP="00E7314B">
            <w:pPr>
              <w:widowControl w:val="0"/>
              <w:ind w:left="28"/>
              <w:rPr>
                <w:sz w:val="18"/>
                <w:szCs w:val="18"/>
                <w:lang w:val="sr-Latn-CS"/>
              </w:rPr>
            </w:pPr>
            <w:r w:rsidRPr="00E7314B">
              <w:rPr>
                <w:sz w:val="18"/>
                <w:szCs w:val="18"/>
                <w:lang w:val="sr-Latn-CS"/>
              </w:rPr>
              <w:t>Koliformne bakterije fekalnog porekla</w:t>
            </w:r>
          </w:p>
          <w:p w:rsidR="00BE2F2E" w:rsidRPr="00E7314B" w:rsidRDefault="00BE2F2E" w:rsidP="00E7314B">
            <w:pPr>
              <w:widowControl w:val="0"/>
              <w:ind w:left="28"/>
              <w:rPr>
                <w:i/>
                <w:iCs/>
                <w:sz w:val="18"/>
                <w:szCs w:val="18"/>
                <w:lang w:val="sr-Latn-CS"/>
              </w:rPr>
            </w:pPr>
            <w:r w:rsidRPr="00E7314B">
              <w:rPr>
                <w:i/>
                <w:iCs/>
                <w:sz w:val="18"/>
                <w:szCs w:val="18"/>
                <w:lang w:val="sr-Latn-CS"/>
              </w:rPr>
              <w:t>Coliform bacteria of faecal origin</w:t>
            </w:r>
          </w:p>
        </w:tc>
        <w:tc>
          <w:tcPr>
            <w:tcW w:w="932" w:type="dxa"/>
            <w:tcBorders>
              <w:top w:val="single" w:sz="4" w:space="0" w:color="auto"/>
              <w:bottom w:val="single" w:sz="4" w:space="0" w:color="auto"/>
            </w:tcBorders>
            <w:textDirection w:val="btLr"/>
            <w:vAlign w:val="center"/>
          </w:tcPr>
          <w:p w:rsidR="00BE2F2E" w:rsidRPr="00E7314B" w:rsidRDefault="00BE2F2E" w:rsidP="00E7314B">
            <w:pPr>
              <w:widowControl w:val="0"/>
              <w:ind w:left="28"/>
              <w:rPr>
                <w:sz w:val="18"/>
                <w:szCs w:val="18"/>
                <w:lang w:val="sr-Latn-CS"/>
              </w:rPr>
            </w:pPr>
            <w:r w:rsidRPr="00E7314B">
              <w:rPr>
                <w:sz w:val="18"/>
                <w:szCs w:val="18"/>
                <w:lang w:val="sr-Latn-CS"/>
              </w:rPr>
              <w:t>Streptokoke fekalnog porekla u 100 cm</w:t>
            </w:r>
            <w:r w:rsidRPr="00E7314B">
              <w:rPr>
                <w:sz w:val="18"/>
                <w:szCs w:val="18"/>
                <w:vertAlign w:val="superscript"/>
                <w:lang w:val="sr-Latn-CS"/>
              </w:rPr>
              <w:t xml:space="preserve">3 </w:t>
            </w:r>
            <w:r w:rsidRPr="00E7314B">
              <w:rPr>
                <w:sz w:val="18"/>
                <w:szCs w:val="18"/>
                <w:lang w:val="sr-Latn-CS"/>
              </w:rPr>
              <w:t>vode</w:t>
            </w:r>
          </w:p>
          <w:p w:rsidR="00BE2F2E" w:rsidRPr="00E7314B" w:rsidRDefault="00BE2F2E" w:rsidP="00E7314B">
            <w:pPr>
              <w:widowControl w:val="0"/>
              <w:ind w:left="28"/>
              <w:rPr>
                <w:i/>
                <w:iCs/>
                <w:sz w:val="18"/>
                <w:szCs w:val="18"/>
                <w:lang w:val="sr-Latn-CS"/>
              </w:rPr>
            </w:pPr>
            <w:r w:rsidRPr="00E7314B">
              <w:rPr>
                <w:rStyle w:val="shorttext"/>
                <w:i/>
                <w:iCs/>
                <w:sz w:val="18"/>
                <w:szCs w:val="18"/>
              </w:rPr>
              <w:t>Streptococcus faecal origin in 100 cm</w:t>
            </w:r>
            <w:r w:rsidRPr="00E7314B">
              <w:rPr>
                <w:rStyle w:val="shorttext"/>
                <w:i/>
                <w:iCs/>
                <w:sz w:val="18"/>
                <w:szCs w:val="18"/>
                <w:vertAlign w:val="superscript"/>
              </w:rPr>
              <w:t>3</w:t>
            </w:r>
            <w:r w:rsidRPr="00E7314B">
              <w:rPr>
                <w:rStyle w:val="shorttext"/>
                <w:i/>
                <w:iCs/>
                <w:sz w:val="18"/>
                <w:szCs w:val="18"/>
              </w:rPr>
              <w:t xml:space="preserve"> of water</w:t>
            </w:r>
          </w:p>
        </w:tc>
        <w:tc>
          <w:tcPr>
            <w:tcW w:w="780" w:type="dxa"/>
            <w:tcBorders>
              <w:top w:val="single" w:sz="4" w:space="0" w:color="auto"/>
              <w:bottom w:val="single" w:sz="4" w:space="0" w:color="auto"/>
            </w:tcBorders>
            <w:textDirection w:val="btLr"/>
            <w:vAlign w:val="center"/>
          </w:tcPr>
          <w:p w:rsidR="00BE2F2E" w:rsidRPr="00E7314B" w:rsidRDefault="00BE2F2E" w:rsidP="00E7314B">
            <w:pPr>
              <w:widowControl w:val="0"/>
              <w:ind w:left="28"/>
              <w:rPr>
                <w:sz w:val="18"/>
                <w:szCs w:val="18"/>
                <w:lang w:val="sr-Latn-CS"/>
              </w:rPr>
            </w:pPr>
            <w:r w:rsidRPr="00E7314B">
              <w:rPr>
                <w:sz w:val="18"/>
                <w:szCs w:val="18"/>
                <w:lang w:val="sr-Latn-CS"/>
              </w:rPr>
              <w:t>Proteus vrste u 100 cm</w:t>
            </w:r>
            <w:r w:rsidRPr="00E7314B">
              <w:rPr>
                <w:sz w:val="18"/>
                <w:szCs w:val="18"/>
                <w:vertAlign w:val="superscript"/>
                <w:lang w:val="sr-Latn-CS"/>
              </w:rPr>
              <w:t xml:space="preserve">3 </w:t>
            </w:r>
            <w:r w:rsidRPr="00E7314B">
              <w:rPr>
                <w:sz w:val="18"/>
                <w:szCs w:val="18"/>
                <w:lang w:val="sr-Latn-CS"/>
              </w:rPr>
              <w:t>vode</w:t>
            </w:r>
          </w:p>
          <w:p w:rsidR="00BE2F2E" w:rsidRPr="00E7314B" w:rsidRDefault="00BE2F2E" w:rsidP="00E7314B">
            <w:pPr>
              <w:widowControl w:val="0"/>
              <w:ind w:left="28"/>
              <w:rPr>
                <w:i/>
                <w:iCs/>
                <w:sz w:val="18"/>
                <w:szCs w:val="18"/>
              </w:rPr>
            </w:pPr>
            <w:r w:rsidRPr="00E7314B">
              <w:rPr>
                <w:rStyle w:val="shorttext"/>
                <w:i/>
                <w:iCs/>
                <w:sz w:val="18"/>
                <w:szCs w:val="18"/>
              </w:rPr>
              <w:t>Proteus species in 100 cm</w:t>
            </w:r>
            <w:r w:rsidRPr="00E7314B">
              <w:rPr>
                <w:rStyle w:val="shorttext"/>
                <w:i/>
                <w:iCs/>
                <w:sz w:val="18"/>
                <w:szCs w:val="18"/>
                <w:vertAlign w:val="superscript"/>
              </w:rPr>
              <w:t xml:space="preserve">3 </w:t>
            </w:r>
            <w:r w:rsidRPr="00E7314B">
              <w:rPr>
                <w:rStyle w:val="shorttext"/>
                <w:i/>
                <w:iCs/>
                <w:sz w:val="18"/>
                <w:szCs w:val="18"/>
              </w:rPr>
              <w:t>of water</w:t>
            </w:r>
          </w:p>
        </w:tc>
        <w:tc>
          <w:tcPr>
            <w:tcW w:w="879" w:type="dxa"/>
            <w:tcBorders>
              <w:top w:val="single" w:sz="4" w:space="0" w:color="auto"/>
              <w:bottom w:val="single" w:sz="4" w:space="0" w:color="auto"/>
            </w:tcBorders>
            <w:textDirection w:val="btLr"/>
            <w:vAlign w:val="center"/>
          </w:tcPr>
          <w:p w:rsidR="00BE2F2E" w:rsidRPr="00E7314B" w:rsidRDefault="00BE2F2E" w:rsidP="00E7314B">
            <w:pPr>
              <w:widowControl w:val="0"/>
              <w:ind w:left="28"/>
              <w:rPr>
                <w:sz w:val="18"/>
                <w:szCs w:val="18"/>
                <w:lang w:val="sr-Latn-CS"/>
              </w:rPr>
            </w:pPr>
            <w:r w:rsidRPr="00E7314B">
              <w:rPr>
                <w:sz w:val="18"/>
                <w:szCs w:val="18"/>
                <w:lang w:val="sr-Latn-CS"/>
              </w:rPr>
              <w:t>Pseudomonas aeruginosa u 100 cm</w:t>
            </w:r>
            <w:r w:rsidRPr="00E7314B">
              <w:rPr>
                <w:sz w:val="18"/>
                <w:szCs w:val="18"/>
                <w:vertAlign w:val="superscript"/>
                <w:lang w:val="sr-Latn-CS"/>
              </w:rPr>
              <w:t xml:space="preserve">3 </w:t>
            </w:r>
            <w:r w:rsidRPr="00E7314B">
              <w:rPr>
                <w:sz w:val="18"/>
                <w:szCs w:val="18"/>
                <w:lang w:val="sr-Latn-CS"/>
              </w:rPr>
              <w:t>vode</w:t>
            </w:r>
          </w:p>
          <w:p w:rsidR="00BE2F2E" w:rsidRPr="00E7314B" w:rsidRDefault="00BE2F2E" w:rsidP="00E7314B">
            <w:pPr>
              <w:widowControl w:val="0"/>
              <w:ind w:left="28"/>
              <w:rPr>
                <w:rStyle w:val="shorttext"/>
                <w:i/>
                <w:iCs/>
                <w:sz w:val="18"/>
                <w:szCs w:val="18"/>
              </w:rPr>
            </w:pPr>
            <w:r w:rsidRPr="00E7314B">
              <w:rPr>
                <w:rStyle w:val="shorttext"/>
                <w:i/>
                <w:iCs/>
                <w:sz w:val="18"/>
                <w:szCs w:val="18"/>
              </w:rPr>
              <w:t>Pseudomonas aeruginosa in</w:t>
            </w:r>
          </w:p>
          <w:p w:rsidR="00BE2F2E" w:rsidRPr="00E7314B" w:rsidRDefault="00BE2F2E" w:rsidP="00E7314B">
            <w:pPr>
              <w:widowControl w:val="0"/>
              <w:ind w:left="28"/>
              <w:rPr>
                <w:i/>
                <w:iCs/>
                <w:sz w:val="18"/>
                <w:szCs w:val="18"/>
                <w:lang w:val="sr-Latn-CS"/>
              </w:rPr>
            </w:pPr>
            <w:r w:rsidRPr="00E7314B">
              <w:rPr>
                <w:rStyle w:val="shorttext"/>
                <w:i/>
                <w:iCs/>
                <w:sz w:val="18"/>
                <w:szCs w:val="18"/>
              </w:rPr>
              <w:t xml:space="preserve"> 100 cm</w:t>
            </w:r>
            <w:r w:rsidRPr="00E7314B">
              <w:rPr>
                <w:rStyle w:val="shorttext"/>
                <w:i/>
                <w:iCs/>
                <w:sz w:val="18"/>
                <w:szCs w:val="18"/>
                <w:vertAlign w:val="superscript"/>
              </w:rPr>
              <w:t xml:space="preserve">3 </w:t>
            </w:r>
            <w:r w:rsidRPr="00E7314B">
              <w:rPr>
                <w:rStyle w:val="shorttext"/>
                <w:i/>
                <w:iCs/>
                <w:sz w:val="18"/>
                <w:szCs w:val="18"/>
              </w:rPr>
              <w:t>of water</w:t>
            </w:r>
          </w:p>
        </w:tc>
        <w:tc>
          <w:tcPr>
            <w:tcW w:w="1038" w:type="dxa"/>
            <w:tcBorders>
              <w:top w:val="single" w:sz="4" w:space="0" w:color="auto"/>
              <w:bottom w:val="single" w:sz="4" w:space="0" w:color="auto"/>
            </w:tcBorders>
            <w:textDirection w:val="btLr"/>
            <w:vAlign w:val="center"/>
          </w:tcPr>
          <w:p w:rsidR="00BE2F2E" w:rsidRPr="00E7314B" w:rsidRDefault="00BE2F2E" w:rsidP="00E7314B">
            <w:pPr>
              <w:widowControl w:val="0"/>
              <w:ind w:left="28"/>
              <w:rPr>
                <w:sz w:val="18"/>
                <w:szCs w:val="18"/>
                <w:lang w:val="sr-Latn-CS"/>
              </w:rPr>
            </w:pPr>
            <w:r w:rsidRPr="00E7314B">
              <w:rPr>
                <w:sz w:val="18"/>
                <w:szCs w:val="18"/>
                <w:lang w:val="sr-Latn-CS"/>
              </w:rPr>
              <w:t>Sulfidoredukujuće klostridije u 100 cm</w:t>
            </w:r>
            <w:r w:rsidRPr="00E7314B">
              <w:rPr>
                <w:sz w:val="18"/>
                <w:szCs w:val="18"/>
                <w:vertAlign w:val="superscript"/>
                <w:lang w:val="sr-Latn-CS"/>
              </w:rPr>
              <w:t xml:space="preserve">3 </w:t>
            </w:r>
            <w:r w:rsidRPr="00E7314B">
              <w:rPr>
                <w:sz w:val="18"/>
                <w:szCs w:val="18"/>
                <w:lang w:val="sr-Latn-CS"/>
              </w:rPr>
              <w:t>vode</w:t>
            </w:r>
          </w:p>
          <w:p w:rsidR="00BE2F2E" w:rsidRPr="00E7314B" w:rsidRDefault="00BE2F2E" w:rsidP="00E7314B">
            <w:pPr>
              <w:widowControl w:val="0"/>
              <w:ind w:left="28"/>
              <w:rPr>
                <w:rStyle w:val="shorttext"/>
                <w:i/>
                <w:iCs/>
                <w:sz w:val="18"/>
                <w:szCs w:val="18"/>
              </w:rPr>
            </w:pPr>
            <w:r w:rsidRPr="00E7314B">
              <w:rPr>
                <w:rStyle w:val="shorttext"/>
                <w:i/>
                <w:iCs/>
                <w:sz w:val="18"/>
                <w:szCs w:val="18"/>
              </w:rPr>
              <w:t xml:space="preserve">Sulfidoreduced clostridia in </w:t>
            </w:r>
          </w:p>
          <w:p w:rsidR="00BE2F2E" w:rsidRPr="00E7314B" w:rsidRDefault="00BE2F2E" w:rsidP="00E7314B">
            <w:pPr>
              <w:widowControl w:val="0"/>
              <w:ind w:left="28"/>
              <w:rPr>
                <w:i/>
                <w:iCs/>
                <w:sz w:val="18"/>
                <w:szCs w:val="18"/>
                <w:lang w:val="sr-Latn-CS"/>
              </w:rPr>
            </w:pPr>
            <w:r w:rsidRPr="00E7314B">
              <w:rPr>
                <w:rStyle w:val="shorttext"/>
                <w:i/>
                <w:iCs/>
                <w:sz w:val="18"/>
                <w:szCs w:val="18"/>
              </w:rPr>
              <w:t>100 cm</w:t>
            </w:r>
            <w:r w:rsidRPr="00E7314B">
              <w:rPr>
                <w:rStyle w:val="shorttext"/>
                <w:i/>
                <w:iCs/>
                <w:sz w:val="18"/>
                <w:szCs w:val="18"/>
                <w:vertAlign w:val="superscript"/>
              </w:rPr>
              <w:t xml:space="preserve">3 </w:t>
            </w:r>
            <w:r w:rsidRPr="00E7314B">
              <w:rPr>
                <w:rStyle w:val="shorttext"/>
                <w:i/>
                <w:iCs/>
                <w:sz w:val="18"/>
                <w:szCs w:val="18"/>
              </w:rPr>
              <w:t>of water</w:t>
            </w:r>
          </w:p>
        </w:tc>
      </w:tr>
      <w:tr w:rsidR="00BE2F2E" w:rsidRPr="006F0134">
        <w:trPr>
          <w:trHeight w:val="340"/>
          <w:jc w:val="center"/>
        </w:trPr>
        <w:tc>
          <w:tcPr>
            <w:tcW w:w="901" w:type="dxa"/>
            <w:tcBorders>
              <w:top w:val="single" w:sz="4" w:space="0" w:color="auto"/>
            </w:tcBorders>
            <w:vAlign w:val="center"/>
          </w:tcPr>
          <w:p w:rsidR="00BE2F2E" w:rsidRPr="00E7314B" w:rsidRDefault="00BE2F2E" w:rsidP="00E7314B">
            <w:pPr>
              <w:widowControl w:val="0"/>
              <w:jc w:val="center"/>
              <w:rPr>
                <w:sz w:val="18"/>
                <w:szCs w:val="18"/>
                <w:lang w:val="sr-Latn-CS"/>
              </w:rPr>
            </w:pPr>
            <w:r w:rsidRPr="00E7314B">
              <w:rPr>
                <w:sz w:val="18"/>
                <w:szCs w:val="18"/>
                <w:lang w:val="sr-Latn-CS"/>
              </w:rPr>
              <w:t>MDK</w:t>
            </w:r>
          </w:p>
          <w:p w:rsidR="00BE2F2E" w:rsidRPr="00E7314B" w:rsidRDefault="00BE2F2E" w:rsidP="00E7314B">
            <w:pPr>
              <w:widowControl w:val="0"/>
              <w:jc w:val="center"/>
              <w:rPr>
                <w:sz w:val="18"/>
                <w:szCs w:val="18"/>
                <w:lang w:val="sr-Latn-CS"/>
              </w:rPr>
            </w:pPr>
            <w:r w:rsidRPr="00E7314B">
              <w:rPr>
                <w:sz w:val="18"/>
                <w:szCs w:val="18"/>
                <w:lang w:val="sr-Latn-CS"/>
              </w:rPr>
              <w:t>(</w:t>
            </w:r>
            <w:r w:rsidRPr="00E7314B">
              <w:rPr>
                <w:i/>
                <w:iCs/>
                <w:sz w:val="18"/>
                <w:szCs w:val="18"/>
                <w:lang w:val="sr-Latn-CS"/>
              </w:rPr>
              <w:t>MAC</w:t>
            </w:r>
            <w:r w:rsidRPr="00E7314B">
              <w:rPr>
                <w:sz w:val="18"/>
                <w:szCs w:val="18"/>
                <w:lang w:val="sr-Latn-CS"/>
              </w:rPr>
              <w:t>)</w:t>
            </w:r>
          </w:p>
        </w:tc>
        <w:tc>
          <w:tcPr>
            <w:tcW w:w="1252" w:type="dxa"/>
            <w:tcBorders>
              <w:top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100</w:t>
            </w:r>
          </w:p>
        </w:tc>
        <w:tc>
          <w:tcPr>
            <w:tcW w:w="831" w:type="dxa"/>
            <w:tcBorders>
              <w:top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10</w:t>
            </w:r>
          </w:p>
        </w:tc>
        <w:tc>
          <w:tcPr>
            <w:tcW w:w="758" w:type="dxa"/>
            <w:tcBorders>
              <w:top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0</w:t>
            </w:r>
          </w:p>
        </w:tc>
        <w:tc>
          <w:tcPr>
            <w:tcW w:w="932" w:type="dxa"/>
            <w:tcBorders>
              <w:top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0</w:t>
            </w:r>
          </w:p>
        </w:tc>
        <w:tc>
          <w:tcPr>
            <w:tcW w:w="780" w:type="dxa"/>
            <w:tcBorders>
              <w:top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0</w:t>
            </w:r>
          </w:p>
        </w:tc>
        <w:tc>
          <w:tcPr>
            <w:tcW w:w="879" w:type="dxa"/>
            <w:tcBorders>
              <w:top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0</w:t>
            </w:r>
          </w:p>
        </w:tc>
        <w:tc>
          <w:tcPr>
            <w:tcW w:w="1038" w:type="dxa"/>
            <w:tcBorders>
              <w:top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0</w:t>
            </w:r>
          </w:p>
        </w:tc>
      </w:tr>
      <w:tr w:rsidR="00BE2F2E" w:rsidRPr="006F0134">
        <w:trPr>
          <w:trHeight w:val="340"/>
          <w:jc w:val="center"/>
        </w:trPr>
        <w:tc>
          <w:tcPr>
            <w:tcW w:w="901" w:type="dxa"/>
            <w:vAlign w:val="center"/>
          </w:tcPr>
          <w:p w:rsidR="00BE2F2E" w:rsidRPr="00E7314B" w:rsidRDefault="00BE2F2E" w:rsidP="00E7314B">
            <w:pPr>
              <w:widowControl w:val="0"/>
              <w:jc w:val="center"/>
              <w:rPr>
                <w:sz w:val="18"/>
                <w:szCs w:val="18"/>
                <w:lang w:val="sr-Latn-CS"/>
              </w:rPr>
            </w:pPr>
            <w:r w:rsidRPr="00E7314B">
              <w:rPr>
                <w:sz w:val="18"/>
                <w:szCs w:val="18"/>
                <w:lang w:val="sr-Latn-CS"/>
              </w:rPr>
              <w:t>uzorak 1</w:t>
            </w:r>
          </w:p>
          <w:p w:rsidR="00BE2F2E" w:rsidRPr="00E7314B" w:rsidRDefault="00BE2F2E" w:rsidP="00E7314B">
            <w:pPr>
              <w:widowControl w:val="0"/>
              <w:jc w:val="center"/>
              <w:rPr>
                <w:i/>
                <w:iCs/>
                <w:sz w:val="18"/>
                <w:szCs w:val="18"/>
                <w:lang w:val="sr-Latn-CS"/>
              </w:rPr>
            </w:pPr>
            <w:r w:rsidRPr="00E7314B">
              <w:rPr>
                <w:i/>
                <w:iCs/>
                <w:sz w:val="18"/>
                <w:szCs w:val="18"/>
                <w:lang w:val="sr-Latn-CS"/>
              </w:rPr>
              <w:t>sample 1</w:t>
            </w:r>
          </w:p>
        </w:tc>
        <w:tc>
          <w:tcPr>
            <w:tcW w:w="1252" w:type="dxa"/>
            <w:vAlign w:val="center"/>
          </w:tcPr>
          <w:p w:rsidR="00BE2F2E" w:rsidRPr="00E7314B" w:rsidRDefault="00BE2F2E" w:rsidP="00E7314B">
            <w:pPr>
              <w:jc w:val="center"/>
              <w:rPr>
                <w:sz w:val="18"/>
                <w:szCs w:val="18"/>
                <w:lang w:val="sr-Latn-CS"/>
              </w:rPr>
            </w:pPr>
            <w:r w:rsidRPr="00E7314B">
              <w:rPr>
                <w:sz w:val="18"/>
                <w:szCs w:val="18"/>
                <w:lang w:val="sr-Latn-CS"/>
              </w:rPr>
              <w:t>&lt;1</w:t>
            </w:r>
          </w:p>
        </w:tc>
        <w:tc>
          <w:tcPr>
            <w:tcW w:w="831" w:type="dxa"/>
            <w:vAlign w:val="center"/>
          </w:tcPr>
          <w:p w:rsidR="00BE2F2E" w:rsidRPr="00E7314B" w:rsidRDefault="00BE2F2E" w:rsidP="00E7314B">
            <w:pPr>
              <w:jc w:val="center"/>
              <w:rPr>
                <w:sz w:val="18"/>
                <w:szCs w:val="18"/>
                <w:lang w:val="sr-Latn-CS"/>
              </w:rPr>
            </w:pPr>
            <w:r w:rsidRPr="00E7314B">
              <w:rPr>
                <w:sz w:val="18"/>
                <w:szCs w:val="18"/>
                <w:lang w:val="sr-Latn-CS"/>
              </w:rPr>
              <w:t>&lt;1</w:t>
            </w:r>
          </w:p>
        </w:tc>
        <w:tc>
          <w:tcPr>
            <w:tcW w:w="758" w:type="dxa"/>
            <w:vAlign w:val="center"/>
          </w:tcPr>
          <w:p w:rsidR="00BE2F2E" w:rsidRPr="00E7314B" w:rsidRDefault="00BE2F2E" w:rsidP="00E7314B">
            <w:pPr>
              <w:jc w:val="center"/>
              <w:rPr>
                <w:sz w:val="18"/>
                <w:szCs w:val="18"/>
                <w:lang w:val="sr-Latn-CS"/>
              </w:rPr>
            </w:pPr>
            <w:r w:rsidRPr="00E7314B">
              <w:rPr>
                <w:sz w:val="18"/>
                <w:szCs w:val="18"/>
                <w:lang w:val="sr-Latn-CS"/>
              </w:rPr>
              <w:t>&lt;1</w:t>
            </w:r>
          </w:p>
        </w:tc>
        <w:tc>
          <w:tcPr>
            <w:tcW w:w="932" w:type="dxa"/>
            <w:vAlign w:val="center"/>
          </w:tcPr>
          <w:p w:rsidR="00BE2F2E" w:rsidRPr="00E7314B" w:rsidRDefault="00BE2F2E" w:rsidP="00E7314B">
            <w:pPr>
              <w:jc w:val="center"/>
              <w:rPr>
                <w:sz w:val="18"/>
                <w:szCs w:val="18"/>
                <w:lang w:val="sr-Latn-CS"/>
              </w:rPr>
            </w:pPr>
            <w:r w:rsidRPr="00E7314B">
              <w:rPr>
                <w:sz w:val="18"/>
                <w:szCs w:val="18"/>
                <w:lang w:val="sr-Latn-CS"/>
              </w:rPr>
              <w:t>-</w:t>
            </w:r>
          </w:p>
        </w:tc>
        <w:tc>
          <w:tcPr>
            <w:tcW w:w="780" w:type="dxa"/>
            <w:vAlign w:val="center"/>
          </w:tcPr>
          <w:p w:rsidR="00BE2F2E" w:rsidRPr="00E7314B" w:rsidRDefault="00BE2F2E" w:rsidP="00E7314B">
            <w:pPr>
              <w:jc w:val="center"/>
              <w:rPr>
                <w:sz w:val="18"/>
                <w:szCs w:val="18"/>
                <w:lang w:val="sr-Latn-CS"/>
              </w:rPr>
            </w:pPr>
            <w:r w:rsidRPr="00E7314B">
              <w:rPr>
                <w:sz w:val="18"/>
                <w:szCs w:val="18"/>
                <w:lang w:val="sr-Latn-CS"/>
              </w:rPr>
              <w:t>-</w:t>
            </w:r>
          </w:p>
        </w:tc>
        <w:tc>
          <w:tcPr>
            <w:tcW w:w="879" w:type="dxa"/>
            <w:vAlign w:val="center"/>
          </w:tcPr>
          <w:p w:rsidR="00BE2F2E" w:rsidRPr="00E7314B" w:rsidRDefault="00BE2F2E" w:rsidP="00E7314B">
            <w:pPr>
              <w:jc w:val="center"/>
              <w:rPr>
                <w:sz w:val="18"/>
                <w:szCs w:val="18"/>
                <w:lang w:val="sr-Latn-CS"/>
              </w:rPr>
            </w:pPr>
            <w:r w:rsidRPr="00E7314B">
              <w:rPr>
                <w:sz w:val="18"/>
                <w:szCs w:val="18"/>
                <w:lang w:val="sr-Latn-CS"/>
              </w:rPr>
              <w:t>-</w:t>
            </w:r>
          </w:p>
        </w:tc>
        <w:tc>
          <w:tcPr>
            <w:tcW w:w="1038" w:type="dxa"/>
            <w:vAlign w:val="center"/>
          </w:tcPr>
          <w:p w:rsidR="00BE2F2E" w:rsidRPr="00E7314B" w:rsidRDefault="00BE2F2E" w:rsidP="00E7314B">
            <w:pPr>
              <w:jc w:val="center"/>
              <w:rPr>
                <w:sz w:val="18"/>
                <w:szCs w:val="18"/>
                <w:lang w:val="sr-Latn-CS"/>
              </w:rPr>
            </w:pPr>
            <w:r w:rsidRPr="00E7314B">
              <w:rPr>
                <w:sz w:val="18"/>
                <w:szCs w:val="18"/>
                <w:lang w:val="sr-Latn-CS"/>
              </w:rPr>
              <w:t>&lt;1</w:t>
            </w:r>
          </w:p>
        </w:tc>
      </w:tr>
      <w:tr w:rsidR="00BE2F2E" w:rsidRPr="006F0134">
        <w:trPr>
          <w:trHeight w:val="340"/>
          <w:jc w:val="center"/>
        </w:trPr>
        <w:tc>
          <w:tcPr>
            <w:tcW w:w="901" w:type="dxa"/>
            <w:tcBorders>
              <w:bottom w:val="single" w:sz="4" w:space="0" w:color="auto"/>
            </w:tcBorders>
            <w:vAlign w:val="center"/>
          </w:tcPr>
          <w:p w:rsidR="00BE2F2E" w:rsidRPr="00E7314B" w:rsidRDefault="00BE2F2E" w:rsidP="00E7314B">
            <w:pPr>
              <w:widowControl w:val="0"/>
              <w:jc w:val="center"/>
              <w:rPr>
                <w:sz w:val="18"/>
                <w:szCs w:val="18"/>
                <w:lang w:val="sr-Latn-CS"/>
              </w:rPr>
            </w:pPr>
            <w:r w:rsidRPr="00E7314B">
              <w:rPr>
                <w:sz w:val="18"/>
                <w:szCs w:val="18"/>
                <w:lang w:val="sr-Latn-CS"/>
              </w:rPr>
              <w:t>uzorak 2</w:t>
            </w:r>
          </w:p>
          <w:p w:rsidR="00BE2F2E" w:rsidRPr="00E7314B" w:rsidRDefault="00BE2F2E" w:rsidP="00E7314B">
            <w:pPr>
              <w:widowControl w:val="0"/>
              <w:jc w:val="center"/>
              <w:rPr>
                <w:i/>
                <w:iCs/>
                <w:sz w:val="18"/>
                <w:szCs w:val="18"/>
                <w:lang w:val="sr-Latn-CS"/>
              </w:rPr>
            </w:pPr>
            <w:r w:rsidRPr="00E7314B">
              <w:rPr>
                <w:i/>
                <w:iCs/>
                <w:sz w:val="18"/>
                <w:szCs w:val="18"/>
                <w:lang w:val="sr-Latn-CS"/>
              </w:rPr>
              <w:t>sample 2</w:t>
            </w:r>
          </w:p>
        </w:tc>
        <w:tc>
          <w:tcPr>
            <w:tcW w:w="1252" w:type="dxa"/>
            <w:tcBorders>
              <w:bottom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&lt;1</w:t>
            </w:r>
          </w:p>
        </w:tc>
        <w:tc>
          <w:tcPr>
            <w:tcW w:w="831" w:type="dxa"/>
            <w:tcBorders>
              <w:bottom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&lt;1</w:t>
            </w:r>
          </w:p>
        </w:tc>
        <w:tc>
          <w:tcPr>
            <w:tcW w:w="758" w:type="dxa"/>
            <w:tcBorders>
              <w:bottom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&lt;1</w:t>
            </w:r>
          </w:p>
        </w:tc>
        <w:tc>
          <w:tcPr>
            <w:tcW w:w="932" w:type="dxa"/>
            <w:tcBorders>
              <w:bottom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w:t>
            </w:r>
          </w:p>
        </w:tc>
        <w:tc>
          <w:tcPr>
            <w:tcW w:w="780" w:type="dxa"/>
            <w:tcBorders>
              <w:bottom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w:t>
            </w:r>
          </w:p>
        </w:tc>
        <w:tc>
          <w:tcPr>
            <w:tcW w:w="879" w:type="dxa"/>
            <w:tcBorders>
              <w:bottom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w:t>
            </w:r>
          </w:p>
        </w:tc>
        <w:tc>
          <w:tcPr>
            <w:tcW w:w="1038" w:type="dxa"/>
            <w:tcBorders>
              <w:bottom w:val="single" w:sz="4" w:space="0" w:color="auto"/>
            </w:tcBorders>
            <w:vAlign w:val="center"/>
          </w:tcPr>
          <w:p w:rsidR="00BE2F2E" w:rsidRPr="00E7314B" w:rsidRDefault="00BE2F2E" w:rsidP="00E7314B">
            <w:pPr>
              <w:jc w:val="center"/>
              <w:rPr>
                <w:sz w:val="18"/>
                <w:szCs w:val="18"/>
                <w:lang w:val="sr-Latn-CS"/>
              </w:rPr>
            </w:pPr>
            <w:r w:rsidRPr="00E7314B">
              <w:rPr>
                <w:sz w:val="18"/>
                <w:szCs w:val="18"/>
                <w:lang w:val="sr-Latn-CS"/>
              </w:rPr>
              <w:t>&lt;1</w:t>
            </w:r>
          </w:p>
        </w:tc>
      </w:tr>
    </w:tbl>
    <w:p w:rsidR="00BE2F2E" w:rsidRPr="006F0134" w:rsidRDefault="00BE2F2E" w:rsidP="005E2BED">
      <w:pPr>
        <w:jc w:val="both"/>
        <w:rPr>
          <w:sz w:val="22"/>
          <w:szCs w:val="22"/>
          <w:lang w:val="sr-Cyrl-CS"/>
        </w:rPr>
      </w:pPr>
    </w:p>
    <w:p w:rsidR="00BE2F2E" w:rsidRPr="004D73F7" w:rsidRDefault="00BE2F2E" w:rsidP="004D73F7">
      <w:pPr>
        <w:jc w:val="both"/>
        <w:rPr>
          <w:sz w:val="22"/>
          <w:szCs w:val="22"/>
          <w:lang w:val="sr-Latn-CS"/>
        </w:rPr>
      </w:pPr>
      <w:r w:rsidRPr="004D73F7">
        <w:rPr>
          <w:sz w:val="22"/>
          <w:szCs w:val="22"/>
          <w:lang w:val="sr-Latn-CS"/>
        </w:rPr>
        <w:lastRenderedPageBreak/>
        <w:t>Tabela 4. Koncentracija makro- i mikroelemenata u vodi za piće iz vodovodne mreže Grada Požarevca upoređene sa pravilnikom Republike Srbije i standardima SZO i EU.</w:t>
      </w:r>
    </w:p>
    <w:p w:rsidR="00BE2F2E" w:rsidRPr="004D73F7" w:rsidRDefault="00BE2F2E" w:rsidP="004D73F7">
      <w:pPr>
        <w:jc w:val="both"/>
        <w:rPr>
          <w:i/>
          <w:iCs/>
          <w:sz w:val="22"/>
          <w:szCs w:val="22"/>
        </w:rPr>
      </w:pPr>
      <w:r w:rsidRPr="004D73F7">
        <w:rPr>
          <w:i/>
          <w:iCs/>
          <w:sz w:val="22"/>
          <w:szCs w:val="22"/>
        </w:rPr>
        <w:t>Table 4. Concentrations of macro- and microelements in drinking water from the Požarevac city public water supply compared to the Rulebook of the Republic of Serbia, and WHO and EU Standards.</w:t>
      </w:r>
    </w:p>
    <w:p w:rsidR="00BE2F2E" w:rsidRPr="004D73F7" w:rsidRDefault="00BE2F2E" w:rsidP="006F0134">
      <w:pPr>
        <w:jc w:val="both"/>
        <w:rPr>
          <w:sz w:val="22"/>
          <w:szCs w:val="22"/>
          <w:lang w:val="sr-Cyrl-CS"/>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391"/>
        <w:gridCol w:w="1506"/>
        <w:gridCol w:w="1117"/>
        <w:gridCol w:w="705"/>
        <w:gridCol w:w="1375"/>
        <w:gridCol w:w="1277"/>
      </w:tblGrid>
      <w:tr w:rsidR="00BE2F2E" w:rsidRPr="00E37289">
        <w:trPr>
          <w:trHeight w:val="1292"/>
          <w:jc w:val="center"/>
        </w:trPr>
        <w:tc>
          <w:tcPr>
            <w:tcW w:w="1701" w:type="dxa"/>
            <w:vMerge w:val="restart"/>
            <w:tcBorders>
              <w:left w:val="nil"/>
              <w:right w:val="nil"/>
            </w:tcBorders>
            <w:textDirection w:val="btLr"/>
            <w:vAlign w:val="center"/>
          </w:tcPr>
          <w:p w:rsidR="00BE2F2E" w:rsidRPr="00E37289" w:rsidRDefault="00BE2F2E" w:rsidP="0076503E">
            <w:pPr>
              <w:ind w:left="113" w:right="113"/>
              <w:rPr>
                <w:sz w:val="16"/>
                <w:szCs w:val="16"/>
                <w:lang w:val="sr-Latn-CS"/>
              </w:rPr>
            </w:pPr>
            <w:r w:rsidRPr="00E37289">
              <w:rPr>
                <w:sz w:val="16"/>
                <w:szCs w:val="16"/>
                <w:lang w:val="sr-Latn-CS"/>
              </w:rPr>
              <w:t>Parametar</w:t>
            </w:r>
          </w:p>
          <w:p w:rsidR="00BE2F2E" w:rsidRPr="00E37289" w:rsidRDefault="00BE2F2E" w:rsidP="0076503E">
            <w:pPr>
              <w:ind w:left="113" w:right="113"/>
              <w:rPr>
                <w:i/>
                <w:iCs/>
                <w:sz w:val="16"/>
                <w:szCs w:val="16"/>
                <w:lang w:val="sr-Latn-CS"/>
              </w:rPr>
            </w:pPr>
            <w:r w:rsidRPr="00E37289">
              <w:rPr>
                <w:i/>
                <w:iCs/>
                <w:sz w:val="16"/>
                <w:szCs w:val="16"/>
                <w:lang w:val="sr-Latn-CS"/>
              </w:rPr>
              <w:t>Parameter</w:t>
            </w:r>
          </w:p>
        </w:tc>
        <w:tc>
          <w:tcPr>
            <w:tcW w:w="1843" w:type="dxa"/>
            <w:vMerge w:val="restart"/>
            <w:tcBorders>
              <w:left w:val="nil"/>
              <w:bottom w:val="nil"/>
              <w:right w:val="nil"/>
            </w:tcBorders>
            <w:textDirection w:val="btLr"/>
            <w:vAlign w:val="center"/>
          </w:tcPr>
          <w:p w:rsidR="00BE2F2E" w:rsidRPr="00E37289" w:rsidRDefault="00BE2F2E" w:rsidP="0076503E">
            <w:pPr>
              <w:ind w:left="113" w:right="113"/>
              <w:rPr>
                <w:sz w:val="16"/>
                <w:szCs w:val="16"/>
                <w:lang w:val="sr-Latn-CS"/>
              </w:rPr>
            </w:pPr>
            <w:r w:rsidRPr="00E37289">
              <w:rPr>
                <w:sz w:val="16"/>
                <w:szCs w:val="16"/>
                <w:lang w:val="sr-Latn-CS"/>
              </w:rPr>
              <w:t>Pronađeno u kamencu</w:t>
            </w:r>
          </w:p>
          <w:p w:rsidR="00BE2F2E" w:rsidRPr="00E37289" w:rsidRDefault="00BE2F2E" w:rsidP="0076503E">
            <w:pPr>
              <w:ind w:left="113" w:right="113"/>
              <w:rPr>
                <w:i/>
                <w:iCs/>
                <w:sz w:val="16"/>
                <w:szCs w:val="16"/>
                <w:lang w:val="sr-Latn-CS"/>
              </w:rPr>
            </w:pPr>
            <w:r w:rsidRPr="00E37289">
              <w:rPr>
                <w:i/>
                <w:iCs/>
                <w:sz w:val="16"/>
                <w:szCs w:val="16"/>
                <w:lang w:val="sr-Latn-CS"/>
              </w:rPr>
              <w:t>Scale sample</w:t>
            </w:r>
          </w:p>
          <w:p w:rsidR="00BE2F2E" w:rsidRPr="00E37289" w:rsidRDefault="00BE2F2E" w:rsidP="0076503E">
            <w:pPr>
              <w:ind w:left="113" w:right="113"/>
              <w:rPr>
                <w:sz w:val="16"/>
                <w:szCs w:val="16"/>
                <w:lang w:val="sr-Latn-CS"/>
              </w:rPr>
            </w:pPr>
            <w:r w:rsidRPr="00E37289">
              <w:rPr>
                <w:i/>
                <w:iCs/>
                <w:sz w:val="16"/>
                <w:szCs w:val="16"/>
                <w:lang w:val="sr-Latn-CS"/>
              </w:rPr>
              <w:t>(% by mass)</w:t>
            </w:r>
          </w:p>
        </w:tc>
        <w:tc>
          <w:tcPr>
            <w:tcW w:w="1362" w:type="dxa"/>
            <w:vMerge w:val="restart"/>
            <w:tcBorders>
              <w:left w:val="nil"/>
              <w:bottom w:val="nil"/>
              <w:right w:val="nil"/>
            </w:tcBorders>
            <w:textDirection w:val="btLr"/>
            <w:vAlign w:val="center"/>
          </w:tcPr>
          <w:p w:rsidR="00BE2F2E" w:rsidRPr="00E37289" w:rsidRDefault="00BE2F2E" w:rsidP="0076503E">
            <w:pPr>
              <w:ind w:left="113" w:right="113"/>
              <w:rPr>
                <w:sz w:val="16"/>
                <w:szCs w:val="16"/>
                <w:lang w:val="sr-Latn-CS"/>
              </w:rPr>
            </w:pPr>
            <w:r w:rsidRPr="00E37289">
              <w:rPr>
                <w:sz w:val="16"/>
                <w:szCs w:val="16"/>
                <w:lang w:val="sr-Latn-CS"/>
              </w:rPr>
              <w:t>Izračunata masena koncentracija u vodovodnoj mreži Grada Požarevca</w:t>
            </w:r>
          </w:p>
          <w:p w:rsidR="00BE2F2E" w:rsidRPr="00E37289" w:rsidRDefault="00BE2F2E" w:rsidP="0076503E">
            <w:pPr>
              <w:ind w:left="113" w:right="113"/>
              <w:rPr>
                <w:sz w:val="16"/>
                <w:szCs w:val="16"/>
                <w:lang w:val="sr-Latn-CS"/>
              </w:rPr>
            </w:pPr>
            <w:r w:rsidRPr="00E37289">
              <w:rPr>
                <w:i/>
                <w:iCs/>
                <w:sz w:val="16"/>
                <w:szCs w:val="16"/>
                <w:lang w:val="sr-Latn-CS"/>
              </w:rPr>
              <w:t>Calculated mass concentration in drinking water from the Požarevac city public water supply</w:t>
            </w:r>
          </w:p>
        </w:tc>
        <w:tc>
          <w:tcPr>
            <w:tcW w:w="853" w:type="dxa"/>
            <w:vMerge w:val="restart"/>
            <w:tcBorders>
              <w:left w:val="nil"/>
              <w:bottom w:val="nil"/>
              <w:right w:val="nil"/>
            </w:tcBorders>
            <w:textDirection w:val="btLr"/>
            <w:vAlign w:val="center"/>
          </w:tcPr>
          <w:p w:rsidR="00BE2F2E" w:rsidRPr="00E37289" w:rsidRDefault="00BE2F2E" w:rsidP="0076503E">
            <w:pPr>
              <w:ind w:left="113" w:right="113"/>
              <w:rPr>
                <w:sz w:val="16"/>
                <w:szCs w:val="16"/>
                <w:lang w:val="sr-Latn-CS"/>
              </w:rPr>
            </w:pPr>
            <w:r w:rsidRPr="00E37289">
              <w:rPr>
                <w:sz w:val="16"/>
                <w:szCs w:val="16"/>
                <w:lang w:val="sr-Latn-CS"/>
              </w:rPr>
              <w:t>Jedinica</w:t>
            </w:r>
          </w:p>
          <w:p w:rsidR="00BE2F2E" w:rsidRPr="00E37289" w:rsidRDefault="00BE2F2E" w:rsidP="0076503E">
            <w:pPr>
              <w:ind w:left="113" w:right="113"/>
              <w:rPr>
                <w:i/>
                <w:iCs/>
                <w:sz w:val="16"/>
                <w:szCs w:val="16"/>
                <w:lang w:val="sr-Latn-CS"/>
              </w:rPr>
            </w:pPr>
            <w:r w:rsidRPr="00E37289">
              <w:rPr>
                <w:i/>
                <w:iCs/>
                <w:sz w:val="16"/>
                <w:szCs w:val="16"/>
                <w:lang w:val="sr-Latn-CS"/>
              </w:rPr>
              <w:t>Unit</w:t>
            </w:r>
          </w:p>
        </w:tc>
        <w:tc>
          <w:tcPr>
            <w:tcW w:w="3241" w:type="dxa"/>
            <w:gridSpan w:val="2"/>
            <w:tcBorders>
              <w:left w:val="nil"/>
              <w:bottom w:val="nil"/>
              <w:right w:val="nil"/>
            </w:tcBorders>
            <w:vAlign w:val="center"/>
          </w:tcPr>
          <w:p w:rsidR="00BE2F2E" w:rsidRPr="00E37289" w:rsidRDefault="00BE2F2E" w:rsidP="008A2DE5">
            <w:pPr>
              <w:jc w:val="center"/>
              <w:rPr>
                <w:sz w:val="16"/>
                <w:szCs w:val="16"/>
                <w:lang w:val="sr-Latn-CS"/>
              </w:rPr>
            </w:pPr>
            <w:r w:rsidRPr="00E37289">
              <w:rPr>
                <w:sz w:val="16"/>
                <w:szCs w:val="16"/>
                <w:lang w:val="sr-Latn-CS"/>
              </w:rPr>
              <w:t>Pravilnik o higijenskoj ispravnosti</w:t>
            </w:r>
          </w:p>
          <w:p w:rsidR="00BE2F2E" w:rsidRPr="00E37289" w:rsidRDefault="00BE2F2E" w:rsidP="008A2DE5">
            <w:pPr>
              <w:jc w:val="center"/>
              <w:rPr>
                <w:sz w:val="16"/>
                <w:szCs w:val="16"/>
                <w:lang w:val="sr-Latn-CS"/>
              </w:rPr>
            </w:pPr>
            <w:r w:rsidRPr="00E37289">
              <w:rPr>
                <w:sz w:val="16"/>
                <w:szCs w:val="16"/>
                <w:lang w:val="sr-Latn-CS"/>
              </w:rPr>
              <w:t>vode za piće</w:t>
            </w:r>
          </w:p>
          <w:p w:rsidR="00BE2F2E" w:rsidRPr="00E37289" w:rsidRDefault="00BE2F2E" w:rsidP="008A2DE5">
            <w:pPr>
              <w:jc w:val="center"/>
              <w:rPr>
                <w:i/>
                <w:iCs/>
                <w:sz w:val="16"/>
                <w:szCs w:val="16"/>
                <w:lang w:val="sr-Latn-CS"/>
              </w:rPr>
            </w:pPr>
            <w:r w:rsidRPr="00E37289">
              <w:rPr>
                <w:rStyle w:val="shorttext"/>
                <w:i/>
                <w:iCs/>
                <w:sz w:val="16"/>
                <w:szCs w:val="16"/>
              </w:rPr>
              <w:t>Rulebook on hygienic quality of</w:t>
            </w:r>
            <w:r w:rsidRPr="00E37289">
              <w:rPr>
                <w:i/>
                <w:iCs/>
                <w:sz w:val="16"/>
                <w:szCs w:val="16"/>
              </w:rPr>
              <w:br/>
            </w:r>
            <w:r w:rsidRPr="00E37289">
              <w:rPr>
                <w:rStyle w:val="shorttext"/>
                <w:i/>
                <w:iCs/>
                <w:sz w:val="16"/>
                <w:szCs w:val="16"/>
              </w:rPr>
              <w:t>drinking water</w:t>
            </w:r>
          </w:p>
          <w:p w:rsidR="00BE2F2E" w:rsidRPr="00E37289" w:rsidRDefault="00BE2F2E" w:rsidP="008A2DE5">
            <w:pPr>
              <w:jc w:val="center"/>
              <w:rPr>
                <w:sz w:val="16"/>
                <w:szCs w:val="16"/>
                <w:lang w:val="sr-Latn-CS"/>
              </w:rPr>
            </w:pPr>
            <w:r w:rsidRPr="00E37289">
              <w:rPr>
                <w:sz w:val="16"/>
                <w:szCs w:val="16"/>
                <w:lang w:val="sr-Latn-CS"/>
              </w:rPr>
              <w:t>(Sl. list SRJ br. 42/98 i 44/99)</w:t>
            </w:r>
          </w:p>
        </w:tc>
      </w:tr>
      <w:tr w:rsidR="00BE2F2E" w:rsidRPr="00E37289">
        <w:trPr>
          <w:cantSplit/>
          <w:trHeight w:val="2041"/>
          <w:jc w:val="center"/>
        </w:trPr>
        <w:tc>
          <w:tcPr>
            <w:tcW w:w="1701" w:type="dxa"/>
            <w:vMerge/>
            <w:tcBorders>
              <w:top w:val="nil"/>
              <w:left w:val="nil"/>
              <w:right w:val="nil"/>
            </w:tcBorders>
          </w:tcPr>
          <w:p w:rsidR="00BE2F2E" w:rsidRPr="00E37289" w:rsidRDefault="00BE2F2E" w:rsidP="008A2DE5">
            <w:pPr>
              <w:jc w:val="center"/>
              <w:rPr>
                <w:sz w:val="16"/>
                <w:szCs w:val="16"/>
                <w:lang w:val="sr-Latn-CS"/>
              </w:rPr>
            </w:pPr>
          </w:p>
        </w:tc>
        <w:tc>
          <w:tcPr>
            <w:tcW w:w="1843" w:type="dxa"/>
            <w:vMerge/>
            <w:tcBorders>
              <w:top w:val="nil"/>
              <w:left w:val="nil"/>
              <w:right w:val="nil"/>
            </w:tcBorders>
          </w:tcPr>
          <w:p w:rsidR="00BE2F2E" w:rsidRPr="00E37289" w:rsidRDefault="00BE2F2E" w:rsidP="008A2DE5">
            <w:pPr>
              <w:jc w:val="center"/>
              <w:rPr>
                <w:sz w:val="16"/>
                <w:szCs w:val="16"/>
                <w:lang w:val="sr-Latn-CS"/>
              </w:rPr>
            </w:pPr>
          </w:p>
        </w:tc>
        <w:tc>
          <w:tcPr>
            <w:tcW w:w="1362" w:type="dxa"/>
            <w:vMerge/>
            <w:tcBorders>
              <w:top w:val="nil"/>
              <w:left w:val="nil"/>
              <w:right w:val="nil"/>
            </w:tcBorders>
          </w:tcPr>
          <w:p w:rsidR="00BE2F2E" w:rsidRPr="00E37289" w:rsidRDefault="00BE2F2E" w:rsidP="008A2DE5">
            <w:pPr>
              <w:jc w:val="center"/>
              <w:rPr>
                <w:sz w:val="16"/>
                <w:szCs w:val="16"/>
                <w:lang w:val="sr-Latn-CS"/>
              </w:rPr>
            </w:pPr>
          </w:p>
        </w:tc>
        <w:tc>
          <w:tcPr>
            <w:tcW w:w="853" w:type="dxa"/>
            <w:vMerge/>
            <w:tcBorders>
              <w:top w:val="nil"/>
              <w:left w:val="nil"/>
              <w:right w:val="nil"/>
            </w:tcBorders>
          </w:tcPr>
          <w:p w:rsidR="00BE2F2E" w:rsidRPr="00E37289" w:rsidRDefault="00BE2F2E" w:rsidP="008A2DE5">
            <w:pPr>
              <w:jc w:val="center"/>
              <w:rPr>
                <w:sz w:val="16"/>
                <w:szCs w:val="16"/>
                <w:lang w:val="sr-Latn-CS"/>
              </w:rPr>
            </w:pPr>
          </w:p>
        </w:tc>
        <w:tc>
          <w:tcPr>
            <w:tcW w:w="1681" w:type="dxa"/>
            <w:tcBorders>
              <w:top w:val="nil"/>
              <w:left w:val="nil"/>
              <w:right w:val="nil"/>
            </w:tcBorders>
            <w:textDirection w:val="btLr"/>
            <w:vAlign w:val="center"/>
          </w:tcPr>
          <w:p w:rsidR="00BE2F2E" w:rsidRPr="00E37289" w:rsidRDefault="00BE2F2E" w:rsidP="0076503E">
            <w:pPr>
              <w:rPr>
                <w:sz w:val="16"/>
                <w:szCs w:val="16"/>
                <w:lang w:val="sr-Latn-CS"/>
              </w:rPr>
            </w:pPr>
            <w:r w:rsidRPr="00E37289">
              <w:rPr>
                <w:sz w:val="16"/>
                <w:szCs w:val="16"/>
                <w:lang w:val="sr-Latn-CS"/>
              </w:rPr>
              <w:t>MDK za parametre u vodi za vodosnabdevanje</w:t>
            </w:r>
          </w:p>
          <w:p w:rsidR="00BE2F2E" w:rsidRPr="00E37289" w:rsidRDefault="00BE2F2E" w:rsidP="0076503E">
            <w:pPr>
              <w:rPr>
                <w:i/>
                <w:iCs/>
                <w:sz w:val="16"/>
                <w:szCs w:val="16"/>
                <w:lang w:val="sr-Latn-CS"/>
              </w:rPr>
            </w:pPr>
            <w:r w:rsidRPr="00E37289">
              <w:rPr>
                <w:i/>
                <w:iCs/>
                <w:sz w:val="16"/>
                <w:szCs w:val="16"/>
                <w:lang w:val="sr-Latn-CS"/>
              </w:rPr>
              <w:t xml:space="preserve">MAC </w:t>
            </w:r>
            <w:r w:rsidRPr="00E37289">
              <w:rPr>
                <w:rStyle w:val="shorttext"/>
                <w:i/>
                <w:iCs/>
                <w:sz w:val="16"/>
                <w:szCs w:val="16"/>
              </w:rPr>
              <w:t>for parameters in water for water supply</w:t>
            </w:r>
          </w:p>
        </w:tc>
        <w:tc>
          <w:tcPr>
            <w:tcW w:w="1560" w:type="dxa"/>
            <w:tcBorders>
              <w:top w:val="nil"/>
              <w:left w:val="nil"/>
              <w:right w:val="nil"/>
            </w:tcBorders>
            <w:textDirection w:val="btLr"/>
            <w:vAlign w:val="center"/>
          </w:tcPr>
          <w:p w:rsidR="00BE2F2E" w:rsidRPr="00E37289" w:rsidRDefault="00BE2F2E" w:rsidP="0076503E">
            <w:pPr>
              <w:rPr>
                <w:sz w:val="16"/>
                <w:szCs w:val="16"/>
                <w:lang w:val="sr-Latn-CS"/>
              </w:rPr>
            </w:pPr>
            <w:r w:rsidRPr="00E37289">
              <w:rPr>
                <w:sz w:val="16"/>
                <w:szCs w:val="16"/>
                <w:lang w:val="sr-Latn-CS"/>
              </w:rPr>
              <w:t>MDK za parametre u oligomineralnoj flaširanoj vodi</w:t>
            </w:r>
          </w:p>
          <w:p w:rsidR="00BE2F2E" w:rsidRPr="00E37289" w:rsidRDefault="00BE2F2E" w:rsidP="0076503E">
            <w:pPr>
              <w:rPr>
                <w:sz w:val="16"/>
                <w:szCs w:val="16"/>
                <w:lang w:val="sr-Latn-CS"/>
              </w:rPr>
            </w:pPr>
            <w:r w:rsidRPr="00E37289">
              <w:rPr>
                <w:i/>
                <w:iCs/>
                <w:sz w:val="16"/>
                <w:szCs w:val="16"/>
                <w:lang w:val="sr-Latn-CS"/>
              </w:rPr>
              <w:t>MAC</w:t>
            </w:r>
            <w:r w:rsidRPr="00E37289">
              <w:rPr>
                <w:sz w:val="16"/>
                <w:szCs w:val="16"/>
                <w:lang w:val="sr-Latn-CS"/>
              </w:rPr>
              <w:t xml:space="preserve"> </w:t>
            </w:r>
            <w:r w:rsidRPr="00E37289">
              <w:rPr>
                <w:rStyle w:val="shorttext"/>
                <w:i/>
                <w:iCs/>
                <w:sz w:val="16"/>
                <w:szCs w:val="16"/>
              </w:rPr>
              <w:t>for parameters in oligomineral bottled water</w:t>
            </w:r>
          </w:p>
        </w:tc>
      </w:tr>
      <w:tr w:rsidR="00BE2F2E" w:rsidRPr="00E37289">
        <w:trPr>
          <w:trHeight w:val="227"/>
          <w:jc w:val="center"/>
        </w:trPr>
        <w:tc>
          <w:tcPr>
            <w:tcW w:w="1701" w:type="dxa"/>
            <w:tcBorders>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Kalcijum</w:t>
            </w:r>
          </w:p>
        </w:tc>
        <w:tc>
          <w:tcPr>
            <w:tcW w:w="1843" w:type="dxa"/>
            <w:tcBorders>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53,17%, kao CaO</w:t>
            </w:r>
          </w:p>
        </w:tc>
        <w:tc>
          <w:tcPr>
            <w:tcW w:w="1362" w:type="dxa"/>
            <w:tcBorders>
              <w:left w:val="nil"/>
              <w:bottom w:val="nil"/>
              <w:right w:val="nil"/>
            </w:tcBorders>
            <w:vAlign w:val="center"/>
          </w:tcPr>
          <w:p w:rsidR="00BE2F2E" w:rsidRPr="00E37289" w:rsidRDefault="00BE2F2E" w:rsidP="0076503E">
            <w:pPr>
              <w:jc w:val="center"/>
              <w:rPr>
                <w:b/>
                <w:bCs/>
                <w:sz w:val="16"/>
                <w:szCs w:val="16"/>
                <w:lang w:val="sr-Latn-CS"/>
              </w:rPr>
            </w:pPr>
            <w:r>
              <w:rPr>
                <w:b/>
                <w:bCs/>
                <w:sz w:val="16"/>
                <w:szCs w:val="16"/>
                <w:lang w:val="sr-Latn-CS"/>
              </w:rPr>
              <w:t>245,86</w:t>
            </w:r>
          </w:p>
        </w:tc>
        <w:tc>
          <w:tcPr>
            <w:tcW w:w="853" w:type="dxa"/>
            <w:tcBorders>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mg/dm</w:t>
            </w:r>
            <w:r w:rsidRPr="00E37289">
              <w:rPr>
                <w:sz w:val="16"/>
                <w:szCs w:val="16"/>
                <w:vertAlign w:val="superscript"/>
                <w:lang w:val="sr-Latn-CS"/>
              </w:rPr>
              <w:t>3</w:t>
            </w:r>
          </w:p>
        </w:tc>
        <w:tc>
          <w:tcPr>
            <w:tcW w:w="1681" w:type="dxa"/>
            <w:tcBorders>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200</w:t>
            </w:r>
          </w:p>
        </w:tc>
        <w:tc>
          <w:tcPr>
            <w:tcW w:w="1560" w:type="dxa"/>
            <w:tcBorders>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100</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Magnezijum</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1,87%, kao MgO</w:t>
            </w: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7,30</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mg/dm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50</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30</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Ca/Mg</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33,68</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3</w:t>
            </w:r>
            <w:r w:rsidRPr="008A2DE5">
              <w:rPr>
                <w:rFonts w:ascii="Cambria Math" w:hAnsi="Cambria Math" w:cs="Cambria Math"/>
                <w:sz w:val="16"/>
                <w:szCs w:val="16"/>
              </w:rPr>
              <w:t>‒</w:t>
            </w:r>
            <w:r w:rsidRPr="00E37289">
              <w:rPr>
                <w:sz w:val="16"/>
                <w:szCs w:val="16"/>
                <w:lang w:val="sr-Latn-CS"/>
              </w:rPr>
              <w:t>4</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Natrijum</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0,017%, kao Na</w:t>
            </w:r>
            <w:r w:rsidRPr="00E37289">
              <w:rPr>
                <w:sz w:val="16"/>
                <w:szCs w:val="16"/>
                <w:vertAlign w:val="subscript"/>
                <w:lang w:val="sr-Latn-CS"/>
              </w:rPr>
              <w:t>2</w:t>
            </w:r>
            <w:r w:rsidRPr="00E37289">
              <w:rPr>
                <w:sz w:val="16"/>
                <w:szCs w:val="16"/>
                <w:lang w:val="sr-Latn-CS"/>
              </w:rPr>
              <w:t>O</w:t>
            </w: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0,082</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mg/dm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150</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20</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Kalijum</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0,0031%, kao K</w:t>
            </w:r>
            <w:r w:rsidRPr="00E37289">
              <w:rPr>
                <w:sz w:val="16"/>
                <w:szCs w:val="16"/>
                <w:vertAlign w:val="subscript"/>
                <w:lang w:val="sr-Latn-CS"/>
              </w:rPr>
              <w:t>2</w:t>
            </w:r>
            <w:r w:rsidRPr="00E37289">
              <w:rPr>
                <w:sz w:val="16"/>
                <w:szCs w:val="16"/>
                <w:lang w:val="sr-Latn-CS"/>
              </w:rPr>
              <w:t>O</w:t>
            </w: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0,017</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mg/dm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12</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10</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vertAlign w:val="subscript"/>
                <w:lang w:val="sr-Latn-CS"/>
              </w:rPr>
            </w:pPr>
            <w:r w:rsidRPr="00E37289">
              <w:rPr>
                <w:sz w:val="16"/>
                <w:szCs w:val="16"/>
                <w:lang w:val="sr-Latn-CS"/>
              </w:rPr>
              <w:t>Gvožđe</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0,042%, kao Fe</w:t>
            </w:r>
            <w:r w:rsidRPr="00E37289">
              <w:rPr>
                <w:sz w:val="16"/>
                <w:szCs w:val="16"/>
                <w:vertAlign w:val="subscript"/>
                <w:lang w:val="sr-Latn-CS"/>
              </w:rPr>
              <w:t>2</w:t>
            </w:r>
            <w:r w:rsidRPr="00E37289">
              <w:rPr>
                <w:sz w:val="16"/>
                <w:szCs w:val="16"/>
                <w:lang w:val="sr-Latn-CS"/>
              </w:rPr>
              <w:t>O</w:t>
            </w:r>
            <w:r w:rsidRPr="00E37289">
              <w:rPr>
                <w:sz w:val="16"/>
                <w:szCs w:val="16"/>
                <w:vertAlign w:val="subscript"/>
                <w:lang w:val="sr-Latn-CS"/>
              </w:rPr>
              <w:t>3</w:t>
            </w: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190</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µg/dm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300</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50</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vertAlign w:val="subscript"/>
                <w:lang w:val="sr-Latn-CS"/>
              </w:rPr>
            </w:pPr>
            <w:r w:rsidRPr="00E37289">
              <w:rPr>
                <w:sz w:val="16"/>
                <w:szCs w:val="16"/>
                <w:lang w:val="sr-Latn-CS"/>
              </w:rPr>
              <w:t>Silicijum</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0,92%, kao SiO</w:t>
            </w:r>
            <w:r w:rsidRPr="00E37289">
              <w:rPr>
                <w:sz w:val="16"/>
                <w:szCs w:val="16"/>
                <w:vertAlign w:val="subscript"/>
                <w:lang w:val="sr-Latn-CS"/>
              </w:rPr>
              <w:t>2</w:t>
            </w:r>
          </w:p>
        </w:tc>
        <w:tc>
          <w:tcPr>
            <w:tcW w:w="1362" w:type="dxa"/>
            <w:tcBorders>
              <w:top w:val="nil"/>
              <w:left w:val="nil"/>
              <w:bottom w:val="nil"/>
              <w:right w:val="nil"/>
            </w:tcBorders>
            <w:vAlign w:val="center"/>
          </w:tcPr>
          <w:p w:rsidR="00BE2F2E" w:rsidRPr="00E37289" w:rsidRDefault="00BE2F2E" w:rsidP="0076503E">
            <w:pPr>
              <w:jc w:val="center"/>
              <w:rPr>
                <w:b/>
                <w:bCs/>
                <w:sz w:val="16"/>
                <w:szCs w:val="16"/>
                <w:lang w:val="sr-Latn-CS"/>
              </w:rPr>
            </w:pPr>
            <w:r w:rsidRPr="00E37289">
              <w:rPr>
                <w:b/>
                <w:bCs/>
                <w:sz w:val="16"/>
                <w:szCs w:val="16"/>
                <w:lang w:val="sr-Latn-CS"/>
              </w:rPr>
              <w:t>2,78</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mg/dm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Aluminijum</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0,16%, kao Al</w:t>
            </w:r>
            <w:r w:rsidRPr="00E37289">
              <w:rPr>
                <w:sz w:val="16"/>
                <w:szCs w:val="16"/>
                <w:vertAlign w:val="subscript"/>
                <w:lang w:val="sr-Latn-CS"/>
              </w:rPr>
              <w:t>2</w:t>
            </w:r>
            <w:r w:rsidRPr="00E37289">
              <w:rPr>
                <w:sz w:val="16"/>
                <w:szCs w:val="16"/>
                <w:lang w:val="sr-Latn-CS"/>
              </w:rPr>
              <w:t>O</w:t>
            </w:r>
            <w:r w:rsidRPr="00E37289">
              <w:rPr>
                <w:sz w:val="16"/>
                <w:szCs w:val="16"/>
                <w:vertAlign w:val="subscript"/>
                <w:lang w:val="sr-Latn-CS"/>
              </w:rPr>
              <w:t>3</w:t>
            </w:r>
          </w:p>
        </w:tc>
        <w:tc>
          <w:tcPr>
            <w:tcW w:w="1362" w:type="dxa"/>
            <w:tcBorders>
              <w:top w:val="nil"/>
              <w:left w:val="nil"/>
              <w:bottom w:val="nil"/>
              <w:right w:val="nil"/>
            </w:tcBorders>
            <w:vAlign w:val="center"/>
          </w:tcPr>
          <w:p w:rsidR="00BE2F2E" w:rsidRPr="00E37289" w:rsidRDefault="00BE2F2E" w:rsidP="0076503E">
            <w:pPr>
              <w:jc w:val="center"/>
              <w:rPr>
                <w:b/>
                <w:bCs/>
                <w:sz w:val="16"/>
                <w:szCs w:val="16"/>
                <w:lang w:val="sr-Latn-CS"/>
              </w:rPr>
            </w:pPr>
            <w:r w:rsidRPr="00E37289">
              <w:rPr>
                <w:b/>
                <w:bCs/>
                <w:sz w:val="16"/>
                <w:szCs w:val="16"/>
                <w:lang w:val="sr-Latn-CS"/>
              </w:rPr>
              <w:t>540</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µg/dm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200</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0,05</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vertAlign w:val="subscript"/>
                <w:lang w:val="sr-Latn-CS"/>
              </w:rPr>
            </w:pPr>
            <w:r w:rsidRPr="00E37289">
              <w:rPr>
                <w:sz w:val="16"/>
                <w:szCs w:val="16"/>
                <w:lang w:val="sr-Latn-CS"/>
              </w:rPr>
              <w:t>Titan</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&lt;0,003%, kao TiO</w:t>
            </w:r>
            <w:r w:rsidRPr="00E37289">
              <w:rPr>
                <w:sz w:val="16"/>
                <w:szCs w:val="16"/>
                <w:vertAlign w:val="subscript"/>
                <w:lang w:val="sr-Latn-CS"/>
              </w:rPr>
              <w:t>2</w:t>
            </w:r>
          </w:p>
        </w:tc>
        <w:tc>
          <w:tcPr>
            <w:tcW w:w="1362" w:type="dxa"/>
            <w:tcBorders>
              <w:top w:val="nil"/>
              <w:left w:val="nil"/>
              <w:bottom w:val="nil"/>
              <w:right w:val="nil"/>
            </w:tcBorders>
            <w:vAlign w:val="center"/>
          </w:tcPr>
          <w:p w:rsidR="00BE2F2E" w:rsidRPr="00E37289" w:rsidRDefault="00BE2F2E" w:rsidP="0076503E">
            <w:pPr>
              <w:jc w:val="center"/>
              <w:rPr>
                <w:b/>
                <w:bCs/>
                <w:sz w:val="16"/>
                <w:szCs w:val="16"/>
                <w:lang w:val="sr-Latn-CS"/>
              </w:rPr>
            </w:pPr>
            <w:r w:rsidRPr="00E37289">
              <w:rPr>
                <w:b/>
                <w:bCs/>
                <w:sz w:val="16"/>
                <w:szCs w:val="16"/>
                <w:lang w:val="sr-Latn-CS"/>
              </w:rPr>
              <w:t>11,63</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µg/dm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Mangan</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16,99 ppm</w:t>
            </w: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10,99</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µg/dm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50</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20</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Olovo</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14,99 ppm</w:t>
            </w: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b/>
                <w:bCs/>
                <w:sz w:val="16"/>
                <w:szCs w:val="16"/>
                <w:lang w:val="sr-Latn-CS"/>
              </w:rPr>
              <w:t>9,70</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µg/dm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10</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Kobalt</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15,49 ppm</w:t>
            </w:r>
          </w:p>
        </w:tc>
        <w:tc>
          <w:tcPr>
            <w:tcW w:w="1362" w:type="dxa"/>
            <w:tcBorders>
              <w:top w:val="nil"/>
              <w:left w:val="nil"/>
              <w:bottom w:val="nil"/>
              <w:right w:val="nil"/>
            </w:tcBorders>
            <w:vAlign w:val="center"/>
          </w:tcPr>
          <w:p w:rsidR="00BE2F2E" w:rsidRPr="00E37289" w:rsidRDefault="00BE2F2E" w:rsidP="0076503E">
            <w:pPr>
              <w:jc w:val="center"/>
              <w:rPr>
                <w:b/>
                <w:bCs/>
                <w:sz w:val="16"/>
                <w:szCs w:val="16"/>
                <w:lang w:val="sr-Latn-CS"/>
              </w:rPr>
            </w:pPr>
            <w:r w:rsidRPr="00E37289">
              <w:rPr>
                <w:b/>
                <w:bCs/>
                <w:sz w:val="16"/>
                <w:szCs w:val="16"/>
                <w:lang w:val="sr-Latn-CS"/>
              </w:rPr>
              <w:t>10,02</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µg/dm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0</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0</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Cink</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219,88 ppm</w:t>
            </w: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142,26</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µg/dm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3.000</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100</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Bakar</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103,44 ppm</w:t>
            </w: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66,93</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µg/dm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2.000</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100</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Nikal</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14,99 ppm</w:t>
            </w: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9,70</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µg/dm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20</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10</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Kadmijum</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4,50 ppm</w:t>
            </w:r>
          </w:p>
        </w:tc>
        <w:tc>
          <w:tcPr>
            <w:tcW w:w="1362" w:type="dxa"/>
            <w:tcBorders>
              <w:top w:val="nil"/>
              <w:left w:val="nil"/>
              <w:bottom w:val="nil"/>
              <w:right w:val="nil"/>
            </w:tcBorders>
            <w:vAlign w:val="center"/>
          </w:tcPr>
          <w:p w:rsidR="00BE2F2E" w:rsidRPr="00E37289" w:rsidRDefault="00BE2F2E" w:rsidP="0076503E">
            <w:pPr>
              <w:jc w:val="center"/>
              <w:rPr>
                <w:b/>
                <w:bCs/>
                <w:sz w:val="16"/>
                <w:szCs w:val="16"/>
                <w:lang w:val="sr-Latn-CS"/>
              </w:rPr>
            </w:pPr>
            <w:r w:rsidRPr="00E37289">
              <w:rPr>
                <w:b/>
                <w:bCs/>
                <w:sz w:val="16"/>
                <w:szCs w:val="16"/>
                <w:lang w:val="sr-Latn-CS"/>
              </w:rPr>
              <w:t>2,91</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µg/dm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3</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5</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Cr (ukupni)</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3,5 ppm</w:t>
            </w: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2,26</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µg/dm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50</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50</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Gubitak žarenjem</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43,77%</w:t>
            </w: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H</w:t>
            </w:r>
            <w:r w:rsidRPr="00E37289">
              <w:rPr>
                <w:sz w:val="16"/>
                <w:szCs w:val="16"/>
                <w:vertAlign w:val="subscript"/>
                <w:lang w:val="sr-Latn-CS"/>
              </w:rPr>
              <w:t>2</w:t>
            </w:r>
            <w:r w:rsidRPr="00E37289">
              <w:rPr>
                <w:sz w:val="16"/>
                <w:szCs w:val="16"/>
                <w:lang w:val="sr-Latn-CS"/>
              </w:rPr>
              <w:t>O</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0,95%</w:t>
            </w: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Σ</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99,99%</w:t>
            </w: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263,17</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255,80</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130,42</w:t>
            </w: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Suvi ostatak</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647</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mg/dm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p>
        </w:tc>
      </w:tr>
      <w:tr w:rsidR="00BE2F2E" w:rsidRPr="00E37289">
        <w:trPr>
          <w:trHeight w:val="227"/>
          <w:jc w:val="center"/>
        </w:trPr>
        <w:tc>
          <w:tcPr>
            <w:tcW w:w="1701" w:type="dxa"/>
            <w:tcBorders>
              <w:top w:val="nil"/>
              <w:left w:val="nil"/>
              <w:bottom w:val="nil"/>
              <w:right w:val="nil"/>
            </w:tcBorders>
            <w:vAlign w:val="center"/>
          </w:tcPr>
          <w:p w:rsidR="00BE2F2E" w:rsidRPr="00E37289" w:rsidRDefault="00BE2F2E" w:rsidP="0076503E">
            <w:pPr>
              <w:jc w:val="center"/>
              <w:rPr>
                <w:sz w:val="16"/>
                <w:szCs w:val="16"/>
                <w:vertAlign w:val="subscript"/>
                <w:lang w:val="sr-Latn-CS"/>
              </w:rPr>
            </w:pPr>
            <w:r w:rsidRPr="00E37289">
              <w:rPr>
                <w:sz w:val="16"/>
                <w:szCs w:val="16"/>
                <w:lang w:val="sr-Latn-CS"/>
              </w:rPr>
              <w:t>HCO</w:t>
            </w:r>
            <w:r w:rsidRPr="00E37289">
              <w:rPr>
                <w:sz w:val="16"/>
                <w:szCs w:val="16"/>
                <w:vertAlign w:val="subscript"/>
                <w:lang w:val="sr-Latn-CS"/>
              </w:rPr>
              <w:t>3</w:t>
            </w:r>
          </w:p>
        </w:tc>
        <w:tc>
          <w:tcPr>
            <w:tcW w:w="1843" w:type="dxa"/>
            <w:tcBorders>
              <w:top w:val="nil"/>
              <w:left w:val="nil"/>
              <w:bottom w:val="nil"/>
              <w:right w:val="nil"/>
            </w:tcBorders>
            <w:vAlign w:val="center"/>
          </w:tcPr>
          <w:p w:rsidR="00BE2F2E" w:rsidRPr="00E37289" w:rsidRDefault="00BE2F2E" w:rsidP="0076503E">
            <w:pPr>
              <w:jc w:val="center"/>
              <w:rPr>
                <w:sz w:val="16"/>
                <w:szCs w:val="16"/>
                <w:lang w:val="sr-Latn-CS"/>
              </w:rPr>
            </w:pPr>
          </w:p>
        </w:tc>
        <w:tc>
          <w:tcPr>
            <w:tcW w:w="1362"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994,24</w:t>
            </w:r>
          </w:p>
        </w:tc>
        <w:tc>
          <w:tcPr>
            <w:tcW w:w="853"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mg/dm</w:t>
            </w:r>
            <w:r w:rsidRPr="00E37289">
              <w:rPr>
                <w:sz w:val="16"/>
                <w:szCs w:val="16"/>
                <w:vertAlign w:val="superscript"/>
                <w:lang w:val="sr-Latn-CS"/>
              </w:rPr>
              <w:t>3</w:t>
            </w:r>
          </w:p>
        </w:tc>
        <w:tc>
          <w:tcPr>
            <w:tcW w:w="1681"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w:t>
            </w:r>
          </w:p>
        </w:tc>
        <w:tc>
          <w:tcPr>
            <w:tcW w:w="1560" w:type="dxa"/>
            <w:tcBorders>
              <w:top w:val="nil"/>
              <w:left w:val="nil"/>
              <w:bottom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w:t>
            </w:r>
          </w:p>
        </w:tc>
      </w:tr>
      <w:tr w:rsidR="00BE2F2E" w:rsidRPr="00E37289">
        <w:trPr>
          <w:trHeight w:val="227"/>
          <w:jc w:val="center"/>
        </w:trPr>
        <w:tc>
          <w:tcPr>
            <w:tcW w:w="1701" w:type="dxa"/>
            <w:tcBorders>
              <w:top w:val="nil"/>
              <w:left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pH</w:t>
            </w:r>
          </w:p>
        </w:tc>
        <w:tc>
          <w:tcPr>
            <w:tcW w:w="1843" w:type="dxa"/>
            <w:tcBorders>
              <w:top w:val="nil"/>
              <w:left w:val="nil"/>
              <w:right w:val="nil"/>
            </w:tcBorders>
            <w:vAlign w:val="center"/>
          </w:tcPr>
          <w:p w:rsidR="00BE2F2E" w:rsidRPr="00E37289" w:rsidRDefault="00BE2F2E" w:rsidP="0076503E">
            <w:pPr>
              <w:jc w:val="center"/>
              <w:rPr>
                <w:sz w:val="16"/>
                <w:szCs w:val="16"/>
                <w:lang w:val="sr-Latn-CS"/>
              </w:rPr>
            </w:pPr>
          </w:p>
        </w:tc>
        <w:tc>
          <w:tcPr>
            <w:tcW w:w="1362" w:type="dxa"/>
            <w:tcBorders>
              <w:top w:val="nil"/>
              <w:left w:val="nil"/>
              <w:right w:val="nil"/>
            </w:tcBorders>
            <w:vAlign w:val="center"/>
          </w:tcPr>
          <w:p w:rsidR="00BE2F2E" w:rsidRPr="00E37289" w:rsidRDefault="00BE2F2E" w:rsidP="0076503E">
            <w:pPr>
              <w:jc w:val="center"/>
              <w:rPr>
                <w:b/>
                <w:bCs/>
                <w:sz w:val="16"/>
                <w:szCs w:val="16"/>
                <w:lang w:val="sr-Latn-CS"/>
              </w:rPr>
            </w:pPr>
            <w:r w:rsidRPr="00E37289">
              <w:rPr>
                <w:b/>
                <w:bCs/>
                <w:sz w:val="16"/>
                <w:szCs w:val="16"/>
                <w:lang w:val="sr-Latn-CS"/>
              </w:rPr>
              <w:t>9,07</w:t>
            </w:r>
          </w:p>
        </w:tc>
        <w:tc>
          <w:tcPr>
            <w:tcW w:w="853" w:type="dxa"/>
            <w:tcBorders>
              <w:top w:val="nil"/>
              <w:left w:val="nil"/>
              <w:right w:val="nil"/>
            </w:tcBorders>
            <w:vAlign w:val="center"/>
          </w:tcPr>
          <w:p w:rsidR="00BE2F2E" w:rsidRPr="00E37289" w:rsidRDefault="00BE2F2E" w:rsidP="0076503E">
            <w:pPr>
              <w:jc w:val="center"/>
              <w:rPr>
                <w:sz w:val="16"/>
                <w:szCs w:val="16"/>
                <w:lang w:val="sr-Latn-CS"/>
              </w:rPr>
            </w:pPr>
          </w:p>
        </w:tc>
        <w:tc>
          <w:tcPr>
            <w:tcW w:w="1681" w:type="dxa"/>
            <w:tcBorders>
              <w:top w:val="nil"/>
              <w:left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6,80</w:t>
            </w:r>
            <w:r w:rsidRPr="008A2DE5">
              <w:rPr>
                <w:rFonts w:ascii="Cambria Math" w:hAnsi="Cambria Math" w:cs="Cambria Math"/>
                <w:sz w:val="16"/>
                <w:szCs w:val="16"/>
              </w:rPr>
              <w:t>‒</w:t>
            </w:r>
            <w:r w:rsidRPr="00E37289">
              <w:rPr>
                <w:sz w:val="16"/>
                <w:szCs w:val="16"/>
                <w:lang w:val="sr-Latn-CS"/>
              </w:rPr>
              <w:t>8,50</w:t>
            </w:r>
          </w:p>
        </w:tc>
        <w:tc>
          <w:tcPr>
            <w:tcW w:w="1560" w:type="dxa"/>
            <w:tcBorders>
              <w:top w:val="nil"/>
              <w:left w:val="nil"/>
              <w:right w:val="nil"/>
            </w:tcBorders>
            <w:vAlign w:val="center"/>
          </w:tcPr>
          <w:p w:rsidR="00BE2F2E" w:rsidRPr="00E37289" w:rsidRDefault="00BE2F2E" w:rsidP="0076503E">
            <w:pPr>
              <w:jc w:val="center"/>
              <w:rPr>
                <w:sz w:val="16"/>
                <w:szCs w:val="16"/>
                <w:lang w:val="sr-Latn-CS"/>
              </w:rPr>
            </w:pPr>
            <w:r w:rsidRPr="00E37289">
              <w:rPr>
                <w:sz w:val="16"/>
                <w:szCs w:val="16"/>
                <w:lang w:val="sr-Latn-CS"/>
              </w:rPr>
              <w:t>6,80</w:t>
            </w:r>
            <w:r w:rsidRPr="008A2DE5">
              <w:rPr>
                <w:rFonts w:ascii="Cambria Math" w:hAnsi="Cambria Math" w:cs="Cambria Math"/>
                <w:sz w:val="16"/>
                <w:szCs w:val="16"/>
              </w:rPr>
              <w:t>‒</w:t>
            </w:r>
            <w:r w:rsidRPr="00E37289">
              <w:rPr>
                <w:sz w:val="16"/>
                <w:szCs w:val="16"/>
                <w:lang w:val="sr-Latn-CS"/>
              </w:rPr>
              <w:t>8,50</w:t>
            </w:r>
          </w:p>
        </w:tc>
      </w:tr>
    </w:tbl>
    <w:p w:rsidR="00BE2F2E" w:rsidRDefault="00BE2F2E" w:rsidP="00957BC0">
      <w:pPr>
        <w:rPr>
          <w:sz w:val="22"/>
          <w:szCs w:val="22"/>
        </w:rPr>
      </w:pPr>
      <w:r>
        <w:rPr>
          <w:sz w:val="22"/>
          <w:szCs w:val="22"/>
        </w:rPr>
        <w:lastRenderedPageBreak/>
        <w:t>Tabela 4. Nastavak.</w:t>
      </w:r>
    </w:p>
    <w:p w:rsidR="00BE2F2E" w:rsidRDefault="00BE2F2E" w:rsidP="00957BC0">
      <w:pPr>
        <w:rPr>
          <w:i/>
          <w:iCs/>
          <w:sz w:val="22"/>
          <w:szCs w:val="22"/>
        </w:rPr>
      </w:pPr>
      <w:r>
        <w:rPr>
          <w:i/>
          <w:iCs/>
          <w:sz w:val="22"/>
          <w:szCs w:val="22"/>
        </w:rPr>
        <w:t>Table 4. Continued.</w:t>
      </w:r>
    </w:p>
    <w:p w:rsidR="00BE2F2E" w:rsidRPr="008A2DE5" w:rsidRDefault="00BE2F2E" w:rsidP="005E2BED">
      <w:pPr>
        <w:jc w:val="both"/>
        <w:rPr>
          <w:sz w:val="22"/>
          <w:szCs w:val="22"/>
          <w:lang w:val="en-US"/>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610"/>
        <w:gridCol w:w="1525"/>
        <w:gridCol w:w="1525"/>
        <w:gridCol w:w="1524"/>
        <w:gridCol w:w="1187"/>
      </w:tblGrid>
      <w:tr w:rsidR="00BE2F2E" w:rsidRPr="00B932C3">
        <w:trPr>
          <w:cantSplit/>
          <w:trHeight w:val="1417"/>
          <w:jc w:val="center"/>
        </w:trPr>
        <w:tc>
          <w:tcPr>
            <w:tcW w:w="1348" w:type="dxa"/>
            <w:vMerge w:val="restart"/>
            <w:tcBorders>
              <w:left w:val="nil"/>
              <w:bottom w:val="nil"/>
              <w:right w:val="nil"/>
            </w:tcBorders>
            <w:textDirection w:val="btLr"/>
            <w:vAlign w:val="center"/>
          </w:tcPr>
          <w:p w:rsidR="00BE2F2E" w:rsidRPr="00B932C3" w:rsidRDefault="00BE2F2E" w:rsidP="0076503E">
            <w:pPr>
              <w:ind w:left="113" w:right="113"/>
              <w:rPr>
                <w:sz w:val="16"/>
                <w:szCs w:val="16"/>
                <w:lang w:val="sr-Latn-CS"/>
              </w:rPr>
            </w:pPr>
            <w:r w:rsidRPr="00B932C3">
              <w:rPr>
                <w:sz w:val="16"/>
                <w:szCs w:val="16"/>
                <w:lang w:val="sr-Latn-CS"/>
              </w:rPr>
              <w:t>Pravilnik o kvalitetu i dr., zahtevima za prirodnu mineralnu, izvorsku i stonu vodu</w:t>
            </w:r>
          </w:p>
          <w:p w:rsidR="00BE2F2E" w:rsidRPr="00B932C3" w:rsidRDefault="00BE2F2E" w:rsidP="0076503E">
            <w:pPr>
              <w:ind w:left="113" w:right="113"/>
              <w:rPr>
                <w:i/>
                <w:iCs/>
                <w:sz w:val="16"/>
                <w:szCs w:val="16"/>
                <w:lang w:val="sr-Latn-CS"/>
              </w:rPr>
            </w:pPr>
            <w:r w:rsidRPr="00B932C3">
              <w:rPr>
                <w:i/>
                <w:iCs/>
                <w:sz w:val="16"/>
                <w:szCs w:val="16"/>
              </w:rPr>
              <w:t>Rulebook on quality, etc., requirements for natural mineral, spring and table water</w:t>
            </w:r>
          </w:p>
          <w:p w:rsidR="00BE2F2E" w:rsidRPr="00B932C3" w:rsidRDefault="00BE2F2E" w:rsidP="0076503E">
            <w:pPr>
              <w:ind w:left="113" w:right="113"/>
              <w:rPr>
                <w:sz w:val="16"/>
                <w:szCs w:val="16"/>
                <w:lang w:val="sr-Latn-CS"/>
              </w:rPr>
            </w:pPr>
            <w:r w:rsidRPr="00B932C3">
              <w:rPr>
                <w:sz w:val="16"/>
                <w:szCs w:val="16"/>
                <w:lang w:val="sr-Latn-CS"/>
              </w:rPr>
              <w:t>(Sl. list SCG br. 53/05)</w:t>
            </w:r>
          </w:p>
        </w:tc>
        <w:tc>
          <w:tcPr>
            <w:tcW w:w="4820" w:type="dxa"/>
            <w:gridSpan w:val="4"/>
            <w:tcBorders>
              <w:left w:val="nil"/>
              <w:bottom w:val="nil"/>
              <w:right w:val="nil"/>
            </w:tcBorders>
            <w:vAlign w:val="center"/>
          </w:tcPr>
          <w:p w:rsidR="00BE2F2E" w:rsidRPr="00B932C3" w:rsidRDefault="00BE2F2E" w:rsidP="008A2DE5">
            <w:pPr>
              <w:jc w:val="center"/>
              <w:rPr>
                <w:sz w:val="16"/>
                <w:szCs w:val="16"/>
                <w:lang w:val="sr-Latn-CS"/>
              </w:rPr>
            </w:pPr>
            <w:r w:rsidRPr="00B932C3">
              <w:rPr>
                <w:sz w:val="16"/>
                <w:szCs w:val="16"/>
                <w:lang w:val="sr-Latn-CS"/>
              </w:rPr>
              <w:t>Direktiva EU</w:t>
            </w:r>
          </w:p>
          <w:p w:rsidR="00BE2F2E" w:rsidRPr="00B932C3" w:rsidRDefault="00BE2F2E" w:rsidP="008A2DE5">
            <w:pPr>
              <w:jc w:val="center"/>
              <w:rPr>
                <w:i/>
                <w:iCs/>
                <w:sz w:val="16"/>
                <w:szCs w:val="16"/>
                <w:lang w:val="sr-Latn-CS"/>
              </w:rPr>
            </w:pPr>
            <w:r w:rsidRPr="00B932C3">
              <w:rPr>
                <w:i/>
                <w:iCs/>
                <w:sz w:val="16"/>
                <w:szCs w:val="16"/>
                <w:lang w:val="sr-Latn-CS"/>
              </w:rPr>
              <w:t>EU Directive</w:t>
            </w:r>
          </w:p>
        </w:tc>
      </w:tr>
      <w:tr w:rsidR="00BE2F2E" w:rsidRPr="00B932C3">
        <w:trPr>
          <w:jc w:val="center"/>
        </w:trPr>
        <w:tc>
          <w:tcPr>
            <w:tcW w:w="1348" w:type="dxa"/>
            <w:vMerge/>
            <w:tcBorders>
              <w:left w:val="nil"/>
              <w:right w:val="nil"/>
            </w:tcBorders>
            <w:vAlign w:val="center"/>
          </w:tcPr>
          <w:p w:rsidR="00BE2F2E" w:rsidRPr="00B932C3" w:rsidRDefault="00BE2F2E" w:rsidP="008A2DE5">
            <w:pPr>
              <w:jc w:val="center"/>
              <w:rPr>
                <w:sz w:val="16"/>
                <w:szCs w:val="16"/>
                <w:lang w:val="sr-Latn-CS"/>
              </w:rPr>
            </w:pPr>
          </w:p>
        </w:tc>
        <w:tc>
          <w:tcPr>
            <w:tcW w:w="1276" w:type="dxa"/>
            <w:tcBorders>
              <w:top w:val="nil"/>
              <w:left w:val="nil"/>
              <w:right w:val="nil"/>
            </w:tcBorders>
            <w:vAlign w:val="center"/>
          </w:tcPr>
          <w:p w:rsidR="00BE2F2E" w:rsidRPr="00B932C3" w:rsidRDefault="00BE2F2E" w:rsidP="008A2DE5">
            <w:pPr>
              <w:jc w:val="center"/>
              <w:rPr>
                <w:sz w:val="16"/>
                <w:szCs w:val="16"/>
                <w:lang w:val="sr-Latn-CS"/>
              </w:rPr>
            </w:pPr>
            <w:r w:rsidRPr="00B932C3">
              <w:rPr>
                <w:sz w:val="16"/>
                <w:szCs w:val="16"/>
                <w:lang w:val="sr-Latn-CS"/>
              </w:rPr>
              <w:t>1998/83/EC</w:t>
            </w:r>
          </w:p>
          <w:p w:rsidR="00BE2F2E" w:rsidRPr="00B932C3" w:rsidRDefault="00BE2F2E" w:rsidP="008A2DE5">
            <w:pPr>
              <w:jc w:val="center"/>
              <w:rPr>
                <w:i/>
                <w:iCs/>
                <w:sz w:val="16"/>
                <w:szCs w:val="16"/>
                <w:lang w:val="sr-Latn-CS"/>
              </w:rPr>
            </w:pPr>
            <w:r w:rsidRPr="00B932C3">
              <w:rPr>
                <w:sz w:val="16"/>
                <w:szCs w:val="16"/>
                <w:lang w:val="sr-Latn-CS"/>
              </w:rPr>
              <w:t xml:space="preserve">voda za piće </w:t>
            </w:r>
            <w:r w:rsidRPr="00B932C3">
              <w:rPr>
                <w:i/>
                <w:iCs/>
                <w:sz w:val="16"/>
                <w:szCs w:val="16"/>
                <w:lang w:val="sr-Latn-CS"/>
              </w:rPr>
              <w:t>drinking</w:t>
            </w:r>
          </w:p>
          <w:p w:rsidR="00BE2F2E" w:rsidRPr="00B932C3" w:rsidRDefault="00BE2F2E" w:rsidP="008A2DE5">
            <w:pPr>
              <w:jc w:val="center"/>
              <w:rPr>
                <w:sz w:val="16"/>
                <w:szCs w:val="16"/>
                <w:lang w:val="sr-Latn-CS"/>
              </w:rPr>
            </w:pPr>
            <w:r w:rsidRPr="00B932C3">
              <w:rPr>
                <w:i/>
                <w:iCs/>
                <w:sz w:val="16"/>
                <w:szCs w:val="16"/>
                <w:lang w:val="sr-Latn-CS"/>
              </w:rPr>
              <w:t>water</w:t>
            </w:r>
          </w:p>
        </w:tc>
        <w:tc>
          <w:tcPr>
            <w:tcW w:w="1276" w:type="dxa"/>
            <w:tcBorders>
              <w:top w:val="nil"/>
              <w:left w:val="nil"/>
              <w:right w:val="nil"/>
            </w:tcBorders>
            <w:vAlign w:val="center"/>
          </w:tcPr>
          <w:p w:rsidR="00BE2F2E" w:rsidRPr="00B932C3" w:rsidRDefault="00BE2F2E" w:rsidP="008A2DE5">
            <w:pPr>
              <w:jc w:val="center"/>
              <w:rPr>
                <w:sz w:val="16"/>
                <w:szCs w:val="16"/>
                <w:lang w:val="sr-Latn-CS"/>
              </w:rPr>
            </w:pPr>
            <w:r w:rsidRPr="00B932C3">
              <w:rPr>
                <w:sz w:val="16"/>
                <w:szCs w:val="16"/>
                <w:lang w:val="sr-Latn-CS"/>
              </w:rPr>
              <w:t>2003/40/EC</w:t>
            </w:r>
          </w:p>
          <w:p w:rsidR="00BE2F2E" w:rsidRPr="00B932C3" w:rsidRDefault="00BE2F2E" w:rsidP="008A2DE5">
            <w:pPr>
              <w:jc w:val="center"/>
              <w:rPr>
                <w:sz w:val="16"/>
                <w:szCs w:val="16"/>
                <w:lang w:val="sr-Latn-CS"/>
              </w:rPr>
            </w:pPr>
            <w:r w:rsidRPr="00B932C3">
              <w:rPr>
                <w:sz w:val="16"/>
                <w:szCs w:val="16"/>
                <w:lang w:val="sr-Latn-CS"/>
              </w:rPr>
              <w:t>mineralna voda</w:t>
            </w:r>
          </w:p>
          <w:p w:rsidR="00BE2F2E" w:rsidRPr="00B932C3" w:rsidRDefault="00BE2F2E" w:rsidP="008A2DE5">
            <w:pPr>
              <w:jc w:val="center"/>
              <w:rPr>
                <w:i/>
                <w:iCs/>
                <w:sz w:val="16"/>
                <w:szCs w:val="16"/>
                <w:lang w:val="sr-Latn-CS"/>
              </w:rPr>
            </w:pPr>
            <w:r w:rsidRPr="00B932C3">
              <w:rPr>
                <w:i/>
                <w:iCs/>
                <w:sz w:val="16"/>
                <w:szCs w:val="16"/>
                <w:lang w:val="sr-Latn-CS"/>
              </w:rPr>
              <w:t>mineral</w:t>
            </w:r>
          </w:p>
          <w:p w:rsidR="00BE2F2E" w:rsidRPr="00B932C3" w:rsidRDefault="00BE2F2E" w:rsidP="008A2DE5">
            <w:pPr>
              <w:jc w:val="center"/>
              <w:rPr>
                <w:sz w:val="16"/>
                <w:szCs w:val="16"/>
                <w:lang w:val="sr-Latn-CS"/>
              </w:rPr>
            </w:pPr>
            <w:r w:rsidRPr="00B932C3">
              <w:rPr>
                <w:i/>
                <w:iCs/>
                <w:sz w:val="16"/>
                <w:szCs w:val="16"/>
                <w:lang w:val="sr-Latn-CS"/>
              </w:rPr>
              <w:t>water</w:t>
            </w:r>
          </w:p>
        </w:tc>
        <w:tc>
          <w:tcPr>
            <w:tcW w:w="1275" w:type="dxa"/>
            <w:tcBorders>
              <w:top w:val="nil"/>
              <w:left w:val="nil"/>
              <w:right w:val="nil"/>
            </w:tcBorders>
            <w:vAlign w:val="center"/>
          </w:tcPr>
          <w:p w:rsidR="00BE2F2E" w:rsidRPr="00B932C3" w:rsidRDefault="00BE2F2E" w:rsidP="008A2DE5">
            <w:pPr>
              <w:jc w:val="center"/>
              <w:rPr>
                <w:sz w:val="16"/>
                <w:szCs w:val="16"/>
                <w:lang w:val="sr-Latn-CS"/>
              </w:rPr>
            </w:pPr>
            <w:r w:rsidRPr="00B932C3">
              <w:rPr>
                <w:sz w:val="16"/>
                <w:szCs w:val="16"/>
                <w:lang w:val="sr-Latn-CS"/>
              </w:rPr>
              <w:t>2009/54/EC</w:t>
            </w:r>
          </w:p>
          <w:p w:rsidR="00BE2F2E" w:rsidRPr="00B932C3" w:rsidRDefault="00BE2F2E" w:rsidP="008A2DE5">
            <w:pPr>
              <w:jc w:val="center"/>
              <w:rPr>
                <w:sz w:val="16"/>
                <w:szCs w:val="16"/>
                <w:lang w:val="sr-Latn-CS"/>
              </w:rPr>
            </w:pPr>
            <w:r w:rsidRPr="00B932C3">
              <w:rPr>
                <w:sz w:val="16"/>
                <w:szCs w:val="16"/>
                <w:lang w:val="sr-Latn-CS"/>
              </w:rPr>
              <w:t>prirodna mineralna voda</w:t>
            </w:r>
          </w:p>
          <w:p w:rsidR="00BE2F2E" w:rsidRPr="00B932C3" w:rsidRDefault="00BE2F2E" w:rsidP="008A2DE5">
            <w:pPr>
              <w:jc w:val="center"/>
              <w:rPr>
                <w:i/>
                <w:iCs/>
                <w:sz w:val="16"/>
                <w:szCs w:val="16"/>
                <w:lang w:val="sr-Latn-CS"/>
              </w:rPr>
            </w:pPr>
            <w:r w:rsidRPr="00B932C3">
              <w:rPr>
                <w:i/>
                <w:iCs/>
                <w:sz w:val="16"/>
                <w:szCs w:val="16"/>
                <w:lang w:val="sr-Latn-CS"/>
              </w:rPr>
              <w:t>natural mineral</w:t>
            </w:r>
          </w:p>
          <w:p w:rsidR="00BE2F2E" w:rsidRPr="00B932C3" w:rsidRDefault="00BE2F2E" w:rsidP="008A2DE5">
            <w:pPr>
              <w:jc w:val="center"/>
              <w:rPr>
                <w:sz w:val="16"/>
                <w:szCs w:val="16"/>
                <w:lang w:val="sr-Latn-CS"/>
              </w:rPr>
            </w:pPr>
            <w:r w:rsidRPr="00B932C3">
              <w:rPr>
                <w:i/>
                <w:iCs/>
                <w:sz w:val="16"/>
                <w:szCs w:val="16"/>
                <w:lang w:val="sr-Latn-CS"/>
              </w:rPr>
              <w:t>water</w:t>
            </w:r>
          </w:p>
        </w:tc>
        <w:tc>
          <w:tcPr>
            <w:tcW w:w="993" w:type="dxa"/>
            <w:tcBorders>
              <w:top w:val="nil"/>
              <w:left w:val="nil"/>
              <w:right w:val="nil"/>
            </w:tcBorders>
            <w:vAlign w:val="center"/>
          </w:tcPr>
          <w:p w:rsidR="00BE2F2E" w:rsidRPr="00B932C3" w:rsidRDefault="00BE2F2E" w:rsidP="008A2DE5">
            <w:pPr>
              <w:jc w:val="center"/>
              <w:rPr>
                <w:sz w:val="16"/>
                <w:szCs w:val="16"/>
                <w:lang w:val="sr-Latn-CS"/>
              </w:rPr>
            </w:pPr>
            <w:r w:rsidRPr="00B932C3">
              <w:rPr>
                <w:sz w:val="16"/>
                <w:szCs w:val="16"/>
                <w:lang w:val="sr-Latn-CS"/>
              </w:rPr>
              <w:t>SZO</w:t>
            </w:r>
          </w:p>
          <w:p w:rsidR="00BE2F2E" w:rsidRPr="00B932C3" w:rsidRDefault="00BE2F2E" w:rsidP="008A2DE5">
            <w:pPr>
              <w:jc w:val="center"/>
              <w:rPr>
                <w:sz w:val="16"/>
                <w:szCs w:val="16"/>
                <w:lang w:val="sr-Latn-CS"/>
              </w:rPr>
            </w:pPr>
            <w:r w:rsidRPr="00B932C3">
              <w:rPr>
                <w:sz w:val="16"/>
                <w:szCs w:val="16"/>
                <w:lang w:val="sr-Latn-CS"/>
              </w:rPr>
              <w:t>voda za piće</w:t>
            </w:r>
          </w:p>
          <w:p w:rsidR="00BE2F2E" w:rsidRPr="00B932C3" w:rsidRDefault="00BE2F2E" w:rsidP="008A2DE5">
            <w:pPr>
              <w:jc w:val="center"/>
              <w:rPr>
                <w:i/>
                <w:iCs/>
                <w:sz w:val="16"/>
                <w:szCs w:val="16"/>
                <w:lang w:val="sr-Latn-CS"/>
              </w:rPr>
            </w:pPr>
            <w:r w:rsidRPr="00B932C3">
              <w:rPr>
                <w:i/>
                <w:iCs/>
                <w:sz w:val="16"/>
                <w:szCs w:val="16"/>
                <w:lang w:val="sr-Latn-CS"/>
              </w:rPr>
              <w:t>WHO</w:t>
            </w:r>
          </w:p>
          <w:p w:rsidR="00BE2F2E" w:rsidRPr="00B932C3" w:rsidRDefault="00BE2F2E" w:rsidP="008A2DE5">
            <w:pPr>
              <w:jc w:val="center"/>
              <w:rPr>
                <w:i/>
                <w:iCs/>
                <w:sz w:val="16"/>
                <w:szCs w:val="16"/>
                <w:lang w:val="sr-Latn-CS"/>
              </w:rPr>
            </w:pPr>
            <w:r w:rsidRPr="00B932C3">
              <w:rPr>
                <w:i/>
                <w:iCs/>
                <w:sz w:val="16"/>
                <w:szCs w:val="16"/>
                <w:lang w:val="sr-Latn-CS"/>
              </w:rPr>
              <w:t>drinking</w:t>
            </w:r>
          </w:p>
          <w:p w:rsidR="00BE2F2E" w:rsidRPr="00B932C3" w:rsidRDefault="00BE2F2E" w:rsidP="008A2DE5">
            <w:pPr>
              <w:jc w:val="center"/>
              <w:rPr>
                <w:sz w:val="16"/>
                <w:szCs w:val="16"/>
                <w:lang w:val="sr-Latn-CS"/>
              </w:rPr>
            </w:pPr>
            <w:r w:rsidRPr="00B932C3">
              <w:rPr>
                <w:i/>
                <w:iCs/>
                <w:sz w:val="16"/>
                <w:szCs w:val="16"/>
                <w:lang w:val="sr-Latn-CS"/>
              </w:rPr>
              <w:t>water</w:t>
            </w:r>
          </w:p>
        </w:tc>
      </w:tr>
      <w:tr w:rsidR="00BE2F2E" w:rsidRPr="00B932C3">
        <w:trPr>
          <w:trHeight w:val="170"/>
          <w:jc w:val="center"/>
        </w:trPr>
        <w:tc>
          <w:tcPr>
            <w:tcW w:w="1348" w:type="dxa"/>
            <w:tcBorders>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150</w:t>
            </w:r>
          </w:p>
        </w:tc>
        <w:tc>
          <w:tcPr>
            <w:tcW w:w="1276" w:type="dxa"/>
            <w:tcBorders>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5" w:type="dxa"/>
            <w:tcBorders>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&lt;150</w:t>
            </w:r>
          </w:p>
        </w:tc>
        <w:tc>
          <w:tcPr>
            <w:tcW w:w="993" w:type="dxa"/>
            <w:tcBorders>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50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&lt;50</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50</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&lt;200</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200</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300</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200</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50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50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500</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400</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10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10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10</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10</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3.000</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2.000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2.000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1000</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2.000</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70</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3</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5</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3</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50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50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50</w:t>
            </w: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50</w:t>
            </w: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202,73</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p>
        </w:tc>
      </w:tr>
      <w:tr w:rsidR="00BE2F2E" w:rsidRPr="00B932C3">
        <w:trPr>
          <w:trHeight w:val="170"/>
          <w:jc w:val="center"/>
        </w:trPr>
        <w:tc>
          <w:tcPr>
            <w:tcW w:w="1348"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600</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top w:val="nil"/>
              <w:left w:val="nil"/>
              <w:bottom w:val="nil"/>
              <w:right w:val="nil"/>
            </w:tcBorders>
            <w:vAlign w:val="center"/>
          </w:tcPr>
          <w:p w:rsidR="00BE2F2E" w:rsidRPr="00B932C3" w:rsidRDefault="00BE2F2E" w:rsidP="0076503E">
            <w:pPr>
              <w:jc w:val="center"/>
              <w:rPr>
                <w:sz w:val="16"/>
                <w:szCs w:val="16"/>
                <w:lang w:val="sr-Latn-CS"/>
              </w:rPr>
            </w:pPr>
          </w:p>
        </w:tc>
        <w:tc>
          <w:tcPr>
            <w:tcW w:w="1275"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&lt;600</w:t>
            </w:r>
          </w:p>
        </w:tc>
        <w:tc>
          <w:tcPr>
            <w:tcW w:w="993" w:type="dxa"/>
            <w:tcBorders>
              <w:top w:val="nil"/>
              <w:left w:val="nil"/>
              <w:bottom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r>
      <w:tr w:rsidR="00BE2F2E" w:rsidRPr="00B932C3">
        <w:trPr>
          <w:trHeight w:val="170"/>
          <w:jc w:val="center"/>
        </w:trPr>
        <w:tc>
          <w:tcPr>
            <w:tcW w:w="1348" w:type="dxa"/>
            <w:tcBorders>
              <w:top w:val="nil"/>
              <w:left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6" w:type="dxa"/>
            <w:tcBorders>
              <w:top w:val="nil"/>
              <w:left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≥6,50</w:t>
            </w:r>
            <w:r w:rsidRPr="00B932C3">
              <w:rPr>
                <w:rFonts w:ascii="Cambria Math" w:hAnsi="Cambria Math" w:cs="Cambria Math"/>
                <w:sz w:val="16"/>
                <w:szCs w:val="16"/>
              </w:rPr>
              <w:t>‒</w:t>
            </w:r>
            <w:r w:rsidRPr="00B932C3">
              <w:rPr>
                <w:sz w:val="16"/>
                <w:szCs w:val="16"/>
                <w:lang w:val="sr-Latn-CS"/>
              </w:rPr>
              <w:t>≤9,50</w:t>
            </w:r>
          </w:p>
        </w:tc>
        <w:tc>
          <w:tcPr>
            <w:tcW w:w="1276" w:type="dxa"/>
            <w:tcBorders>
              <w:top w:val="nil"/>
              <w:left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1275" w:type="dxa"/>
            <w:tcBorders>
              <w:top w:val="nil"/>
              <w:left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c>
          <w:tcPr>
            <w:tcW w:w="993" w:type="dxa"/>
            <w:tcBorders>
              <w:top w:val="nil"/>
              <w:left w:val="nil"/>
              <w:right w:val="nil"/>
            </w:tcBorders>
            <w:vAlign w:val="center"/>
          </w:tcPr>
          <w:p w:rsidR="00BE2F2E" w:rsidRPr="00B932C3" w:rsidRDefault="00BE2F2E" w:rsidP="0076503E">
            <w:pPr>
              <w:jc w:val="center"/>
              <w:rPr>
                <w:sz w:val="16"/>
                <w:szCs w:val="16"/>
                <w:lang w:val="sr-Latn-CS"/>
              </w:rPr>
            </w:pPr>
            <w:r w:rsidRPr="00B932C3">
              <w:rPr>
                <w:sz w:val="16"/>
                <w:szCs w:val="16"/>
                <w:lang w:val="sr-Latn-CS"/>
              </w:rPr>
              <w:t>-</w:t>
            </w:r>
          </w:p>
        </w:tc>
      </w:tr>
    </w:tbl>
    <w:p w:rsidR="00BE2F2E" w:rsidRPr="006F0134" w:rsidRDefault="00BE2F2E" w:rsidP="005E2BED">
      <w:pPr>
        <w:jc w:val="both"/>
        <w:rPr>
          <w:sz w:val="22"/>
          <w:szCs w:val="22"/>
          <w:lang w:val="sr-Cyrl-CS"/>
        </w:rPr>
      </w:pPr>
    </w:p>
    <w:p w:rsidR="00BE2F2E" w:rsidRDefault="00BE2F2E" w:rsidP="0076503E">
      <w:pPr>
        <w:ind w:firstLine="426"/>
        <w:jc w:val="both"/>
        <w:rPr>
          <w:sz w:val="22"/>
          <w:szCs w:val="22"/>
          <w:lang w:val="sr-Latn-CS"/>
        </w:rPr>
      </w:pPr>
      <w:r w:rsidRPr="00BB6974">
        <w:rPr>
          <w:sz w:val="22"/>
          <w:szCs w:val="22"/>
          <w:lang w:val="sr-Latn-CS"/>
        </w:rPr>
        <w:t xml:space="preserve">Na osnovu podataka iz tabele </w:t>
      </w:r>
      <w:r>
        <w:rPr>
          <w:sz w:val="22"/>
          <w:szCs w:val="22"/>
          <w:lang w:val="sr-Latn-CS"/>
        </w:rPr>
        <w:t>4</w:t>
      </w:r>
      <w:r w:rsidRPr="00BB6974">
        <w:rPr>
          <w:sz w:val="22"/>
          <w:szCs w:val="22"/>
          <w:lang w:val="sr-Latn-CS"/>
        </w:rPr>
        <w:t>, može se zaključiti sledeće:</w:t>
      </w:r>
      <w:r>
        <w:rPr>
          <w:sz w:val="22"/>
          <w:szCs w:val="22"/>
          <w:lang w:val="sr-Latn-CS"/>
        </w:rPr>
        <w:t xml:space="preserve"> p</w:t>
      </w:r>
      <w:r w:rsidRPr="00BB6974">
        <w:rPr>
          <w:sz w:val="22"/>
          <w:szCs w:val="22"/>
          <w:lang w:val="sr-Latn-CS"/>
        </w:rPr>
        <w:t xml:space="preserve">roračunata pH vrednost za piće veoma je visoka (9,07) i prevazilazi vrednosti predviđene našim  pravilnicima </w:t>
      </w:r>
      <w:r w:rsidRPr="0006002F">
        <w:rPr>
          <w:sz w:val="22"/>
          <w:szCs w:val="22"/>
          <w:lang w:val="sr-Latn-CS"/>
        </w:rPr>
        <w:t>(Sl.list SRJ br. 42/98 i 44/99; Sl.list SCG br. 53/05)</w:t>
      </w:r>
      <w:r w:rsidRPr="00BB6974">
        <w:rPr>
          <w:sz w:val="22"/>
          <w:szCs w:val="22"/>
          <w:lang w:val="sr-Latn-CS"/>
        </w:rPr>
        <w:t>. Podaci o sadržaju kalcijuma u vodi za piće ukazuju da se radi o alkalnoj vodi (što je vidljivo i iz pH vrednosti). Sadržaj Ca</w:t>
      </w:r>
      <w:r w:rsidRPr="00BB6974">
        <w:rPr>
          <w:sz w:val="22"/>
          <w:szCs w:val="22"/>
          <w:vertAlign w:val="superscript"/>
          <w:lang w:val="sr-Latn-CS"/>
        </w:rPr>
        <w:t>2+</w:t>
      </w:r>
      <w:r w:rsidRPr="00BB6974">
        <w:rPr>
          <w:sz w:val="22"/>
          <w:szCs w:val="22"/>
          <w:lang w:val="sr-Latn-CS"/>
        </w:rPr>
        <w:t>: 245,86 mg/dm</w:t>
      </w:r>
      <w:r w:rsidRPr="00BB6974">
        <w:rPr>
          <w:sz w:val="22"/>
          <w:szCs w:val="22"/>
          <w:vertAlign w:val="superscript"/>
          <w:lang w:val="sr-Latn-CS"/>
        </w:rPr>
        <w:t>3</w:t>
      </w:r>
      <w:r w:rsidRPr="00BB6974">
        <w:rPr>
          <w:sz w:val="22"/>
          <w:szCs w:val="22"/>
          <w:lang w:val="sr-Latn-CS"/>
        </w:rPr>
        <w:t xml:space="preserve"> govori da se radi o „kalcijumovoj vodi” (za vrednosti Ca</w:t>
      </w:r>
      <w:r w:rsidRPr="00BB6974">
        <w:rPr>
          <w:sz w:val="22"/>
          <w:szCs w:val="22"/>
          <w:vertAlign w:val="superscript"/>
          <w:lang w:val="sr-Latn-CS"/>
        </w:rPr>
        <w:t>2+</w:t>
      </w:r>
      <w:r>
        <w:rPr>
          <w:sz w:val="22"/>
          <w:szCs w:val="22"/>
          <w:lang w:val="sr-Latn-CS"/>
        </w:rPr>
        <w:t xml:space="preserve"> </w:t>
      </w:r>
      <w:r w:rsidRPr="00BB6974">
        <w:rPr>
          <w:sz w:val="22"/>
          <w:szCs w:val="22"/>
          <w:lang w:val="sr-Latn-CS"/>
        </w:rPr>
        <w:t>&gt;150 mg/dm</w:t>
      </w:r>
      <w:r w:rsidRPr="00BB6974">
        <w:rPr>
          <w:sz w:val="22"/>
          <w:szCs w:val="22"/>
          <w:vertAlign w:val="superscript"/>
          <w:lang w:val="sr-Latn-CS"/>
        </w:rPr>
        <w:t>3</w:t>
      </w:r>
      <w:r w:rsidRPr="00BB6974">
        <w:rPr>
          <w:sz w:val="22"/>
          <w:szCs w:val="22"/>
          <w:lang w:val="sr-Latn-CS"/>
        </w:rPr>
        <w:t>), dok sadržaj HCO</w:t>
      </w:r>
      <w:r w:rsidRPr="00BB6974">
        <w:rPr>
          <w:sz w:val="22"/>
          <w:szCs w:val="22"/>
          <w:vertAlign w:val="subscript"/>
          <w:lang w:val="sr-Latn-CS"/>
        </w:rPr>
        <w:t>3</w:t>
      </w:r>
      <w:r w:rsidRPr="00BB6974">
        <w:rPr>
          <w:sz w:val="22"/>
          <w:szCs w:val="22"/>
          <w:vertAlign w:val="superscript"/>
          <w:lang w:val="sr-Latn-CS"/>
        </w:rPr>
        <w:t>–</w:t>
      </w:r>
      <w:r w:rsidRPr="00BB6974">
        <w:rPr>
          <w:sz w:val="22"/>
          <w:szCs w:val="22"/>
          <w:lang w:val="sr-Latn-CS"/>
        </w:rPr>
        <w:t>: 994,24 mg/dm</w:t>
      </w:r>
      <w:r w:rsidRPr="00BB6974">
        <w:rPr>
          <w:sz w:val="22"/>
          <w:szCs w:val="22"/>
          <w:vertAlign w:val="superscript"/>
          <w:lang w:val="sr-Latn-CS"/>
        </w:rPr>
        <w:t>3</w:t>
      </w:r>
      <w:r w:rsidRPr="00BB6974">
        <w:rPr>
          <w:sz w:val="22"/>
          <w:szCs w:val="22"/>
          <w:lang w:val="sr-Latn-CS"/>
        </w:rPr>
        <w:t xml:space="preserve"> govori da se radi o „bikarbonatnoj vodi” (za vrednosti HCO</w:t>
      </w:r>
      <w:r w:rsidRPr="00BB6974">
        <w:rPr>
          <w:sz w:val="22"/>
          <w:szCs w:val="22"/>
          <w:vertAlign w:val="subscript"/>
          <w:lang w:val="sr-Latn-CS"/>
        </w:rPr>
        <w:t>3</w:t>
      </w:r>
      <w:r w:rsidRPr="00BB6974">
        <w:rPr>
          <w:sz w:val="22"/>
          <w:szCs w:val="22"/>
          <w:vertAlign w:val="superscript"/>
          <w:lang w:val="sr-Latn-CS"/>
        </w:rPr>
        <w:t>–</w:t>
      </w:r>
      <w:r>
        <w:rPr>
          <w:sz w:val="22"/>
          <w:szCs w:val="22"/>
          <w:lang w:val="sr-Latn-CS"/>
        </w:rPr>
        <w:t xml:space="preserve"> </w:t>
      </w:r>
      <w:r w:rsidRPr="00BB6974">
        <w:rPr>
          <w:sz w:val="22"/>
          <w:szCs w:val="22"/>
          <w:lang w:val="sr-Latn-CS"/>
        </w:rPr>
        <w:t>&gt;600 mg/dm</w:t>
      </w:r>
      <w:r w:rsidRPr="00BB6974">
        <w:rPr>
          <w:sz w:val="22"/>
          <w:szCs w:val="22"/>
          <w:vertAlign w:val="superscript"/>
          <w:lang w:val="sr-Latn-CS"/>
        </w:rPr>
        <w:t>3</w:t>
      </w:r>
      <w:r w:rsidRPr="00BB6974">
        <w:rPr>
          <w:sz w:val="22"/>
          <w:szCs w:val="22"/>
          <w:lang w:val="sr-Latn-CS"/>
        </w:rPr>
        <w:t xml:space="preserve">) </w:t>
      </w:r>
      <w:r>
        <w:rPr>
          <w:sz w:val="22"/>
          <w:szCs w:val="22"/>
          <w:lang w:val="sr-Latn-CS"/>
        </w:rPr>
        <w:t>(Petrović et al., 2012)</w:t>
      </w:r>
      <w:r w:rsidRPr="00BB6974">
        <w:rPr>
          <w:sz w:val="22"/>
          <w:szCs w:val="22"/>
          <w:lang w:val="sr-Latn-CS"/>
        </w:rPr>
        <w:t>.</w:t>
      </w:r>
    </w:p>
    <w:p w:rsidR="00BE2F2E" w:rsidRPr="009B394D" w:rsidRDefault="00BE2F2E" w:rsidP="0076503E">
      <w:pPr>
        <w:pStyle w:val="BodyTextIndent2"/>
        <w:ind w:firstLine="425"/>
        <w:rPr>
          <w:lang w:val="sr-Latn-CS"/>
        </w:rPr>
      </w:pPr>
      <w:r w:rsidRPr="009B394D">
        <w:rPr>
          <w:lang w:val="sr-Latn-CS"/>
        </w:rPr>
        <w:t>Rezultati dobijeni preračunavanjem masene koncentracije u vodi za piće na osnovu sastava u kamencu pokazali su da ispitivana vod</w:t>
      </w:r>
      <w:r w:rsidRPr="009C5C80">
        <w:rPr>
          <w:lang w:val="sr-Latn-CS"/>
        </w:rPr>
        <w:t>e</w:t>
      </w:r>
      <w:r w:rsidRPr="009B394D">
        <w:rPr>
          <w:lang w:val="sr-Latn-CS"/>
        </w:rPr>
        <w:t xml:space="preserve"> pripada kategoriji vode: vrlo</w:t>
      </w:r>
      <w:r w:rsidRPr="009B394D">
        <w:rPr>
          <w:i/>
          <w:iCs/>
          <w:lang w:val="sr-Latn-CS"/>
        </w:rPr>
        <w:t xml:space="preserve"> tvrde</w:t>
      </w:r>
      <w:r w:rsidRPr="009B394D">
        <w:rPr>
          <w:lang w:val="sr-Latn-CS"/>
        </w:rPr>
        <w:t xml:space="preserve"> (u vodi se nalazi 613,92 mg/dm</w:t>
      </w:r>
      <w:r w:rsidRPr="009B394D">
        <w:rPr>
          <w:vertAlign w:val="superscript"/>
          <w:lang w:val="sr-Latn-CS"/>
        </w:rPr>
        <w:t>3</w:t>
      </w:r>
      <w:r w:rsidRPr="009B394D">
        <w:rPr>
          <w:lang w:val="sr-Latn-CS"/>
        </w:rPr>
        <w:t xml:space="preserve"> CaCO</w:t>
      </w:r>
      <w:r w:rsidRPr="009B394D">
        <w:rPr>
          <w:vertAlign w:val="subscript"/>
          <w:lang w:val="sr-Latn-CS"/>
        </w:rPr>
        <w:t>3</w:t>
      </w:r>
      <w:r w:rsidRPr="009B394D">
        <w:rPr>
          <w:lang w:val="sr-Latn-CS"/>
        </w:rPr>
        <w:t>).</w:t>
      </w:r>
      <w:r>
        <w:rPr>
          <w:lang w:val="sr-Latn-CS"/>
        </w:rPr>
        <w:t xml:space="preserve"> </w:t>
      </w:r>
      <w:r w:rsidRPr="009B394D">
        <w:rPr>
          <w:lang w:val="sr-Latn-CS"/>
        </w:rPr>
        <w:t xml:space="preserve">Takođe, na osnovu tvrdoće </w:t>
      </w:r>
      <w:r w:rsidRPr="009B394D">
        <w:rPr>
          <w:lang w:val="sr-Latn-CS"/>
        </w:rPr>
        <w:lastRenderedPageBreak/>
        <w:t>vode (stara oznaka tvrdoće vode u nemačkim stepenima tvrdoće, °D)</w:t>
      </w:r>
      <w:r>
        <w:rPr>
          <w:lang w:val="sr-Latn-CS"/>
        </w:rPr>
        <w:t xml:space="preserve"> od 34,4</w:t>
      </w:r>
      <w:r w:rsidRPr="009B394D">
        <w:rPr>
          <w:lang w:val="sr-Latn-CS"/>
        </w:rPr>
        <w:t xml:space="preserve">, voda pripada kategoriji vrlo tvrde vode (&gt;30°D) </w:t>
      </w:r>
      <w:r>
        <w:rPr>
          <w:lang w:val="sr-Latn-CS"/>
        </w:rPr>
        <w:t>(Rajković</w:t>
      </w:r>
      <w:r w:rsidRPr="0006002F">
        <w:rPr>
          <w:lang w:val="sr-Latn-CS"/>
        </w:rPr>
        <w:t>, 20</w:t>
      </w:r>
      <w:r>
        <w:rPr>
          <w:lang w:val="sr-Latn-CS"/>
        </w:rPr>
        <w:t>07</w:t>
      </w:r>
      <w:r w:rsidRPr="0006002F">
        <w:rPr>
          <w:lang w:val="sr-Latn-CS"/>
        </w:rPr>
        <w:t>)</w:t>
      </w:r>
      <w:r w:rsidRPr="009B394D">
        <w:rPr>
          <w:lang w:val="sr-Latn-CS"/>
        </w:rPr>
        <w:t>.</w:t>
      </w:r>
    </w:p>
    <w:p w:rsidR="00BE2F2E" w:rsidRPr="00D24143" w:rsidRDefault="00BE2F2E" w:rsidP="0076503E">
      <w:pPr>
        <w:ind w:firstLine="426"/>
        <w:jc w:val="both"/>
        <w:rPr>
          <w:spacing w:val="-2"/>
          <w:sz w:val="22"/>
          <w:szCs w:val="22"/>
          <w:lang w:val="sl-SI"/>
        </w:rPr>
      </w:pPr>
      <w:r w:rsidRPr="00D24143">
        <w:rPr>
          <w:spacing w:val="-2"/>
          <w:sz w:val="22"/>
          <w:szCs w:val="22"/>
          <w:lang w:val="sl-SI"/>
        </w:rPr>
        <w:t>Podaci o mineralizaciji, prikazani u tabeli 5, govore da se radi o malomineralnoj vodi, odnosno o vodi do 1 g/dm</w:t>
      </w:r>
      <w:r w:rsidRPr="00D24143">
        <w:rPr>
          <w:spacing w:val="-2"/>
          <w:sz w:val="22"/>
          <w:szCs w:val="22"/>
          <w:vertAlign w:val="superscript"/>
          <w:lang w:val="sl-SI"/>
        </w:rPr>
        <w:t>3</w:t>
      </w:r>
      <w:r w:rsidRPr="00D24143">
        <w:rPr>
          <w:spacing w:val="-2"/>
          <w:sz w:val="22"/>
          <w:szCs w:val="22"/>
          <w:lang w:val="sl-SI"/>
        </w:rPr>
        <w:t xml:space="preserve">, koje se zahvataju pretežno iz karbonatnih stena – </w:t>
      </w:r>
      <w:r w:rsidRPr="00D24143">
        <w:rPr>
          <w:i/>
          <w:iCs/>
          <w:spacing w:val="-2"/>
          <w:sz w:val="22"/>
          <w:szCs w:val="22"/>
          <w:lang w:val="sl-SI"/>
        </w:rPr>
        <w:t>krečnjaka</w:t>
      </w:r>
      <w:r w:rsidRPr="00D24143">
        <w:rPr>
          <w:spacing w:val="-2"/>
          <w:sz w:val="22"/>
          <w:szCs w:val="22"/>
          <w:lang w:val="sl-SI"/>
        </w:rPr>
        <w:t xml:space="preserve"> (CaCO</w:t>
      </w:r>
      <w:r w:rsidRPr="00D24143">
        <w:rPr>
          <w:spacing w:val="-2"/>
          <w:sz w:val="22"/>
          <w:szCs w:val="22"/>
          <w:vertAlign w:val="subscript"/>
          <w:lang w:val="sl-SI"/>
        </w:rPr>
        <w:t>3</w:t>
      </w:r>
      <w:r w:rsidRPr="00D24143">
        <w:rPr>
          <w:spacing w:val="-2"/>
          <w:sz w:val="22"/>
          <w:szCs w:val="22"/>
          <w:lang w:val="sl-SI"/>
        </w:rPr>
        <w:t xml:space="preserve">) i </w:t>
      </w:r>
      <w:r w:rsidRPr="00D24143">
        <w:rPr>
          <w:i/>
          <w:iCs/>
          <w:spacing w:val="-2"/>
          <w:sz w:val="22"/>
          <w:szCs w:val="22"/>
          <w:lang w:val="sl-SI"/>
        </w:rPr>
        <w:t>dolomita</w:t>
      </w:r>
      <w:r w:rsidRPr="00D24143">
        <w:rPr>
          <w:spacing w:val="-2"/>
          <w:sz w:val="22"/>
          <w:szCs w:val="22"/>
          <w:lang w:val="sl-SI"/>
        </w:rPr>
        <w:t xml:space="preserve"> (MgCO</w:t>
      </w:r>
      <w:r w:rsidRPr="00D24143">
        <w:rPr>
          <w:spacing w:val="-2"/>
          <w:sz w:val="22"/>
          <w:szCs w:val="22"/>
          <w:vertAlign w:val="subscript"/>
          <w:lang w:val="sl-SI"/>
        </w:rPr>
        <w:t>3</w:t>
      </w:r>
      <w:r w:rsidRPr="00D24143">
        <w:rPr>
          <w:spacing w:val="-2"/>
          <w:sz w:val="22"/>
          <w:szCs w:val="22"/>
          <w:lang w:val="sl-SI"/>
        </w:rPr>
        <w:t>·CaCO</w:t>
      </w:r>
      <w:r w:rsidRPr="00D24143">
        <w:rPr>
          <w:spacing w:val="-2"/>
          <w:sz w:val="22"/>
          <w:szCs w:val="22"/>
          <w:vertAlign w:val="subscript"/>
          <w:lang w:val="sl-SI"/>
        </w:rPr>
        <w:t>3</w:t>
      </w:r>
      <w:r w:rsidRPr="00D24143">
        <w:rPr>
          <w:spacing w:val="-2"/>
          <w:sz w:val="22"/>
          <w:szCs w:val="22"/>
          <w:lang w:val="sl-SI"/>
        </w:rPr>
        <w:t>). Podatak o elektroprovodljivosti (tabela 3) govori da je voda za piće iz vodovodne mreže Grada Požarevca bogata rastvorenim materijama (što odgovara podacima iz tabele 5).</w:t>
      </w:r>
    </w:p>
    <w:p w:rsidR="00BE2F2E" w:rsidRPr="00BB6974" w:rsidRDefault="00BE2F2E" w:rsidP="0076503E">
      <w:pPr>
        <w:ind w:firstLine="426"/>
        <w:jc w:val="both"/>
        <w:rPr>
          <w:sz w:val="22"/>
          <w:szCs w:val="22"/>
          <w:lang w:val="sr-Latn-CS"/>
        </w:rPr>
      </w:pPr>
      <w:r w:rsidRPr="00BB6974">
        <w:rPr>
          <w:sz w:val="22"/>
          <w:szCs w:val="22"/>
          <w:lang w:val="sr-Latn-CS"/>
        </w:rPr>
        <w:t>Na osnovu geološke analize sastava zemljišta na teritoriji Grada Požarevca, može se objasnit</w:t>
      </w:r>
      <w:r>
        <w:rPr>
          <w:sz w:val="22"/>
          <w:szCs w:val="22"/>
          <w:lang w:val="sr-Latn-CS"/>
        </w:rPr>
        <w:t>i prisustvo karbonata</w:t>
      </w:r>
      <w:r w:rsidRPr="00BB6974">
        <w:rPr>
          <w:sz w:val="22"/>
          <w:szCs w:val="22"/>
          <w:lang w:val="sr-Latn-CS"/>
        </w:rPr>
        <w:t xml:space="preserve"> </w:t>
      </w:r>
      <w:r>
        <w:rPr>
          <w:sz w:val="22"/>
          <w:szCs w:val="22"/>
          <w:lang w:val="sr-Latn-CS"/>
        </w:rPr>
        <w:t xml:space="preserve">i Si u vodi za piće </w:t>
      </w:r>
      <w:r w:rsidRPr="00BB6974">
        <w:rPr>
          <w:sz w:val="22"/>
          <w:szCs w:val="22"/>
          <w:lang w:val="sr-Latn-CS"/>
        </w:rPr>
        <w:t>iz lesnih sedimenata, u koj</w:t>
      </w:r>
      <w:r>
        <w:rPr>
          <w:sz w:val="22"/>
          <w:szCs w:val="22"/>
          <w:lang w:val="sr-Latn-CS"/>
        </w:rPr>
        <w:t>i</w:t>
      </w:r>
      <w:r w:rsidRPr="00BB6974">
        <w:rPr>
          <w:sz w:val="22"/>
          <w:szCs w:val="22"/>
          <w:lang w:val="sr-Latn-CS"/>
        </w:rPr>
        <w:t>ma ima kalcita. Kvarciti i ro</w:t>
      </w:r>
      <w:r>
        <w:rPr>
          <w:sz w:val="22"/>
          <w:szCs w:val="22"/>
          <w:lang w:val="sr-Latn-CS"/>
        </w:rPr>
        <w:t>ž</w:t>
      </w:r>
      <w:r w:rsidRPr="00BB6974">
        <w:rPr>
          <w:sz w:val="22"/>
          <w:szCs w:val="22"/>
          <w:lang w:val="sr-Latn-CS"/>
        </w:rPr>
        <w:t>naci su SiO</w:t>
      </w:r>
      <w:r w:rsidRPr="00BB6974">
        <w:rPr>
          <w:sz w:val="22"/>
          <w:szCs w:val="22"/>
          <w:vertAlign w:val="subscript"/>
          <w:lang w:val="sr-Latn-CS"/>
        </w:rPr>
        <w:t>2</w:t>
      </w:r>
      <w:r w:rsidRPr="00BB6974">
        <w:rPr>
          <w:sz w:val="22"/>
          <w:szCs w:val="22"/>
          <w:lang w:val="sr-Latn-CS"/>
        </w:rPr>
        <w:t xml:space="preserve"> po hemijskom sastavu</w:t>
      </w:r>
      <w:r>
        <w:rPr>
          <w:sz w:val="22"/>
          <w:szCs w:val="22"/>
          <w:lang w:val="sr-Latn-CS"/>
        </w:rPr>
        <w:t>, što objašnjava prisustvo Si u vodi za piće</w:t>
      </w:r>
      <w:r w:rsidRPr="00BB6974">
        <w:rPr>
          <w:sz w:val="22"/>
          <w:szCs w:val="22"/>
          <w:lang w:val="sr-Latn-CS"/>
        </w:rPr>
        <w:t>.</w:t>
      </w:r>
    </w:p>
    <w:p w:rsidR="00BE2F2E" w:rsidRPr="0076503E" w:rsidRDefault="00BE2F2E" w:rsidP="0076503E">
      <w:pPr>
        <w:pStyle w:val="BodyText"/>
        <w:spacing w:after="0"/>
        <w:ind w:firstLine="426"/>
        <w:jc w:val="both"/>
        <w:rPr>
          <w:sz w:val="22"/>
          <w:szCs w:val="22"/>
          <w:lang w:val="sl-SI"/>
        </w:rPr>
      </w:pPr>
    </w:p>
    <w:p w:rsidR="00BE2F2E" w:rsidRPr="0076503E" w:rsidRDefault="00BE2F2E" w:rsidP="0076503E">
      <w:pPr>
        <w:pStyle w:val="BodyText"/>
        <w:spacing w:after="0"/>
        <w:ind w:firstLine="426"/>
        <w:jc w:val="both"/>
        <w:rPr>
          <w:sz w:val="22"/>
          <w:szCs w:val="22"/>
          <w:lang w:val="sl-SI"/>
        </w:rPr>
      </w:pPr>
      <w:r w:rsidRPr="0076503E">
        <w:rPr>
          <w:sz w:val="22"/>
          <w:szCs w:val="22"/>
          <w:lang w:val="sl-SI"/>
        </w:rPr>
        <w:t>Unos elemenata u čovekov organizam konzumiranjem vode za piće</w:t>
      </w:r>
    </w:p>
    <w:p w:rsidR="00BE2F2E" w:rsidRPr="0076503E" w:rsidRDefault="00BE2F2E" w:rsidP="0076503E">
      <w:pPr>
        <w:ind w:firstLine="426"/>
        <w:jc w:val="both"/>
        <w:rPr>
          <w:sz w:val="22"/>
          <w:szCs w:val="22"/>
          <w:lang w:val="sr-Latn-CS"/>
        </w:rPr>
      </w:pPr>
    </w:p>
    <w:p w:rsidR="00BE2F2E" w:rsidRPr="0076503E" w:rsidRDefault="00BE2F2E" w:rsidP="0076503E">
      <w:pPr>
        <w:ind w:firstLine="426"/>
        <w:jc w:val="both"/>
        <w:rPr>
          <w:spacing w:val="-2"/>
          <w:sz w:val="22"/>
          <w:szCs w:val="22"/>
          <w:lang w:val="sr-Cyrl-CS"/>
        </w:rPr>
      </w:pPr>
      <w:r w:rsidRPr="0076503E">
        <w:rPr>
          <w:spacing w:val="-2"/>
          <w:sz w:val="22"/>
          <w:szCs w:val="22"/>
          <w:lang w:val="sr-Latn-CS"/>
        </w:rPr>
        <w:t>Na osnovu podataka iz tabele 5, može se videti da je sadržaj pojedinih elemenata viši u odnosu na MDK vrednost koja je predviđena pravilnicima (Sl.list SRJ br. 42/98 i 44/99; Sl.list SCG br. 53/05), pa je zbog toga izračunavan odnos sadržaj elemenata u vodi za piće/MDK vrednost, što je grafički prikazano na slici 2.</w:t>
      </w:r>
    </w:p>
    <w:p w:rsidR="00BE2F2E" w:rsidRPr="0076503E" w:rsidRDefault="00BE2F2E" w:rsidP="005E2BED">
      <w:pPr>
        <w:jc w:val="both"/>
        <w:rPr>
          <w:sz w:val="16"/>
          <w:szCs w:val="16"/>
          <w:lang w:val="sr-Cyrl-CS"/>
        </w:rPr>
      </w:pPr>
    </w:p>
    <w:p w:rsidR="00BE2F2E" w:rsidRPr="006F0134" w:rsidRDefault="00F65EAE" w:rsidP="0076503E">
      <w:pPr>
        <w:jc w:val="center"/>
        <w:rPr>
          <w:sz w:val="22"/>
          <w:szCs w:val="22"/>
          <w:lang w:val="sr-Cyrl-CS"/>
        </w:rPr>
      </w:pPr>
      <w:r>
        <w:rPr>
          <w:noProof/>
        </w:rPr>
        <w:drawing>
          <wp:inline distT="0" distB="0" distL="0" distR="0">
            <wp:extent cx="4008755" cy="251650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008755" cy="2516505"/>
                    </a:xfrm>
                    <a:prstGeom prst="rect">
                      <a:avLst/>
                    </a:prstGeom>
                    <a:noFill/>
                    <a:ln w="9525">
                      <a:noFill/>
                      <a:miter lim="800000"/>
                      <a:headEnd/>
                      <a:tailEnd/>
                    </a:ln>
                  </pic:spPr>
                </pic:pic>
              </a:graphicData>
            </a:graphic>
          </wp:inline>
        </w:drawing>
      </w:r>
    </w:p>
    <w:p w:rsidR="00BE2F2E" w:rsidRPr="0076503E" w:rsidRDefault="00BE2F2E" w:rsidP="00A5338B">
      <w:pPr>
        <w:rPr>
          <w:sz w:val="16"/>
          <w:szCs w:val="16"/>
          <w:lang w:val="sr-Latn-CS"/>
        </w:rPr>
      </w:pPr>
    </w:p>
    <w:p w:rsidR="00BE2F2E" w:rsidRDefault="00BE2F2E" w:rsidP="00957BC0">
      <w:pPr>
        <w:jc w:val="center"/>
        <w:rPr>
          <w:sz w:val="22"/>
          <w:szCs w:val="22"/>
          <w:lang w:val="sr-Latn-CS"/>
        </w:rPr>
      </w:pPr>
      <w:r w:rsidRPr="00A46117">
        <w:rPr>
          <w:sz w:val="22"/>
          <w:szCs w:val="22"/>
          <w:lang w:val="sr-Latn-CS"/>
        </w:rPr>
        <w:t>Slika 2. Sadržaj makro- i</w:t>
      </w:r>
      <w:r>
        <w:rPr>
          <w:sz w:val="22"/>
          <w:szCs w:val="22"/>
          <w:lang w:val="sr-Latn-CS"/>
        </w:rPr>
        <w:t xml:space="preserve"> mikroelemenata koji se nalaze </w:t>
      </w:r>
      <w:r w:rsidRPr="00A46117">
        <w:rPr>
          <w:sz w:val="22"/>
          <w:szCs w:val="22"/>
          <w:lang w:val="sr-Latn-CS"/>
        </w:rPr>
        <w:t xml:space="preserve">u vodi za piće u vodovodnoj mreži Grada Požarevca u poređenju sa dozvoljenim </w:t>
      </w:r>
    </w:p>
    <w:p w:rsidR="00BE2F2E" w:rsidRPr="00A46117" w:rsidRDefault="00BE2F2E" w:rsidP="00957BC0">
      <w:pPr>
        <w:jc w:val="center"/>
        <w:rPr>
          <w:sz w:val="22"/>
          <w:szCs w:val="22"/>
          <w:lang w:val="sr-Latn-CS"/>
        </w:rPr>
      </w:pPr>
      <w:r w:rsidRPr="00A46117">
        <w:rPr>
          <w:sz w:val="22"/>
          <w:szCs w:val="22"/>
          <w:lang w:val="sr-Latn-CS"/>
        </w:rPr>
        <w:t>koncentracijama, saglasno Pravilnicima</w:t>
      </w:r>
      <w:r>
        <w:rPr>
          <w:sz w:val="22"/>
          <w:szCs w:val="22"/>
          <w:lang w:val="sr-Latn-CS"/>
        </w:rPr>
        <w:t>.</w:t>
      </w:r>
    </w:p>
    <w:p w:rsidR="00BE2F2E" w:rsidRDefault="00BE2F2E" w:rsidP="00957BC0">
      <w:pPr>
        <w:jc w:val="center"/>
        <w:rPr>
          <w:sz w:val="22"/>
          <w:szCs w:val="22"/>
          <w:lang w:val="sr-Latn-CS"/>
        </w:rPr>
      </w:pPr>
      <w:r w:rsidRPr="0046200E">
        <w:rPr>
          <w:i/>
          <w:iCs/>
          <w:sz w:val="22"/>
          <w:szCs w:val="22"/>
        </w:rPr>
        <w:t xml:space="preserve">Figure 2. </w:t>
      </w:r>
      <w:r>
        <w:rPr>
          <w:i/>
          <w:iCs/>
          <w:sz w:val="22"/>
          <w:szCs w:val="22"/>
        </w:rPr>
        <w:t>The c</w:t>
      </w:r>
      <w:r w:rsidRPr="0046200E">
        <w:rPr>
          <w:i/>
          <w:iCs/>
          <w:sz w:val="22"/>
          <w:szCs w:val="22"/>
        </w:rPr>
        <w:t>ontent</w:t>
      </w:r>
      <w:r>
        <w:rPr>
          <w:i/>
          <w:iCs/>
          <w:sz w:val="22"/>
          <w:szCs w:val="22"/>
        </w:rPr>
        <w:t>s</w:t>
      </w:r>
      <w:r w:rsidRPr="0046200E">
        <w:rPr>
          <w:i/>
          <w:iCs/>
          <w:sz w:val="22"/>
          <w:szCs w:val="22"/>
        </w:rPr>
        <w:t xml:space="preserve"> of macro</w:t>
      </w:r>
      <w:r>
        <w:rPr>
          <w:i/>
          <w:iCs/>
          <w:sz w:val="22"/>
          <w:szCs w:val="22"/>
        </w:rPr>
        <w:t>-</w:t>
      </w:r>
      <w:r w:rsidRPr="0046200E">
        <w:rPr>
          <w:i/>
          <w:iCs/>
          <w:sz w:val="22"/>
          <w:szCs w:val="22"/>
        </w:rPr>
        <w:t xml:space="preserve"> and microelements in drinking water from the </w:t>
      </w:r>
      <w:r>
        <w:rPr>
          <w:i/>
          <w:iCs/>
          <w:sz w:val="22"/>
          <w:szCs w:val="22"/>
        </w:rPr>
        <w:t xml:space="preserve">Požarevac city </w:t>
      </w:r>
      <w:r w:rsidRPr="0046200E">
        <w:rPr>
          <w:i/>
          <w:iCs/>
          <w:sz w:val="22"/>
          <w:szCs w:val="22"/>
        </w:rPr>
        <w:t xml:space="preserve">public water supply, compared to the allowed concentrations, </w:t>
      </w:r>
      <w:r>
        <w:rPr>
          <w:i/>
          <w:iCs/>
          <w:sz w:val="22"/>
          <w:szCs w:val="22"/>
        </w:rPr>
        <w:t>according to the Rulebooks.</w:t>
      </w:r>
    </w:p>
    <w:p w:rsidR="00BE2F2E" w:rsidRDefault="00BE2F2E" w:rsidP="00D24143">
      <w:pPr>
        <w:ind w:firstLine="426"/>
        <w:jc w:val="both"/>
        <w:rPr>
          <w:sz w:val="22"/>
          <w:szCs w:val="22"/>
          <w:lang w:val="sr-Latn-CS"/>
        </w:rPr>
      </w:pPr>
      <w:r>
        <w:rPr>
          <w:sz w:val="22"/>
          <w:szCs w:val="22"/>
          <w:lang w:val="sr-Latn-CS"/>
        </w:rPr>
        <w:lastRenderedPageBreak/>
        <w:t xml:space="preserve">Na osnovu podataka sa slike 2, može se videti da </w:t>
      </w:r>
      <w:r w:rsidRPr="00650FDD">
        <w:rPr>
          <w:i/>
          <w:iCs/>
          <w:sz w:val="22"/>
          <w:szCs w:val="22"/>
          <w:lang w:val="sr-Latn-CS"/>
        </w:rPr>
        <w:t>zemnoalkalni element</w:t>
      </w:r>
      <w:r>
        <w:rPr>
          <w:sz w:val="22"/>
          <w:szCs w:val="22"/>
          <w:lang w:val="sr-Latn-CS"/>
        </w:rPr>
        <w:t xml:space="preserve"> Ca (245,86 prema 200 mg/dm</w:t>
      </w:r>
      <w:r>
        <w:rPr>
          <w:sz w:val="22"/>
          <w:szCs w:val="22"/>
          <w:vertAlign w:val="superscript"/>
          <w:lang w:val="sr-Latn-CS"/>
        </w:rPr>
        <w:t>3</w:t>
      </w:r>
      <w:r>
        <w:rPr>
          <w:sz w:val="22"/>
          <w:szCs w:val="22"/>
          <w:lang w:val="sr-Latn-CS"/>
        </w:rPr>
        <w:t xml:space="preserve">), </w:t>
      </w:r>
      <w:r w:rsidRPr="00482FD8">
        <w:rPr>
          <w:i/>
          <w:iCs/>
          <w:sz w:val="22"/>
          <w:szCs w:val="22"/>
          <w:lang w:val="sr-Latn-CS"/>
        </w:rPr>
        <w:t>alkalni element</w:t>
      </w:r>
      <w:r>
        <w:rPr>
          <w:sz w:val="22"/>
          <w:szCs w:val="22"/>
          <w:lang w:val="sr-Latn-CS"/>
        </w:rPr>
        <w:t xml:space="preserve"> K (16,65 prema 12 mg/dm</w:t>
      </w:r>
      <w:r>
        <w:rPr>
          <w:sz w:val="22"/>
          <w:szCs w:val="22"/>
          <w:vertAlign w:val="superscript"/>
          <w:lang w:val="sr-Latn-CS"/>
        </w:rPr>
        <w:t>3</w:t>
      </w:r>
      <w:r>
        <w:rPr>
          <w:sz w:val="22"/>
          <w:szCs w:val="22"/>
          <w:lang w:val="sr-Latn-CS"/>
        </w:rPr>
        <w:t xml:space="preserve">), od predstavnika </w:t>
      </w:r>
      <w:r w:rsidRPr="008E2422">
        <w:rPr>
          <w:b/>
          <w:bCs/>
          <w:sz w:val="22"/>
          <w:szCs w:val="22"/>
          <w:lang w:val="sr-Latn-CS"/>
        </w:rPr>
        <w:t>s-elemenata</w:t>
      </w:r>
      <w:r>
        <w:rPr>
          <w:sz w:val="22"/>
          <w:szCs w:val="22"/>
          <w:lang w:val="sr-Latn-CS"/>
        </w:rPr>
        <w:t>, i Ti (11,63 prema 0 μg/dm</w:t>
      </w:r>
      <w:r>
        <w:rPr>
          <w:sz w:val="22"/>
          <w:szCs w:val="22"/>
          <w:vertAlign w:val="superscript"/>
          <w:lang w:val="sr-Latn-CS"/>
        </w:rPr>
        <w:t>3</w:t>
      </w:r>
      <w:r>
        <w:rPr>
          <w:sz w:val="22"/>
          <w:szCs w:val="22"/>
          <w:lang w:val="sr-Latn-CS"/>
        </w:rPr>
        <w:t>) i Co (10,02 prema 0 μg/dm</w:t>
      </w:r>
      <w:r>
        <w:rPr>
          <w:sz w:val="22"/>
          <w:szCs w:val="22"/>
          <w:vertAlign w:val="superscript"/>
          <w:lang w:val="sr-Latn-CS"/>
        </w:rPr>
        <w:t>3</w:t>
      </w:r>
      <w:r>
        <w:rPr>
          <w:sz w:val="22"/>
          <w:szCs w:val="22"/>
          <w:lang w:val="sr-Latn-CS"/>
        </w:rPr>
        <w:t xml:space="preserve">), od predstavnika </w:t>
      </w:r>
      <w:r w:rsidRPr="008E2422">
        <w:rPr>
          <w:b/>
          <w:bCs/>
          <w:sz w:val="22"/>
          <w:szCs w:val="22"/>
          <w:lang w:val="sr-Latn-CS"/>
        </w:rPr>
        <w:t>d-elemenata</w:t>
      </w:r>
      <w:r>
        <w:rPr>
          <w:sz w:val="22"/>
          <w:szCs w:val="22"/>
          <w:lang w:val="sr-Latn-CS"/>
        </w:rPr>
        <w:t xml:space="preserve">, svojim sadržajem prevazilaze vrednosti koje su dozvoljene pravilnicima </w:t>
      </w:r>
      <w:r w:rsidRPr="0006002F">
        <w:rPr>
          <w:sz w:val="22"/>
          <w:szCs w:val="22"/>
          <w:lang w:val="sr-Latn-CS"/>
        </w:rPr>
        <w:t>(Sl.list SRJ br. 42/98 i 44/99; Sl.list SCG br. 53/05)</w:t>
      </w:r>
      <w:r>
        <w:rPr>
          <w:sz w:val="22"/>
          <w:szCs w:val="22"/>
          <w:lang w:val="sr-Latn-CS"/>
        </w:rPr>
        <w:t xml:space="preserve">. Od predstavnika </w:t>
      </w:r>
      <w:r w:rsidRPr="006C2A27">
        <w:rPr>
          <w:b/>
          <w:bCs/>
          <w:sz w:val="22"/>
          <w:szCs w:val="22"/>
          <w:lang w:val="sr-Latn-CS"/>
        </w:rPr>
        <w:t>p-elemenata</w:t>
      </w:r>
      <w:r w:rsidRPr="006C2A27">
        <w:rPr>
          <w:sz w:val="22"/>
          <w:szCs w:val="22"/>
          <w:lang w:val="sr-Latn-CS"/>
        </w:rPr>
        <w:t xml:space="preserve">, </w:t>
      </w:r>
      <w:r>
        <w:rPr>
          <w:sz w:val="22"/>
          <w:szCs w:val="22"/>
          <w:lang w:val="sr-Latn-CS"/>
        </w:rPr>
        <w:t>Al</w:t>
      </w:r>
      <w:r w:rsidRPr="006C2A27">
        <w:rPr>
          <w:sz w:val="22"/>
          <w:szCs w:val="22"/>
          <w:lang w:val="sr-Latn-CS"/>
        </w:rPr>
        <w:t xml:space="preserve"> </w:t>
      </w:r>
      <w:r>
        <w:rPr>
          <w:sz w:val="22"/>
          <w:szCs w:val="22"/>
          <w:lang w:val="sr-Latn-CS"/>
        </w:rPr>
        <w:t>značajno prevazilazi dozvoljenu vrednost (540 prema 200 μg/dm</w:t>
      </w:r>
      <w:r>
        <w:rPr>
          <w:sz w:val="22"/>
          <w:szCs w:val="22"/>
          <w:vertAlign w:val="superscript"/>
          <w:lang w:val="sr-Latn-CS"/>
        </w:rPr>
        <w:t>3</w:t>
      </w:r>
      <w:r>
        <w:rPr>
          <w:sz w:val="22"/>
          <w:szCs w:val="22"/>
          <w:lang w:val="sr-Latn-CS"/>
        </w:rPr>
        <w:t>) i Si (2,78 prema 0 mg/dm</w:t>
      </w:r>
      <w:r>
        <w:rPr>
          <w:sz w:val="22"/>
          <w:szCs w:val="22"/>
          <w:vertAlign w:val="superscript"/>
          <w:lang w:val="sr-Latn-CS"/>
        </w:rPr>
        <w:t>3</w:t>
      </w:r>
      <w:r>
        <w:rPr>
          <w:sz w:val="22"/>
          <w:szCs w:val="22"/>
          <w:lang w:val="sr-Latn-CS"/>
        </w:rPr>
        <w:t>). Takođe, kritične su i vrednosti za Cd i Pb, upravo zbog velike toksičnosti i kancerogenosti ovih elemenata, a čije su vrednosti svega 3% niže od dozvoljenih.</w:t>
      </w:r>
    </w:p>
    <w:p w:rsidR="00BE2F2E" w:rsidRPr="003804EF" w:rsidRDefault="00BE2F2E" w:rsidP="00D24143">
      <w:pPr>
        <w:pStyle w:val="BodyText"/>
        <w:spacing w:after="0"/>
        <w:ind w:firstLine="426"/>
        <w:jc w:val="both"/>
        <w:rPr>
          <w:sz w:val="22"/>
          <w:szCs w:val="22"/>
          <w:lang w:val="sl-SI"/>
        </w:rPr>
      </w:pPr>
      <w:r>
        <w:rPr>
          <w:sz w:val="22"/>
          <w:szCs w:val="22"/>
          <w:lang w:val="sl-SI"/>
        </w:rPr>
        <w:t>Iz tih razloga izvršena je analiza uticaja korišćenja vode za piće iz vodovodne mreže Grada Požarevca sa sadržajem makro- i mikroelemenata na zdravlje ljudi (tabela 4), konzumiranjem u dužem vremenskom intervalu.</w:t>
      </w:r>
    </w:p>
    <w:p w:rsidR="00BE2F2E" w:rsidRDefault="00BE2F2E" w:rsidP="00C00557">
      <w:pPr>
        <w:ind w:firstLine="426"/>
        <w:jc w:val="both"/>
        <w:rPr>
          <w:sz w:val="22"/>
          <w:szCs w:val="22"/>
          <w:lang w:val="sr-Latn-CS"/>
        </w:rPr>
      </w:pPr>
      <w:r w:rsidRPr="003804EF">
        <w:rPr>
          <w:sz w:val="22"/>
          <w:szCs w:val="22"/>
          <w:lang w:val="sl-SI"/>
        </w:rPr>
        <w:t>Unos elemenata u čovekov organizam konzumiranjem vode za piće</w:t>
      </w:r>
      <w:r w:rsidRPr="003804EF">
        <w:rPr>
          <w:sz w:val="22"/>
          <w:szCs w:val="22"/>
          <w:lang w:val="sr-Latn-CS"/>
        </w:rPr>
        <w:t xml:space="preserve"> izračunat je na osnovu podataka da </w:t>
      </w:r>
      <w:r w:rsidRPr="003804EF">
        <w:rPr>
          <w:i/>
          <w:iCs/>
          <w:sz w:val="22"/>
          <w:szCs w:val="22"/>
          <w:lang w:val="sr-Latn-CS"/>
        </w:rPr>
        <w:t>zapremina jedne čaše</w:t>
      </w:r>
      <w:r w:rsidRPr="003804EF">
        <w:rPr>
          <w:sz w:val="22"/>
          <w:szCs w:val="22"/>
          <w:lang w:val="sr-Latn-CS"/>
        </w:rPr>
        <w:t xml:space="preserve"> iznosi 200 </w:t>
      </w:r>
      <w:r>
        <w:rPr>
          <w:sz w:val="22"/>
          <w:szCs w:val="22"/>
          <w:lang w:val="sr-Latn-CS"/>
        </w:rPr>
        <w:t>cm</w:t>
      </w:r>
      <w:r>
        <w:rPr>
          <w:sz w:val="22"/>
          <w:szCs w:val="22"/>
          <w:vertAlign w:val="superscript"/>
          <w:lang w:val="sr-Latn-CS"/>
        </w:rPr>
        <w:t>3</w:t>
      </w:r>
      <w:r w:rsidRPr="003804EF">
        <w:rPr>
          <w:sz w:val="22"/>
          <w:szCs w:val="22"/>
          <w:lang w:val="sr-Latn-CS"/>
        </w:rPr>
        <w:t xml:space="preserve"> (0,2 </w:t>
      </w:r>
      <w:r>
        <w:rPr>
          <w:sz w:val="22"/>
          <w:szCs w:val="22"/>
          <w:lang w:val="sr-Latn-CS"/>
        </w:rPr>
        <w:t>dm</w:t>
      </w:r>
      <w:r>
        <w:rPr>
          <w:sz w:val="22"/>
          <w:szCs w:val="22"/>
          <w:vertAlign w:val="superscript"/>
          <w:lang w:val="sr-Latn-CS"/>
        </w:rPr>
        <w:t>3</w:t>
      </w:r>
      <w:r w:rsidRPr="003804EF">
        <w:rPr>
          <w:sz w:val="22"/>
          <w:szCs w:val="22"/>
          <w:lang w:val="sr-Latn-CS"/>
        </w:rPr>
        <w:t>)</w:t>
      </w:r>
      <w:r>
        <w:rPr>
          <w:sz w:val="22"/>
          <w:szCs w:val="22"/>
          <w:lang w:val="sr-Latn-CS"/>
        </w:rPr>
        <w:t>,</w:t>
      </w:r>
      <w:r w:rsidRPr="003804EF">
        <w:rPr>
          <w:sz w:val="22"/>
          <w:szCs w:val="22"/>
          <w:lang w:val="sr-Latn-CS"/>
        </w:rPr>
        <w:t xml:space="preserve"> a da </w:t>
      </w:r>
      <w:r w:rsidRPr="003804EF">
        <w:rPr>
          <w:i/>
          <w:iCs/>
          <w:sz w:val="22"/>
          <w:szCs w:val="22"/>
          <w:lang w:val="sr-Latn-CS"/>
        </w:rPr>
        <w:t>dnevni unos</w:t>
      </w:r>
      <w:r w:rsidRPr="003804EF">
        <w:rPr>
          <w:sz w:val="22"/>
          <w:szCs w:val="22"/>
          <w:lang w:val="sr-Latn-CS"/>
        </w:rPr>
        <w:t xml:space="preserve"> pretpostavlja da čovek normalno unosi 10 čaša vode (</w:t>
      </w:r>
      <w:r>
        <w:rPr>
          <w:sz w:val="22"/>
          <w:szCs w:val="22"/>
          <w:lang w:val="sr-Latn-CS"/>
        </w:rPr>
        <w:t>2</w:t>
      </w:r>
      <w:r w:rsidRPr="003804EF">
        <w:rPr>
          <w:sz w:val="22"/>
          <w:szCs w:val="22"/>
          <w:lang w:val="sr-Latn-CS"/>
        </w:rPr>
        <w:t xml:space="preserve"> </w:t>
      </w:r>
      <w:r>
        <w:rPr>
          <w:sz w:val="22"/>
          <w:szCs w:val="22"/>
          <w:lang w:val="sr-Latn-CS"/>
        </w:rPr>
        <w:t>dm</w:t>
      </w:r>
      <w:r>
        <w:rPr>
          <w:sz w:val="22"/>
          <w:szCs w:val="22"/>
          <w:vertAlign w:val="superscript"/>
          <w:lang w:val="sr-Latn-CS"/>
        </w:rPr>
        <w:t>3</w:t>
      </w:r>
      <w:r w:rsidRPr="003804EF">
        <w:rPr>
          <w:sz w:val="22"/>
          <w:szCs w:val="22"/>
          <w:lang w:val="sr-Latn-CS"/>
        </w:rPr>
        <w:t xml:space="preserve"> vode). Proračun je zasnovan na osnovu izračunatog sadržaja odgovarajućeg elementa na osnovu </w:t>
      </w:r>
      <w:r w:rsidRPr="003804EF">
        <w:rPr>
          <w:i/>
          <w:iCs/>
          <w:sz w:val="22"/>
          <w:szCs w:val="22"/>
          <w:lang w:val="sr-Latn-CS"/>
        </w:rPr>
        <w:t>suvog ostatka</w:t>
      </w:r>
      <w:r w:rsidRPr="003804EF">
        <w:rPr>
          <w:sz w:val="22"/>
          <w:szCs w:val="22"/>
          <w:lang w:val="sr-Latn-CS"/>
        </w:rPr>
        <w:t xml:space="preserve">. </w:t>
      </w:r>
      <w:r w:rsidRPr="003804EF">
        <w:rPr>
          <w:i/>
          <w:iCs/>
          <w:sz w:val="22"/>
          <w:szCs w:val="22"/>
          <w:lang w:val="sr-Latn-CS"/>
        </w:rPr>
        <w:t>Mesečni unos</w:t>
      </w:r>
      <w:r w:rsidRPr="003804EF">
        <w:rPr>
          <w:sz w:val="22"/>
          <w:szCs w:val="22"/>
          <w:lang w:val="sr-Latn-CS"/>
        </w:rPr>
        <w:t xml:space="preserve"> baziran je na 30 dana, a </w:t>
      </w:r>
      <w:r w:rsidRPr="003804EF">
        <w:rPr>
          <w:i/>
          <w:iCs/>
          <w:sz w:val="22"/>
          <w:szCs w:val="22"/>
          <w:lang w:val="sr-Latn-CS"/>
        </w:rPr>
        <w:t>godišnji unos</w:t>
      </w:r>
      <w:r w:rsidRPr="003804EF">
        <w:rPr>
          <w:sz w:val="22"/>
          <w:szCs w:val="22"/>
          <w:lang w:val="sr-Latn-CS"/>
        </w:rPr>
        <w:t xml:space="preserve"> baziran je na 12 meseci (365 dana).</w:t>
      </w:r>
    </w:p>
    <w:p w:rsidR="00BE2F2E" w:rsidRDefault="00BE2F2E" w:rsidP="00C00557">
      <w:pPr>
        <w:pStyle w:val="BodyText"/>
        <w:spacing w:after="0"/>
        <w:ind w:firstLine="480"/>
        <w:jc w:val="both"/>
        <w:rPr>
          <w:sz w:val="22"/>
          <w:szCs w:val="22"/>
          <w:lang w:val="sl-SI"/>
        </w:rPr>
      </w:pPr>
      <w:r>
        <w:rPr>
          <w:sz w:val="22"/>
          <w:szCs w:val="22"/>
          <w:lang w:val="sl-SI"/>
        </w:rPr>
        <w:t>Unošenje elemenata (u mg) u čovekov organizam konzumiranjem vode za piće iz vodovodne mreže Grada Požarevca na dnevnom, mesečnom i godišnjem nivou prikazano je u tabeli 5.</w:t>
      </w:r>
    </w:p>
    <w:p w:rsidR="00BE2F2E" w:rsidRPr="00706B52" w:rsidRDefault="00BE2F2E" w:rsidP="00C00557">
      <w:pPr>
        <w:ind w:firstLine="426"/>
        <w:jc w:val="both"/>
        <w:rPr>
          <w:sz w:val="22"/>
          <w:szCs w:val="22"/>
          <w:lang w:val="sr-Latn-CS"/>
        </w:rPr>
      </w:pPr>
      <w:r w:rsidRPr="00706B52">
        <w:rPr>
          <w:sz w:val="22"/>
          <w:szCs w:val="22"/>
          <w:lang w:val="sr-Latn-CS"/>
        </w:rPr>
        <w:t xml:space="preserve">Podaci iz tabele </w:t>
      </w:r>
      <w:r>
        <w:rPr>
          <w:sz w:val="22"/>
          <w:szCs w:val="22"/>
          <w:lang w:val="sr-Latn-CS"/>
        </w:rPr>
        <w:t>5</w:t>
      </w:r>
      <w:r w:rsidRPr="00706B52">
        <w:rPr>
          <w:sz w:val="22"/>
          <w:szCs w:val="22"/>
          <w:lang w:val="sr-Latn-CS"/>
        </w:rPr>
        <w:t xml:space="preserve"> govore da je unos </w:t>
      </w:r>
      <w:r w:rsidRPr="00706B52">
        <w:rPr>
          <w:i/>
          <w:iCs/>
          <w:sz w:val="22"/>
          <w:szCs w:val="22"/>
          <w:lang w:val="sr-Latn-CS"/>
        </w:rPr>
        <w:t>zemnoalkalnih metala</w:t>
      </w:r>
      <w:r w:rsidRPr="00706B52">
        <w:rPr>
          <w:sz w:val="22"/>
          <w:szCs w:val="22"/>
          <w:lang w:val="sr-Latn-CS"/>
        </w:rPr>
        <w:t xml:space="preserve"> u čovekov organizam tokom konzumiranja vode za piće na godišnjem nivou u ispitivanom vremenskom intervalu (u %) dominantan. Vodom za piće najviše se unose </w:t>
      </w:r>
      <w:r w:rsidRPr="00706B52">
        <w:rPr>
          <w:i/>
          <w:iCs/>
          <w:sz w:val="22"/>
          <w:szCs w:val="22"/>
          <w:lang w:val="sr-Latn-CS"/>
        </w:rPr>
        <w:t>zemnoalkalni metali</w:t>
      </w:r>
      <w:r w:rsidRPr="00706B52">
        <w:rPr>
          <w:sz w:val="22"/>
          <w:szCs w:val="22"/>
          <w:lang w:val="sr-Latn-CS"/>
        </w:rPr>
        <w:t xml:space="preserve"> (182,28 g/dm</w:t>
      </w:r>
      <w:r w:rsidRPr="00706B52">
        <w:rPr>
          <w:sz w:val="22"/>
          <w:szCs w:val="22"/>
          <w:vertAlign w:val="superscript"/>
          <w:lang w:val="sr-Latn-CS"/>
        </w:rPr>
        <w:t>3</w:t>
      </w:r>
      <w:r w:rsidRPr="00706B52">
        <w:rPr>
          <w:sz w:val="22"/>
          <w:szCs w:val="22"/>
          <w:lang w:val="sr-Latn-CS"/>
        </w:rPr>
        <w:t xml:space="preserve"> </w:t>
      </w:r>
      <w:r>
        <w:rPr>
          <w:sz w:val="22"/>
          <w:szCs w:val="22"/>
          <w:lang w:val="sr-Latn-CS"/>
        </w:rPr>
        <w:t>ili 96,02</w:t>
      </w:r>
      <w:r w:rsidRPr="00706B52">
        <w:rPr>
          <w:sz w:val="22"/>
          <w:szCs w:val="22"/>
          <w:lang w:val="sr-Latn-CS"/>
        </w:rPr>
        <w:t>%)</w:t>
      </w:r>
      <w:r>
        <w:rPr>
          <w:sz w:val="22"/>
          <w:szCs w:val="22"/>
          <w:lang w:val="sr-Latn-CS"/>
        </w:rPr>
        <w:t xml:space="preserve">, </w:t>
      </w:r>
      <w:r w:rsidRPr="00B32C9E">
        <w:rPr>
          <w:b/>
          <w:bCs/>
          <w:sz w:val="22"/>
          <w:szCs w:val="22"/>
          <w:lang w:val="sr-Latn-CS"/>
        </w:rPr>
        <w:t>više od</w:t>
      </w:r>
      <w:r>
        <w:rPr>
          <w:sz w:val="22"/>
          <w:szCs w:val="22"/>
          <w:lang w:val="sr-Latn-CS"/>
        </w:rPr>
        <w:t xml:space="preserve"> </w:t>
      </w:r>
      <w:r w:rsidRPr="00B32C9E">
        <w:rPr>
          <w:b/>
          <w:bCs/>
          <w:sz w:val="22"/>
          <w:szCs w:val="22"/>
          <w:lang w:val="sr-Latn-CS"/>
        </w:rPr>
        <w:t>2</w:t>
      </w:r>
      <w:r>
        <w:rPr>
          <w:b/>
          <w:bCs/>
          <w:sz w:val="22"/>
          <w:szCs w:val="22"/>
          <w:lang w:val="sr-Latn-CS"/>
        </w:rPr>
        <w:t>4</w:t>
      </w:r>
      <w:r w:rsidRPr="00B32C9E">
        <w:rPr>
          <w:b/>
          <w:bCs/>
          <w:sz w:val="22"/>
          <w:szCs w:val="22"/>
          <w:lang w:val="sr-Latn-CS"/>
        </w:rPr>
        <w:t xml:space="preserve"> puta </w:t>
      </w:r>
      <w:r>
        <w:rPr>
          <w:b/>
          <w:bCs/>
          <w:sz w:val="22"/>
          <w:szCs w:val="22"/>
          <w:lang w:val="sr-Latn-CS"/>
        </w:rPr>
        <w:t xml:space="preserve">od </w:t>
      </w:r>
      <w:r w:rsidRPr="00B32C9E">
        <w:rPr>
          <w:b/>
          <w:bCs/>
          <w:sz w:val="22"/>
          <w:szCs w:val="22"/>
          <w:lang w:val="sr-Latn-CS"/>
        </w:rPr>
        <w:t>svih ostalih elemenata zajedno</w:t>
      </w:r>
      <w:r>
        <w:rPr>
          <w:sz w:val="22"/>
          <w:szCs w:val="22"/>
          <w:lang w:val="sr-Latn-CS"/>
        </w:rPr>
        <w:t xml:space="preserve">, </w:t>
      </w:r>
      <w:r w:rsidRPr="00706B52">
        <w:rPr>
          <w:sz w:val="22"/>
          <w:szCs w:val="22"/>
          <w:lang w:val="sr-Latn-CS"/>
        </w:rPr>
        <w:t>što nedvosmisleno govori o velikoj tvrdoć</w:t>
      </w:r>
      <w:r>
        <w:rPr>
          <w:sz w:val="22"/>
          <w:szCs w:val="22"/>
          <w:lang w:val="sr-Latn-CS"/>
        </w:rPr>
        <w:t>i</w:t>
      </w:r>
      <w:r w:rsidRPr="00706B52">
        <w:rPr>
          <w:sz w:val="22"/>
          <w:szCs w:val="22"/>
          <w:lang w:val="sr-Latn-CS"/>
        </w:rPr>
        <w:t xml:space="preserve"> vode za piće iz vod</w:t>
      </w:r>
      <w:r>
        <w:rPr>
          <w:sz w:val="22"/>
          <w:szCs w:val="22"/>
          <w:lang w:val="sr-Latn-CS"/>
        </w:rPr>
        <w:t>ovodne mreže Grada Požarevca, što je zapaženo i prikazano u tabeli 4.</w:t>
      </w:r>
    </w:p>
    <w:p w:rsidR="00BE2F2E" w:rsidRDefault="00BE2F2E" w:rsidP="00C00557">
      <w:pPr>
        <w:ind w:firstLine="426"/>
        <w:jc w:val="both"/>
        <w:rPr>
          <w:sz w:val="22"/>
          <w:szCs w:val="22"/>
          <w:lang w:val="sr-Latn-CS"/>
        </w:rPr>
      </w:pPr>
      <w:r>
        <w:rPr>
          <w:sz w:val="22"/>
          <w:szCs w:val="22"/>
          <w:lang w:val="sr-Latn-CS"/>
        </w:rPr>
        <w:t>Podatak  da je koncentracija Ca daleko iznad maksimalno dozvoljene koncentracije (≈ 1,23 puta viša), ipak ne mora da bude alarmantan, jer se na taj način dnevno, preko vode, unosi 49,17 mg Ca (oko 0,05 g), što je daleko ispod preporučene dnevne potrebe za Ca od 0,5 g.</w:t>
      </w:r>
    </w:p>
    <w:p w:rsidR="00BE2F2E" w:rsidRDefault="00BE2F2E" w:rsidP="00C00557">
      <w:pPr>
        <w:ind w:firstLine="426"/>
        <w:jc w:val="both"/>
        <w:rPr>
          <w:sz w:val="22"/>
          <w:szCs w:val="22"/>
          <w:lang w:val="sr-Latn-CS"/>
        </w:rPr>
      </w:pPr>
      <w:r>
        <w:rPr>
          <w:sz w:val="22"/>
          <w:szCs w:val="22"/>
          <w:lang w:val="sr-Latn-CS"/>
        </w:rPr>
        <w:t>Pošto se tri elementa nalaze u koncentracijama koje su iznad MDK vrednosti: K, Ca i Al, u daljem tekstu prodiskutovaće se njihov uticaj na zdravlje ljudi.</w:t>
      </w:r>
    </w:p>
    <w:p w:rsidR="00BE2F2E" w:rsidRPr="00924788" w:rsidRDefault="00BE2F2E" w:rsidP="00C00557">
      <w:pPr>
        <w:ind w:firstLine="426"/>
        <w:jc w:val="both"/>
        <w:rPr>
          <w:sz w:val="22"/>
          <w:szCs w:val="22"/>
          <w:lang w:val="it-IT"/>
        </w:rPr>
      </w:pPr>
      <w:r w:rsidRPr="00F94895">
        <w:rPr>
          <w:sz w:val="22"/>
          <w:szCs w:val="22"/>
        </w:rPr>
        <w:t xml:space="preserve">U organizmu odraslog čoveka nalazi se 0,2% </w:t>
      </w:r>
      <w:r w:rsidRPr="00F94895">
        <w:rPr>
          <w:b/>
          <w:bCs/>
          <w:sz w:val="22"/>
          <w:szCs w:val="22"/>
        </w:rPr>
        <w:t>kalijuma</w:t>
      </w:r>
      <w:r w:rsidRPr="00F94895">
        <w:rPr>
          <w:sz w:val="22"/>
          <w:szCs w:val="22"/>
        </w:rPr>
        <w:t xml:space="preserve"> (oko 250 g). </w:t>
      </w:r>
      <w:r>
        <w:rPr>
          <w:sz w:val="22"/>
          <w:szCs w:val="22"/>
        </w:rPr>
        <w:br/>
      </w:r>
      <w:r w:rsidRPr="00F94895">
        <w:rPr>
          <w:sz w:val="22"/>
          <w:szCs w:val="22"/>
        </w:rPr>
        <w:t xml:space="preserve">K zadržava vodu u organizmu, reguliše osmotski pritisak, učestvuje u održavanju kiselo-bazne ranoteže, i reguliše potencijal ćelijske membrane. </w:t>
      </w:r>
      <w:r w:rsidRPr="00AC3C21">
        <w:rPr>
          <w:sz w:val="22"/>
          <w:szCs w:val="22"/>
          <w:lang w:val="pl-PL"/>
        </w:rPr>
        <w:t xml:space="preserve">K se prvenstveno nalazi unutar ćelije (95%), a u međućelijskoj tečnosti ga ima oko 5%. </w:t>
      </w:r>
      <w:r w:rsidRPr="00635A81">
        <w:rPr>
          <w:sz w:val="22"/>
          <w:szCs w:val="22"/>
          <w:lang w:val="pl-PL"/>
        </w:rPr>
        <w:t xml:space="preserve">K, koji se nalazi u tečnosti izvan ćelija, utiče na aktivnost mišića srca, pa je uloga K zbog toga veoma značajna. Učestvuje u funkcionisanju niza enzima, a naročito je važan za metabolizam ugljenih hidrata, za građenje puferskih sistema, procesa pojačanog izlučivanja Na i dr. </w:t>
      </w:r>
      <w:r>
        <w:rPr>
          <w:sz w:val="22"/>
          <w:szCs w:val="22"/>
          <w:lang w:val="it-IT"/>
        </w:rPr>
        <w:t>K</w:t>
      </w:r>
      <w:r w:rsidRPr="00924788">
        <w:rPr>
          <w:sz w:val="22"/>
          <w:szCs w:val="22"/>
          <w:lang w:val="it-IT"/>
        </w:rPr>
        <w:t xml:space="preserve"> se lako resorbuje, ali se i vrlo lako izlučuje iz organizma. </w:t>
      </w:r>
      <w:r w:rsidRPr="00924788">
        <w:rPr>
          <w:sz w:val="22"/>
          <w:szCs w:val="22"/>
          <w:lang w:val="it-IT"/>
        </w:rPr>
        <w:lastRenderedPageBreak/>
        <w:t>M</w:t>
      </w:r>
      <w:r>
        <w:rPr>
          <w:sz w:val="22"/>
          <w:szCs w:val="22"/>
          <w:lang w:val="it-IT"/>
        </w:rPr>
        <w:t>DK vrednost za</w:t>
      </w:r>
      <w:r w:rsidRPr="00924788">
        <w:rPr>
          <w:sz w:val="22"/>
          <w:szCs w:val="22"/>
          <w:lang w:val="it-IT"/>
        </w:rPr>
        <w:t xml:space="preserve"> </w:t>
      </w:r>
      <w:r>
        <w:rPr>
          <w:sz w:val="22"/>
          <w:szCs w:val="22"/>
          <w:lang w:val="it-IT"/>
        </w:rPr>
        <w:t xml:space="preserve">K </w:t>
      </w:r>
      <w:r w:rsidRPr="00924788">
        <w:rPr>
          <w:sz w:val="22"/>
          <w:szCs w:val="22"/>
          <w:lang w:val="it-IT"/>
        </w:rPr>
        <w:t>u vodi za piće je oko 10% od vre</w:t>
      </w:r>
      <w:r>
        <w:rPr>
          <w:sz w:val="22"/>
          <w:szCs w:val="22"/>
          <w:lang w:val="it-IT"/>
        </w:rPr>
        <w:t>dnosti za Na (12</w:t>
      </w:r>
      <w:r w:rsidRPr="00924788">
        <w:rPr>
          <w:sz w:val="22"/>
          <w:szCs w:val="22"/>
          <w:lang w:val="it-IT"/>
        </w:rPr>
        <w:t xml:space="preserve"> mg/dm</w:t>
      </w:r>
      <w:r w:rsidRPr="00924788">
        <w:rPr>
          <w:sz w:val="22"/>
          <w:szCs w:val="22"/>
          <w:vertAlign w:val="superscript"/>
          <w:lang w:val="it-IT"/>
        </w:rPr>
        <w:t>3</w:t>
      </w:r>
      <w:r>
        <w:rPr>
          <w:sz w:val="22"/>
          <w:szCs w:val="22"/>
          <w:lang w:val="it-IT"/>
        </w:rPr>
        <w:t>),</w:t>
      </w:r>
      <w:r w:rsidRPr="00924788">
        <w:rPr>
          <w:sz w:val="22"/>
          <w:szCs w:val="22"/>
          <w:lang w:val="it-IT"/>
        </w:rPr>
        <w:t xml:space="preserve"> jer se unosi u velikim količinama i hranom, pa se relativno lako zadovoljavaju potrebe čoveka koje iznose 2</w:t>
      </w:r>
      <w:r>
        <w:rPr>
          <w:rFonts w:ascii="Cambria Math" w:hAnsi="Cambria Math" w:cs="Cambria Math"/>
          <w:sz w:val="22"/>
          <w:szCs w:val="22"/>
          <w:lang w:val="it-IT"/>
        </w:rPr>
        <w:t>‒</w:t>
      </w:r>
      <w:r w:rsidRPr="00924788">
        <w:rPr>
          <w:sz w:val="22"/>
          <w:szCs w:val="22"/>
          <w:lang w:val="it-IT"/>
        </w:rPr>
        <w:t>4 g/dan.</w:t>
      </w:r>
    </w:p>
    <w:p w:rsidR="00BE2F2E" w:rsidRDefault="00BE2F2E" w:rsidP="00A5338B">
      <w:pPr>
        <w:rPr>
          <w:sz w:val="22"/>
          <w:szCs w:val="22"/>
          <w:lang w:val="sr-Latn-CS"/>
        </w:rPr>
      </w:pPr>
    </w:p>
    <w:p w:rsidR="00BE2F2E" w:rsidRPr="00EF0BC6" w:rsidRDefault="00BE2F2E" w:rsidP="00957BC0">
      <w:pPr>
        <w:pStyle w:val="BodyText"/>
        <w:spacing w:after="0"/>
        <w:jc w:val="both"/>
        <w:rPr>
          <w:sz w:val="22"/>
          <w:szCs w:val="22"/>
          <w:lang w:val="sl-SI"/>
        </w:rPr>
      </w:pPr>
      <w:r w:rsidRPr="00EF0BC6">
        <w:rPr>
          <w:sz w:val="22"/>
          <w:szCs w:val="22"/>
          <w:lang w:val="sl-SI"/>
        </w:rPr>
        <w:t>Tabela 5. Unošenje elemenata u čovekov organiza</w:t>
      </w:r>
      <w:r>
        <w:rPr>
          <w:sz w:val="22"/>
          <w:szCs w:val="22"/>
          <w:lang w:val="sl-SI"/>
        </w:rPr>
        <w:t xml:space="preserve">m </w:t>
      </w:r>
      <w:r w:rsidRPr="00EF0BC6">
        <w:rPr>
          <w:sz w:val="22"/>
          <w:szCs w:val="22"/>
          <w:lang w:val="sl-SI"/>
        </w:rPr>
        <w:t xml:space="preserve">konzumiranjem vode za piće iz </w:t>
      </w:r>
      <w:r w:rsidRPr="00EF0BC6">
        <w:rPr>
          <w:sz w:val="22"/>
          <w:szCs w:val="22"/>
          <w:lang w:val="sr-Latn-CS"/>
        </w:rPr>
        <w:t xml:space="preserve">vodovodne mreže Grada Požarevca </w:t>
      </w:r>
      <w:r w:rsidRPr="00EF0BC6">
        <w:rPr>
          <w:sz w:val="22"/>
          <w:szCs w:val="22"/>
          <w:lang w:val="sl-SI"/>
        </w:rPr>
        <w:t>na dnevnom, mesečnom i godišnjem nivou</w:t>
      </w:r>
      <w:r>
        <w:rPr>
          <w:sz w:val="22"/>
          <w:szCs w:val="22"/>
          <w:lang w:val="sl-SI"/>
        </w:rPr>
        <w:t>.</w:t>
      </w:r>
    </w:p>
    <w:p w:rsidR="00BE2F2E" w:rsidRPr="00FE5C9C" w:rsidRDefault="00BE2F2E" w:rsidP="00957BC0">
      <w:pPr>
        <w:pStyle w:val="BodyText"/>
        <w:spacing w:after="0"/>
        <w:rPr>
          <w:i/>
          <w:iCs/>
          <w:sz w:val="22"/>
          <w:szCs w:val="22"/>
          <w:lang w:val="sl-SI"/>
        </w:rPr>
      </w:pPr>
      <w:r w:rsidRPr="0046200E">
        <w:rPr>
          <w:i/>
          <w:iCs/>
          <w:sz w:val="22"/>
          <w:szCs w:val="22"/>
        </w:rPr>
        <w:t xml:space="preserve">Table 5. Daily, monthly </w:t>
      </w:r>
      <w:r>
        <w:rPr>
          <w:i/>
          <w:iCs/>
          <w:sz w:val="22"/>
          <w:szCs w:val="22"/>
        </w:rPr>
        <w:t xml:space="preserve">and annual human intakes </w:t>
      </w:r>
      <w:r w:rsidRPr="0046200E">
        <w:rPr>
          <w:i/>
          <w:iCs/>
          <w:sz w:val="22"/>
          <w:szCs w:val="22"/>
        </w:rPr>
        <w:t xml:space="preserve">of elements from drinking water of </w:t>
      </w:r>
      <w:r>
        <w:rPr>
          <w:i/>
          <w:iCs/>
          <w:sz w:val="22"/>
          <w:szCs w:val="22"/>
        </w:rPr>
        <w:t xml:space="preserve">the </w:t>
      </w:r>
      <w:r w:rsidRPr="0046200E">
        <w:rPr>
          <w:i/>
          <w:iCs/>
          <w:sz w:val="22"/>
          <w:szCs w:val="22"/>
        </w:rPr>
        <w:t>Po</w:t>
      </w:r>
      <w:r>
        <w:rPr>
          <w:i/>
          <w:iCs/>
          <w:sz w:val="22"/>
          <w:szCs w:val="22"/>
        </w:rPr>
        <w:t>ž</w:t>
      </w:r>
      <w:r w:rsidRPr="0046200E">
        <w:rPr>
          <w:i/>
          <w:iCs/>
          <w:sz w:val="22"/>
          <w:szCs w:val="22"/>
        </w:rPr>
        <w:t>arevac</w:t>
      </w:r>
      <w:r>
        <w:rPr>
          <w:i/>
          <w:iCs/>
          <w:sz w:val="22"/>
          <w:szCs w:val="22"/>
        </w:rPr>
        <w:t xml:space="preserve"> city</w:t>
      </w:r>
      <w:r w:rsidRPr="0046200E">
        <w:rPr>
          <w:i/>
          <w:iCs/>
          <w:sz w:val="22"/>
          <w:szCs w:val="22"/>
        </w:rPr>
        <w:t xml:space="preserve"> public water supp</w:t>
      </w:r>
      <w:r>
        <w:rPr>
          <w:i/>
          <w:iCs/>
          <w:sz w:val="22"/>
          <w:szCs w:val="22"/>
        </w:rPr>
        <w:t>l</w:t>
      </w:r>
      <w:r w:rsidRPr="0046200E">
        <w:rPr>
          <w:i/>
          <w:iCs/>
          <w:sz w:val="22"/>
          <w:szCs w:val="22"/>
        </w:rPr>
        <w:t>y</w:t>
      </w:r>
      <w:r>
        <w:rPr>
          <w:i/>
          <w:iCs/>
          <w:sz w:val="22"/>
          <w:szCs w:val="22"/>
        </w:rPr>
        <w:t>.</w:t>
      </w:r>
    </w:p>
    <w:p w:rsidR="00BE2F2E" w:rsidRDefault="00BE2F2E" w:rsidP="00A5338B">
      <w:pPr>
        <w:rPr>
          <w:sz w:val="22"/>
          <w:szCs w:val="22"/>
          <w:lang w:val="sr-Latn-CS"/>
        </w:rPr>
      </w:pPr>
    </w:p>
    <w:tbl>
      <w:tblPr>
        <w:tblW w:w="7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924"/>
        <w:gridCol w:w="1416"/>
        <w:gridCol w:w="906"/>
        <w:gridCol w:w="794"/>
        <w:gridCol w:w="830"/>
        <w:gridCol w:w="907"/>
        <w:gridCol w:w="1590"/>
      </w:tblGrid>
      <w:tr w:rsidR="00BE2F2E" w:rsidRPr="00957BC0">
        <w:trPr>
          <w:jc w:val="center"/>
        </w:trPr>
        <w:tc>
          <w:tcPr>
            <w:tcW w:w="924" w:type="dxa"/>
            <w:tcBorders>
              <w:left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Elemenat</w:t>
            </w:r>
          </w:p>
          <w:p w:rsidR="00BE2F2E" w:rsidRPr="00957BC0" w:rsidRDefault="00BE2F2E" w:rsidP="00957BC0">
            <w:pPr>
              <w:pStyle w:val="BodyText"/>
              <w:spacing w:after="0"/>
              <w:jc w:val="center"/>
              <w:rPr>
                <w:i/>
                <w:iCs/>
                <w:sz w:val="16"/>
                <w:szCs w:val="16"/>
                <w:lang w:val="sl-SI" w:eastAsia="en-GB"/>
              </w:rPr>
            </w:pPr>
            <w:r w:rsidRPr="00957BC0">
              <w:rPr>
                <w:i/>
                <w:iCs/>
                <w:sz w:val="16"/>
                <w:szCs w:val="16"/>
                <w:lang w:val="sl-SI" w:eastAsia="en-GB"/>
              </w:rPr>
              <w:t>Element</w:t>
            </w:r>
          </w:p>
        </w:tc>
        <w:tc>
          <w:tcPr>
            <w:tcW w:w="1416" w:type="dxa"/>
            <w:vMerge w:val="restart"/>
            <w:tcBorders>
              <w:left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Trivijalni naziv grupe elemenata u PSE</w:t>
            </w:r>
          </w:p>
          <w:p w:rsidR="00BE2F2E" w:rsidRPr="00957BC0" w:rsidRDefault="00BE2F2E" w:rsidP="00957BC0">
            <w:pPr>
              <w:pStyle w:val="BodyText"/>
              <w:spacing w:after="0"/>
              <w:jc w:val="center"/>
              <w:rPr>
                <w:sz w:val="16"/>
                <w:szCs w:val="16"/>
                <w:lang w:val="sl-SI" w:eastAsia="en-GB"/>
              </w:rPr>
            </w:pPr>
            <w:r w:rsidRPr="00E7314B">
              <w:rPr>
                <w:rStyle w:val="shorttext"/>
                <w:i/>
                <w:iCs/>
                <w:sz w:val="16"/>
                <w:szCs w:val="16"/>
                <w:lang w:val="en-GB" w:eastAsia="en-GB"/>
              </w:rPr>
              <w:t>The trivial name of the group of elements in</w:t>
            </w:r>
            <w:r w:rsidRPr="00E7314B">
              <w:rPr>
                <w:rStyle w:val="shorttext"/>
                <w:sz w:val="16"/>
                <w:szCs w:val="16"/>
                <w:lang w:val="en-GB" w:eastAsia="en-GB"/>
              </w:rPr>
              <w:t xml:space="preserve"> </w:t>
            </w:r>
            <w:r w:rsidRPr="00E7314B">
              <w:rPr>
                <w:rStyle w:val="shorttext"/>
                <w:i/>
                <w:iCs/>
                <w:sz w:val="16"/>
                <w:szCs w:val="16"/>
                <w:lang w:val="en-GB" w:eastAsia="en-GB"/>
              </w:rPr>
              <w:t>PSE</w:t>
            </w:r>
          </w:p>
        </w:tc>
        <w:tc>
          <w:tcPr>
            <w:tcW w:w="5027" w:type="dxa"/>
            <w:gridSpan w:val="5"/>
            <w:tcBorders>
              <w:left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Unošenje elemenata u čovekov organizama konzumiranjem</w:t>
            </w:r>
            <w:r>
              <w:rPr>
                <w:sz w:val="16"/>
                <w:szCs w:val="16"/>
                <w:lang w:val="sl-SI" w:eastAsia="en-GB"/>
              </w:rPr>
              <w:t xml:space="preserve"> </w:t>
            </w:r>
            <w:r w:rsidRPr="00957BC0">
              <w:rPr>
                <w:sz w:val="16"/>
                <w:szCs w:val="16"/>
                <w:lang w:val="sl-SI" w:eastAsia="en-GB"/>
              </w:rPr>
              <w:t>vode za piće</w:t>
            </w:r>
          </w:p>
          <w:p w:rsidR="00BE2F2E" w:rsidRPr="00957BC0" w:rsidRDefault="00BE2F2E" w:rsidP="00957BC0">
            <w:pPr>
              <w:pStyle w:val="BodyText"/>
              <w:spacing w:after="0"/>
              <w:jc w:val="center"/>
              <w:rPr>
                <w:i/>
                <w:iCs/>
                <w:sz w:val="16"/>
                <w:szCs w:val="16"/>
                <w:lang w:val="sl-SI" w:eastAsia="en-GB"/>
              </w:rPr>
            </w:pPr>
            <w:r w:rsidRPr="00957BC0">
              <w:rPr>
                <w:i/>
                <w:iCs/>
                <w:sz w:val="16"/>
                <w:szCs w:val="16"/>
                <w:lang w:val="sl-SI" w:eastAsia="en-GB"/>
              </w:rPr>
              <w:t>The intake of elements in human organism based on the consumption of drinking water</w:t>
            </w:r>
          </w:p>
        </w:tc>
      </w:tr>
      <w:tr w:rsidR="00BE2F2E" w:rsidRPr="00957BC0">
        <w:trPr>
          <w:jc w:val="center"/>
        </w:trPr>
        <w:tc>
          <w:tcPr>
            <w:tcW w:w="924" w:type="dxa"/>
            <w:tcBorders>
              <w:left w:val="nil"/>
              <w:right w:val="nil"/>
            </w:tcBorders>
            <w:vAlign w:val="center"/>
          </w:tcPr>
          <w:p w:rsidR="00BE2F2E" w:rsidRPr="00957BC0" w:rsidRDefault="00BE2F2E" w:rsidP="00957BC0">
            <w:pPr>
              <w:pStyle w:val="BodyText"/>
              <w:spacing w:after="0"/>
              <w:jc w:val="center"/>
              <w:rPr>
                <w:sz w:val="16"/>
                <w:szCs w:val="16"/>
                <w:lang w:val="sl-SI" w:eastAsia="en-GB"/>
              </w:rPr>
            </w:pPr>
          </w:p>
        </w:tc>
        <w:tc>
          <w:tcPr>
            <w:tcW w:w="1416" w:type="dxa"/>
            <w:vMerge/>
            <w:tcBorders>
              <w:left w:val="nil"/>
              <w:right w:val="nil"/>
            </w:tcBorders>
            <w:vAlign w:val="center"/>
          </w:tcPr>
          <w:p w:rsidR="00BE2F2E" w:rsidRPr="00957BC0" w:rsidRDefault="00BE2F2E" w:rsidP="00957BC0">
            <w:pPr>
              <w:pStyle w:val="BodyText"/>
              <w:spacing w:after="0"/>
              <w:jc w:val="center"/>
              <w:rPr>
                <w:sz w:val="16"/>
                <w:szCs w:val="16"/>
                <w:lang w:val="sl-SI" w:eastAsia="en-GB"/>
              </w:rPr>
            </w:pPr>
          </w:p>
        </w:tc>
        <w:tc>
          <w:tcPr>
            <w:tcW w:w="906" w:type="dxa"/>
            <w:tcBorders>
              <w:top w:val="nil"/>
              <w:left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 čaša</w:t>
            </w:r>
          </w:p>
          <w:p w:rsidR="00BE2F2E" w:rsidRPr="00957BC0" w:rsidRDefault="00BE2F2E" w:rsidP="00957BC0">
            <w:pPr>
              <w:pStyle w:val="BodyText"/>
              <w:spacing w:after="0"/>
              <w:jc w:val="center"/>
              <w:rPr>
                <w:sz w:val="16"/>
                <w:szCs w:val="16"/>
                <w:lang w:val="sl-SI" w:eastAsia="en-GB"/>
              </w:rPr>
            </w:pPr>
            <w:r w:rsidRPr="00957BC0">
              <w:rPr>
                <w:i/>
                <w:iCs/>
                <w:sz w:val="16"/>
                <w:szCs w:val="16"/>
                <w:lang w:val="sl-SI" w:eastAsia="en-GB"/>
              </w:rPr>
              <w:t>One glass of water</w:t>
            </w:r>
          </w:p>
        </w:tc>
        <w:tc>
          <w:tcPr>
            <w:tcW w:w="794" w:type="dxa"/>
            <w:tcBorders>
              <w:top w:val="nil"/>
              <w:left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Dnevni unos</w:t>
            </w:r>
          </w:p>
          <w:p w:rsidR="00BE2F2E" w:rsidRPr="00957BC0" w:rsidRDefault="00BE2F2E" w:rsidP="00957BC0">
            <w:pPr>
              <w:pStyle w:val="BodyText"/>
              <w:spacing w:after="0"/>
              <w:jc w:val="center"/>
              <w:rPr>
                <w:i/>
                <w:iCs/>
                <w:sz w:val="16"/>
                <w:szCs w:val="16"/>
                <w:lang w:val="sl-SI" w:eastAsia="en-GB"/>
              </w:rPr>
            </w:pPr>
            <w:r w:rsidRPr="00E7314B">
              <w:rPr>
                <w:rStyle w:val="shorttext"/>
                <w:i/>
                <w:iCs/>
                <w:sz w:val="16"/>
                <w:szCs w:val="16"/>
                <w:lang w:val="en-GB" w:eastAsia="en-GB"/>
              </w:rPr>
              <w:t>Daily intake</w:t>
            </w:r>
          </w:p>
        </w:tc>
        <w:tc>
          <w:tcPr>
            <w:tcW w:w="830" w:type="dxa"/>
            <w:tcBorders>
              <w:top w:val="nil"/>
              <w:left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Mesečni unos</w:t>
            </w:r>
          </w:p>
          <w:p w:rsidR="00BE2F2E" w:rsidRPr="00E7314B" w:rsidRDefault="00BE2F2E" w:rsidP="00957BC0">
            <w:pPr>
              <w:pStyle w:val="BodyText"/>
              <w:spacing w:after="0"/>
              <w:jc w:val="center"/>
              <w:rPr>
                <w:rStyle w:val="shorttext"/>
                <w:i/>
                <w:iCs/>
                <w:sz w:val="16"/>
                <w:szCs w:val="16"/>
                <w:lang w:val="en-GB" w:eastAsia="en-GB"/>
              </w:rPr>
            </w:pPr>
            <w:r w:rsidRPr="00E7314B">
              <w:rPr>
                <w:rStyle w:val="shorttext"/>
                <w:i/>
                <w:iCs/>
                <w:sz w:val="16"/>
                <w:szCs w:val="16"/>
                <w:lang w:val="en-GB" w:eastAsia="en-GB"/>
              </w:rPr>
              <w:t>Monthly</w:t>
            </w:r>
          </w:p>
          <w:p w:rsidR="00BE2F2E" w:rsidRPr="00957BC0" w:rsidRDefault="00BE2F2E" w:rsidP="00957BC0">
            <w:pPr>
              <w:pStyle w:val="BodyText"/>
              <w:spacing w:after="0"/>
              <w:jc w:val="center"/>
              <w:rPr>
                <w:i/>
                <w:iCs/>
                <w:sz w:val="16"/>
                <w:szCs w:val="16"/>
                <w:lang w:val="sl-SI" w:eastAsia="en-GB"/>
              </w:rPr>
            </w:pPr>
            <w:r w:rsidRPr="00E7314B">
              <w:rPr>
                <w:rStyle w:val="shorttext"/>
                <w:i/>
                <w:iCs/>
                <w:sz w:val="16"/>
                <w:szCs w:val="16"/>
                <w:lang w:val="en-GB" w:eastAsia="en-GB"/>
              </w:rPr>
              <w:t>intakey</w:t>
            </w:r>
          </w:p>
        </w:tc>
        <w:tc>
          <w:tcPr>
            <w:tcW w:w="907" w:type="dxa"/>
            <w:tcBorders>
              <w:top w:val="nil"/>
              <w:left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Godišnji unos*</w:t>
            </w:r>
          </w:p>
          <w:p w:rsidR="00BE2F2E" w:rsidRPr="00957BC0" w:rsidRDefault="00BE2F2E" w:rsidP="00957BC0">
            <w:pPr>
              <w:pStyle w:val="BodyText"/>
              <w:spacing w:after="0"/>
              <w:jc w:val="center"/>
              <w:rPr>
                <w:i/>
                <w:iCs/>
                <w:sz w:val="16"/>
                <w:szCs w:val="16"/>
                <w:lang w:val="sl-SI" w:eastAsia="en-GB"/>
              </w:rPr>
            </w:pPr>
            <w:r w:rsidRPr="00957BC0">
              <w:rPr>
                <w:i/>
                <w:iCs/>
                <w:sz w:val="16"/>
                <w:szCs w:val="16"/>
                <w:lang w:val="sl-SI" w:eastAsia="en-GB"/>
              </w:rPr>
              <w:t>Annual intake</w:t>
            </w:r>
          </w:p>
        </w:tc>
        <w:tc>
          <w:tcPr>
            <w:tcW w:w="1590" w:type="dxa"/>
            <w:tcBorders>
              <w:left w:val="nil"/>
              <w:right w:val="nil"/>
            </w:tcBorders>
            <w:vAlign w:val="center"/>
          </w:tcPr>
          <w:p w:rsidR="00BE2F2E" w:rsidRPr="00E7314B" w:rsidRDefault="00BE2F2E" w:rsidP="00957BC0">
            <w:pPr>
              <w:pStyle w:val="BodyText"/>
              <w:spacing w:after="0"/>
              <w:jc w:val="center"/>
              <w:rPr>
                <w:sz w:val="16"/>
                <w:szCs w:val="16"/>
                <w:lang w:val="en-GB" w:eastAsia="en-GB"/>
              </w:rPr>
            </w:pPr>
            <w:r w:rsidRPr="00E7314B">
              <w:rPr>
                <w:sz w:val="16"/>
                <w:szCs w:val="16"/>
                <w:lang w:val="en-GB" w:eastAsia="en-GB"/>
              </w:rPr>
              <w:t xml:space="preserve">Uneta masa </w:t>
            </w:r>
          </w:p>
          <w:p w:rsidR="00BE2F2E" w:rsidRPr="00E7314B" w:rsidRDefault="00BE2F2E" w:rsidP="00957BC0">
            <w:pPr>
              <w:pStyle w:val="BodyText"/>
              <w:spacing w:after="0"/>
              <w:jc w:val="center"/>
              <w:rPr>
                <w:sz w:val="16"/>
                <w:szCs w:val="16"/>
                <w:lang w:val="en-GB" w:eastAsia="en-GB"/>
              </w:rPr>
            </w:pPr>
            <w:r w:rsidRPr="00E7314B">
              <w:rPr>
                <w:sz w:val="16"/>
                <w:szCs w:val="16"/>
                <w:lang w:val="en-GB" w:eastAsia="en-GB"/>
              </w:rPr>
              <w:t xml:space="preserve">elemenata </w:t>
            </w:r>
            <w:r w:rsidRPr="00957BC0">
              <w:rPr>
                <w:sz w:val="16"/>
                <w:szCs w:val="16"/>
                <w:lang w:val="sl-SI" w:eastAsia="en-GB"/>
              </w:rPr>
              <w:t>*</w:t>
            </w:r>
            <w:r w:rsidRPr="00E7314B">
              <w:rPr>
                <w:sz w:val="16"/>
                <w:szCs w:val="16"/>
                <w:lang w:val="en-GB" w:eastAsia="en-GB"/>
              </w:rPr>
              <w:t>, u %</w:t>
            </w:r>
          </w:p>
          <w:p w:rsidR="00BE2F2E" w:rsidRPr="00957BC0" w:rsidRDefault="00F65EAE" w:rsidP="00F65EAE">
            <w:pPr>
              <w:pStyle w:val="BodyText"/>
              <w:spacing w:after="0"/>
              <w:jc w:val="center"/>
              <w:rPr>
                <w:i/>
                <w:iCs/>
                <w:sz w:val="16"/>
                <w:szCs w:val="16"/>
                <w:lang w:val="sl-SI" w:eastAsia="en-GB"/>
              </w:rPr>
            </w:pPr>
            <w:r>
              <w:rPr>
                <w:i/>
                <w:iCs/>
                <w:sz w:val="16"/>
                <w:szCs w:val="16"/>
                <w:lang w:val="en-GB" w:eastAsia="en-GB"/>
              </w:rPr>
              <w:t>M</w:t>
            </w:r>
            <w:r w:rsidRPr="00E7314B">
              <w:rPr>
                <w:i/>
                <w:iCs/>
                <w:sz w:val="16"/>
                <w:szCs w:val="16"/>
                <w:lang w:val="en-GB" w:eastAsia="en-GB"/>
              </w:rPr>
              <w:t xml:space="preserve">ass </w:t>
            </w:r>
            <w:r w:rsidR="00BE2F2E" w:rsidRPr="00E7314B">
              <w:rPr>
                <w:i/>
                <w:iCs/>
                <w:sz w:val="16"/>
                <w:szCs w:val="16"/>
                <w:lang w:val="en-GB" w:eastAsia="en-GB"/>
              </w:rPr>
              <w:t>of element</w:t>
            </w:r>
            <w:r>
              <w:rPr>
                <w:i/>
                <w:iCs/>
                <w:sz w:val="16"/>
                <w:szCs w:val="16"/>
                <w:lang w:val="en-GB" w:eastAsia="en-GB"/>
              </w:rPr>
              <w:t xml:space="preserve">  i</w:t>
            </w:r>
            <w:r w:rsidRPr="00E7314B">
              <w:rPr>
                <w:i/>
                <w:iCs/>
                <w:sz w:val="16"/>
                <w:szCs w:val="16"/>
                <w:lang w:val="en-GB" w:eastAsia="en-GB"/>
              </w:rPr>
              <w:t>ntake</w:t>
            </w:r>
            <w:r w:rsidR="00BE2F2E" w:rsidRPr="00E7314B">
              <w:rPr>
                <w:i/>
                <w:iCs/>
                <w:sz w:val="16"/>
                <w:szCs w:val="16"/>
                <w:lang w:val="en-GB" w:eastAsia="en-GB"/>
              </w:rPr>
              <w:t>, in %</w:t>
            </w:r>
          </w:p>
        </w:tc>
      </w:tr>
      <w:tr w:rsidR="00BE2F2E" w:rsidRPr="00957BC0">
        <w:trPr>
          <w:trHeight w:val="283"/>
          <w:jc w:val="center"/>
        </w:trPr>
        <w:tc>
          <w:tcPr>
            <w:tcW w:w="924" w:type="dxa"/>
            <w:tcBorders>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Na</w:t>
            </w:r>
          </w:p>
        </w:tc>
        <w:tc>
          <w:tcPr>
            <w:tcW w:w="1416" w:type="dxa"/>
            <w:vMerge w:val="restart"/>
            <w:tcBorders>
              <w:left w:val="nil"/>
              <w:bottom w:val="nil"/>
              <w:right w:val="nil"/>
            </w:tcBorders>
            <w:vAlign w:val="center"/>
          </w:tcPr>
          <w:p w:rsidR="00BE2F2E" w:rsidRPr="00957BC0" w:rsidRDefault="00BE2F2E" w:rsidP="00957BC0">
            <w:pPr>
              <w:pStyle w:val="BodyText"/>
              <w:spacing w:after="0"/>
              <w:jc w:val="center"/>
              <w:rPr>
                <w:i/>
                <w:iCs/>
                <w:sz w:val="16"/>
                <w:szCs w:val="16"/>
                <w:lang w:val="sl-SI" w:eastAsia="en-GB"/>
              </w:rPr>
            </w:pPr>
            <w:r w:rsidRPr="00957BC0">
              <w:rPr>
                <w:i/>
                <w:iCs/>
                <w:sz w:val="16"/>
                <w:szCs w:val="16"/>
                <w:lang w:val="sl-SI" w:eastAsia="en-GB"/>
              </w:rPr>
              <w:t>alkalni metali</w:t>
            </w:r>
          </w:p>
        </w:tc>
        <w:tc>
          <w:tcPr>
            <w:tcW w:w="906" w:type="dxa"/>
            <w:tcBorders>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0,016 mg</w:t>
            </w:r>
          </w:p>
        </w:tc>
        <w:tc>
          <w:tcPr>
            <w:tcW w:w="794" w:type="dxa"/>
            <w:tcBorders>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0,16 mg</w:t>
            </w:r>
          </w:p>
        </w:tc>
        <w:tc>
          <w:tcPr>
            <w:tcW w:w="830" w:type="dxa"/>
            <w:tcBorders>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4,92 mg</w:t>
            </w:r>
          </w:p>
        </w:tc>
        <w:tc>
          <w:tcPr>
            <w:tcW w:w="907" w:type="dxa"/>
            <w:tcBorders>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59,04 mg</w:t>
            </w:r>
          </w:p>
        </w:tc>
        <w:tc>
          <w:tcPr>
            <w:tcW w:w="1590" w:type="dxa"/>
            <w:vMerge w:val="restart"/>
            <w:tcBorders>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E7314B">
              <w:rPr>
                <w:sz w:val="16"/>
                <w:szCs w:val="16"/>
                <w:lang w:val="en-GB" w:eastAsia="en-GB"/>
              </w:rPr>
              <w:t>0,04</w:t>
            </w: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K</w:t>
            </w:r>
          </w:p>
        </w:tc>
        <w:tc>
          <w:tcPr>
            <w:tcW w:w="1416"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3,4 μg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0,03 mg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1,02 mg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12,24 mg</w:t>
            </w:r>
          </w:p>
        </w:tc>
        <w:tc>
          <w:tcPr>
            <w:tcW w:w="1590"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Mg</w:t>
            </w:r>
          </w:p>
        </w:tc>
        <w:tc>
          <w:tcPr>
            <w:tcW w:w="1416" w:type="dxa"/>
            <w:vMerge w:val="restart"/>
            <w:tcBorders>
              <w:top w:val="nil"/>
              <w:left w:val="nil"/>
              <w:bottom w:val="nil"/>
              <w:right w:val="nil"/>
            </w:tcBorders>
            <w:vAlign w:val="center"/>
          </w:tcPr>
          <w:p w:rsidR="00BE2F2E" w:rsidRPr="00957BC0" w:rsidRDefault="00BE2F2E" w:rsidP="00957BC0">
            <w:pPr>
              <w:pStyle w:val="BodyText"/>
              <w:spacing w:after="0"/>
              <w:jc w:val="center"/>
              <w:rPr>
                <w:i/>
                <w:iCs/>
                <w:sz w:val="16"/>
                <w:szCs w:val="16"/>
                <w:lang w:val="sl-SI" w:eastAsia="en-GB"/>
              </w:rPr>
            </w:pPr>
            <w:r w:rsidRPr="00957BC0">
              <w:rPr>
                <w:i/>
                <w:iCs/>
                <w:sz w:val="16"/>
                <w:szCs w:val="16"/>
                <w:lang w:val="sl-SI" w:eastAsia="en-GB"/>
              </w:rPr>
              <w:t>zemnoalkalni metali</w:t>
            </w: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1,46 mg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14,6 mg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438 mg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5,26 g</w:t>
            </w:r>
          </w:p>
        </w:tc>
        <w:tc>
          <w:tcPr>
            <w:tcW w:w="1590" w:type="dxa"/>
            <w:vMerge w:val="restart"/>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E7314B">
              <w:rPr>
                <w:sz w:val="16"/>
                <w:szCs w:val="16"/>
                <w:lang w:val="en-GB" w:eastAsia="en-GB"/>
              </w:rPr>
              <w:t>96,0</w:t>
            </w: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Ca</w:t>
            </w:r>
          </w:p>
        </w:tc>
        <w:tc>
          <w:tcPr>
            <w:tcW w:w="1416"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49,17 mg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0,49 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14,75 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177,02 g</w:t>
            </w:r>
          </w:p>
        </w:tc>
        <w:tc>
          <w:tcPr>
            <w:tcW w:w="1590"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Ti</w:t>
            </w:r>
          </w:p>
        </w:tc>
        <w:tc>
          <w:tcPr>
            <w:tcW w:w="1416" w:type="dxa"/>
            <w:vMerge w:val="restart"/>
            <w:tcBorders>
              <w:top w:val="nil"/>
              <w:left w:val="nil"/>
              <w:bottom w:val="nil"/>
              <w:right w:val="nil"/>
            </w:tcBorders>
            <w:vAlign w:val="center"/>
          </w:tcPr>
          <w:p w:rsidR="00BE2F2E" w:rsidRPr="00957BC0" w:rsidRDefault="00BE2F2E" w:rsidP="00957BC0">
            <w:pPr>
              <w:pStyle w:val="BodyText"/>
              <w:spacing w:after="0"/>
              <w:jc w:val="center"/>
              <w:rPr>
                <w:i/>
                <w:iCs/>
                <w:sz w:val="16"/>
                <w:szCs w:val="16"/>
                <w:lang w:val="sl-SI" w:eastAsia="en-GB"/>
              </w:rPr>
            </w:pPr>
            <w:r w:rsidRPr="00957BC0">
              <w:rPr>
                <w:i/>
                <w:iCs/>
                <w:sz w:val="16"/>
                <w:szCs w:val="16"/>
                <w:lang w:val="sl-SI" w:eastAsia="en-GB"/>
              </w:rPr>
              <w:t>teški metali</w:t>
            </w: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2,33 μg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23,26 μg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697,8 μg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8,37 mg</w:t>
            </w:r>
          </w:p>
        </w:tc>
        <w:tc>
          <w:tcPr>
            <w:tcW w:w="1590" w:type="dxa"/>
            <w:vMerge w:val="restart"/>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E7314B">
              <w:rPr>
                <w:sz w:val="16"/>
                <w:szCs w:val="16"/>
                <w:lang w:val="en-GB" w:eastAsia="en-GB"/>
              </w:rPr>
              <w:t>2,68</w:t>
            </w: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Cr (ukupni)</w:t>
            </w:r>
          </w:p>
        </w:tc>
        <w:tc>
          <w:tcPr>
            <w:tcW w:w="1416"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0,45 μg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4,52 μg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135,6 μg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1,63 mg</w:t>
            </w:r>
          </w:p>
        </w:tc>
        <w:tc>
          <w:tcPr>
            <w:tcW w:w="1590"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Mn</w:t>
            </w:r>
          </w:p>
        </w:tc>
        <w:tc>
          <w:tcPr>
            <w:tcW w:w="1416"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2,2 μg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0,02 mg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0,66 mg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7,92 mg</w:t>
            </w:r>
          </w:p>
        </w:tc>
        <w:tc>
          <w:tcPr>
            <w:tcW w:w="1590"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Fe</w:t>
            </w:r>
          </w:p>
        </w:tc>
        <w:tc>
          <w:tcPr>
            <w:tcW w:w="1416"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0,038 mg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0,38 mg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11,4 mg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0,14 g</w:t>
            </w:r>
          </w:p>
        </w:tc>
        <w:tc>
          <w:tcPr>
            <w:tcW w:w="1590"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Co</w:t>
            </w:r>
          </w:p>
        </w:tc>
        <w:tc>
          <w:tcPr>
            <w:tcW w:w="1416"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2 μg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20,04 μg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0,60 mg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7,21 mg</w:t>
            </w:r>
          </w:p>
        </w:tc>
        <w:tc>
          <w:tcPr>
            <w:tcW w:w="1590"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Ni</w:t>
            </w:r>
          </w:p>
        </w:tc>
        <w:tc>
          <w:tcPr>
            <w:tcW w:w="1416"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1,94 μg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19,4 μg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582 μg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6,98 mg</w:t>
            </w:r>
          </w:p>
        </w:tc>
        <w:tc>
          <w:tcPr>
            <w:tcW w:w="1590"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Cu</w:t>
            </w:r>
          </w:p>
        </w:tc>
        <w:tc>
          <w:tcPr>
            <w:tcW w:w="1416"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1,34 mg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13,38 mg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401,4 μg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4,82 g</w:t>
            </w:r>
          </w:p>
        </w:tc>
        <w:tc>
          <w:tcPr>
            <w:tcW w:w="1590"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Zn</w:t>
            </w:r>
          </w:p>
        </w:tc>
        <w:tc>
          <w:tcPr>
            <w:tcW w:w="1416"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0,03 mg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0,28 mg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8,4 mg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100,8 mg</w:t>
            </w:r>
          </w:p>
        </w:tc>
        <w:tc>
          <w:tcPr>
            <w:tcW w:w="1590"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Cd</w:t>
            </w:r>
          </w:p>
        </w:tc>
        <w:tc>
          <w:tcPr>
            <w:tcW w:w="1416"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0,58 μg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5,82 μg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174,6 μg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2,08 mg</w:t>
            </w:r>
          </w:p>
        </w:tc>
        <w:tc>
          <w:tcPr>
            <w:tcW w:w="1590"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Pb</w:t>
            </w:r>
          </w:p>
        </w:tc>
        <w:tc>
          <w:tcPr>
            <w:tcW w:w="1416"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1,94 μg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19,4 μg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0,58 mg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6,98 mg</w:t>
            </w:r>
          </w:p>
        </w:tc>
        <w:tc>
          <w:tcPr>
            <w:tcW w:w="1590" w:type="dxa"/>
            <w:vMerge/>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p>
        </w:tc>
      </w:tr>
      <w:tr w:rsidR="00BE2F2E" w:rsidRPr="00957BC0">
        <w:trPr>
          <w:trHeight w:val="283"/>
          <w:jc w:val="center"/>
        </w:trPr>
        <w:tc>
          <w:tcPr>
            <w:tcW w:w="92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Al</w:t>
            </w:r>
          </w:p>
        </w:tc>
        <w:tc>
          <w:tcPr>
            <w:tcW w:w="1416" w:type="dxa"/>
            <w:tcBorders>
              <w:top w:val="nil"/>
              <w:left w:val="nil"/>
              <w:bottom w:val="nil"/>
              <w:right w:val="nil"/>
            </w:tcBorders>
            <w:vAlign w:val="center"/>
          </w:tcPr>
          <w:p w:rsidR="00BE2F2E" w:rsidRPr="00957BC0" w:rsidRDefault="00BE2F2E" w:rsidP="00957BC0">
            <w:pPr>
              <w:pStyle w:val="BodyText"/>
              <w:spacing w:after="0"/>
              <w:jc w:val="center"/>
              <w:rPr>
                <w:i/>
                <w:iCs/>
                <w:sz w:val="16"/>
                <w:szCs w:val="16"/>
                <w:lang w:val="sl-SI" w:eastAsia="en-GB"/>
              </w:rPr>
            </w:pPr>
            <w:r w:rsidRPr="00957BC0">
              <w:rPr>
                <w:i/>
                <w:iCs/>
                <w:sz w:val="16"/>
                <w:szCs w:val="16"/>
                <w:lang w:val="sl-SI" w:eastAsia="en-GB"/>
              </w:rPr>
              <w:t>amfoterni metali</w:t>
            </w:r>
          </w:p>
        </w:tc>
        <w:tc>
          <w:tcPr>
            <w:tcW w:w="906"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0,11 mg</w:t>
            </w:r>
          </w:p>
        </w:tc>
        <w:tc>
          <w:tcPr>
            <w:tcW w:w="794"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1,08 mg</w:t>
            </w:r>
          </w:p>
        </w:tc>
        <w:tc>
          <w:tcPr>
            <w:tcW w:w="83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32,4 mg</w:t>
            </w:r>
          </w:p>
        </w:tc>
        <w:tc>
          <w:tcPr>
            <w:tcW w:w="907"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388,8 mg</w:t>
            </w:r>
          </w:p>
        </w:tc>
        <w:tc>
          <w:tcPr>
            <w:tcW w:w="1590" w:type="dxa"/>
            <w:tcBorders>
              <w:top w:val="nil"/>
              <w:left w:val="nil"/>
              <w:bottom w:val="nil"/>
              <w:right w:val="nil"/>
            </w:tcBorders>
            <w:vAlign w:val="center"/>
          </w:tcPr>
          <w:p w:rsidR="00BE2F2E" w:rsidRPr="00957BC0" w:rsidRDefault="00BE2F2E" w:rsidP="00957BC0">
            <w:pPr>
              <w:pStyle w:val="BodyText"/>
              <w:spacing w:after="0"/>
              <w:jc w:val="center"/>
              <w:rPr>
                <w:sz w:val="16"/>
                <w:szCs w:val="16"/>
                <w:lang w:val="sl-SI" w:eastAsia="en-GB"/>
              </w:rPr>
            </w:pPr>
            <w:r w:rsidRPr="00E7314B">
              <w:rPr>
                <w:sz w:val="16"/>
                <w:szCs w:val="16"/>
                <w:lang w:val="en-GB" w:eastAsia="en-GB"/>
              </w:rPr>
              <w:t>≈ 0,21</w:t>
            </w:r>
          </w:p>
        </w:tc>
      </w:tr>
      <w:tr w:rsidR="00BE2F2E" w:rsidRPr="00957BC0">
        <w:trPr>
          <w:trHeight w:val="283"/>
          <w:jc w:val="center"/>
        </w:trPr>
        <w:tc>
          <w:tcPr>
            <w:tcW w:w="924" w:type="dxa"/>
            <w:tcBorders>
              <w:top w:val="nil"/>
              <w:left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Si</w:t>
            </w:r>
          </w:p>
        </w:tc>
        <w:tc>
          <w:tcPr>
            <w:tcW w:w="1416" w:type="dxa"/>
            <w:tcBorders>
              <w:top w:val="nil"/>
              <w:left w:val="nil"/>
              <w:right w:val="nil"/>
            </w:tcBorders>
            <w:vAlign w:val="center"/>
          </w:tcPr>
          <w:p w:rsidR="00BE2F2E" w:rsidRPr="00957BC0" w:rsidRDefault="00BE2F2E" w:rsidP="00957BC0">
            <w:pPr>
              <w:pStyle w:val="BodyText"/>
              <w:spacing w:after="0"/>
              <w:jc w:val="center"/>
              <w:rPr>
                <w:i/>
                <w:iCs/>
                <w:sz w:val="16"/>
                <w:szCs w:val="16"/>
                <w:lang w:val="sl-SI" w:eastAsia="en-GB"/>
              </w:rPr>
            </w:pPr>
            <w:r w:rsidRPr="00957BC0">
              <w:rPr>
                <w:i/>
                <w:iCs/>
                <w:sz w:val="16"/>
                <w:szCs w:val="16"/>
                <w:lang w:val="sl-SI" w:eastAsia="en-GB"/>
              </w:rPr>
              <w:t>polumetali</w:t>
            </w:r>
          </w:p>
        </w:tc>
        <w:tc>
          <w:tcPr>
            <w:tcW w:w="906" w:type="dxa"/>
            <w:tcBorders>
              <w:top w:val="nil"/>
              <w:left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0,56 mg</w:t>
            </w:r>
          </w:p>
        </w:tc>
        <w:tc>
          <w:tcPr>
            <w:tcW w:w="794" w:type="dxa"/>
            <w:tcBorders>
              <w:top w:val="nil"/>
              <w:left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5,56 mg</w:t>
            </w:r>
          </w:p>
        </w:tc>
        <w:tc>
          <w:tcPr>
            <w:tcW w:w="830" w:type="dxa"/>
            <w:tcBorders>
              <w:top w:val="nil"/>
              <w:left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166,8 mg</w:t>
            </w:r>
          </w:p>
        </w:tc>
        <w:tc>
          <w:tcPr>
            <w:tcW w:w="907" w:type="dxa"/>
            <w:tcBorders>
              <w:top w:val="nil"/>
              <w:left w:val="nil"/>
              <w:right w:val="nil"/>
            </w:tcBorders>
            <w:vAlign w:val="center"/>
          </w:tcPr>
          <w:p w:rsidR="00BE2F2E" w:rsidRPr="00957BC0" w:rsidRDefault="00BE2F2E" w:rsidP="00957BC0">
            <w:pPr>
              <w:pStyle w:val="BodyText"/>
              <w:spacing w:after="0"/>
              <w:jc w:val="center"/>
              <w:rPr>
                <w:sz w:val="16"/>
                <w:szCs w:val="16"/>
                <w:lang w:val="sl-SI" w:eastAsia="en-GB"/>
              </w:rPr>
            </w:pPr>
            <w:r w:rsidRPr="00957BC0">
              <w:rPr>
                <w:sz w:val="16"/>
                <w:szCs w:val="16"/>
                <w:lang w:val="sl-SI" w:eastAsia="en-GB"/>
              </w:rPr>
              <w:t>2,00 g</w:t>
            </w:r>
          </w:p>
        </w:tc>
        <w:tc>
          <w:tcPr>
            <w:tcW w:w="1590" w:type="dxa"/>
            <w:tcBorders>
              <w:top w:val="nil"/>
              <w:left w:val="nil"/>
              <w:right w:val="nil"/>
            </w:tcBorders>
            <w:vAlign w:val="center"/>
          </w:tcPr>
          <w:p w:rsidR="00BE2F2E" w:rsidRPr="00957BC0" w:rsidRDefault="00BE2F2E" w:rsidP="00957BC0">
            <w:pPr>
              <w:pStyle w:val="BodyText"/>
              <w:spacing w:after="0"/>
              <w:jc w:val="center"/>
              <w:rPr>
                <w:sz w:val="16"/>
                <w:szCs w:val="16"/>
                <w:lang w:val="sl-SI" w:eastAsia="en-GB"/>
              </w:rPr>
            </w:pPr>
            <w:r w:rsidRPr="00E7314B">
              <w:rPr>
                <w:sz w:val="16"/>
                <w:szCs w:val="16"/>
                <w:lang w:val="en-GB" w:eastAsia="en-GB"/>
              </w:rPr>
              <w:t>1,05</w:t>
            </w:r>
          </w:p>
        </w:tc>
      </w:tr>
      <w:tr w:rsidR="00BE2F2E" w:rsidRPr="00957BC0">
        <w:trPr>
          <w:trHeight w:val="283"/>
          <w:jc w:val="center"/>
        </w:trPr>
        <w:tc>
          <w:tcPr>
            <w:tcW w:w="4870" w:type="dxa"/>
            <w:gridSpan w:val="5"/>
            <w:tcBorders>
              <w:left w:val="nil"/>
              <w:right w:val="nil"/>
            </w:tcBorders>
            <w:vAlign w:val="center"/>
          </w:tcPr>
          <w:p w:rsidR="00BE2F2E" w:rsidRPr="00957BC0" w:rsidRDefault="00BE2F2E" w:rsidP="00957BC0">
            <w:pPr>
              <w:jc w:val="center"/>
              <w:rPr>
                <w:sz w:val="16"/>
                <w:szCs w:val="16"/>
              </w:rPr>
            </w:pPr>
            <w:r w:rsidRPr="00957BC0">
              <w:rPr>
                <w:sz w:val="16"/>
                <w:szCs w:val="16"/>
              </w:rPr>
              <w:t>Σ</w:t>
            </w:r>
          </w:p>
        </w:tc>
        <w:tc>
          <w:tcPr>
            <w:tcW w:w="907" w:type="dxa"/>
            <w:tcBorders>
              <w:left w:val="nil"/>
              <w:right w:val="nil"/>
            </w:tcBorders>
            <w:vAlign w:val="center"/>
          </w:tcPr>
          <w:p w:rsidR="00BE2F2E" w:rsidRPr="00957BC0" w:rsidRDefault="00BE2F2E" w:rsidP="00957BC0">
            <w:pPr>
              <w:jc w:val="center"/>
              <w:rPr>
                <w:sz w:val="16"/>
                <w:szCs w:val="16"/>
              </w:rPr>
            </w:pPr>
            <w:r w:rsidRPr="00957BC0">
              <w:rPr>
                <w:sz w:val="16"/>
                <w:szCs w:val="16"/>
              </w:rPr>
              <w:t>189,83</w:t>
            </w:r>
          </w:p>
        </w:tc>
        <w:tc>
          <w:tcPr>
            <w:tcW w:w="1590" w:type="dxa"/>
            <w:tcBorders>
              <w:left w:val="nil"/>
              <w:right w:val="nil"/>
            </w:tcBorders>
            <w:vAlign w:val="center"/>
          </w:tcPr>
          <w:p w:rsidR="00BE2F2E" w:rsidRPr="00957BC0" w:rsidRDefault="00BE2F2E" w:rsidP="00957BC0">
            <w:pPr>
              <w:jc w:val="center"/>
              <w:rPr>
                <w:sz w:val="16"/>
                <w:szCs w:val="16"/>
                <w:vertAlign w:val="superscript"/>
              </w:rPr>
            </w:pPr>
            <w:r w:rsidRPr="00957BC0">
              <w:rPr>
                <w:sz w:val="16"/>
                <w:szCs w:val="16"/>
              </w:rPr>
              <w:t>≈ 100</w:t>
            </w:r>
          </w:p>
        </w:tc>
      </w:tr>
    </w:tbl>
    <w:p w:rsidR="00BE2F2E" w:rsidRPr="00957BC0" w:rsidRDefault="00BE2F2E" w:rsidP="00957BC0">
      <w:pPr>
        <w:spacing w:before="40"/>
        <w:jc w:val="both"/>
        <w:rPr>
          <w:sz w:val="16"/>
          <w:szCs w:val="16"/>
          <w:lang w:val="sr-Latn-CS"/>
        </w:rPr>
      </w:pPr>
      <w:r>
        <w:rPr>
          <w:sz w:val="16"/>
          <w:szCs w:val="16"/>
          <w:lang w:val="sr-Latn-CS"/>
        </w:rPr>
        <w:t>*</w:t>
      </w:r>
      <w:r w:rsidRPr="00957BC0">
        <w:rPr>
          <w:sz w:val="16"/>
          <w:szCs w:val="16"/>
          <w:lang w:val="sr-Latn-CS"/>
        </w:rPr>
        <w:t>Godišnji unos je proračunat na osnovu mesečnog unosa, budući da se od proračuna na godišnji unosu na osnovu dana razlikuju za 1,37%.</w:t>
      </w:r>
    </w:p>
    <w:p w:rsidR="00BE2F2E" w:rsidRPr="00957BC0" w:rsidRDefault="00BE2F2E" w:rsidP="00957BC0">
      <w:pPr>
        <w:jc w:val="both"/>
        <w:rPr>
          <w:i/>
          <w:iCs/>
          <w:sz w:val="16"/>
          <w:szCs w:val="16"/>
          <w:lang w:val="sr-Latn-CS"/>
        </w:rPr>
      </w:pPr>
      <w:r w:rsidRPr="00957BC0">
        <w:rPr>
          <w:sz w:val="16"/>
          <w:szCs w:val="16"/>
          <w:lang w:val="sr-Latn-CS"/>
        </w:rPr>
        <w:t>*</w:t>
      </w:r>
      <w:r w:rsidRPr="00957BC0">
        <w:rPr>
          <w:i/>
          <w:iCs/>
          <w:sz w:val="16"/>
          <w:szCs w:val="16"/>
        </w:rPr>
        <w:t>The annual intake is calculated on the basis of the monthly intake, as they differ by 1.37% from the annual intake based on the day.</w:t>
      </w:r>
    </w:p>
    <w:p w:rsidR="00BE2F2E" w:rsidRDefault="00BE2F2E" w:rsidP="00D24143">
      <w:pPr>
        <w:ind w:firstLine="480"/>
        <w:jc w:val="both"/>
        <w:rPr>
          <w:sz w:val="22"/>
          <w:szCs w:val="22"/>
          <w:lang w:val="sl-SI"/>
        </w:rPr>
      </w:pPr>
    </w:p>
    <w:p w:rsidR="00BE2F2E" w:rsidRPr="00924788" w:rsidRDefault="00BE2F2E" w:rsidP="00D24143">
      <w:pPr>
        <w:ind w:firstLine="426"/>
        <w:jc w:val="both"/>
        <w:rPr>
          <w:sz w:val="22"/>
          <w:szCs w:val="22"/>
          <w:lang w:val="it-IT"/>
        </w:rPr>
      </w:pPr>
      <w:r w:rsidRPr="00B3458F">
        <w:rPr>
          <w:sz w:val="22"/>
          <w:szCs w:val="22"/>
          <w:lang w:val="it-IT"/>
        </w:rPr>
        <w:t>U</w:t>
      </w:r>
      <w:r>
        <w:rPr>
          <w:b/>
          <w:bCs/>
          <w:sz w:val="22"/>
          <w:szCs w:val="22"/>
          <w:lang w:val="it-IT"/>
        </w:rPr>
        <w:t xml:space="preserve"> </w:t>
      </w:r>
      <w:r w:rsidRPr="00B3458F">
        <w:rPr>
          <w:sz w:val="22"/>
          <w:szCs w:val="22"/>
          <w:lang w:val="it-IT"/>
        </w:rPr>
        <w:t>vodi za piće iz vodovodne mreže Grada Požarevca nađeno je</w:t>
      </w:r>
      <w:r>
        <w:rPr>
          <w:b/>
          <w:bCs/>
          <w:sz w:val="22"/>
          <w:szCs w:val="22"/>
          <w:lang w:val="it-IT"/>
        </w:rPr>
        <w:t xml:space="preserve"> </w:t>
      </w:r>
      <w:r w:rsidRPr="00B3458F">
        <w:rPr>
          <w:sz w:val="22"/>
          <w:szCs w:val="22"/>
          <w:lang w:val="it-IT"/>
        </w:rPr>
        <w:t>≈ 1,4 puta više,</w:t>
      </w:r>
      <w:r>
        <w:rPr>
          <w:sz w:val="22"/>
          <w:szCs w:val="22"/>
          <w:lang w:val="it-IT"/>
        </w:rPr>
        <w:t xml:space="preserve"> što može prouzrokovati tegobe kod konzumenata.</w:t>
      </w:r>
      <w:r>
        <w:rPr>
          <w:b/>
          <w:bCs/>
          <w:sz w:val="22"/>
          <w:szCs w:val="22"/>
          <w:lang w:val="it-IT"/>
        </w:rPr>
        <w:t xml:space="preserve"> </w:t>
      </w:r>
      <w:r w:rsidRPr="00B3458F">
        <w:rPr>
          <w:sz w:val="22"/>
          <w:szCs w:val="22"/>
          <w:lang w:val="it-IT"/>
        </w:rPr>
        <w:t xml:space="preserve">Prekomerna količina </w:t>
      </w:r>
      <w:r>
        <w:rPr>
          <w:sz w:val="22"/>
          <w:szCs w:val="22"/>
          <w:lang w:val="it-IT"/>
        </w:rPr>
        <w:t>K</w:t>
      </w:r>
      <w:r w:rsidRPr="00B3458F">
        <w:rPr>
          <w:sz w:val="22"/>
          <w:szCs w:val="22"/>
          <w:lang w:val="it-IT"/>
        </w:rPr>
        <w:t xml:space="preserve"> u krvi (</w:t>
      </w:r>
      <w:r w:rsidRPr="005542B1">
        <w:rPr>
          <w:i/>
          <w:iCs/>
          <w:sz w:val="22"/>
          <w:szCs w:val="22"/>
          <w:lang w:val="it-IT"/>
        </w:rPr>
        <w:t>hiperkalijemija</w:t>
      </w:r>
      <w:r w:rsidRPr="00B3458F">
        <w:rPr>
          <w:sz w:val="22"/>
          <w:szCs w:val="22"/>
          <w:lang w:val="it-IT"/>
        </w:rPr>
        <w:t>)</w:t>
      </w:r>
      <w:r w:rsidRPr="00B3458F">
        <w:rPr>
          <w:b/>
          <w:bCs/>
          <w:sz w:val="22"/>
          <w:szCs w:val="22"/>
          <w:lang w:val="it-IT"/>
        </w:rPr>
        <w:t xml:space="preserve"> </w:t>
      </w:r>
      <w:r w:rsidRPr="00B3458F">
        <w:rPr>
          <w:sz w:val="22"/>
          <w:szCs w:val="22"/>
          <w:lang w:val="it-IT"/>
        </w:rPr>
        <w:t xml:space="preserve">izaziva slabu podražljivost, a time i slabost srčanog i ostalih mišića u telu. A zbog slabosti rada srčanog mišića i neadekvatnog pumpanja krvi </w:t>
      </w:r>
      <w:r w:rsidRPr="00B3458F">
        <w:rPr>
          <w:sz w:val="22"/>
          <w:szCs w:val="22"/>
          <w:lang w:val="it-IT"/>
        </w:rPr>
        <w:lastRenderedPageBreak/>
        <w:t xml:space="preserve">kroz pluća nastaje otežano disanje, gušenje vodom u plućima, i životna ugroženost. Mišićna slabost, paralize, mučnina i zamor samo </w:t>
      </w:r>
      <w:r>
        <w:rPr>
          <w:sz w:val="22"/>
          <w:szCs w:val="22"/>
          <w:lang w:val="it-IT"/>
        </w:rPr>
        <w:t xml:space="preserve">su </w:t>
      </w:r>
      <w:r w:rsidRPr="00B3458F">
        <w:rPr>
          <w:sz w:val="22"/>
          <w:szCs w:val="22"/>
          <w:lang w:val="it-IT"/>
        </w:rPr>
        <w:t xml:space="preserve">prateći fenomeni glavnih, tj. kardiovaskularnih poremećaja. Pri manjem porastu </w:t>
      </w:r>
      <w:r>
        <w:rPr>
          <w:sz w:val="22"/>
          <w:szCs w:val="22"/>
          <w:lang w:val="it-IT"/>
        </w:rPr>
        <w:t>K</w:t>
      </w:r>
      <w:r w:rsidRPr="00B3458F">
        <w:rPr>
          <w:sz w:val="22"/>
          <w:szCs w:val="22"/>
          <w:lang w:val="it-IT"/>
        </w:rPr>
        <w:t xml:space="preserve"> srčani ritam se usporava, a pri većem postaje nepravilan i na kraju ekstremno brz, a srce slabo i neefikasno</w:t>
      </w:r>
      <w:r>
        <w:rPr>
          <w:sz w:val="22"/>
          <w:szCs w:val="22"/>
          <w:lang w:val="it-IT"/>
        </w:rPr>
        <w:t xml:space="preserve"> (Pizent and Butković, 2010).</w:t>
      </w:r>
    </w:p>
    <w:p w:rsidR="00BE2F2E" w:rsidRPr="00D24143" w:rsidRDefault="00BE2F2E" w:rsidP="00D24143">
      <w:pPr>
        <w:pStyle w:val="NormalWeb"/>
        <w:spacing w:before="0" w:beforeAutospacing="0" w:after="0" w:afterAutospacing="0"/>
        <w:ind w:firstLine="426"/>
        <w:jc w:val="both"/>
        <w:rPr>
          <w:sz w:val="22"/>
          <w:szCs w:val="22"/>
          <w:lang w:val="de-DE"/>
        </w:rPr>
      </w:pPr>
      <w:r w:rsidRPr="002C3E04">
        <w:rPr>
          <w:b/>
          <w:bCs/>
          <w:sz w:val="22"/>
          <w:szCs w:val="22"/>
          <w:lang w:val="it-IT"/>
        </w:rPr>
        <w:t>Kalcijum</w:t>
      </w:r>
      <w:r w:rsidRPr="002C3E04">
        <w:rPr>
          <w:sz w:val="22"/>
          <w:szCs w:val="22"/>
          <w:lang w:val="it-IT"/>
        </w:rPr>
        <w:t xml:space="preserve"> se u organizmu čoveka nalazi u velikim količinama, 1,5</w:t>
      </w:r>
      <w:r>
        <w:rPr>
          <w:rFonts w:ascii="Cambria Math" w:hAnsi="Cambria Math" w:cs="Cambria Math"/>
          <w:sz w:val="22"/>
          <w:szCs w:val="22"/>
          <w:lang w:val="it-IT"/>
        </w:rPr>
        <w:t>‒</w:t>
      </w:r>
      <w:r w:rsidRPr="002C3E04">
        <w:rPr>
          <w:sz w:val="22"/>
          <w:szCs w:val="22"/>
          <w:lang w:val="it-IT"/>
        </w:rPr>
        <w:t xml:space="preserve">2% telesne mase čoveka, npr. čovek telesne mase od 70 kg sadrži 1,2 kg </w:t>
      </w:r>
      <w:r>
        <w:rPr>
          <w:sz w:val="22"/>
          <w:szCs w:val="22"/>
          <w:lang w:val="it-IT"/>
        </w:rPr>
        <w:t>C</w:t>
      </w:r>
      <w:r w:rsidRPr="002C3E04">
        <w:rPr>
          <w:sz w:val="22"/>
          <w:szCs w:val="22"/>
          <w:lang w:val="it-IT"/>
        </w:rPr>
        <w:t>a, a od toga 99% se nalazi u skeletu, kostima i zubima (tzv. koštana masa)</w:t>
      </w:r>
      <w:r>
        <w:rPr>
          <w:sz w:val="22"/>
          <w:szCs w:val="22"/>
          <w:lang w:val="it-IT"/>
        </w:rPr>
        <w:t xml:space="preserve"> (oko 80% kalcijuma se nalazi u </w:t>
      </w:r>
      <w:r w:rsidRPr="00D24143">
        <w:rPr>
          <w:sz w:val="22"/>
          <w:szCs w:val="22"/>
          <w:lang w:val="it-IT"/>
        </w:rPr>
        <w:t>obliku Ca</w:t>
      </w:r>
      <w:r w:rsidRPr="00D24143">
        <w:rPr>
          <w:sz w:val="22"/>
          <w:szCs w:val="22"/>
          <w:vertAlign w:val="subscript"/>
          <w:lang w:val="it-IT"/>
        </w:rPr>
        <w:t>3</w:t>
      </w:r>
      <w:r w:rsidRPr="00D24143">
        <w:rPr>
          <w:sz w:val="22"/>
          <w:szCs w:val="22"/>
          <w:lang w:val="it-IT"/>
        </w:rPr>
        <w:t>(PO</w:t>
      </w:r>
      <w:r w:rsidRPr="00D24143">
        <w:rPr>
          <w:sz w:val="22"/>
          <w:szCs w:val="22"/>
          <w:vertAlign w:val="subscript"/>
          <w:lang w:val="it-IT"/>
        </w:rPr>
        <w:t>4</w:t>
      </w:r>
      <w:r w:rsidRPr="00D24143">
        <w:rPr>
          <w:sz w:val="22"/>
          <w:szCs w:val="22"/>
          <w:lang w:val="it-IT"/>
        </w:rPr>
        <w:t>)</w:t>
      </w:r>
      <w:r w:rsidRPr="00D24143">
        <w:rPr>
          <w:sz w:val="22"/>
          <w:szCs w:val="22"/>
          <w:vertAlign w:val="subscript"/>
          <w:lang w:val="it-IT"/>
        </w:rPr>
        <w:t>2</w:t>
      </w:r>
      <w:r w:rsidRPr="00D24143">
        <w:rPr>
          <w:sz w:val="22"/>
          <w:szCs w:val="22"/>
          <w:lang w:val="it-IT"/>
        </w:rPr>
        <w:t>, a 13% u obliku CaCO</w:t>
      </w:r>
      <w:r w:rsidRPr="00D24143">
        <w:rPr>
          <w:sz w:val="22"/>
          <w:szCs w:val="22"/>
          <w:vertAlign w:val="subscript"/>
          <w:lang w:val="it-IT"/>
        </w:rPr>
        <w:t>3</w:t>
      </w:r>
      <w:r w:rsidRPr="00D24143">
        <w:rPr>
          <w:sz w:val="22"/>
          <w:szCs w:val="22"/>
          <w:lang w:val="it-IT"/>
        </w:rPr>
        <w:t xml:space="preserve">), i u obliku hidroksiapatita (Rajković, 2002). Ostatak od 1% Ca nalazi se u telesnim tečnostima i mekim tkivima, delimično u obliku jona, delimično vezan za proteine (albumine). </w:t>
      </w:r>
      <w:r w:rsidRPr="00D24143">
        <w:rPr>
          <w:sz w:val="22"/>
          <w:szCs w:val="22"/>
          <w:lang w:val="de-DE"/>
        </w:rPr>
        <w:t>Ca</w:t>
      </w:r>
      <w:r w:rsidRPr="00D24143">
        <w:rPr>
          <w:sz w:val="22"/>
          <w:szCs w:val="22"/>
          <w:vertAlign w:val="superscript"/>
          <w:lang w:val="de-DE"/>
        </w:rPr>
        <w:t>2+</w:t>
      </w:r>
      <w:r w:rsidRPr="00D24143">
        <w:rPr>
          <w:sz w:val="22"/>
          <w:szCs w:val="22"/>
          <w:lang w:val="de-DE"/>
        </w:rPr>
        <w:t xml:space="preserve">-jon ima važnu ulogu u koagulaciji krvi (u suprotnom bolest </w:t>
      </w:r>
      <w:r w:rsidRPr="00D24143">
        <w:rPr>
          <w:i/>
          <w:iCs/>
          <w:sz w:val="22"/>
          <w:szCs w:val="22"/>
          <w:lang w:val="de-DE"/>
        </w:rPr>
        <w:t>hemofilija</w:t>
      </w:r>
      <w:r w:rsidRPr="00D24143">
        <w:rPr>
          <w:sz w:val="22"/>
          <w:szCs w:val="22"/>
          <w:lang w:val="de-DE"/>
        </w:rPr>
        <w:t>), permeabilnosti ćelijskih membrana, osetljivosti srca, mišića i nerava. Ca takođe igra značajnu ulogu u kontrakciji mišića, otpuštanju hormona i osiguravanju pravilnog funkcionisanja mozga i živaca. Baš kao što je moguće patiti zbog nedostatka Ca u telu, tako je moguće susresti se i sa njegovim viškom (</w:t>
      </w:r>
      <w:hyperlink r:id="rId10" w:tgtFrame="_blank" w:history="1">
        <w:r w:rsidRPr="00D24143">
          <w:rPr>
            <w:rStyle w:val="Strong"/>
            <w:b w:val="0"/>
            <w:bCs w:val="0"/>
            <w:i/>
            <w:iCs/>
            <w:sz w:val="22"/>
            <w:szCs w:val="22"/>
            <w:lang w:val="de-DE"/>
          </w:rPr>
          <w:t>hiperkalcemija</w:t>
        </w:r>
      </w:hyperlink>
      <w:r w:rsidRPr="00D24143">
        <w:rPr>
          <w:sz w:val="22"/>
          <w:szCs w:val="22"/>
          <w:lang w:val="de-DE"/>
        </w:rPr>
        <w:t>).</w:t>
      </w:r>
    </w:p>
    <w:p w:rsidR="00BE2F2E" w:rsidRPr="00D24143" w:rsidRDefault="00BE2F2E" w:rsidP="00D24143">
      <w:pPr>
        <w:ind w:firstLine="426"/>
        <w:jc w:val="both"/>
        <w:rPr>
          <w:sz w:val="22"/>
          <w:szCs w:val="22"/>
          <w:lang w:val="it-IT"/>
        </w:rPr>
      </w:pPr>
      <w:r w:rsidRPr="00D24143">
        <w:rPr>
          <w:sz w:val="22"/>
          <w:szCs w:val="22"/>
          <w:lang w:val="it-IT"/>
        </w:rPr>
        <w:t>Resorbuje se samo 10</w:t>
      </w:r>
      <w:r w:rsidRPr="00D24143">
        <w:rPr>
          <w:rFonts w:ascii="Cambria Math" w:hAnsi="Cambria Math" w:cs="Cambria Math"/>
          <w:sz w:val="22"/>
          <w:szCs w:val="22"/>
          <w:lang w:val="it-IT"/>
        </w:rPr>
        <w:t>‒</w:t>
      </w:r>
      <w:r w:rsidRPr="00D24143">
        <w:rPr>
          <w:sz w:val="22"/>
          <w:szCs w:val="22"/>
          <w:lang w:val="it-IT"/>
        </w:rPr>
        <w:t>30% Ca iz hrane, a resorpcija se vrši u gornjim delovima crevnog trakta. MDK vrednost za Ca u vodi za piće je najveća i iznosi 200 mg/dm</w:t>
      </w:r>
      <w:r w:rsidRPr="00D24143">
        <w:rPr>
          <w:sz w:val="22"/>
          <w:szCs w:val="22"/>
          <w:vertAlign w:val="superscript"/>
          <w:lang w:val="it-IT"/>
        </w:rPr>
        <w:t>3</w:t>
      </w:r>
      <w:r w:rsidRPr="00D24143">
        <w:rPr>
          <w:sz w:val="22"/>
          <w:szCs w:val="22"/>
          <w:lang w:val="it-IT"/>
        </w:rPr>
        <w:t xml:space="preserve"> a uslovljena je pre svega vrstom vode, da li je tvrda ili meka, ali stepen usvojenosti Ca od strane organizma zavisi od odnosa kalcijum:fosfor, koji mora biti 2:1, jer pri nižem odnosu fosfor vezuje Ca za sebe.</w:t>
      </w:r>
    </w:p>
    <w:p w:rsidR="00BE2F2E" w:rsidRDefault="00BE2F2E" w:rsidP="00D24143">
      <w:pPr>
        <w:pStyle w:val="NormalWeb"/>
        <w:widowControl w:val="0"/>
        <w:spacing w:before="0" w:beforeAutospacing="0" w:after="0" w:afterAutospacing="0"/>
        <w:ind w:firstLine="426"/>
        <w:jc w:val="both"/>
        <w:rPr>
          <w:b/>
          <w:bCs/>
          <w:sz w:val="22"/>
          <w:szCs w:val="22"/>
          <w:lang w:val="it-IT"/>
        </w:rPr>
      </w:pPr>
      <w:r w:rsidRPr="00D24143">
        <w:rPr>
          <w:sz w:val="22"/>
          <w:szCs w:val="22"/>
          <w:lang w:val="it-IT"/>
        </w:rPr>
        <w:t xml:space="preserve">Osim preterane konzumacije Ca i sunčevog vitamina, do ovog stanja može doći usled preterane aktivnosti paratiroidne žlijezde, raka i drugih bolesti. Najčešći simptom previše Ca je </w:t>
      </w:r>
      <w:r w:rsidRPr="00D24143">
        <w:rPr>
          <w:rStyle w:val="Strong"/>
          <w:b w:val="0"/>
          <w:bCs w:val="0"/>
          <w:sz w:val="22"/>
          <w:szCs w:val="22"/>
          <w:lang w:val="it-IT"/>
        </w:rPr>
        <w:t>izuzetna letargija</w:t>
      </w:r>
      <w:r w:rsidRPr="00D24143">
        <w:rPr>
          <w:sz w:val="22"/>
          <w:szCs w:val="22"/>
          <w:lang w:val="it-IT"/>
        </w:rPr>
        <w:t xml:space="preserve">. Među ozbiljnije simptome </w:t>
      </w:r>
      <w:r w:rsidRPr="00D24143">
        <w:rPr>
          <w:i/>
          <w:iCs/>
          <w:sz w:val="22"/>
          <w:szCs w:val="22"/>
          <w:lang w:val="it-IT"/>
        </w:rPr>
        <w:t>hiperkalcemije</w:t>
      </w:r>
      <w:r w:rsidRPr="00D24143">
        <w:rPr>
          <w:sz w:val="22"/>
          <w:szCs w:val="22"/>
          <w:lang w:val="it-IT"/>
        </w:rPr>
        <w:t xml:space="preserve"> spada </w:t>
      </w:r>
      <w:r w:rsidRPr="00D24143">
        <w:rPr>
          <w:rStyle w:val="Strong"/>
          <w:b w:val="0"/>
          <w:bCs w:val="0"/>
          <w:sz w:val="22"/>
          <w:szCs w:val="22"/>
          <w:lang w:val="it-IT"/>
        </w:rPr>
        <w:t>nepravilan ritam otkucaja srca</w:t>
      </w:r>
      <w:r w:rsidRPr="00D24143">
        <w:rPr>
          <w:b/>
          <w:bCs/>
          <w:sz w:val="22"/>
          <w:szCs w:val="22"/>
          <w:lang w:val="it-IT"/>
        </w:rPr>
        <w:t xml:space="preserve"> </w:t>
      </w:r>
      <w:r w:rsidRPr="00D24143">
        <w:rPr>
          <w:sz w:val="22"/>
          <w:szCs w:val="22"/>
          <w:lang w:val="it-IT"/>
        </w:rPr>
        <w:t>i vrlo</w:t>
      </w:r>
      <w:r w:rsidRPr="00D24143">
        <w:rPr>
          <w:b/>
          <w:bCs/>
          <w:sz w:val="22"/>
          <w:szCs w:val="22"/>
          <w:lang w:val="it-IT"/>
        </w:rPr>
        <w:t xml:space="preserve"> </w:t>
      </w:r>
      <w:r w:rsidRPr="00D24143">
        <w:rPr>
          <w:rStyle w:val="Strong"/>
          <w:b w:val="0"/>
          <w:bCs w:val="0"/>
          <w:sz w:val="22"/>
          <w:szCs w:val="22"/>
          <w:lang w:val="it-IT"/>
        </w:rPr>
        <w:t>niski pritisak</w:t>
      </w:r>
      <w:r w:rsidRPr="00D24143">
        <w:rPr>
          <w:b/>
          <w:bCs/>
          <w:sz w:val="22"/>
          <w:szCs w:val="22"/>
          <w:lang w:val="it-IT"/>
        </w:rPr>
        <w:t>.</w:t>
      </w:r>
    </w:p>
    <w:p w:rsidR="00BE2F2E" w:rsidRPr="00D24143" w:rsidRDefault="00BE2F2E" w:rsidP="00D24143">
      <w:pPr>
        <w:widowControl w:val="0"/>
        <w:ind w:firstLine="426"/>
        <w:jc w:val="both"/>
        <w:rPr>
          <w:sz w:val="22"/>
          <w:szCs w:val="22"/>
          <w:lang w:val="it-IT"/>
        </w:rPr>
      </w:pPr>
      <w:r w:rsidRPr="00D24143">
        <w:rPr>
          <w:b/>
          <w:bCs/>
          <w:sz w:val="22"/>
          <w:szCs w:val="22"/>
          <w:lang w:val="it-IT"/>
        </w:rPr>
        <w:t>Aluminijum</w:t>
      </w:r>
      <w:r w:rsidRPr="00D24143">
        <w:rPr>
          <w:sz w:val="22"/>
          <w:szCs w:val="22"/>
          <w:lang w:val="it-IT"/>
        </w:rPr>
        <w:t xml:space="preserve"> je sveprisutan u prirodi (najčešći metal u Zemljinoj kori) i prirodno se pojavljuje u većini prehrambenih namirnica i u vodi, a dnevna izloženost putem hrane je 3</w:t>
      </w:r>
      <w:r w:rsidRPr="00D24143">
        <w:rPr>
          <w:rFonts w:ascii="Cambria Math" w:hAnsi="Cambria Math" w:cs="Cambria Math"/>
          <w:sz w:val="22"/>
          <w:szCs w:val="22"/>
          <w:lang w:val="it-IT"/>
        </w:rPr>
        <w:t>‒</w:t>
      </w:r>
      <w:r w:rsidRPr="00D24143">
        <w:rPr>
          <w:sz w:val="22"/>
          <w:szCs w:val="22"/>
          <w:lang w:val="it-IT"/>
        </w:rPr>
        <w:t>10 mg. Al može reagovati sa niskim dozama fluora u vodi, dovodeći do toga da sve više Al prolazi krvno-moždanu barijeru stvarajući naslage u mozgu. Postoji veliki broj studija koje se tiču uticaja aluminijuma na zdravlje ljudi. Ove studije su odavno pokazale vezu između unošenja Al i neurološke demencije kod bubrežnih bolesnika, a studije novijeg datuma (iz poslednjih 10</w:t>
      </w:r>
      <w:r w:rsidRPr="00D24143">
        <w:rPr>
          <w:rFonts w:ascii="Cambria Math" w:hAnsi="Cambria Math" w:cs="Cambria Math"/>
          <w:sz w:val="22"/>
          <w:szCs w:val="22"/>
          <w:lang w:val="it-IT"/>
        </w:rPr>
        <w:t>‒</w:t>
      </w:r>
      <w:r w:rsidRPr="00D24143">
        <w:rPr>
          <w:sz w:val="22"/>
          <w:szCs w:val="22"/>
          <w:lang w:val="it-IT"/>
        </w:rPr>
        <w:t>15 godina, inače perioda kada se „zvanično” prestalo sa posmatranjem Al kao toksičnog) pokazuju njegov loš uticaj na ljudsko zdravlje, posebno naglašavajući njegovo učešće kod Alchajmerove bolesti, Parkinsonove bolesti i amiotropne lateralne skleroze (Lu Gerigova bolest), koje postaju uobičajene među starijim ljudima. Povišeni nivoi Al u mozgu nekih pacijenata od Alchajmerove bolesti su od nepoznate uzročno-posledične važnosti, pa je, radi zaključivanja povezanosti Al i Alchajmerove bolesti, potrebno dodatno istraživanje (</w:t>
      </w:r>
      <w:hyperlink r:id="rId11" w:history="1">
        <w:r w:rsidRPr="00D24143">
          <w:rPr>
            <w:rStyle w:val="Hyperlink"/>
            <w:color w:val="auto"/>
            <w:sz w:val="22"/>
            <w:szCs w:val="22"/>
            <w:u w:val="none"/>
            <w:lang w:val="it-IT"/>
          </w:rPr>
          <w:t>Becaria</w:t>
        </w:r>
      </w:hyperlink>
      <w:r w:rsidRPr="00D24143">
        <w:rPr>
          <w:sz w:val="22"/>
          <w:szCs w:val="22"/>
          <w:lang w:val="it-IT"/>
        </w:rPr>
        <w:t xml:space="preserve">, </w:t>
      </w:r>
      <w:hyperlink r:id="rId12" w:history="1">
        <w:r w:rsidRPr="00D24143">
          <w:rPr>
            <w:rStyle w:val="Hyperlink"/>
            <w:color w:val="auto"/>
            <w:sz w:val="22"/>
            <w:szCs w:val="22"/>
            <w:u w:val="none"/>
            <w:lang w:val="it-IT"/>
          </w:rPr>
          <w:t>Campbell</w:t>
        </w:r>
      </w:hyperlink>
      <w:r w:rsidRPr="00D24143">
        <w:rPr>
          <w:sz w:val="22"/>
          <w:szCs w:val="22"/>
          <w:lang w:val="it-IT"/>
        </w:rPr>
        <w:t xml:space="preserve"> i </w:t>
      </w:r>
      <w:hyperlink r:id="rId13" w:history="1">
        <w:r w:rsidRPr="00D24143">
          <w:rPr>
            <w:rStyle w:val="Hyperlink"/>
            <w:color w:val="auto"/>
            <w:sz w:val="22"/>
            <w:szCs w:val="22"/>
            <w:u w:val="none"/>
            <w:lang w:val="it-IT"/>
          </w:rPr>
          <w:t>Bondy</w:t>
        </w:r>
      </w:hyperlink>
      <w:r w:rsidRPr="00D24143">
        <w:rPr>
          <w:sz w:val="22"/>
          <w:szCs w:val="22"/>
          <w:lang w:val="it-IT"/>
        </w:rPr>
        <w:t>, 2002).</w:t>
      </w:r>
    </w:p>
    <w:p w:rsidR="00BE2F2E" w:rsidRPr="00D24143" w:rsidRDefault="00BE2F2E" w:rsidP="00D24143">
      <w:pPr>
        <w:pStyle w:val="NormalWeb"/>
        <w:widowControl w:val="0"/>
        <w:spacing w:before="0" w:beforeAutospacing="0" w:after="0" w:afterAutospacing="0"/>
        <w:ind w:firstLine="426"/>
        <w:jc w:val="both"/>
        <w:rPr>
          <w:sz w:val="22"/>
          <w:szCs w:val="22"/>
          <w:lang w:val="it-IT"/>
        </w:rPr>
      </w:pPr>
    </w:p>
    <w:p w:rsidR="00BE2F2E" w:rsidRPr="00D24143" w:rsidRDefault="00BE2F2E" w:rsidP="00D24143">
      <w:pPr>
        <w:ind w:firstLine="426"/>
        <w:jc w:val="both"/>
        <w:rPr>
          <w:sz w:val="22"/>
          <w:szCs w:val="22"/>
          <w:lang w:val="sr-Latn-CS"/>
        </w:rPr>
      </w:pPr>
      <w:r w:rsidRPr="00D24143">
        <w:rPr>
          <w:sz w:val="22"/>
          <w:szCs w:val="22"/>
          <w:lang w:val="sr-Latn-CS"/>
        </w:rPr>
        <w:lastRenderedPageBreak/>
        <w:t>Procena kratkoročnog i dugoročnog potencijalnog kancerogenog rizika</w:t>
      </w:r>
    </w:p>
    <w:p w:rsidR="00BE2F2E" w:rsidRPr="00D24143" w:rsidRDefault="00BE2F2E" w:rsidP="00D24143">
      <w:pPr>
        <w:ind w:firstLine="426"/>
        <w:jc w:val="both"/>
        <w:rPr>
          <w:lang w:val="sr-Latn-CS"/>
        </w:rPr>
      </w:pPr>
    </w:p>
    <w:p w:rsidR="00BE2F2E" w:rsidRPr="008A33C8" w:rsidRDefault="00BE2F2E" w:rsidP="00D24143">
      <w:pPr>
        <w:ind w:firstLine="426"/>
        <w:jc w:val="both"/>
        <w:rPr>
          <w:spacing w:val="2"/>
          <w:sz w:val="22"/>
          <w:szCs w:val="22"/>
          <w:lang w:val="sr-Latn-CS"/>
        </w:rPr>
      </w:pPr>
      <w:r w:rsidRPr="008A33C8">
        <w:rPr>
          <w:spacing w:val="2"/>
          <w:sz w:val="22"/>
          <w:szCs w:val="22"/>
          <w:lang w:val="sl-SI"/>
        </w:rPr>
        <w:t xml:space="preserve">Na osnovu rezultata dobijenih ispitivanjem sadržaja mikrokomponenata u analiziranim uzorcima vode, može se uočiti da je u nekoliko uzoraka zabeležena povećana koncentracija pojedinih metala: Ca, K, Al, dok je kod Cd i Pb, ta vrednost jako blizu maksimalno dozvoljenim koncentracijama, u poređenju sa vrednostima propisanim </w:t>
      </w:r>
      <w:r w:rsidRPr="008A33C8">
        <w:rPr>
          <w:spacing w:val="2"/>
          <w:sz w:val="22"/>
          <w:szCs w:val="22"/>
          <w:lang w:val="sr-Latn-CS"/>
        </w:rPr>
        <w:t xml:space="preserve">Pravilnikom o higijenskoj ispravnosti vode za piće </w:t>
      </w:r>
      <w:r w:rsidRPr="008A33C8">
        <w:rPr>
          <w:spacing w:val="2"/>
          <w:sz w:val="22"/>
          <w:szCs w:val="22"/>
          <w:lang w:val="sl-SI"/>
        </w:rPr>
        <w:t>(tabela 5)</w:t>
      </w:r>
      <w:r w:rsidRPr="008A33C8">
        <w:rPr>
          <w:spacing w:val="2"/>
          <w:sz w:val="22"/>
          <w:szCs w:val="22"/>
          <w:lang w:val="sr-Latn-CS"/>
        </w:rPr>
        <w:t>.</w:t>
      </w:r>
    </w:p>
    <w:p w:rsidR="00BE2F2E" w:rsidRPr="003804EF" w:rsidRDefault="00BE2F2E" w:rsidP="00D24143">
      <w:pPr>
        <w:ind w:firstLine="425"/>
        <w:jc w:val="both"/>
        <w:rPr>
          <w:sz w:val="22"/>
          <w:szCs w:val="22"/>
          <w:lang w:val="sl-SI"/>
        </w:rPr>
      </w:pPr>
      <w:r w:rsidRPr="003804EF">
        <w:rPr>
          <w:sz w:val="22"/>
          <w:szCs w:val="22"/>
          <w:lang w:val="sl-SI"/>
        </w:rPr>
        <w:t>Da bi se utvrdila (eventualna) opasnost od prisustva toksičnih elemenata u koncentracijama višim od vrednosti dozvoljene Pravilnikom o higijenskoj ispravnosti vode za piće, urađen</w:t>
      </w:r>
      <w:r>
        <w:rPr>
          <w:sz w:val="22"/>
          <w:szCs w:val="22"/>
          <w:lang w:val="sl-SI"/>
        </w:rPr>
        <w:t xml:space="preserve">a je procena </w:t>
      </w:r>
      <w:r w:rsidRPr="00B304D1">
        <w:rPr>
          <w:b/>
          <w:bCs/>
          <w:sz w:val="22"/>
          <w:szCs w:val="22"/>
          <w:lang w:val="sl-SI"/>
        </w:rPr>
        <w:t>kratkoročnog</w:t>
      </w:r>
      <w:r>
        <w:rPr>
          <w:sz w:val="22"/>
          <w:szCs w:val="22"/>
          <w:lang w:val="sl-SI"/>
        </w:rPr>
        <w:t xml:space="preserve"> i </w:t>
      </w:r>
      <w:r w:rsidRPr="00B304D1">
        <w:rPr>
          <w:b/>
          <w:bCs/>
          <w:sz w:val="22"/>
          <w:szCs w:val="22"/>
          <w:lang w:val="sl-SI"/>
        </w:rPr>
        <w:t>dugoročnog potencijalno kancerogenog rizika</w:t>
      </w:r>
      <w:r>
        <w:rPr>
          <w:b/>
          <w:bCs/>
          <w:sz w:val="22"/>
          <w:szCs w:val="22"/>
          <w:lang w:val="sl-SI"/>
        </w:rPr>
        <w:t xml:space="preserve"> </w:t>
      </w:r>
      <w:r w:rsidRPr="0085764D">
        <w:rPr>
          <w:sz w:val="22"/>
          <w:szCs w:val="22"/>
          <w:lang w:val="sl-SI"/>
        </w:rPr>
        <w:t>(</w:t>
      </w:r>
      <w:r w:rsidRPr="00044221">
        <w:rPr>
          <w:sz w:val="22"/>
          <w:szCs w:val="22"/>
          <w:lang w:val="sr-Latn-CS"/>
        </w:rPr>
        <w:t xml:space="preserve">Rajković, </w:t>
      </w:r>
      <w:r w:rsidRPr="00044221">
        <w:rPr>
          <w:sz w:val="22"/>
          <w:szCs w:val="22"/>
          <w:lang w:val="sl-SI"/>
        </w:rPr>
        <w:t>Stojanović</w:t>
      </w:r>
      <w:r>
        <w:rPr>
          <w:sz w:val="22"/>
          <w:szCs w:val="22"/>
          <w:lang w:val="sl-SI"/>
        </w:rPr>
        <w:t xml:space="preserve"> i </w:t>
      </w:r>
      <w:r w:rsidRPr="00044221">
        <w:rPr>
          <w:sz w:val="22"/>
          <w:szCs w:val="22"/>
          <w:lang w:val="sl-SI"/>
        </w:rPr>
        <w:t>Milojković</w:t>
      </w:r>
      <w:r>
        <w:rPr>
          <w:sz w:val="22"/>
          <w:szCs w:val="22"/>
          <w:lang w:val="sl-SI"/>
        </w:rPr>
        <w:t>, 2017a</w:t>
      </w:r>
      <w:r w:rsidRPr="0085764D">
        <w:rPr>
          <w:sz w:val="22"/>
          <w:szCs w:val="22"/>
          <w:lang w:val="sl-SI"/>
        </w:rPr>
        <w:t>)</w:t>
      </w:r>
      <w:r w:rsidRPr="003804EF">
        <w:rPr>
          <w:sz w:val="22"/>
          <w:szCs w:val="22"/>
          <w:lang w:val="sl-SI"/>
        </w:rPr>
        <w:t>.</w:t>
      </w:r>
    </w:p>
    <w:p w:rsidR="00BE2F2E" w:rsidRPr="00D24143" w:rsidRDefault="00BE2F2E" w:rsidP="00D24143">
      <w:pPr>
        <w:ind w:firstLine="426"/>
        <w:jc w:val="both"/>
        <w:rPr>
          <w:sz w:val="22"/>
          <w:szCs w:val="22"/>
          <w:lang w:val="sl-SI"/>
        </w:rPr>
      </w:pPr>
    </w:p>
    <w:p w:rsidR="00BE2F2E" w:rsidRPr="00D24143" w:rsidRDefault="00BE2F2E" w:rsidP="00D24143">
      <w:pPr>
        <w:pStyle w:val="BodyTextIndent3"/>
        <w:spacing w:after="0"/>
        <w:ind w:left="0" w:firstLine="426"/>
        <w:rPr>
          <w:sz w:val="22"/>
          <w:szCs w:val="22"/>
          <w:lang w:val="sr-Latn-CS"/>
        </w:rPr>
      </w:pPr>
      <w:r w:rsidRPr="00D24143">
        <w:rPr>
          <w:sz w:val="22"/>
          <w:szCs w:val="22"/>
          <w:lang w:val="sr-Latn-CS"/>
        </w:rPr>
        <w:t>Kratkoročni rizik</w:t>
      </w:r>
    </w:p>
    <w:p w:rsidR="00BE2F2E" w:rsidRPr="00D24143" w:rsidRDefault="00BE2F2E" w:rsidP="00D24143">
      <w:pPr>
        <w:pStyle w:val="BodyTextIndent3"/>
        <w:spacing w:after="0"/>
        <w:ind w:left="0" w:firstLine="426"/>
        <w:rPr>
          <w:sz w:val="20"/>
          <w:szCs w:val="20"/>
          <w:lang w:val="sr-Latn-CS"/>
        </w:rPr>
      </w:pPr>
    </w:p>
    <w:p w:rsidR="00BE2F2E" w:rsidRPr="003804EF" w:rsidRDefault="00BE2F2E" w:rsidP="00D24143">
      <w:pPr>
        <w:ind w:firstLine="426"/>
        <w:jc w:val="both"/>
        <w:rPr>
          <w:sz w:val="22"/>
          <w:szCs w:val="22"/>
          <w:lang w:val="sr-Latn-CS"/>
        </w:rPr>
      </w:pPr>
      <w:r w:rsidRPr="003804EF">
        <w:rPr>
          <w:sz w:val="22"/>
          <w:szCs w:val="22"/>
          <w:lang w:val="sr-Latn-CS"/>
        </w:rPr>
        <w:t xml:space="preserve">Unos toksičnih elemenata i rizik po zdravlje ljudi, koji je </w:t>
      </w:r>
      <w:r>
        <w:rPr>
          <w:sz w:val="22"/>
          <w:szCs w:val="22"/>
          <w:lang w:val="sr-Latn-CS"/>
        </w:rPr>
        <w:t>pro</w:t>
      </w:r>
      <w:r w:rsidRPr="003804EF">
        <w:rPr>
          <w:sz w:val="22"/>
          <w:szCs w:val="22"/>
          <w:lang w:val="sr-Latn-CS"/>
        </w:rPr>
        <w:t>uzrokovan konzumiranjem vode za piće, određeni su na nedeljnom nivou (</w:t>
      </w:r>
      <w:r w:rsidRPr="003804EF">
        <w:rPr>
          <w:b/>
          <w:bCs/>
          <w:sz w:val="22"/>
          <w:szCs w:val="22"/>
          <w:lang w:val="sr-Latn-CS"/>
        </w:rPr>
        <w:t>kratkoročni rizik</w:t>
      </w:r>
      <w:r w:rsidRPr="003804EF">
        <w:rPr>
          <w:sz w:val="22"/>
          <w:szCs w:val="22"/>
          <w:lang w:val="sr-Latn-CS"/>
        </w:rPr>
        <w:t xml:space="preserve">), preko </w:t>
      </w:r>
      <w:r w:rsidRPr="003804EF">
        <w:rPr>
          <w:i/>
          <w:iCs/>
          <w:sz w:val="22"/>
          <w:szCs w:val="22"/>
          <w:lang w:val="sr-Latn-CS"/>
        </w:rPr>
        <w:t>procenjenog nedeljnog unosa vode</w:t>
      </w:r>
      <w:r w:rsidRPr="003804EF">
        <w:rPr>
          <w:sz w:val="22"/>
          <w:szCs w:val="22"/>
          <w:lang w:val="sr-Latn-CS"/>
        </w:rPr>
        <w:t xml:space="preserve"> (</w:t>
      </w:r>
      <w:r w:rsidRPr="003804EF">
        <w:rPr>
          <w:b/>
          <w:bCs/>
          <w:sz w:val="22"/>
          <w:szCs w:val="22"/>
          <w:lang w:val="sr-Latn-CS"/>
        </w:rPr>
        <w:t>PNU</w:t>
      </w:r>
      <w:r w:rsidRPr="003804EF">
        <w:rPr>
          <w:sz w:val="22"/>
          <w:szCs w:val="22"/>
          <w:lang w:val="sr-Latn-CS"/>
        </w:rPr>
        <w:t xml:space="preserve">) i </w:t>
      </w:r>
      <w:r w:rsidRPr="003804EF">
        <w:rPr>
          <w:i/>
          <w:iCs/>
          <w:sz w:val="22"/>
          <w:szCs w:val="22"/>
          <w:lang w:val="sr-Latn-CS"/>
        </w:rPr>
        <w:t>koeficijenta rizika</w:t>
      </w:r>
      <w:r w:rsidRPr="003804EF">
        <w:rPr>
          <w:sz w:val="22"/>
          <w:szCs w:val="22"/>
          <w:lang w:val="sr-Latn-CS"/>
        </w:rPr>
        <w:t xml:space="preserve"> po zdravlje ljudi (</w:t>
      </w:r>
      <w:r w:rsidRPr="003804EF">
        <w:rPr>
          <w:b/>
          <w:bCs/>
          <w:sz w:val="22"/>
          <w:szCs w:val="22"/>
          <w:lang w:val="sr-Latn-CS"/>
        </w:rPr>
        <w:t>KR</w:t>
      </w:r>
      <w:r w:rsidRPr="003804EF">
        <w:rPr>
          <w:sz w:val="22"/>
          <w:szCs w:val="22"/>
          <w:lang w:val="sr-Latn-CS"/>
        </w:rPr>
        <w:t>).</w:t>
      </w:r>
    </w:p>
    <w:p w:rsidR="00BE2F2E" w:rsidRPr="003804EF" w:rsidRDefault="00BE2F2E" w:rsidP="00D24143">
      <w:pPr>
        <w:pStyle w:val="BodyTextIndent3"/>
        <w:spacing w:after="80"/>
        <w:ind w:left="0" w:firstLine="425"/>
        <w:jc w:val="both"/>
        <w:rPr>
          <w:sz w:val="22"/>
          <w:szCs w:val="22"/>
          <w:lang w:val="sr-Latn-CS"/>
        </w:rPr>
      </w:pPr>
      <w:r w:rsidRPr="003804EF">
        <w:rPr>
          <w:sz w:val="22"/>
          <w:szCs w:val="22"/>
          <w:lang w:val="sr-Latn-CS"/>
        </w:rPr>
        <w:t xml:space="preserve">Ovi koeficijenti određeni su na osnovu sledećih jednačina </w:t>
      </w:r>
      <w:r>
        <w:rPr>
          <w:sz w:val="22"/>
          <w:szCs w:val="22"/>
          <w:lang w:val="sr-Latn-CS"/>
        </w:rPr>
        <w:t>(</w:t>
      </w:r>
      <w:r>
        <w:rPr>
          <w:sz w:val="22"/>
          <w:szCs w:val="22"/>
          <w:lang w:val="pl-PL"/>
        </w:rPr>
        <w:t>Lin</w:t>
      </w:r>
      <w:r w:rsidRPr="00F94895">
        <w:rPr>
          <w:sz w:val="22"/>
          <w:szCs w:val="22"/>
          <w:lang w:val="pl-PL"/>
        </w:rPr>
        <w:t xml:space="preserve"> </w:t>
      </w:r>
      <w:r>
        <w:rPr>
          <w:sz w:val="22"/>
          <w:szCs w:val="22"/>
          <w:lang w:val="pl-PL"/>
        </w:rPr>
        <w:t>et</w:t>
      </w:r>
      <w:r w:rsidRPr="00F94895">
        <w:rPr>
          <w:sz w:val="22"/>
          <w:szCs w:val="22"/>
          <w:lang w:val="pl-PL"/>
        </w:rPr>
        <w:t xml:space="preserve"> </w:t>
      </w:r>
      <w:r>
        <w:rPr>
          <w:sz w:val="22"/>
          <w:szCs w:val="22"/>
          <w:lang w:val="pl-PL"/>
        </w:rPr>
        <w:t>al</w:t>
      </w:r>
      <w:r w:rsidRPr="00F94895">
        <w:rPr>
          <w:sz w:val="22"/>
          <w:szCs w:val="22"/>
          <w:lang w:val="pl-PL"/>
        </w:rPr>
        <w:t>., 2015):</w:t>
      </w:r>
    </w:p>
    <w:p w:rsidR="00BE2F2E" w:rsidRPr="003804EF" w:rsidRDefault="00BE2F2E" w:rsidP="00957BC0">
      <w:pPr>
        <w:pStyle w:val="BodyTextIndent3"/>
        <w:spacing w:after="0"/>
        <w:ind w:left="0"/>
        <w:jc w:val="center"/>
        <w:rPr>
          <w:sz w:val="22"/>
          <w:szCs w:val="22"/>
          <w:lang w:val="sr-Latn-CS"/>
        </w:rPr>
      </w:pPr>
      <w:r w:rsidRPr="003804EF">
        <w:rPr>
          <w:b/>
          <w:bCs/>
          <w:sz w:val="22"/>
          <w:szCs w:val="22"/>
          <w:lang w:val="sr-Latn-CS"/>
        </w:rPr>
        <w:t>PNU</w:t>
      </w:r>
      <w:r w:rsidRPr="003804EF">
        <w:rPr>
          <w:sz w:val="22"/>
          <w:szCs w:val="22"/>
          <w:lang w:val="sr-Latn-CS"/>
        </w:rPr>
        <w:t xml:space="preserve"> = </w:t>
      </w:r>
      <w:r w:rsidRPr="003804EF">
        <w:rPr>
          <w:position w:val="-22"/>
          <w:sz w:val="22"/>
          <w:szCs w:val="22"/>
          <w:lang w:val="sr-Latn-CS"/>
        </w:rPr>
        <w:object w:dxaOrig="98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29.25pt" o:ole="">
            <v:imagedata r:id="rId14" o:title=""/>
          </v:shape>
          <o:OLEObject Type="Embed" ProgID="Equation.3" ShapeID="_x0000_i1025" DrawAspect="Content" ObjectID="_1599308101" r:id="rId15"/>
        </w:object>
      </w:r>
      <w:r>
        <w:rPr>
          <w:sz w:val="22"/>
          <w:szCs w:val="22"/>
          <w:lang w:val="sr-Latn-CS"/>
        </w:rPr>
        <w:tab/>
      </w:r>
      <w:r>
        <w:rPr>
          <w:sz w:val="22"/>
          <w:szCs w:val="22"/>
          <w:lang w:val="sr-Latn-CS"/>
        </w:rPr>
        <w:tab/>
      </w:r>
      <w:r>
        <w:rPr>
          <w:sz w:val="22"/>
          <w:szCs w:val="22"/>
          <w:lang w:val="sr-Latn-CS"/>
        </w:rPr>
        <w:tab/>
      </w:r>
      <w:r w:rsidRPr="003804EF">
        <w:rPr>
          <w:b/>
          <w:bCs/>
          <w:sz w:val="22"/>
          <w:szCs w:val="22"/>
          <w:lang w:val="sr-Latn-CS"/>
        </w:rPr>
        <w:t>KR</w:t>
      </w:r>
      <w:r w:rsidRPr="003804EF">
        <w:rPr>
          <w:sz w:val="22"/>
          <w:szCs w:val="22"/>
          <w:lang w:val="sr-Latn-CS"/>
        </w:rPr>
        <w:t xml:space="preserve"> = </w:t>
      </w:r>
      <w:r w:rsidRPr="003804EF">
        <w:rPr>
          <w:position w:val="-22"/>
          <w:sz w:val="22"/>
          <w:szCs w:val="22"/>
          <w:lang w:val="sr-Latn-CS"/>
        </w:rPr>
        <w:object w:dxaOrig="600" w:dyaOrig="580">
          <v:shape id="_x0000_i1026" type="#_x0000_t75" style="width:30pt;height:29.25pt" o:ole="">
            <v:imagedata r:id="rId16" o:title=""/>
          </v:shape>
          <o:OLEObject Type="Embed" ProgID="Equation.3" ShapeID="_x0000_i1026" DrawAspect="Content" ObjectID="_1599308102" r:id="rId17"/>
        </w:object>
      </w:r>
    </w:p>
    <w:p w:rsidR="00BE2F2E" w:rsidRPr="000049BB" w:rsidRDefault="00BE2F2E" w:rsidP="008A33C8">
      <w:pPr>
        <w:pStyle w:val="BodyTextIndent3"/>
        <w:spacing w:after="0"/>
        <w:ind w:left="0"/>
        <w:jc w:val="both"/>
        <w:rPr>
          <w:sz w:val="22"/>
          <w:szCs w:val="22"/>
          <w:lang w:val="sr-Latn-CS"/>
        </w:rPr>
      </w:pPr>
      <w:r w:rsidRPr="003804EF">
        <w:rPr>
          <w:sz w:val="22"/>
          <w:szCs w:val="22"/>
          <w:lang w:val="sr-Latn-CS"/>
        </w:rPr>
        <w:t xml:space="preserve">gde je: </w:t>
      </w:r>
      <w:r w:rsidRPr="003804EF">
        <w:rPr>
          <w:b/>
          <w:bCs/>
          <w:sz w:val="22"/>
          <w:szCs w:val="22"/>
          <w:lang w:val="sr-Latn-CS"/>
        </w:rPr>
        <w:t>PPV</w:t>
      </w:r>
      <w:r w:rsidRPr="003804EF">
        <w:rPr>
          <w:sz w:val="22"/>
          <w:szCs w:val="22"/>
          <w:lang w:val="sr-Latn-CS"/>
        </w:rPr>
        <w:t xml:space="preserve"> – </w:t>
      </w:r>
      <w:r w:rsidRPr="003804EF">
        <w:rPr>
          <w:i/>
          <w:iCs/>
          <w:sz w:val="22"/>
          <w:szCs w:val="22"/>
          <w:lang w:val="sr-Latn-CS"/>
        </w:rPr>
        <w:t>prosečna potrošnja vode</w:t>
      </w:r>
      <w:r w:rsidRPr="003804EF">
        <w:rPr>
          <w:sz w:val="22"/>
          <w:szCs w:val="22"/>
          <w:lang w:val="sr-Latn-CS"/>
        </w:rPr>
        <w:t xml:space="preserve"> po stanovniku (</w:t>
      </w:r>
      <w:r>
        <w:rPr>
          <w:sz w:val="22"/>
          <w:szCs w:val="22"/>
          <w:lang w:val="sr-Latn-CS"/>
        </w:rPr>
        <w:t>2 dm</w:t>
      </w:r>
      <w:r>
        <w:rPr>
          <w:sz w:val="22"/>
          <w:szCs w:val="22"/>
          <w:vertAlign w:val="superscript"/>
          <w:lang w:val="sr-Latn-CS"/>
        </w:rPr>
        <w:t>3</w:t>
      </w:r>
      <w:r w:rsidRPr="003804EF">
        <w:rPr>
          <w:sz w:val="22"/>
          <w:szCs w:val="22"/>
          <w:lang w:val="sr-Latn-CS"/>
        </w:rPr>
        <w:t xml:space="preserve"> dnevno) </w:t>
      </w:r>
      <w:r>
        <w:rPr>
          <w:sz w:val="22"/>
          <w:szCs w:val="22"/>
          <w:lang w:val="sr-Latn-CS"/>
        </w:rPr>
        <w:t>(Papić et al., 2012)</w:t>
      </w:r>
      <w:r w:rsidRPr="003804EF">
        <w:rPr>
          <w:sz w:val="22"/>
          <w:szCs w:val="22"/>
          <w:lang w:val="sr-Latn-CS"/>
        </w:rPr>
        <w:t xml:space="preserve">, </w:t>
      </w:r>
      <w:r w:rsidRPr="003804EF">
        <w:rPr>
          <w:i/>
          <w:iCs/>
          <w:sz w:val="22"/>
          <w:szCs w:val="22"/>
          <w:lang w:val="pl-PL"/>
        </w:rPr>
        <w:t>c</w:t>
      </w:r>
      <w:r w:rsidRPr="000049BB">
        <w:rPr>
          <w:sz w:val="22"/>
          <w:szCs w:val="22"/>
          <w:lang w:val="sr-Latn-CS"/>
        </w:rPr>
        <w:t xml:space="preserve"> – </w:t>
      </w:r>
      <w:r w:rsidRPr="003804EF">
        <w:rPr>
          <w:i/>
          <w:iCs/>
          <w:sz w:val="22"/>
          <w:szCs w:val="22"/>
          <w:lang w:val="pl-PL"/>
        </w:rPr>
        <w:t>koncentracija</w:t>
      </w:r>
      <w:r w:rsidRPr="000049BB">
        <w:rPr>
          <w:i/>
          <w:iCs/>
          <w:sz w:val="22"/>
          <w:szCs w:val="22"/>
          <w:lang w:val="sr-Latn-CS"/>
        </w:rPr>
        <w:t xml:space="preserve"> </w:t>
      </w:r>
      <w:r w:rsidRPr="003804EF">
        <w:rPr>
          <w:i/>
          <w:iCs/>
          <w:sz w:val="22"/>
          <w:szCs w:val="22"/>
          <w:lang w:val="pl-PL"/>
        </w:rPr>
        <w:t>elemenata</w:t>
      </w:r>
      <w:r w:rsidRPr="000049BB">
        <w:rPr>
          <w:sz w:val="22"/>
          <w:szCs w:val="22"/>
          <w:lang w:val="sr-Latn-CS"/>
        </w:rPr>
        <w:t xml:space="preserve"> </w:t>
      </w:r>
      <w:r w:rsidRPr="003804EF">
        <w:rPr>
          <w:sz w:val="22"/>
          <w:szCs w:val="22"/>
          <w:lang w:val="pl-PL"/>
        </w:rPr>
        <w:t>u</w:t>
      </w:r>
      <w:r w:rsidRPr="000049BB">
        <w:rPr>
          <w:sz w:val="22"/>
          <w:szCs w:val="22"/>
          <w:lang w:val="sr-Latn-CS"/>
        </w:rPr>
        <w:t xml:space="preserve"> </w:t>
      </w:r>
      <w:r w:rsidRPr="003804EF">
        <w:rPr>
          <w:sz w:val="22"/>
          <w:szCs w:val="22"/>
          <w:lang w:val="pl-PL"/>
        </w:rPr>
        <w:t>ispitivanim</w:t>
      </w:r>
      <w:r w:rsidRPr="000049BB">
        <w:rPr>
          <w:sz w:val="22"/>
          <w:szCs w:val="22"/>
          <w:lang w:val="sr-Latn-CS"/>
        </w:rPr>
        <w:t xml:space="preserve"> </w:t>
      </w:r>
      <w:r w:rsidRPr="003804EF">
        <w:rPr>
          <w:sz w:val="22"/>
          <w:szCs w:val="22"/>
          <w:lang w:val="pl-PL"/>
        </w:rPr>
        <w:t>uzorcima</w:t>
      </w:r>
      <w:r w:rsidRPr="000049BB">
        <w:rPr>
          <w:sz w:val="22"/>
          <w:szCs w:val="22"/>
          <w:lang w:val="sr-Latn-CS"/>
        </w:rPr>
        <w:t xml:space="preserve"> </w:t>
      </w:r>
      <w:r w:rsidRPr="003804EF">
        <w:rPr>
          <w:sz w:val="22"/>
          <w:szCs w:val="22"/>
          <w:lang w:val="pl-PL"/>
        </w:rPr>
        <w:t>vode</w:t>
      </w:r>
      <w:r w:rsidRPr="000049BB">
        <w:rPr>
          <w:sz w:val="22"/>
          <w:szCs w:val="22"/>
          <w:lang w:val="sr-Latn-CS"/>
        </w:rPr>
        <w:t xml:space="preserve"> </w:t>
      </w:r>
      <w:r w:rsidRPr="003804EF">
        <w:rPr>
          <w:sz w:val="22"/>
          <w:szCs w:val="22"/>
          <w:lang w:val="pl-PL"/>
        </w:rPr>
        <w:t>izra</w:t>
      </w:r>
      <w:r w:rsidRPr="000049BB">
        <w:rPr>
          <w:sz w:val="22"/>
          <w:szCs w:val="22"/>
          <w:lang w:val="sr-Latn-CS"/>
        </w:rPr>
        <w:t>ž</w:t>
      </w:r>
      <w:r w:rsidRPr="003804EF">
        <w:rPr>
          <w:sz w:val="22"/>
          <w:szCs w:val="22"/>
          <w:lang w:val="pl-PL"/>
        </w:rPr>
        <w:t>ena</w:t>
      </w:r>
      <w:r w:rsidRPr="000049BB">
        <w:rPr>
          <w:sz w:val="22"/>
          <w:szCs w:val="22"/>
          <w:lang w:val="sr-Latn-CS"/>
        </w:rPr>
        <w:t xml:space="preserve"> </w:t>
      </w:r>
      <w:r w:rsidRPr="003804EF">
        <w:rPr>
          <w:sz w:val="22"/>
          <w:szCs w:val="22"/>
          <w:lang w:val="pl-PL"/>
        </w:rPr>
        <w:t>u</w:t>
      </w:r>
      <w:r w:rsidRPr="000049BB">
        <w:rPr>
          <w:sz w:val="22"/>
          <w:szCs w:val="22"/>
          <w:lang w:val="sr-Latn-CS"/>
        </w:rPr>
        <w:t xml:space="preserve"> </w:t>
      </w:r>
      <w:r w:rsidRPr="003804EF">
        <w:rPr>
          <w:sz w:val="22"/>
          <w:szCs w:val="22"/>
          <w:lang w:val="pl-PL"/>
        </w:rPr>
        <w:t>μg</w:t>
      </w:r>
      <w:r w:rsidRPr="000049BB">
        <w:rPr>
          <w:sz w:val="22"/>
          <w:szCs w:val="22"/>
          <w:lang w:val="sr-Latn-CS"/>
        </w:rPr>
        <w:t>/</w:t>
      </w:r>
      <w:r>
        <w:rPr>
          <w:sz w:val="22"/>
          <w:szCs w:val="22"/>
          <w:lang w:val="pl-PL"/>
        </w:rPr>
        <w:t>dm</w:t>
      </w:r>
      <w:r w:rsidRPr="000049BB">
        <w:rPr>
          <w:sz w:val="22"/>
          <w:szCs w:val="22"/>
          <w:vertAlign w:val="superscript"/>
          <w:lang w:val="sr-Latn-CS"/>
        </w:rPr>
        <w:t>3</w:t>
      </w:r>
      <w:r w:rsidRPr="000049BB">
        <w:rPr>
          <w:sz w:val="22"/>
          <w:szCs w:val="22"/>
          <w:lang w:val="sr-Latn-CS"/>
        </w:rPr>
        <w:t xml:space="preserve">, </w:t>
      </w:r>
      <w:r w:rsidRPr="003804EF">
        <w:rPr>
          <w:b/>
          <w:bCs/>
          <w:sz w:val="22"/>
          <w:szCs w:val="22"/>
          <w:lang w:val="pl-PL"/>
        </w:rPr>
        <w:t>PTM</w:t>
      </w:r>
      <w:r w:rsidRPr="000049BB">
        <w:rPr>
          <w:sz w:val="22"/>
          <w:szCs w:val="22"/>
          <w:lang w:val="sr-Latn-CS"/>
        </w:rPr>
        <w:t xml:space="preserve"> – </w:t>
      </w:r>
      <w:r w:rsidRPr="003804EF">
        <w:rPr>
          <w:i/>
          <w:iCs/>
          <w:sz w:val="22"/>
          <w:szCs w:val="22"/>
          <w:lang w:val="pl-PL"/>
        </w:rPr>
        <w:t>prose</w:t>
      </w:r>
      <w:r w:rsidRPr="000049BB">
        <w:rPr>
          <w:i/>
          <w:iCs/>
          <w:sz w:val="22"/>
          <w:szCs w:val="22"/>
          <w:lang w:val="sr-Latn-CS"/>
        </w:rPr>
        <w:t>č</w:t>
      </w:r>
      <w:r w:rsidRPr="003804EF">
        <w:rPr>
          <w:i/>
          <w:iCs/>
          <w:sz w:val="22"/>
          <w:szCs w:val="22"/>
          <w:lang w:val="pl-PL"/>
        </w:rPr>
        <w:t>na</w:t>
      </w:r>
      <w:r w:rsidRPr="000049BB">
        <w:rPr>
          <w:i/>
          <w:iCs/>
          <w:sz w:val="22"/>
          <w:szCs w:val="22"/>
          <w:lang w:val="sr-Latn-CS"/>
        </w:rPr>
        <w:t xml:space="preserve"> </w:t>
      </w:r>
      <w:r w:rsidRPr="003804EF">
        <w:rPr>
          <w:i/>
          <w:iCs/>
          <w:sz w:val="22"/>
          <w:szCs w:val="22"/>
          <w:lang w:val="pl-PL"/>
        </w:rPr>
        <w:t>telesna</w:t>
      </w:r>
      <w:r w:rsidRPr="000049BB">
        <w:rPr>
          <w:i/>
          <w:iCs/>
          <w:sz w:val="22"/>
          <w:szCs w:val="22"/>
          <w:lang w:val="sr-Latn-CS"/>
        </w:rPr>
        <w:t xml:space="preserve"> </w:t>
      </w:r>
      <w:r w:rsidRPr="003804EF">
        <w:rPr>
          <w:i/>
          <w:iCs/>
          <w:sz w:val="22"/>
          <w:szCs w:val="22"/>
          <w:lang w:val="pl-PL"/>
        </w:rPr>
        <w:t>masa</w:t>
      </w:r>
      <w:r w:rsidRPr="000049BB">
        <w:rPr>
          <w:i/>
          <w:iCs/>
          <w:sz w:val="22"/>
          <w:szCs w:val="22"/>
          <w:lang w:val="sr-Latn-CS"/>
        </w:rPr>
        <w:t xml:space="preserve"> </w:t>
      </w:r>
      <w:r w:rsidRPr="003804EF">
        <w:rPr>
          <w:i/>
          <w:iCs/>
          <w:sz w:val="22"/>
          <w:szCs w:val="22"/>
          <w:lang w:val="pl-PL"/>
        </w:rPr>
        <w:t>stanovnika</w:t>
      </w:r>
      <w:r w:rsidRPr="000049BB">
        <w:rPr>
          <w:sz w:val="22"/>
          <w:szCs w:val="22"/>
          <w:lang w:val="sr-Latn-CS"/>
        </w:rPr>
        <w:t xml:space="preserve"> </w:t>
      </w:r>
      <w:r w:rsidRPr="003804EF">
        <w:rPr>
          <w:sz w:val="22"/>
          <w:szCs w:val="22"/>
          <w:lang w:val="pl-PL"/>
        </w:rPr>
        <w:t>koja</w:t>
      </w:r>
      <w:r w:rsidRPr="000049BB">
        <w:rPr>
          <w:sz w:val="22"/>
          <w:szCs w:val="22"/>
          <w:lang w:val="sr-Latn-CS"/>
        </w:rPr>
        <w:t xml:space="preserve"> </w:t>
      </w:r>
      <w:r w:rsidRPr="003804EF">
        <w:rPr>
          <w:sz w:val="22"/>
          <w:szCs w:val="22"/>
          <w:lang w:val="pl-PL"/>
        </w:rPr>
        <w:t>iznosi</w:t>
      </w:r>
      <w:r w:rsidRPr="000049BB">
        <w:rPr>
          <w:sz w:val="22"/>
          <w:szCs w:val="22"/>
          <w:lang w:val="sr-Latn-CS"/>
        </w:rPr>
        <w:t xml:space="preserve"> 75,65 </w:t>
      </w:r>
      <w:r w:rsidRPr="003804EF">
        <w:rPr>
          <w:sz w:val="22"/>
          <w:szCs w:val="22"/>
          <w:lang w:val="pl-PL"/>
        </w:rPr>
        <w:t>kg</w:t>
      </w:r>
      <w:r w:rsidRPr="000049BB">
        <w:rPr>
          <w:sz w:val="22"/>
          <w:szCs w:val="22"/>
          <w:lang w:val="sr-Latn-CS"/>
        </w:rPr>
        <w:t xml:space="preserve"> </w:t>
      </w:r>
      <w:r>
        <w:rPr>
          <w:sz w:val="22"/>
          <w:szCs w:val="22"/>
          <w:lang w:val="sr-Latn-CS"/>
        </w:rPr>
        <w:t>(Pavlica et al., 2010),</w:t>
      </w:r>
      <w:r w:rsidRPr="000049BB">
        <w:rPr>
          <w:sz w:val="22"/>
          <w:szCs w:val="22"/>
          <w:lang w:val="sr-Latn-CS"/>
        </w:rPr>
        <w:t xml:space="preserve"> </w:t>
      </w:r>
      <w:r w:rsidRPr="003804EF">
        <w:rPr>
          <w:sz w:val="22"/>
          <w:szCs w:val="22"/>
          <w:lang w:val="pl-PL"/>
        </w:rPr>
        <w:t>a</w:t>
      </w:r>
      <w:r w:rsidRPr="000049BB">
        <w:rPr>
          <w:sz w:val="22"/>
          <w:szCs w:val="22"/>
          <w:lang w:val="sr-Latn-CS"/>
        </w:rPr>
        <w:t xml:space="preserve"> </w:t>
      </w:r>
      <w:r w:rsidRPr="003804EF">
        <w:rPr>
          <w:b/>
          <w:bCs/>
          <w:sz w:val="22"/>
          <w:szCs w:val="22"/>
          <w:lang w:val="pl-PL"/>
        </w:rPr>
        <w:t>TNU</w:t>
      </w:r>
      <w:r w:rsidRPr="000049BB">
        <w:rPr>
          <w:sz w:val="22"/>
          <w:szCs w:val="22"/>
          <w:lang w:val="sr-Latn-CS"/>
        </w:rPr>
        <w:t xml:space="preserve"> </w:t>
      </w:r>
      <w:r w:rsidRPr="003804EF">
        <w:rPr>
          <w:sz w:val="22"/>
          <w:szCs w:val="22"/>
          <w:lang w:val="pl-PL"/>
        </w:rPr>
        <w:t>je</w:t>
      </w:r>
      <w:r w:rsidRPr="000049BB">
        <w:rPr>
          <w:sz w:val="22"/>
          <w:szCs w:val="22"/>
          <w:lang w:val="sr-Latn-CS"/>
        </w:rPr>
        <w:t xml:space="preserve"> </w:t>
      </w:r>
      <w:r w:rsidRPr="003804EF">
        <w:rPr>
          <w:i/>
          <w:iCs/>
          <w:sz w:val="22"/>
          <w:szCs w:val="22"/>
          <w:lang w:val="pl-PL"/>
        </w:rPr>
        <w:t>tolerantni</w:t>
      </w:r>
      <w:r w:rsidRPr="000049BB">
        <w:rPr>
          <w:i/>
          <w:iCs/>
          <w:sz w:val="22"/>
          <w:szCs w:val="22"/>
          <w:lang w:val="sr-Latn-CS"/>
        </w:rPr>
        <w:t xml:space="preserve"> </w:t>
      </w:r>
      <w:r w:rsidRPr="003804EF">
        <w:rPr>
          <w:i/>
          <w:iCs/>
          <w:sz w:val="22"/>
          <w:szCs w:val="22"/>
          <w:lang w:val="pl-PL"/>
        </w:rPr>
        <w:t>nedeljni</w:t>
      </w:r>
      <w:r w:rsidRPr="000049BB">
        <w:rPr>
          <w:i/>
          <w:iCs/>
          <w:sz w:val="22"/>
          <w:szCs w:val="22"/>
          <w:lang w:val="sr-Latn-CS"/>
        </w:rPr>
        <w:t xml:space="preserve"> </w:t>
      </w:r>
      <w:r w:rsidRPr="003804EF">
        <w:rPr>
          <w:i/>
          <w:iCs/>
          <w:sz w:val="22"/>
          <w:szCs w:val="22"/>
          <w:lang w:val="pl-PL"/>
        </w:rPr>
        <w:t>unos</w:t>
      </w:r>
      <w:r w:rsidRPr="000049BB">
        <w:rPr>
          <w:i/>
          <w:iCs/>
          <w:sz w:val="22"/>
          <w:szCs w:val="22"/>
          <w:lang w:val="sr-Latn-CS"/>
        </w:rPr>
        <w:t xml:space="preserve"> </w:t>
      </w:r>
      <w:r w:rsidRPr="003804EF">
        <w:rPr>
          <w:i/>
          <w:iCs/>
          <w:sz w:val="22"/>
          <w:szCs w:val="22"/>
          <w:lang w:val="pl-PL"/>
        </w:rPr>
        <w:t>toksi</w:t>
      </w:r>
      <w:r w:rsidRPr="000049BB">
        <w:rPr>
          <w:i/>
          <w:iCs/>
          <w:sz w:val="22"/>
          <w:szCs w:val="22"/>
          <w:lang w:val="sr-Latn-CS"/>
        </w:rPr>
        <w:t>č</w:t>
      </w:r>
      <w:r w:rsidRPr="003804EF">
        <w:rPr>
          <w:i/>
          <w:iCs/>
          <w:sz w:val="22"/>
          <w:szCs w:val="22"/>
          <w:lang w:val="pl-PL"/>
        </w:rPr>
        <w:t>nih</w:t>
      </w:r>
      <w:r w:rsidRPr="000049BB">
        <w:rPr>
          <w:i/>
          <w:iCs/>
          <w:sz w:val="22"/>
          <w:szCs w:val="22"/>
          <w:lang w:val="sr-Latn-CS"/>
        </w:rPr>
        <w:t xml:space="preserve"> </w:t>
      </w:r>
      <w:r w:rsidRPr="003804EF">
        <w:rPr>
          <w:i/>
          <w:iCs/>
          <w:sz w:val="22"/>
          <w:szCs w:val="22"/>
          <w:lang w:val="pl-PL"/>
        </w:rPr>
        <w:t>metala</w:t>
      </w:r>
      <w:r w:rsidRPr="000049BB">
        <w:rPr>
          <w:sz w:val="22"/>
          <w:szCs w:val="22"/>
          <w:lang w:val="sr-Latn-CS"/>
        </w:rPr>
        <w:t xml:space="preserve"> </w:t>
      </w:r>
      <w:r w:rsidRPr="003804EF">
        <w:rPr>
          <w:sz w:val="22"/>
          <w:szCs w:val="22"/>
          <w:lang w:val="pl-PL"/>
        </w:rPr>
        <w:t>izra</w:t>
      </w:r>
      <w:r w:rsidRPr="000049BB">
        <w:rPr>
          <w:sz w:val="22"/>
          <w:szCs w:val="22"/>
          <w:lang w:val="sr-Latn-CS"/>
        </w:rPr>
        <w:t>ž</w:t>
      </w:r>
      <w:r w:rsidRPr="003804EF">
        <w:rPr>
          <w:sz w:val="22"/>
          <w:szCs w:val="22"/>
          <w:lang w:val="pl-PL"/>
        </w:rPr>
        <w:t>en</w:t>
      </w:r>
      <w:r w:rsidRPr="000049BB">
        <w:rPr>
          <w:sz w:val="22"/>
          <w:szCs w:val="22"/>
          <w:lang w:val="sr-Latn-CS"/>
        </w:rPr>
        <w:t xml:space="preserve"> </w:t>
      </w:r>
      <w:r w:rsidRPr="003804EF">
        <w:rPr>
          <w:sz w:val="22"/>
          <w:szCs w:val="22"/>
          <w:lang w:val="pl-PL"/>
        </w:rPr>
        <w:t>kao</w:t>
      </w:r>
      <w:r w:rsidRPr="000049BB">
        <w:rPr>
          <w:sz w:val="22"/>
          <w:szCs w:val="22"/>
          <w:lang w:val="sr-Latn-CS"/>
        </w:rPr>
        <w:t xml:space="preserve"> </w:t>
      </w:r>
      <w:r w:rsidRPr="003804EF">
        <w:rPr>
          <w:sz w:val="22"/>
          <w:szCs w:val="22"/>
          <w:lang w:val="pl-PL"/>
        </w:rPr>
        <w:t>μg</w:t>
      </w:r>
      <w:r w:rsidRPr="000049BB">
        <w:rPr>
          <w:sz w:val="22"/>
          <w:szCs w:val="22"/>
          <w:lang w:val="sr-Latn-CS"/>
        </w:rPr>
        <w:t>/</w:t>
      </w:r>
      <w:r w:rsidRPr="003804EF">
        <w:rPr>
          <w:sz w:val="22"/>
          <w:szCs w:val="22"/>
          <w:lang w:val="pl-PL"/>
        </w:rPr>
        <w:t>kg</w:t>
      </w:r>
      <w:r w:rsidRPr="000049BB">
        <w:rPr>
          <w:sz w:val="22"/>
          <w:szCs w:val="22"/>
          <w:lang w:val="sr-Latn-CS"/>
        </w:rPr>
        <w:t xml:space="preserve"> </w:t>
      </w:r>
      <w:r w:rsidRPr="003804EF">
        <w:rPr>
          <w:sz w:val="22"/>
          <w:szCs w:val="22"/>
          <w:lang w:val="pl-PL"/>
        </w:rPr>
        <w:t>telesne</w:t>
      </w:r>
      <w:r w:rsidRPr="000049BB">
        <w:rPr>
          <w:sz w:val="22"/>
          <w:szCs w:val="22"/>
          <w:lang w:val="sr-Latn-CS"/>
        </w:rPr>
        <w:t xml:space="preserve"> </w:t>
      </w:r>
      <w:r w:rsidRPr="003804EF">
        <w:rPr>
          <w:sz w:val="22"/>
          <w:szCs w:val="22"/>
          <w:lang w:val="pl-PL"/>
        </w:rPr>
        <w:t>mase</w:t>
      </w:r>
      <w:r w:rsidRPr="000049BB">
        <w:rPr>
          <w:sz w:val="22"/>
          <w:szCs w:val="22"/>
          <w:lang w:val="sr-Latn-CS"/>
        </w:rPr>
        <w:t>.</w:t>
      </w:r>
    </w:p>
    <w:p w:rsidR="00BE2F2E" w:rsidRPr="003804EF" w:rsidRDefault="00BE2F2E" w:rsidP="008A33C8">
      <w:pPr>
        <w:pStyle w:val="BodyTextIndent3"/>
        <w:spacing w:after="0"/>
        <w:ind w:left="0" w:firstLine="425"/>
        <w:jc w:val="both"/>
        <w:rPr>
          <w:sz w:val="22"/>
          <w:szCs w:val="22"/>
          <w:lang w:val="sr-Latn-CS"/>
        </w:rPr>
      </w:pPr>
      <w:r w:rsidRPr="003804EF">
        <w:rPr>
          <w:sz w:val="22"/>
          <w:szCs w:val="22"/>
          <w:lang w:val="sr-Latn-CS"/>
        </w:rPr>
        <w:t>Pri proceni kratkoročnog rizika po ljudsko zdravlje</w:t>
      </w:r>
      <w:r>
        <w:rPr>
          <w:sz w:val="22"/>
          <w:szCs w:val="22"/>
          <w:lang w:val="sr-Latn-CS"/>
        </w:rPr>
        <w:t>,</w:t>
      </w:r>
      <w:r w:rsidRPr="003804EF">
        <w:rPr>
          <w:sz w:val="22"/>
          <w:szCs w:val="22"/>
          <w:lang w:val="sr-Latn-CS"/>
        </w:rPr>
        <w:t xml:space="preserve"> smatra se da visok rizik postoji ukoliko je koeficijent rizika (KR) za neki elemenat veći od 1 </w:t>
      </w:r>
      <w:r>
        <w:rPr>
          <w:sz w:val="22"/>
          <w:szCs w:val="22"/>
          <w:lang w:val="sr-Latn-CS"/>
        </w:rPr>
        <w:t>(</w:t>
      </w:r>
      <w:r>
        <w:rPr>
          <w:sz w:val="22"/>
          <w:szCs w:val="22"/>
          <w:lang w:val="pl-PL"/>
        </w:rPr>
        <w:t>Leung</w:t>
      </w:r>
      <w:r>
        <w:rPr>
          <w:sz w:val="22"/>
          <w:szCs w:val="22"/>
          <w:lang w:val="sr-Latn-CS"/>
        </w:rPr>
        <w:t xml:space="preserve"> et al., 2008; Kostić et al., 2016)</w:t>
      </w:r>
      <w:r w:rsidRPr="003804EF">
        <w:rPr>
          <w:sz w:val="22"/>
          <w:szCs w:val="22"/>
          <w:lang w:val="sr-Latn-CS"/>
        </w:rPr>
        <w:t>.</w:t>
      </w:r>
    </w:p>
    <w:p w:rsidR="00BE2F2E" w:rsidRPr="003804EF" w:rsidRDefault="00BE2F2E" w:rsidP="00957BC0">
      <w:pPr>
        <w:pStyle w:val="BodyTextIndent3"/>
        <w:spacing w:after="0"/>
        <w:ind w:left="0"/>
        <w:jc w:val="both"/>
        <w:rPr>
          <w:sz w:val="22"/>
          <w:szCs w:val="22"/>
          <w:lang w:val="sr-Latn-CS"/>
        </w:rPr>
      </w:pPr>
    </w:p>
    <w:p w:rsidR="00BE2F2E" w:rsidRPr="003804EF" w:rsidRDefault="00BE2F2E" w:rsidP="00957BC0">
      <w:pPr>
        <w:pStyle w:val="BodyTextIndent3"/>
        <w:spacing w:after="0"/>
        <w:ind w:left="0"/>
        <w:jc w:val="both"/>
        <w:rPr>
          <w:b/>
          <w:bCs/>
          <w:sz w:val="22"/>
          <w:szCs w:val="22"/>
          <w:lang w:val="pl-PL"/>
        </w:rPr>
      </w:pPr>
      <w:r w:rsidRPr="003804EF">
        <w:rPr>
          <w:b/>
          <w:bCs/>
          <w:sz w:val="22"/>
          <w:szCs w:val="22"/>
          <w:lang w:val="pl-PL"/>
        </w:rPr>
        <w:t>Dugoročni, potencijalno kancerogeni, rizik po zdravlje ljudi</w:t>
      </w:r>
    </w:p>
    <w:p w:rsidR="00BE2F2E" w:rsidRPr="002C1E86" w:rsidRDefault="00BE2F2E" w:rsidP="00957BC0">
      <w:pPr>
        <w:pStyle w:val="BodyTextIndent3"/>
        <w:spacing w:after="0"/>
        <w:ind w:left="0"/>
        <w:jc w:val="both"/>
        <w:rPr>
          <w:sz w:val="20"/>
          <w:szCs w:val="20"/>
          <w:lang w:val="pl-PL"/>
        </w:rPr>
      </w:pPr>
    </w:p>
    <w:p w:rsidR="00BE2F2E" w:rsidRPr="003804EF" w:rsidRDefault="00BE2F2E" w:rsidP="008A33C8">
      <w:pPr>
        <w:ind w:firstLine="425"/>
        <w:jc w:val="both"/>
        <w:rPr>
          <w:sz w:val="22"/>
          <w:szCs w:val="22"/>
          <w:lang w:val="pl-PL"/>
        </w:rPr>
      </w:pPr>
      <w:r w:rsidRPr="003804EF">
        <w:rPr>
          <w:sz w:val="22"/>
          <w:szCs w:val="22"/>
          <w:lang w:val="pl-PL"/>
        </w:rPr>
        <w:t xml:space="preserve">Osim kratkoročnog rizika, prouzrokovanog konzumiranjem vode sa povišenim sadržajem toksičnih elemenata, moguće je odrediti i </w:t>
      </w:r>
      <w:r w:rsidRPr="003804EF">
        <w:rPr>
          <w:b/>
          <w:bCs/>
          <w:sz w:val="22"/>
          <w:szCs w:val="22"/>
          <w:lang w:val="pl-PL"/>
        </w:rPr>
        <w:t>dugoročni</w:t>
      </w:r>
      <w:r w:rsidRPr="003804EF">
        <w:rPr>
          <w:sz w:val="22"/>
          <w:szCs w:val="22"/>
          <w:lang w:val="pl-PL"/>
        </w:rPr>
        <w:t>,</w:t>
      </w:r>
      <w:r w:rsidRPr="003804EF">
        <w:rPr>
          <w:b/>
          <w:bCs/>
          <w:sz w:val="22"/>
          <w:szCs w:val="22"/>
          <w:lang w:val="pl-PL"/>
        </w:rPr>
        <w:t xml:space="preserve"> potencijalno kancerogeni</w:t>
      </w:r>
      <w:r w:rsidRPr="003804EF">
        <w:rPr>
          <w:sz w:val="22"/>
          <w:szCs w:val="22"/>
          <w:lang w:val="pl-PL"/>
        </w:rPr>
        <w:t>,</w:t>
      </w:r>
      <w:r w:rsidRPr="003804EF">
        <w:rPr>
          <w:b/>
          <w:bCs/>
          <w:sz w:val="22"/>
          <w:szCs w:val="22"/>
          <w:lang w:val="pl-PL"/>
        </w:rPr>
        <w:t xml:space="preserve"> rizik po zdravlje ljudi</w:t>
      </w:r>
      <w:r w:rsidRPr="003804EF">
        <w:rPr>
          <w:sz w:val="22"/>
          <w:szCs w:val="22"/>
          <w:lang w:val="pl-PL"/>
        </w:rPr>
        <w:t xml:space="preserve"> </w:t>
      </w:r>
      <w:r>
        <w:rPr>
          <w:sz w:val="22"/>
          <w:szCs w:val="22"/>
          <w:lang w:val="pl-PL"/>
        </w:rPr>
        <w:t>(Wu i Sun, 2015)</w:t>
      </w:r>
      <w:r w:rsidRPr="003804EF">
        <w:rPr>
          <w:sz w:val="22"/>
          <w:szCs w:val="22"/>
          <w:lang w:val="pl-PL"/>
        </w:rPr>
        <w:t>.</w:t>
      </w:r>
    </w:p>
    <w:p w:rsidR="00BE2F2E" w:rsidRPr="003804EF" w:rsidRDefault="00BE2F2E" w:rsidP="008A33C8">
      <w:pPr>
        <w:pStyle w:val="BodyTextIndent3"/>
        <w:spacing w:after="0"/>
        <w:ind w:left="0" w:firstLine="425"/>
        <w:jc w:val="both"/>
        <w:rPr>
          <w:sz w:val="22"/>
          <w:szCs w:val="22"/>
          <w:lang w:val="pl-PL"/>
        </w:rPr>
      </w:pPr>
      <w:r w:rsidRPr="003804EF">
        <w:rPr>
          <w:sz w:val="22"/>
          <w:szCs w:val="22"/>
          <w:lang w:val="pl-PL"/>
        </w:rPr>
        <w:t xml:space="preserve">Kao parametri za procenu ovog tipa rizika, određeni su </w:t>
      </w:r>
      <w:r w:rsidRPr="003804EF">
        <w:rPr>
          <w:i/>
          <w:iCs/>
          <w:sz w:val="22"/>
          <w:szCs w:val="22"/>
          <w:lang w:val="pl-PL"/>
        </w:rPr>
        <w:t>unos toksičnih elemenata oralnim putem</w:t>
      </w:r>
      <w:r w:rsidRPr="003804EF">
        <w:rPr>
          <w:sz w:val="22"/>
          <w:szCs w:val="22"/>
          <w:lang w:val="pl-PL"/>
        </w:rPr>
        <w:t xml:space="preserve"> (konzumiranjem vode za piće), </w:t>
      </w:r>
      <w:r w:rsidRPr="003804EF">
        <w:rPr>
          <w:b/>
          <w:bCs/>
          <w:sz w:val="22"/>
          <w:szCs w:val="22"/>
          <w:lang w:val="pl-PL"/>
        </w:rPr>
        <w:t>U</w:t>
      </w:r>
      <w:r w:rsidRPr="003804EF">
        <w:rPr>
          <w:b/>
          <w:bCs/>
          <w:sz w:val="22"/>
          <w:szCs w:val="22"/>
          <w:vertAlign w:val="subscript"/>
          <w:lang w:val="pl-PL"/>
        </w:rPr>
        <w:t>oral</w:t>
      </w:r>
      <w:r w:rsidRPr="003804EF">
        <w:rPr>
          <w:sz w:val="22"/>
          <w:szCs w:val="22"/>
          <w:lang w:val="pl-PL"/>
        </w:rPr>
        <w:t xml:space="preserve">, kao i </w:t>
      </w:r>
      <w:r w:rsidRPr="003804EF">
        <w:rPr>
          <w:i/>
          <w:iCs/>
          <w:sz w:val="22"/>
          <w:szCs w:val="22"/>
          <w:lang w:val="pl-PL"/>
        </w:rPr>
        <w:t>koeficijent rizika izazvan oralnim unosom toksičnih elemenata</w:t>
      </w:r>
      <w:r w:rsidRPr="003804EF">
        <w:rPr>
          <w:sz w:val="22"/>
          <w:szCs w:val="22"/>
          <w:lang w:val="pl-PL"/>
        </w:rPr>
        <w:t xml:space="preserve">, </w:t>
      </w:r>
      <w:r w:rsidRPr="003804EF">
        <w:rPr>
          <w:b/>
          <w:bCs/>
          <w:sz w:val="22"/>
          <w:szCs w:val="22"/>
          <w:lang w:val="pl-PL"/>
        </w:rPr>
        <w:t>KR</w:t>
      </w:r>
      <w:r w:rsidRPr="003804EF">
        <w:rPr>
          <w:b/>
          <w:bCs/>
          <w:sz w:val="22"/>
          <w:szCs w:val="22"/>
          <w:vertAlign w:val="subscript"/>
          <w:lang w:val="pl-PL"/>
        </w:rPr>
        <w:t>oral</w:t>
      </w:r>
      <w:r w:rsidRPr="003804EF">
        <w:rPr>
          <w:sz w:val="22"/>
          <w:szCs w:val="22"/>
          <w:lang w:val="pl-PL"/>
        </w:rPr>
        <w:t>, preko sledećih jednačina:</w:t>
      </w:r>
    </w:p>
    <w:p w:rsidR="00BE2F2E" w:rsidRPr="003804EF" w:rsidRDefault="00BE2F2E" w:rsidP="00957BC0">
      <w:pPr>
        <w:pStyle w:val="BodyTextIndent3"/>
        <w:spacing w:after="0"/>
        <w:ind w:left="0"/>
        <w:jc w:val="center"/>
        <w:rPr>
          <w:sz w:val="22"/>
          <w:szCs w:val="22"/>
          <w:lang w:val="pl-PL"/>
        </w:rPr>
      </w:pPr>
      <w:r w:rsidRPr="003804EF">
        <w:rPr>
          <w:b/>
          <w:bCs/>
          <w:sz w:val="22"/>
          <w:szCs w:val="22"/>
          <w:lang w:val="pl-PL"/>
        </w:rPr>
        <w:lastRenderedPageBreak/>
        <w:t>U</w:t>
      </w:r>
      <w:r w:rsidRPr="003804EF">
        <w:rPr>
          <w:b/>
          <w:bCs/>
          <w:sz w:val="22"/>
          <w:szCs w:val="22"/>
          <w:vertAlign w:val="subscript"/>
          <w:lang w:val="pl-PL"/>
        </w:rPr>
        <w:t>oral</w:t>
      </w:r>
      <w:r w:rsidRPr="003804EF">
        <w:rPr>
          <w:sz w:val="22"/>
          <w:szCs w:val="22"/>
          <w:lang w:val="pl-PL"/>
        </w:rPr>
        <w:t xml:space="preserve"> = </w:t>
      </w:r>
      <w:r w:rsidRPr="003804EF">
        <w:rPr>
          <w:position w:val="-22"/>
          <w:sz w:val="22"/>
          <w:szCs w:val="22"/>
          <w:lang w:val="pl-PL"/>
        </w:rPr>
        <w:object w:dxaOrig="1520" w:dyaOrig="580">
          <v:shape id="_x0000_i1027" type="#_x0000_t75" style="width:75.75pt;height:29.25pt" o:ole="">
            <v:imagedata r:id="rId18" o:title=""/>
          </v:shape>
          <o:OLEObject Type="Embed" ProgID="Equation.3" ShapeID="_x0000_i1027" DrawAspect="Content" ObjectID="_1599308103" r:id="rId19"/>
        </w:object>
      </w:r>
      <w:r w:rsidRPr="003804EF">
        <w:rPr>
          <w:sz w:val="22"/>
          <w:szCs w:val="22"/>
          <w:lang w:val="pl-PL"/>
        </w:rPr>
        <w:tab/>
      </w:r>
      <w:r w:rsidRPr="003804EF">
        <w:rPr>
          <w:sz w:val="22"/>
          <w:szCs w:val="22"/>
          <w:lang w:val="pl-PL"/>
        </w:rPr>
        <w:tab/>
      </w:r>
      <w:r w:rsidRPr="003804EF">
        <w:rPr>
          <w:sz w:val="22"/>
          <w:szCs w:val="22"/>
          <w:lang w:val="pl-PL"/>
        </w:rPr>
        <w:tab/>
      </w:r>
      <w:r w:rsidRPr="003804EF">
        <w:rPr>
          <w:b/>
          <w:bCs/>
          <w:sz w:val="22"/>
          <w:szCs w:val="22"/>
          <w:lang w:val="pl-PL"/>
        </w:rPr>
        <w:t>KR</w:t>
      </w:r>
      <w:r w:rsidRPr="003804EF">
        <w:rPr>
          <w:b/>
          <w:bCs/>
          <w:sz w:val="22"/>
          <w:szCs w:val="22"/>
          <w:vertAlign w:val="subscript"/>
          <w:lang w:val="pl-PL"/>
        </w:rPr>
        <w:t>oral</w:t>
      </w:r>
      <w:r w:rsidRPr="003804EF">
        <w:rPr>
          <w:sz w:val="22"/>
          <w:szCs w:val="22"/>
          <w:lang w:val="pl-PL"/>
        </w:rPr>
        <w:t xml:space="preserve"> = </w:t>
      </w:r>
      <w:r w:rsidRPr="003804EF">
        <w:rPr>
          <w:position w:val="-28"/>
          <w:sz w:val="22"/>
          <w:szCs w:val="22"/>
          <w:lang w:val="pl-PL"/>
        </w:rPr>
        <w:object w:dxaOrig="740" w:dyaOrig="639">
          <v:shape id="_x0000_i1028" type="#_x0000_t75" style="width:36pt;height:32.25pt" o:ole="">
            <v:imagedata r:id="rId20" o:title=""/>
          </v:shape>
          <o:OLEObject Type="Embed" ProgID="Equation.3" ShapeID="_x0000_i1028" DrawAspect="Content" ObjectID="_1599308104" r:id="rId21"/>
        </w:object>
      </w:r>
    </w:p>
    <w:p w:rsidR="00BE2F2E" w:rsidRPr="003804EF" w:rsidRDefault="00BE2F2E" w:rsidP="008A33C8">
      <w:pPr>
        <w:pStyle w:val="BodyTextIndent3"/>
        <w:spacing w:after="0"/>
        <w:ind w:left="0"/>
        <w:jc w:val="both"/>
        <w:rPr>
          <w:sz w:val="22"/>
          <w:szCs w:val="22"/>
          <w:lang w:val="pl-PL"/>
        </w:rPr>
      </w:pPr>
      <w:r w:rsidRPr="003804EF">
        <w:rPr>
          <w:sz w:val="22"/>
          <w:szCs w:val="22"/>
          <w:lang w:val="pl-PL"/>
        </w:rPr>
        <w:t xml:space="preserve">gde je: </w:t>
      </w:r>
      <w:r w:rsidRPr="003804EF">
        <w:rPr>
          <w:b/>
          <w:bCs/>
          <w:sz w:val="22"/>
          <w:szCs w:val="22"/>
          <w:lang w:val="pl-PL"/>
        </w:rPr>
        <w:t>RfD</w:t>
      </w:r>
      <w:r w:rsidRPr="003804EF">
        <w:rPr>
          <w:b/>
          <w:bCs/>
          <w:sz w:val="22"/>
          <w:szCs w:val="22"/>
          <w:vertAlign w:val="subscript"/>
          <w:lang w:val="pl-PL"/>
        </w:rPr>
        <w:t>oral</w:t>
      </w:r>
      <w:r w:rsidRPr="003804EF">
        <w:rPr>
          <w:sz w:val="22"/>
          <w:szCs w:val="22"/>
          <w:lang w:val="pl-PL"/>
        </w:rPr>
        <w:t xml:space="preserve"> </w:t>
      </w:r>
      <w:r w:rsidRPr="003804EF">
        <w:rPr>
          <w:i/>
          <w:iCs/>
          <w:sz w:val="22"/>
          <w:szCs w:val="22"/>
          <w:lang w:val="pl-PL"/>
        </w:rPr>
        <w:t>referentna vrednost za unos kancerogenih i potencijalno kancerogenih kontaminenata oralnim putem</w:t>
      </w:r>
      <w:r w:rsidRPr="003804EF">
        <w:rPr>
          <w:sz w:val="22"/>
          <w:szCs w:val="22"/>
          <w:lang w:val="pl-PL"/>
        </w:rPr>
        <w:t xml:space="preserve"> propisana od strane američke Agencije za zaštitu životne sredine </w:t>
      </w:r>
      <w:r>
        <w:rPr>
          <w:sz w:val="22"/>
          <w:szCs w:val="22"/>
          <w:lang w:val="pl-PL"/>
        </w:rPr>
        <w:t>(</w:t>
      </w:r>
      <w:r w:rsidRPr="000049BB">
        <w:rPr>
          <w:sz w:val="22"/>
          <w:szCs w:val="22"/>
          <w:lang w:val="pl-PL"/>
        </w:rPr>
        <w:t>engl.</w:t>
      </w:r>
      <w:r w:rsidRPr="003804EF">
        <w:rPr>
          <w:sz w:val="22"/>
          <w:szCs w:val="22"/>
          <w:lang w:val="pl-PL"/>
        </w:rPr>
        <w:t xml:space="preserve"> </w:t>
      </w:r>
      <w:r w:rsidRPr="003804EF">
        <w:rPr>
          <w:i/>
          <w:iCs/>
          <w:sz w:val="22"/>
          <w:szCs w:val="22"/>
          <w:lang w:val="pl-PL"/>
        </w:rPr>
        <w:t>Environmental Protection Agency</w:t>
      </w:r>
      <w:r w:rsidRPr="003804EF">
        <w:rPr>
          <w:sz w:val="22"/>
          <w:szCs w:val="22"/>
          <w:lang w:val="pl-PL"/>
        </w:rPr>
        <w:t xml:space="preserve"> [</w:t>
      </w:r>
      <w:r w:rsidRPr="003804EF">
        <w:rPr>
          <w:i/>
          <w:iCs/>
          <w:sz w:val="22"/>
          <w:szCs w:val="22"/>
          <w:lang w:val="pl-PL"/>
        </w:rPr>
        <w:t>EPA</w:t>
      </w:r>
      <w:r w:rsidRPr="003804EF">
        <w:rPr>
          <w:sz w:val="22"/>
          <w:szCs w:val="22"/>
          <w:lang w:val="pl-PL"/>
        </w:rPr>
        <w:t xml:space="preserve"> ili USEPA]) </w:t>
      </w:r>
      <w:r>
        <w:rPr>
          <w:sz w:val="22"/>
          <w:szCs w:val="22"/>
          <w:lang w:val="pl-PL"/>
        </w:rPr>
        <w:t>(Momot i Synzynys, 2005; CHMP, 2008;</w:t>
      </w:r>
      <w:r w:rsidRPr="00B63073">
        <w:rPr>
          <w:sz w:val="22"/>
          <w:szCs w:val="22"/>
          <w:lang w:val="sr-Latn-CS"/>
        </w:rPr>
        <w:t xml:space="preserve"> </w:t>
      </w:r>
      <w:r>
        <w:rPr>
          <w:sz w:val="22"/>
          <w:szCs w:val="22"/>
          <w:lang w:val="sr-Latn-CS"/>
        </w:rPr>
        <w:t>Kostić et al., 2016),</w:t>
      </w:r>
      <w:r w:rsidRPr="003804EF">
        <w:rPr>
          <w:sz w:val="22"/>
          <w:szCs w:val="22"/>
          <w:lang w:val="pl-PL"/>
        </w:rPr>
        <w:t xml:space="preserve"> a skraćenice </w:t>
      </w:r>
      <w:r w:rsidRPr="003804EF">
        <w:rPr>
          <w:b/>
          <w:bCs/>
          <w:sz w:val="22"/>
          <w:szCs w:val="22"/>
          <w:lang w:val="sr-Latn-CS"/>
        </w:rPr>
        <w:t>PPV</w:t>
      </w:r>
      <w:r w:rsidRPr="003804EF">
        <w:rPr>
          <w:sz w:val="22"/>
          <w:szCs w:val="22"/>
          <w:lang w:val="sr-Latn-CS"/>
        </w:rPr>
        <w:t xml:space="preserve"> i </w:t>
      </w:r>
      <w:r w:rsidRPr="003804EF">
        <w:rPr>
          <w:b/>
          <w:bCs/>
          <w:sz w:val="22"/>
          <w:szCs w:val="22"/>
          <w:lang w:val="pl-PL"/>
        </w:rPr>
        <w:t>PTM</w:t>
      </w:r>
      <w:r w:rsidRPr="003804EF">
        <w:rPr>
          <w:sz w:val="22"/>
          <w:szCs w:val="22"/>
          <w:lang w:val="pl-PL"/>
        </w:rPr>
        <w:t xml:space="preserve"> su već objašnjene.</w:t>
      </w:r>
    </w:p>
    <w:p w:rsidR="00BE2F2E" w:rsidRDefault="00BE2F2E" w:rsidP="008A33C8">
      <w:pPr>
        <w:ind w:firstLine="426"/>
        <w:jc w:val="both"/>
        <w:rPr>
          <w:sz w:val="22"/>
          <w:szCs w:val="22"/>
          <w:lang w:val="sr-Latn-CS"/>
        </w:rPr>
      </w:pPr>
      <w:r w:rsidRPr="00B304D1">
        <w:rPr>
          <w:sz w:val="22"/>
          <w:szCs w:val="22"/>
          <w:lang w:val="sl-SI"/>
        </w:rPr>
        <w:t xml:space="preserve">Procena kratkoročnog zdravstvenog rizika izražena preko </w:t>
      </w:r>
      <w:r w:rsidRPr="00B304D1">
        <w:rPr>
          <w:noProof/>
          <w:sz w:val="22"/>
          <w:szCs w:val="22"/>
          <w:lang w:val="sl-SI"/>
        </w:rPr>
        <w:t>tolerantnog nedeljnog unosa (TNU), procenjenog nedeljnog unosa (PNU) i koeficijenta rizika (KR) za potencijalno toksične metale</w:t>
      </w:r>
      <w:r w:rsidRPr="00B304D1">
        <w:rPr>
          <w:sz w:val="22"/>
          <w:szCs w:val="22"/>
          <w:lang w:val="sl-SI"/>
        </w:rPr>
        <w:t xml:space="preserve"> prikazana je u tabeli </w:t>
      </w:r>
      <w:r>
        <w:rPr>
          <w:sz w:val="22"/>
          <w:szCs w:val="22"/>
          <w:lang w:val="sl-SI"/>
        </w:rPr>
        <w:t>6</w:t>
      </w:r>
      <w:r w:rsidRPr="00B304D1">
        <w:rPr>
          <w:sz w:val="22"/>
          <w:szCs w:val="22"/>
          <w:lang w:val="sl-SI"/>
        </w:rPr>
        <w:t xml:space="preserve">. </w:t>
      </w:r>
      <w:r w:rsidRPr="00B304D1">
        <w:rPr>
          <w:sz w:val="22"/>
          <w:szCs w:val="22"/>
          <w:lang w:val="sr-Latn-CS"/>
        </w:rPr>
        <w:t xml:space="preserve">Pri proceni kratkoročnog rizika po ljudsko zdravlje smatra se da visok rizik postoji ukoliko je koeficijent rizika za neki elemenat veći od 1 </w:t>
      </w:r>
      <w:r>
        <w:rPr>
          <w:sz w:val="22"/>
          <w:szCs w:val="22"/>
          <w:lang w:val="sr-Latn-CS"/>
        </w:rPr>
        <w:t>(WHO, 2011; Rajković et al., 2004; Kostić et al., 2016b; WHO, 1998; ATSDR, 1997)</w:t>
      </w:r>
      <w:r w:rsidRPr="00B304D1">
        <w:rPr>
          <w:sz w:val="22"/>
          <w:szCs w:val="22"/>
          <w:lang w:val="sr-Latn-CS"/>
        </w:rPr>
        <w:t>.</w:t>
      </w:r>
    </w:p>
    <w:p w:rsidR="00BE2F2E" w:rsidRDefault="00BE2F2E" w:rsidP="00957BC0">
      <w:pPr>
        <w:jc w:val="both"/>
        <w:rPr>
          <w:sz w:val="22"/>
          <w:szCs w:val="22"/>
          <w:lang w:val="sl-SI"/>
        </w:rPr>
      </w:pPr>
    </w:p>
    <w:p w:rsidR="00BE2F2E" w:rsidRPr="008A33C8" w:rsidRDefault="00BE2F2E" w:rsidP="00CB20B2">
      <w:pPr>
        <w:jc w:val="both"/>
        <w:rPr>
          <w:noProof/>
          <w:spacing w:val="-2"/>
          <w:sz w:val="22"/>
          <w:szCs w:val="22"/>
          <w:lang w:val="sl-SI"/>
        </w:rPr>
      </w:pPr>
      <w:r w:rsidRPr="008A33C8">
        <w:rPr>
          <w:noProof/>
          <w:spacing w:val="-2"/>
          <w:sz w:val="22"/>
          <w:szCs w:val="22"/>
          <w:lang w:val="sl-SI"/>
        </w:rPr>
        <w:t>Tabela 6. Kratkoročni zdravstveni rizik izražen kroz tolerantni nedeljni unos (TNU), procenjeni nedeljni unos (PNU) i koeficijent rizika (KR) za toksične metale.</w:t>
      </w:r>
    </w:p>
    <w:p w:rsidR="00BE2F2E" w:rsidRPr="00CB20B2" w:rsidRDefault="00BE2F2E" w:rsidP="00CB20B2">
      <w:pPr>
        <w:jc w:val="both"/>
        <w:rPr>
          <w:i/>
          <w:iCs/>
          <w:noProof/>
          <w:sz w:val="22"/>
          <w:szCs w:val="22"/>
        </w:rPr>
      </w:pPr>
      <w:r w:rsidRPr="00CB20B2">
        <w:rPr>
          <w:i/>
          <w:iCs/>
          <w:sz w:val="22"/>
          <w:szCs w:val="22"/>
        </w:rPr>
        <w:t xml:space="preserve">Table 6. </w:t>
      </w:r>
      <w:r w:rsidRPr="00CB20B2">
        <w:rPr>
          <w:i/>
          <w:iCs/>
          <w:noProof/>
          <w:sz w:val="22"/>
          <w:szCs w:val="22"/>
        </w:rPr>
        <w:t>Short-term health risks expressed through tolerable weekly intake (TWI), estimated weekly intake (EWI) and risk coefficient (RC) for toxic metals</w:t>
      </w:r>
      <w:r>
        <w:rPr>
          <w:i/>
          <w:iCs/>
          <w:noProof/>
          <w:sz w:val="22"/>
          <w:szCs w:val="22"/>
        </w:rPr>
        <w:t>.</w:t>
      </w:r>
    </w:p>
    <w:p w:rsidR="00BE2F2E" w:rsidRPr="00CB20B2" w:rsidRDefault="00BE2F2E" w:rsidP="00CB20B2">
      <w:pPr>
        <w:jc w:val="both"/>
        <w:rPr>
          <w:sz w:val="22"/>
          <w:szCs w:val="22"/>
          <w:lang w:val="sl-SI"/>
        </w:rPr>
      </w:pPr>
    </w:p>
    <w:tbl>
      <w:tblPr>
        <w:tblW w:w="7371" w:type="dxa"/>
        <w:jc w:val="center"/>
        <w:tblCellMar>
          <w:left w:w="28" w:type="dxa"/>
          <w:right w:w="28" w:type="dxa"/>
        </w:tblCellMar>
        <w:tblLook w:val="01E0"/>
      </w:tblPr>
      <w:tblGrid>
        <w:gridCol w:w="1306"/>
        <w:gridCol w:w="1283"/>
        <w:gridCol w:w="1490"/>
        <w:gridCol w:w="1487"/>
        <w:gridCol w:w="1805"/>
      </w:tblGrid>
      <w:tr w:rsidR="00BE2F2E" w:rsidRPr="00CB20B2">
        <w:trPr>
          <w:trHeight w:val="397"/>
          <w:jc w:val="center"/>
        </w:trPr>
        <w:tc>
          <w:tcPr>
            <w:tcW w:w="2948" w:type="dxa"/>
            <w:gridSpan w:val="2"/>
            <w:tcBorders>
              <w:top w:val="single" w:sz="4" w:space="0" w:color="auto"/>
              <w:bottom w:val="single" w:sz="4" w:space="0" w:color="auto"/>
            </w:tcBorders>
          </w:tcPr>
          <w:p w:rsidR="00BE2F2E" w:rsidRPr="00CB20B2" w:rsidRDefault="00BE2F2E" w:rsidP="00957BC0">
            <w:pPr>
              <w:jc w:val="center"/>
              <w:rPr>
                <w:noProof/>
                <w:sz w:val="16"/>
                <w:szCs w:val="16"/>
                <w:lang w:val="sl-SI"/>
              </w:rPr>
            </w:pPr>
          </w:p>
        </w:tc>
        <w:tc>
          <w:tcPr>
            <w:tcW w:w="5447" w:type="dxa"/>
            <w:gridSpan w:val="3"/>
            <w:tcBorders>
              <w:top w:val="single" w:sz="4" w:space="0" w:color="auto"/>
              <w:bottom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Kratkoročni rizik</w:t>
            </w:r>
          </w:p>
          <w:p w:rsidR="00BE2F2E" w:rsidRPr="00CB20B2" w:rsidRDefault="00BE2F2E" w:rsidP="00CB20B2">
            <w:pPr>
              <w:jc w:val="center"/>
              <w:rPr>
                <w:i/>
                <w:iCs/>
                <w:noProof/>
                <w:sz w:val="16"/>
                <w:szCs w:val="16"/>
                <w:lang w:val="sl-SI"/>
              </w:rPr>
            </w:pPr>
            <w:r w:rsidRPr="00CB20B2">
              <w:rPr>
                <w:i/>
                <w:iCs/>
                <w:noProof/>
                <w:sz w:val="16"/>
                <w:szCs w:val="16"/>
                <w:lang w:val="sl-SI"/>
              </w:rPr>
              <w:t>Short-term risk</w:t>
            </w:r>
          </w:p>
        </w:tc>
      </w:tr>
      <w:tr w:rsidR="00BE2F2E" w:rsidRPr="00CB20B2">
        <w:trPr>
          <w:trHeight w:val="737"/>
          <w:jc w:val="center"/>
        </w:trPr>
        <w:tc>
          <w:tcPr>
            <w:tcW w:w="1474" w:type="dxa"/>
            <w:tcBorders>
              <w:top w:val="single" w:sz="4" w:space="0" w:color="auto"/>
              <w:bottom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Elemenat</w:t>
            </w:r>
          </w:p>
          <w:p w:rsidR="00BE2F2E" w:rsidRPr="00CB20B2" w:rsidRDefault="00BE2F2E" w:rsidP="00CB20B2">
            <w:pPr>
              <w:jc w:val="center"/>
              <w:rPr>
                <w:noProof/>
                <w:sz w:val="16"/>
                <w:szCs w:val="16"/>
                <w:lang w:val="sl-SI"/>
              </w:rPr>
            </w:pPr>
            <w:r w:rsidRPr="00CB20B2">
              <w:rPr>
                <w:i/>
                <w:iCs/>
                <w:noProof/>
                <w:sz w:val="16"/>
                <w:szCs w:val="16"/>
                <w:lang w:val="sl-SI"/>
              </w:rPr>
              <w:t>Element</w:t>
            </w:r>
          </w:p>
        </w:tc>
        <w:tc>
          <w:tcPr>
            <w:tcW w:w="1474" w:type="dxa"/>
            <w:tcBorders>
              <w:top w:val="single" w:sz="4" w:space="0" w:color="auto"/>
              <w:bottom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Gustina</w:t>
            </w:r>
          </w:p>
          <w:p w:rsidR="00BE2F2E" w:rsidRPr="00CB20B2" w:rsidRDefault="00BE2F2E" w:rsidP="00CB20B2">
            <w:pPr>
              <w:jc w:val="center"/>
              <w:rPr>
                <w:i/>
                <w:iCs/>
                <w:noProof/>
                <w:sz w:val="16"/>
                <w:szCs w:val="16"/>
                <w:lang w:val="sl-SI"/>
              </w:rPr>
            </w:pPr>
            <w:r w:rsidRPr="00CB20B2">
              <w:rPr>
                <w:i/>
                <w:iCs/>
                <w:noProof/>
                <w:sz w:val="16"/>
                <w:szCs w:val="16"/>
                <w:lang w:val="sl-SI"/>
              </w:rPr>
              <w:t>Density</w:t>
            </w:r>
          </w:p>
          <w:p w:rsidR="00BE2F2E" w:rsidRPr="00CB20B2" w:rsidDel="00A87568" w:rsidRDefault="00BE2F2E" w:rsidP="00CB20B2">
            <w:pPr>
              <w:jc w:val="center"/>
              <w:rPr>
                <w:noProof/>
                <w:sz w:val="16"/>
                <w:szCs w:val="16"/>
                <w:lang w:val="sl-SI"/>
              </w:rPr>
            </w:pPr>
            <w:r w:rsidRPr="00CB20B2">
              <w:rPr>
                <w:noProof/>
                <w:sz w:val="16"/>
                <w:szCs w:val="16"/>
                <w:lang w:val="sl-SI"/>
              </w:rPr>
              <w:t>(g/cm</w:t>
            </w:r>
            <w:r w:rsidRPr="00CB20B2">
              <w:rPr>
                <w:noProof/>
                <w:sz w:val="16"/>
                <w:szCs w:val="16"/>
                <w:vertAlign w:val="superscript"/>
                <w:lang w:val="sl-SI"/>
              </w:rPr>
              <w:t>3</w:t>
            </w:r>
            <w:r w:rsidRPr="00CB20B2">
              <w:rPr>
                <w:noProof/>
                <w:sz w:val="16"/>
                <w:szCs w:val="16"/>
                <w:lang w:val="sl-SI"/>
              </w:rPr>
              <w:t>)</w:t>
            </w:r>
          </w:p>
        </w:tc>
        <w:tc>
          <w:tcPr>
            <w:tcW w:w="1691" w:type="dxa"/>
            <w:tcBorders>
              <w:top w:val="single" w:sz="4" w:space="0" w:color="auto"/>
              <w:bottom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Tolerantni nedeljni unos</w:t>
            </w:r>
            <w:r>
              <w:rPr>
                <w:noProof/>
                <w:sz w:val="16"/>
                <w:szCs w:val="16"/>
                <w:lang w:val="sl-SI"/>
              </w:rPr>
              <w:t xml:space="preserve"> </w:t>
            </w:r>
            <w:r w:rsidRPr="00CB20B2">
              <w:rPr>
                <w:noProof/>
                <w:sz w:val="16"/>
                <w:szCs w:val="16"/>
                <w:lang w:val="sl-SI"/>
              </w:rPr>
              <w:t>(TNU)</w:t>
            </w:r>
          </w:p>
          <w:p w:rsidR="00BE2F2E" w:rsidRPr="00CB20B2" w:rsidRDefault="00BE2F2E" w:rsidP="00CB20B2">
            <w:pPr>
              <w:jc w:val="center"/>
              <w:rPr>
                <w:i/>
                <w:iCs/>
                <w:noProof/>
                <w:sz w:val="16"/>
                <w:szCs w:val="16"/>
                <w:lang w:val="sl-SI"/>
              </w:rPr>
            </w:pPr>
            <w:r w:rsidRPr="00CB20B2">
              <w:rPr>
                <w:i/>
                <w:iCs/>
                <w:noProof/>
                <w:sz w:val="16"/>
                <w:szCs w:val="16"/>
                <w:lang w:val="sl-SI"/>
              </w:rPr>
              <w:t>Tolerable weekly</w:t>
            </w:r>
          </w:p>
          <w:p w:rsidR="00BE2F2E" w:rsidRPr="00CB20B2" w:rsidRDefault="00BE2F2E" w:rsidP="00CB20B2">
            <w:pPr>
              <w:jc w:val="center"/>
              <w:rPr>
                <w:noProof/>
                <w:sz w:val="16"/>
                <w:szCs w:val="16"/>
              </w:rPr>
            </w:pPr>
            <w:r w:rsidRPr="00CB20B2">
              <w:rPr>
                <w:i/>
                <w:iCs/>
                <w:noProof/>
                <w:sz w:val="16"/>
                <w:szCs w:val="16"/>
                <w:lang w:val="sl-SI"/>
              </w:rPr>
              <w:t>intake</w:t>
            </w:r>
            <w:r>
              <w:rPr>
                <w:i/>
                <w:iCs/>
                <w:noProof/>
                <w:sz w:val="16"/>
                <w:szCs w:val="16"/>
                <w:lang w:val="sl-SI"/>
              </w:rPr>
              <w:t xml:space="preserve"> </w:t>
            </w:r>
            <w:r w:rsidRPr="00CB20B2">
              <w:rPr>
                <w:noProof/>
                <w:sz w:val="16"/>
                <w:szCs w:val="16"/>
                <w:lang w:val="sl-SI"/>
              </w:rPr>
              <w:t>(TWI)</w:t>
            </w:r>
          </w:p>
          <w:p w:rsidR="00BE2F2E" w:rsidRPr="00CB20B2" w:rsidRDefault="00BE2F2E" w:rsidP="00CB20B2">
            <w:pPr>
              <w:jc w:val="center"/>
              <w:rPr>
                <w:i/>
                <w:iCs/>
                <w:noProof/>
                <w:sz w:val="16"/>
                <w:szCs w:val="16"/>
                <w:lang w:val="sl-SI"/>
              </w:rPr>
            </w:pPr>
            <w:r w:rsidRPr="00CB20B2">
              <w:rPr>
                <w:noProof/>
                <w:sz w:val="16"/>
                <w:szCs w:val="16"/>
                <w:lang w:val="sl-SI"/>
              </w:rPr>
              <w:t>(µg/kg)</w:t>
            </w:r>
          </w:p>
        </w:tc>
        <w:tc>
          <w:tcPr>
            <w:tcW w:w="1682" w:type="dxa"/>
            <w:tcBorders>
              <w:top w:val="single" w:sz="4" w:space="0" w:color="auto"/>
              <w:bottom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Procenjeni nedeljni unos</w:t>
            </w:r>
            <w:r>
              <w:rPr>
                <w:noProof/>
                <w:sz w:val="16"/>
                <w:szCs w:val="16"/>
                <w:lang w:val="sl-SI"/>
              </w:rPr>
              <w:t xml:space="preserve"> </w:t>
            </w:r>
            <w:r w:rsidRPr="00CB20B2">
              <w:rPr>
                <w:noProof/>
                <w:sz w:val="16"/>
                <w:szCs w:val="16"/>
                <w:lang w:val="sl-SI"/>
              </w:rPr>
              <w:t>(PNU)</w:t>
            </w:r>
          </w:p>
          <w:p w:rsidR="00BE2F2E" w:rsidRPr="00CB20B2" w:rsidRDefault="00BE2F2E" w:rsidP="00CB20B2">
            <w:pPr>
              <w:jc w:val="center"/>
              <w:rPr>
                <w:i/>
                <w:iCs/>
                <w:noProof/>
                <w:sz w:val="16"/>
                <w:szCs w:val="16"/>
                <w:lang w:val="sl-SI"/>
              </w:rPr>
            </w:pPr>
            <w:r w:rsidRPr="00CB20B2">
              <w:rPr>
                <w:i/>
                <w:iCs/>
                <w:noProof/>
                <w:sz w:val="16"/>
                <w:szCs w:val="16"/>
                <w:lang w:val="sl-SI"/>
              </w:rPr>
              <w:t>Estimated weekly intake</w:t>
            </w:r>
            <w:r>
              <w:rPr>
                <w:i/>
                <w:iCs/>
                <w:noProof/>
                <w:sz w:val="16"/>
                <w:szCs w:val="16"/>
                <w:lang w:val="sl-SI"/>
              </w:rPr>
              <w:t xml:space="preserve"> </w:t>
            </w:r>
            <w:r w:rsidRPr="00CB20B2">
              <w:rPr>
                <w:noProof/>
                <w:sz w:val="16"/>
                <w:szCs w:val="16"/>
                <w:lang w:val="sl-SI"/>
              </w:rPr>
              <w:t>(EWI)</w:t>
            </w:r>
          </w:p>
        </w:tc>
        <w:tc>
          <w:tcPr>
            <w:tcW w:w="2074" w:type="dxa"/>
            <w:tcBorders>
              <w:top w:val="single" w:sz="4" w:space="0" w:color="auto"/>
              <w:bottom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Koeficijent rizika</w:t>
            </w:r>
          </w:p>
          <w:p w:rsidR="00BE2F2E" w:rsidRPr="00CB20B2" w:rsidRDefault="00BE2F2E" w:rsidP="00CB20B2">
            <w:pPr>
              <w:jc w:val="center"/>
              <w:rPr>
                <w:noProof/>
                <w:sz w:val="16"/>
                <w:szCs w:val="16"/>
                <w:lang w:val="sl-SI"/>
              </w:rPr>
            </w:pPr>
            <w:r w:rsidRPr="00CB20B2">
              <w:rPr>
                <w:noProof/>
                <w:sz w:val="16"/>
                <w:szCs w:val="16"/>
                <w:lang w:val="sl-SI"/>
              </w:rPr>
              <w:t>(KR)</w:t>
            </w:r>
          </w:p>
          <w:p w:rsidR="00BE2F2E" w:rsidRPr="00CB20B2" w:rsidRDefault="00BE2F2E" w:rsidP="00CB20B2">
            <w:pPr>
              <w:jc w:val="center"/>
              <w:rPr>
                <w:i/>
                <w:iCs/>
                <w:noProof/>
                <w:sz w:val="16"/>
                <w:szCs w:val="16"/>
                <w:lang w:val="sl-SI"/>
              </w:rPr>
            </w:pPr>
            <w:r w:rsidRPr="00CB20B2">
              <w:rPr>
                <w:i/>
                <w:iCs/>
                <w:noProof/>
                <w:sz w:val="16"/>
                <w:szCs w:val="16"/>
                <w:lang w:val="sl-SI"/>
              </w:rPr>
              <w:t>Risk coefficient</w:t>
            </w:r>
          </w:p>
          <w:p w:rsidR="00BE2F2E" w:rsidRPr="00CB20B2" w:rsidRDefault="00BE2F2E" w:rsidP="00CB20B2">
            <w:pPr>
              <w:jc w:val="center"/>
              <w:rPr>
                <w:noProof/>
                <w:sz w:val="16"/>
                <w:szCs w:val="16"/>
                <w:lang w:val="sl-SI"/>
              </w:rPr>
            </w:pPr>
            <w:r w:rsidRPr="00CB20B2">
              <w:rPr>
                <w:noProof/>
                <w:sz w:val="16"/>
                <w:szCs w:val="16"/>
                <w:lang w:val="sl-SI"/>
              </w:rPr>
              <w:t>(RC)</w:t>
            </w:r>
          </w:p>
        </w:tc>
      </w:tr>
      <w:tr w:rsidR="00BE2F2E" w:rsidRPr="00CB20B2">
        <w:trPr>
          <w:trHeight w:val="198"/>
          <w:jc w:val="center"/>
        </w:trPr>
        <w:tc>
          <w:tcPr>
            <w:tcW w:w="1474" w:type="dxa"/>
            <w:tcBorders>
              <w:top w:val="single" w:sz="4" w:space="0" w:color="auto"/>
            </w:tcBorders>
            <w:vAlign w:val="center"/>
          </w:tcPr>
          <w:p w:rsidR="00BE2F2E" w:rsidRPr="00CB20B2" w:rsidRDefault="00BE2F2E" w:rsidP="00C00557">
            <w:pPr>
              <w:jc w:val="center"/>
              <w:rPr>
                <w:noProof/>
                <w:sz w:val="16"/>
                <w:szCs w:val="16"/>
                <w:lang w:val="sl-SI"/>
              </w:rPr>
            </w:pPr>
            <w:r w:rsidRPr="00CB20B2">
              <w:rPr>
                <w:noProof/>
                <w:sz w:val="16"/>
                <w:szCs w:val="16"/>
                <w:lang w:val="sl-SI"/>
              </w:rPr>
              <w:t>Ca</w:t>
            </w:r>
          </w:p>
        </w:tc>
        <w:tc>
          <w:tcPr>
            <w:tcW w:w="1474" w:type="dxa"/>
            <w:tcBorders>
              <w:top w:val="single" w:sz="4" w:space="0" w:color="auto"/>
            </w:tcBorders>
            <w:vAlign w:val="center"/>
          </w:tcPr>
          <w:p w:rsidR="00BE2F2E" w:rsidRPr="00CB20B2" w:rsidRDefault="00BE2F2E" w:rsidP="00C00557">
            <w:pPr>
              <w:jc w:val="center"/>
              <w:rPr>
                <w:noProof/>
                <w:sz w:val="16"/>
                <w:szCs w:val="16"/>
                <w:lang w:val="sl-SI"/>
              </w:rPr>
            </w:pPr>
            <w:r w:rsidRPr="00CB20B2">
              <w:rPr>
                <w:noProof/>
                <w:sz w:val="16"/>
                <w:szCs w:val="16"/>
                <w:lang w:val="sl-SI"/>
              </w:rPr>
              <w:t>1,55</w:t>
            </w:r>
          </w:p>
        </w:tc>
        <w:tc>
          <w:tcPr>
            <w:tcW w:w="1691" w:type="dxa"/>
            <w:tcBorders>
              <w:top w:val="single" w:sz="4" w:space="0" w:color="auto"/>
            </w:tcBorders>
            <w:vAlign w:val="center"/>
          </w:tcPr>
          <w:p w:rsidR="00BE2F2E" w:rsidRPr="00CB20B2" w:rsidRDefault="00BE2F2E" w:rsidP="00C00557">
            <w:pPr>
              <w:jc w:val="center"/>
              <w:rPr>
                <w:noProof/>
                <w:sz w:val="16"/>
                <w:szCs w:val="16"/>
                <w:lang w:val="sl-SI"/>
              </w:rPr>
            </w:pPr>
            <w:r w:rsidRPr="00CB20B2">
              <w:rPr>
                <w:noProof/>
                <w:sz w:val="16"/>
                <w:szCs w:val="16"/>
                <w:lang w:val="sl-SI"/>
              </w:rPr>
              <w:t>–</w:t>
            </w:r>
          </w:p>
        </w:tc>
        <w:tc>
          <w:tcPr>
            <w:tcW w:w="1682" w:type="dxa"/>
            <w:tcBorders>
              <w:top w:val="single" w:sz="4" w:space="0" w:color="auto"/>
            </w:tcBorders>
            <w:vAlign w:val="center"/>
          </w:tcPr>
          <w:p w:rsidR="00BE2F2E" w:rsidRPr="00CB20B2" w:rsidRDefault="00BE2F2E" w:rsidP="00C00557">
            <w:pPr>
              <w:jc w:val="center"/>
              <w:rPr>
                <w:noProof/>
                <w:sz w:val="16"/>
                <w:szCs w:val="16"/>
                <w:lang w:val="sl-SI"/>
              </w:rPr>
            </w:pPr>
            <w:r w:rsidRPr="00CB20B2">
              <w:rPr>
                <w:noProof/>
                <w:sz w:val="16"/>
                <w:szCs w:val="16"/>
                <w:lang w:val="sl-SI"/>
              </w:rPr>
              <w:t>–</w:t>
            </w:r>
          </w:p>
        </w:tc>
        <w:tc>
          <w:tcPr>
            <w:tcW w:w="2074" w:type="dxa"/>
            <w:tcBorders>
              <w:top w:val="single" w:sz="4" w:space="0" w:color="auto"/>
            </w:tcBorders>
            <w:vAlign w:val="center"/>
          </w:tcPr>
          <w:p w:rsidR="00BE2F2E" w:rsidRPr="00CB20B2" w:rsidRDefault="00BE2F2E" w:rsidP="00C00557">
            <w:pPr>
              <w:jc w:val="center"/>
              <w:rPr>
                <w:noProof/>
                <w:sz w:val="16"/>
                <w:szCs w:val="16"/>
                <w:lang w:val="sl-SI"/>
              </w:rPr>
            </w:pPr>
            <w:r w:rsidRPr="00CB20B2">
              <w:rPr>
                <w:noProof/>
                <w:sz w:val="16"/>
                <w:szCs w:val="16"/>
                <w:lang w:val="sl-SI"/>
              </w:rPr>
              <w:t>–</w:t>
            </w:r>
          </w:p>
        </w:tc>
      </w:tr>
      <w:tr w:rsidR="00BE2F2E" w:rsidRPr="00CB20B2">
        <w:trPr>
          <w:trHeight w:val="198"/>
          <w:jc w:val="center"/>
        </w:trPr>
        <w:tc>
          <w:tcPr>
            <w:tcW w:w="1474" w:type="dxa"/>
            <w:vAlign w:val="center"/>
          </w:tcPr>
          <w:p w:rsidR="00BE2F2E" w:rsidRPr="00CB20B2" w:rsidRDefault="00BE2F2E" w:rsidP="00C00557">
            <w:pPr>
              <w:jc w:val="center"/>
              <w:rPr>
                <w:noProof/>
                <w:sz w:val="16"/>
                <w:szCs w:val="16"/>
                <w:lang w:val="sl-SI"/>
              </w:rPr>
            </w:pPr>
            <w:r w:rsidRPr="00CB20B2">
              <w:rPr>
                <w:noProof/>
                <w:sz w:val="16"/>
                <w:szCs w:val="16"/>
                <w:lang w:val="sl-SI"/>
              </w:rPr>
              <w:t>Cd</w:t>
            </w:r>
          </w:p>
        </w:tc>
        <w:tc>
          <w:tcPr>
            <w:tcW w:w="1474" w:type="dxa"/>
            <w:vAlign w:val="center"/>
          </w:tcPr>
          <w:p w:rsidR="00BE2F2E" w:rsidRPr="00CB20B2" w:rsidRDefault="00BE2F2E" w:rsidP="00C00557">
            <w:pPr>
              <w:jc w:val="center"/>
              <w:rPr>
                <w:noProof/>
                <w:sz w:val="16"/>
                <w:szCs w:val="16"/>
                <w:lang w:val="sl-SI"/>
              </w:rPr>
            </w:pPr>
            <w:r w:rsidRPr="00CB20B2">
              <w:rPr>
                <w:noProof/>
                <w:sz w:val="16"/>
                <w:szCs w:val="16"/>
                <w:lang w:val="sl-SI"/>
              </w:rPr>
              <w:t>8,65</w:t>
            </w:r>
          </w:p>
        </w:tc>
        <w:tc>
          <w:tcPr>
            <w:tcW w:w="1691" w:type="dxa"/>
            <w:vAlign w:val="center"/>
          </w:tcPr>
          <w:p w:rsidR="00BE2F2E" w:rsidRPr="00CB20B2" w:rsidRDefault="00BE2F2E" w:rsidP="00C00557">
            <w:pPr>
              <w:jc w:val="center"/>
              <w:rPr>
                <w:noProof/>
                <w:sz w:val="16"/>
                <w:szCs w:val="16"/>
                <w:lang w:val="sl-SI"/>
              </w:rPr>
            </w:pPr>
            <w:r w:rsidRPr="00CB20B2">
              <w:rPr>
                <w:noProof/>
                <w:sz w:val="16"/>
                <w:szCs w:val="16"/>
                <w:lang w:val="sl-SI"/>
              </w:rPr>
              <w:t>7</w:t>
            </w:r>
          </w:p>
        </w:tc>
        <w:tc>
          <w:tcPr>
            <w:tcW w:w="1682" w:type="dxa"/>
            <w:vAlign w:val="center"/>
          </w:tcPr>
          <w:p w:rsidR="00BE2F2E" w:rsidRPr="00CB20B2" w:rsidRDefault="00BE2F2E" w:rsidP="00C00557">
            <w:pPr>
              <w:jc w:val="center"/>
              <w:rPr>
                <w:noProof/>
                <w:sz w:val="16"/>
                <w:szCs w:val="16"/>
                <w:lang w:val="sl-SI"/>
              </w:rPr>
            </w:pPr>
            <w:r w:rsidRPr="00CB20B2">
              <w:rPr>
                <w:noProof/>
                <w:sz w:val="16"/>
                <w:szCs w:val="16"/>
                <w:lang w:val="sl-SI"/>
              </w:rPr>
              <w:t>0,539</w:t>
            </w:r>
          </w:p>
        </w:tc>
        <w:tc>
          <w:tcPr>
            <w:tcW w:w="2074" w:type="dxa"/>
            <w:vAlign w:val="center"/>
          </w:tcPr>
          <w:p w:rsidR="00BE2F2E" w:rsidRPr="00CB20B2" w:rsidRDefault="00BE2F2E" w:rsidP="00C00557">
            <w:pPr>
              <w:jc w:val="center"/>
              <w:rPr>
                <w:noProof/>
                <w:sz w:val="16"/>
                <w:szCs w:val="16"/>
                <w:lang w:val="sl-SI"/>
              </w:rPr>
            </w:pPr>
            <w:r w:rsidRPr="00CB20B2">
              <w:rPr>
                <w:noProof/>
                <w:sz w:val="16"/>
                <w:szCs w:val="16"/>
                <w:lang w:val="sl-SI"/>
              </w:rPr>
              <w:t>0,077</w:t>
            </w:r>
          </w:p>
        </w:tc>
      </w:tr>
      <w:tr w:rsidR="00BE2F2E" w:rsidRPr="00CB20B2">
        <w:trPr>
          <w:trHeight w:val="198"/>
          <w:jc w:val="center"/>
        </w:trPr>
        <w:tc>
          <w:tcPr>
            <w:tcW w:w="1474" w:type="dxa"/>
            <w:vAlign w:val="center"/>
          </w:tcPr>
          <w:p w:rsidR="00BE2F2E" w:rsidRPr="00CB20B2" w:rsidRDefault="00BE2F2E" w:rsidP="00C00557">
            <w:pPr>
              <w:jc w:val="center"/>
              <w:rPr>
                <w:noProof/>
                <w:sz w:val="16"/>
                <w:szCs w:val="16"/>
                <w:lang w:val="sl-SI"/>
              </w:rPr>
            </w:pPr>
            <w:r w:rsidRPr="00CB20B2">
              <w:rPr>
                <w:noProof/>
                <w:sz w:val="16"/>
                <w:szCs w:val="16"/>
                <w:lang w:val="sl-SI"/>
              </w:rPr>
              <w:t>Cu</w:t>
            </w:r>
          </w:p>
        </w:tc>
        <w:tc>
          <w:tcPr>
            <w:tcW w:w="1474" w:type="dxa"/>
            <w:vAlign w:val="center"/>
          </w:tcPr>
          <w:p w:rsidR="00BE2F2E" w:rsidRPr="00CB20B2" w:rsidRDefault="00BE2F2E" w:rsidP="00C00557">
            <w:pPr>
              <w:jc w:val="center"/>
              <w:rPr>
                <w:noProof/>
                <w:sz w:val="16"/>
                <w:szCs w:val="16"/>
                <w:lang w:val="sl-SI"/>
              </w:rPr>
            </w:pPr>
            <w:r w:rsidRPr="00CB20B2">
              <w:rPr>
                <w:noProof/>
                <w:sz w:val="16"/>
                <w:szCs w:val="16"/>
                <w:lang w:val="sl-SI"/>
              </w:rPr>
              <w:t>8,96</w:t>
            </w:r>
          </w:p>
        </w:tc>
        <w:tc>
          <w:tcPr>
            <w:tcW w:w="1691" w:type="dxa"/>
            <w:vAlign w:val="center"/>
          </w:tcPr>
          <w:p w:rsidR="00BE2F2E" w:rsidRPr="00CB20B2" w:rsidRDefault="00BE2F2E" w:rsidP="00C00557">
            <w:pPr>
              <w:jc w:val="center"/>
              <w:rPr>
                <w:noProof/>
                <w:sz w:val="16"/>
                <w:szCs w:val="16"/>
                <w:lang w:val="sl-SI"/>
              </w:rPr>
            </w:pPr>
            <w:r w:rsidRPr="00CB20B2">
              <w:rPr>
                <w:noProof/>
                <w:sz w:val="16"/>
                <w:szCs w:val="16"/>
                <w:lang w:val="sl-SI"/>
              </w:rPr>
              <w:t>3500</w:t>
            </w:r>
          </w:p>
        </w:tc>
        <w:tc>
          <w:tcPr>
            <w:tcW w:w="1682" w:type="dxa"/>
            <w:vAlign w:val="center"/>
          </w:tcPr>
          <w:p w:rsidR="00BE2F2E" w:rsidRPr="00CB20B2" w:rsidRDefault="00BE2F2E" w:rsidP="00C00557">
            <w:pPr>
              <w:jc w:val="center"/>
              <w:rPr>
                <w:noProof/>
                <w:sz w:val="16"/>
                <w:szCs w:val="16"/>
                <w:lang w:val="sl-SI"/>
              </w:rPr>
            </w:pPr>
            <w:r w:rsidRPr="00CB20B2">
              <w:rPr>
                <w:noProof/>
                <w:sz w:val="16"/>
                <w:szCs w:val="16"/>
                <w:lang w:val="sl-SI"/>
              </w:rPr>
              <w:t>12,38</w:t>
            </w:r>
          </w:p>
        </w:tc>
        <w:tc>
          <w:tcPr>
            <w:tcW w:w="2074" w:type="dxa"/>
            <w:vAlign w:val="center"/>
          </w:tcPr>
          <w:p w:rsidR="00BE2F2E" w:rsidRPr="00CB20B2" w:rsidRDefault="00BE2F2E" w:rsidP="00C00557">
            <w:pPr>
              <w:jc w:val="center"/>
              <w:rPr>
                <w:noProof/>
                <w:sz w:val="16"/>
                <w:szCs w:val="16"/>
                <w:lang w:val="sl-SI"/>
              </w:rPr>
            </w:pPr>
            <w:r w:rsidRPr="00CB20B2">
              <w:rPr>
                <w:noProof/>
                <w:sz w:val="16"/>
                <w:szCs w:val="16"/>
                <w:lang w:val="sl-SI"/>
              </w:rPr>
              <w:t>3,54·10</w:t>
            </w:r>
            <w:r w:rsidRPr="00CB20B2">
              <w:rPr>
                <w:noProof/>
                <w:sz w:val="16"/>
                <w:szCs w:val="16"/>
                <w:vertAlign w:val="superscript"/>
                <w:lang w:val="sl-SI"/>
              </w:rPr>
              <w:t>–3</w:t>
            </w:r>
            <w:r w:rsidRPr="00CB20B2">
              <w:rPr>
                <w:noProof/>
                <w:sz w:val="16"/>
                <w:szCs w:val="16"/>
                <w:lang w:val="sl-SI"/>
              </w:rPr>
              <w:t xml:space="preserve"> ili &lt;&lt; 1</w:t>
            </w:r>
          </w:p>
        </w:tc>
      </w:tr>
      <w:tr w:rsidR="00BE2F2E" w:rsidRPr="00CB20B2">
        <w:trPr>
          <w:trHeight w:val="198"/>
          <w:jc w:val="center"/>
        </w:trPr>
        <w:tc>
          <w:tcPr>
            <w:tcW w:w="1474" w:type="dxa"/>
            <w:vAlign w:val="center"/>
          </w:tcPr>
          <w:p w:rsidR="00BE2F2E" w:rsidRPr="00CB20B2" w:rsidRDefault="00BE2F2E" w:rsidP="00C00557">
            <w:pPr>
              <w:jc w:val="center"/>
              <w:rPr>
                <w:noProof/>
                <w:sz w:val="16"/>
                <w:szCs w:val="16"/>
                <w:lang w:val="sl-SI"/>
              </w:rPr>
            </w:pPr>
            <w:r w:rsidRPr="00CB20B2">
              <w:rPr>
                <w:noProof/>
                <w:sz w:val="16"/>
                <w:szCs w:val="16"/>
                <w:lang w:val="sl-SI"/>
              </w:rPr>
              <w:t>Pb</w:t>
            </w:r>
          </w:p>
        </w:tc>
        <w:tc>
          <w:tcPr>
            <w:tcW w:w="1474" w:type="dxa"/>
            <w:vAlign w:val="center"/>
          </w:tcPr>
          <w:p w:rsidR="00BE2F2E" w:rsidRPr="00CB20B2" w:rsidRDefault="00BE2F2E" w:rsidP="00C00557">
            <w:pPr>
              <w:jc w:val="center"/>
              <w:rPr>
                <w:noProof/>
                <w:sz w:val="16"/>
                <w:szCs w:val="16"/>
                <w:lang w:val="sl-SI"/>
              </w:rPr>
            </w:pPr>
            <w:r w:rsidRPr="00CB20B2">
              <w:rPr>
                <w:noProof/>
                <w:sz w:val="16"/>
                <w:szCs w:val="16"/>
                <w:lang w:val="sl-SI"/>
              </w:rPr>
              <w:t>11,34</w:t>
            </w:r>
          </w:p>
        </w:tc>
        <w:tc>
          <w:tcPr>
            <w:tcW w:w="1691" w:type="dxa"/>
            <w:vAlign w:val="center"/>
          </w:tcPr>
          <w:p w:rsidR="00BE2F2E" w:rsidRPr="00CB20B2" w:rsidRDefault="00BE2F2E" w:rsidP="00C00557">
            <w:pPr>
              <w:jc w:val="center"/>
              <w:rPr>
                <w:noProof/>
                <w:sz w:val="16"/>
                <w:szCs w:val="16"/>
                <w:lang w:val="sl-SI"/>
              </w:rPr>
            </w:pPr>
            <w:r w:rsidRPr="00CB20B2">
              <w:rPr>
                <w:noProof/>
                <w:sz w:val="16"/>
                <w:szCs w:val="16"/>
                <w:lang w:val="sl-SI"/>
              </w:rPr>
              <w:t>25</w:t>
            </w:r>
          </w:p>
        </w:tc>
        <w:tc>
          <w:tcPr>
            <w:tcW w:w="1682" w:type="dxa"/>
            <w:vAlign w:val="center"/>
          </w:tcPr>
          <w:p w:rsidR="00BE2F2E" w:rsidRPr="00CB20B2" w:rsidRDefault="00BE2F2E" w:rsidP="00C00557">
            <w:pPr>
              <w:jc w:val="center"/>
              <w:rPr>
                <w:noProof/>
                <w:sz w:val="16"/>
                <w:szCs w:val="16"/>
                <w:lang w:val="sl-SI"/>
              </w:rPr>
            </w:pPr>
            <w:r w:rsidRPr="00CB20B2">
              <w:rPr>
                <w:noProof/>
                <w:sz w:val="16"/>
                <w:szCs w:val="16"/>
                <w:lang w:val="sl-SI"/>
              </w:rPr>
              <w:t>1,795</w:t>
            </w:r>
          </w:p>
        </w:tc>
        <w:tc>
          <w:tcPr>
            <w:tcW w:w="2074" w:type="dxa"/>
            <w:vAlign w:val="center"/>
          </w:tcPr>
          <w:p w:rsidR="00BE2F2E" w:rsidRPr="00CB20B2" w:rsidRDefault="00BE2F2E" w:rsidP="00C00557">
            <w:pPr>
              <w:jc w:val="center"/>
              <w:rPr>
                <w:noProof/>
                <w:sz w:val="16"/>
                <w:szCs w:val="16"/>
                <w:lang w:val="sl-SI"/>
              </w:rPr>
            </w:pPr>
            <w:r w:rsidRPr="00CB20B2">
              <w:rPr>
                <w:noProof/>
                <w:sz w:val="16"/>
                <w:szCs w:val="16"/>
                <w:lang w:val="sl-SI"/>
              </w:rPr>
              <w:t>0,072</w:t>
            </w:r>
          </w:p>
        </w:tc>
      </w:tr>
      <w:tr w:rsidR="00BE2F2E" w:rsidRPr="00CB20B2">
        <w:trPr>
          <w:trHeight w:val="198"/>
          <w:jc w:val="center"/>
        </w:trPr>
        <w:tc>
          <w:tcPr>
            <w:tcW w:w="1474" w:type="dxa"/>
            <w:vAlign w:val="center"/>
          </w:tcPr>
          <w:p w:rsidR="00BE2F2E" w:rsidRPr="00CB20B2" w:rsidRDefault="00BE2F2E" w:rsidP="00C00557">
            <w:pPr>
              <w:jc w:val="center"/>
              <w:rPr>
                <w:noProof/>
                <w:sz w:val="16"/>
                <w:szCs w:val="16"/>
                <w:lang w:val="sl-SI"/>
              </w:rPr>
            </w:pPr>
            <w:r w:rsidRPr="00CB20B2">
              <w:rPr>
                <w:noProof/>
                <w:sz w:val="16"/>
                <w:szCs w:val="16"/>
                <w:lang w:val="sl-SI"/>
              </w:rPr>
              <w:t>Fe</w:t>
            </w:r>
          </w:p>
        </w:tc>
        <w:tc>
          <w:tcPr>
            <w:tcW w:w="1474" w:type="dxa"/>
            <w:vAlign w:val="center"/>
          </w:tcPr>
          <w:p w:rsidR="00BE2F2E" w:rsidRPr="00CB20B2" w:rsidRDefault="00BE2F2E" w:rsidP="00C00557">
            <w:pPr>
              <w:jc w:val="center"/>
              <w:rPr>
                <w:noProof/>
                <w:sz w:val="16"/>
                <w:szCs w:val="16"/>
                <w:lang w:val="sl-SI"/>
              </w:rPr>
            </w:pPr>
            <w:r w:rsidRPr="00CB20B2">
              <w:rPr>
                <w:noProof/>
                <w:sz w:val="16"/>
                <w:szCs w:val="16"/>
                <w:lang w:val="sl-SI"/>
              </w:rPr>
              <w:t>7,86</w:t>
            </w:r>
          </w:p>
        </w:tc>
        <w:tc>
          <w:tcPr>
            <w:tcW w:w="1691" w:type="dxa"/>
            <w:vAlign w:val="center"/>
          </w:tcPr>
          <w:p w:rsidR="00BE2F2E" w:rsidRPr="00CB20B2" w:rsidRDefault="00BE2F2E" w:rsidP="00C00557">
            <w:pPr>
              <w:jc w:val="center"/>
              <w:rPr>
                <w:noProof/>
                <w:sz w:val="16"/>
                <w:szCs w:val="16"/>
                <w:lang w:val="sl-SI"/>
              </w:rPr>
            </w:pPr>
            <w:r w:rsidRPr="00CB20B2">
              <w:rPr>
                <w:noProof/>
                <w:sz w:val="16"/>
                <w:szCs w:val="16"/>
                <w:lang w:val="sl-SI"/>
              </w:rPr>
              <w:t>5600</w:t>
            </w:r>
          </w:p>
        </w:tc>
        <w:tc>
          <w:tcPr>
            <w:tcW w:w="1682" w:type="dxa"/>
            <w:vAlign w:val="center"/>
          </w:tcPr>
          <w:p w:rsidR="00BE2F2E" w:rsidRPr="00CB20B2" w:rsidRDefault="00BE2F2E" w:rsidP="00C00557">
            <w:pPr>
              <w:jc w:val="center"/>
              <w:rPr>
                <w:noProof/>
                <w:sz w:val="16"/>
                <w:szCs w:val="16"/>
                <w:lang w:val="sl-SI"/>
              </w:rPr>
            </w:pPr>
            <w:r w:rsidRPr="00CB20B2">
              <w:rPr>
                <w:noProof/>
                <w:sz w:val="16"/>
                <w:szCs w:val="16"/>
                <w:lang w:val="sl-SI"/>
              </w:rPr>
              <w:t>35,16</w:t>
            </w:r>
          </w:p>
        </w:tc>
        <w:tc>
          <w:tcPr>
            <w:tcW w:w="2074" w:type="dxa"/>
            <w:vAlign w:val="center"/>
          </w:tcPr>
          <w:p w:rsidR="00BE2F2E" w:rsidRPr="00CB20B2" w:rsidRDefault="00BE2F2E" w:rsidP="00C00557">
            <w:pPr>
              <w:jc w:val="center"/>
              <w:rPr>
                <w:noProof/>
                <w:sz w:val="16"/>
                <w:szCs w:val="16"/>
                <w:lang w:val="sl-SI"/>
              </w:rPr>
            </w:pPr>
            <w:r w:rsidRPr="00CB20B2">
              <w:rPr>
                <w:noProof/>
                <w:sz w:val="16"/>
                <w:szCs w:val="16"/>
                <w:lang w:val="sl-SI"/>
              </w:rPr>
              <w:t>6,28·10</w:t>
            </w:r>
            <w:r w:rsidRPr="00CB20B2">
              <w:rPr>
                <w:noProof/>
                <w:sz w:val="16"/>
                <w:szCs w:val="16"/>
                <w:vertAlign w:val="superscript"/>
                <w:lang w:val="sl-SI"/>
              </w:rPr>
              <w:t>–3</w:t>
            </w:r>
            <w:r w:rsidRPr="00CB20B2">
              <w:rPr>
                <w:noProof/>
                <w:sz w:val="16"/>
                <w:szCs w:val="16"/>
                <w:lang w:val="sl-SI"/>
              </w:rPr>
              <w:t xml:space="preserve"> ili &lt;&lt; 1</w:t>
            </w:r>
          </w:p>
        </w:tc>
      </w:tr>
      <w:tr w:rsidR="00BE2F2E" w:rsidRPr="00CB20B2">
        <w:trPr>
          <w:trHeight w:val="198"/>
          <w:jc w:val="center"/>
        </w:trPr>
        <w:tc>
          <w:tcPr>
            <w:tcW w:w="1474" w:type="dxa"/>
            <w:tcBorders>
              <w:bottom w:val="single" w:sz="4" w:space="0" w:color="auto"/>
            </w:tcBorders>
            <w:vAlign w:val="center"/>
          </w:tcPr>
          <w:p w:rsidR="00BE2F2E" w:rsidRPr="00CB20B2" w:rsidRDefault="00BE2F2E" w:rsidP="00C00557">
            <w:pPr>
              <w:jc w:val="center"/>
              <w:rPr>
                <w:noProof/>
                <w:sz w:val="16"/>
                <w:szCs w:val="16"/>
                <w:lang w:val="sl-SI"/>
              </w:rPr>
            </w:pPr>
            <w:r w:rsidRPr="00CB20B2">
              <w:rPr>
                <w:noProof/>
                <w:sz w:val="16"/>
                <w:szCs w:val="16"/>
                <w:lang w:val="sl-SI"/>
              </w:rPr>
              <w:t>Al</w:t>
            </w:r>
          </w:p>
        </w:tc>
        <w:tc>
          <w:tcPr>
            <w:tcW w:w="1474" w:type="dxa"/>
            <w:tcBorders>
              <w:bottom w:val="single" w:sz="4" w:space="0" w:color="auto"/>
            </w:tcBorders>
            <w:vAlign w:val="center"/>
          </w:tcPr>
          <w:p w:rsidR="00BE2F2E" w:rsidRPr="00CB20B2" w:rsidRDefault="00BE2F2E" w:rsidP="00C00557">
            <w:pPr>
              <w:jc w:val="center"/>
              <w:rPr>
                <w:noProof/>
                <w:sz w:val="16"/>
                <w:szCs w:val="16"/>
                <w:lang w:val="sl-SI"/>
              </w:rPr>
            </w:pPr>
            <w:r w:rsidRPr="00CB20B2">
              <w:rPr>
                <w:noProof/>
                <w:sz w:val="16"/>
                <w:szCs w:val="16"/>
                <w:lang w:val="sl-SI"/>
              </w:rPr>
              <w:t>2,702</w:t>
            </w:r>
          </w:p>
        </w:tc>
        <w:tc>
          <w:tcPr>
            <w:tcW w:w="1691" w:type="dxa"/>
            <w:tcBorders>
              <w:bottom w:val="single" w:sz="4" w:space="0" w:color="auto"/>
            </w:tcBorders>
            <w:vAlign w:val="center"/>
          </w:tcPr>
          <w:p w:rsidR="00BE2F2E" w:rsidRPr="00CB20B2" w:rsidRDefault="00BE2F2E" w:rsidP="00C00557">
            <w:pPr>
              <w:jc w:val="center"/>
              <w:rPr>
                <w:noProof/>
                <w:sz w:val="16"/>
                <w:szCs w:val="16"/>
                <w:lang w:val="sl-SI"/>
              </w:rPr>
            </w:pPr>
            <w:r w:rsidRPr="00CB20B2">
              <w:rPr>
                <w:noProof/>
                <w:sz w:val="16"/>
                <w:szCs w:val="16"/>
                <w:lang w:val="sl-SI"/>
              </w:rPr>
              <w:t>7000</w:t>
            </w:r>
          </w:p>
        </w:tc>
        <w:tc>
          <w:tcPr>
            <w:tcW w:w="1682" w:type="dxa"/>
            <w:tcBorders>
              <w:bottom w:val="single" w:sz="4" w:space="0" w:color="auto"/>
            </w:tcBorders>
            <w:vAlign w:val="center"/>
          </w:tcPr>
          <w:p w:rsidR="00BE2F2E" w:rsidRPr="00CB20B2" w:rsidRDefault="00BE2F2E" w:rsidP="00C00557">
            <w:pPr>
              <w:jc w:val="center"/>
              <w:rPr>
                <w:noProof/>
                <w:sz w:val="16"/>
                <w:szCs w:val="16"/>
                <w:lang w:val="sl-SI"/>
              </w:rPr>
            </w:pPr>
            <w:r w:rsidRPr="00CB20B2">
              <w:rPr>
                <w:noProof/>
                <w:sz w:val="16"/>
                <w:szCs w:val="16"/>
                <w:lang w:val="sl-SI"/>
              </w:rPr>
              <w:t>99,93</w:t>
            </w:r>
          </w:p>
        </w:tc>
        <w:tc>
          <w:tcPr>
            <w:tcW w:w="2074" w:type="dxa"/>
            <w:tcBorders>
              <w:bottom w:val="single" w:sz="4" w:space="0" w:color="auto"/>
            </w:tcBorders>
            <w:vAlign w:val="center"/>
          </w:tcPr>
          <w:p w:rsidR="00BE2F2E" w:rsidRPr="00CB20B2" w:rsidRDefault="00BE2F2E" w:rsidP="00C00557">
            <w:pPr>
              <w:jc w:val="center"/>
              <w:rPr>
                <w:sz w:val="16"/>
                <w:szCs w:val="16"/>
                <w:lang w:val="pl-PL"/>
              </w:rPr>
            </w:pPr>
            <w:r w:rsidRPr="00CB20B2">
              <w:rPr>
                <w:noProof/>
                <w:sz w:val="16"/>
                <w:szCs w:val="16"/>
                <w:lang w:val="sl-SI"/>
              </w:rPr>
              <w:t>0,014</w:t>
            </w:r>
          </w:p>
        </w:tc>
      </w:tr>
    </w:tbl>
    <w:p w:rsidR="00BE2F2E" w:rsidRDefault="00BE2F2E" w:rsidP="00A5338B">
      <w:pPr>
        <w:rPr>
          <w:sz w:val="22"/>
          <w:szCs w:val="22"/>
          <w:lang w:val="sr-Latn-CS"/>
        </w:rPr>
      </w:pPr>
    </w:p>
    <w:p w:rsidR="00BE2F2E" w:rsidRPr="006645E2" w:rsidRDefault="00BE2F2E" w:rsidP="008A33C8">
      <w:pPr>
        <w:ind w:firstLine="426"/>
        <w:jc w:val="both"/>
        <w:rPr>
          <w:sz w:val="22"/>
          <w:szCs w:val="22"/>
          <w:lang w:val="sr-Latn-CS"/>
        </w:rPr>
      </w:pPr>
      <w:r w:rsidRPr="006645E2">
        <w:rPr>
          <w:sz w:val="22"/>
          <w:szCs w:val="22"/>
          <w:lang w:val="sr-Latn-CS"/>
        </w:rPr>
        <w:t>Na osnovu podatka o gustini</w:t>
      </w:r>
      <w:r>
        <w:rPr>
          <w:sz w:val="22"/>
          <w:szCs w:val="22"/>
          <w:lang w:val="sr-Latn-CS"/>
        </w:rPr>
        <w:t xml:space="preserve"> metala</w:t>
      </w:r>
      <w:r w:rsidRPr="006645E2">
        <w:rPr>
          <w:sz w:val="22"/>
          <w:szCs w:val="22"/>
          <w:lang w:val="sr-Latn-CS"/>
        </w:rPr>
        <w:t>, prikazan</w:t>
      </w:r>
      <w:r>
        <w:rPr>
          <w:sz w:val="22"/>
          <w:szCs w:val="22"/>
          <w:lang w:val="sr-Latn-CS"/>
        </w:rPr>
        <w:t xml:space="preserve">e </w:t>
      </w:r>
      <w:r w:rsidRPr="006645E2">
        <w:rPr>
          <w:sz w:val="22"/>
          <w:szCs w:val="22"/>
          <w:lang w:val="sr-Latn-CS"/>
        </w:rPr>
        <w:t xml:space="preserve">u tabeli </w:t>
      </w:r>
      <w:r>
        <w:rPr>
          <w:sz w:val="22"/>
          <w:szCs w:val="22"/>
          <w:lang w:val="sr-Latn-CS"/>
        </w:rPr>
        <w:t>6,</w:t>
      </w:r>
      <w:r w:rsidRPr="006645E2">
        <w:rPr>
          <w:sz w:val="22"/>
          <w:szCs w:val="22"/>
          <w:lang w:val="sr-Latn-CS"/>
        </w:rPr>
        <w:t xml:space="preserve"> u teške metale ubrajaju se: Cd, Cu, Pb i Fe</w:t>
      </w:r>
      <w:r>
        <w:rPr>
          <w:sz w:val="22"/>
          <w:szCs w:val="22"/>
          <w:lang w:val="sr-Latn-CS"/>
        </w:rPr>
        <w:t xml:space="preserve"> (jer im je gustina &gt; 5 g/cm</w:t>
      </w:r>
      <w:r>
        <w:rPr>
          <w:sz w:val="22"/>
          <w:szCs w:val="22"/>
          <w:vertAlign w:val="superscript"/>
          <w:lang w:val="sr-Latn-CS"/>
        </w:rPr>
        <w:t>3</w:t>
      </w:r>
      <w:r>
        <w:rPr>
          <w:sz w:val="22"/>
          <w:szCs w:val="22"/>
          <w:lang w:val="sr-Latn-CS"/>
        </w:rPr>
        <w:t xml:space="preserve">) </w:t>
      </w:r>
      <w:r w:rsidRPr="004267A2">
        <w:rPr>
          <w:sz w:val="22"/>
          <w:szCs w:val="22"/>
          <w:lang w:val="sr-Latn-CS"/>
        </w:rPr>
        <w:t>(Rajković, 2002)</w:t>
      </w:r>
      <w:r w:rsidRPr="006645E2">
        <w:rPr>
          <w:sz w:val="22"/>
          <w:szCs w:val="22"/>
          <w:lang w:val="sr-Latn-CS"/>
        </w:rPr>
        <w:t>.</w:t>
      </w:r>
    </w:p>
    <w:p w:rsidR="00BE2F2E" w:rsidRPr="006645E2" w:rsidRDefault="00BE2F2E" w:rsidP="008A33C8">
      <w:pPr>
        <w:pStyle w:val="PlainText"/>
        <w:ind w:firstLine="426"/>
        <w:jc w:val="both"/>
        <w:rPr>
          <w:rFonts w:ascii="Times New Roman" w:hAnsi="Times New Roman" w:cs="Times New Roman"/>
          <w:sz w:val="22"/>
          <w:szCs w:val="22"/>
          <w:lang w:val="sr-Latn-CS"/>
        </w:rPr>
      </w:pPr>
      <w:r w:rsidRPr="006645E2">
        <w:rPr>
          <w:rFonts w:ascii="Times New Roman" w:hAnsi="Times New Roman" w:cs="Times New Roman"/>
          <w:sz w:val="22"/>
          <w:szCs w:val="22"/>
          <w:lang w:val="sr-Latn-CS"/>
        </w:rPr>
        <w:t xml:space="preserve">Na </w:t>
      </w:r>
      <w:r>
        <w:rPr>
          <w:rFonts w:ascii="Times New Roman" w:hAnsi="Times New Roman" w:cs="Times New Roman"/>
          <w:sz w:val="22"/>
          <w:szCs w:val="22"/>
          <w:lang w:val="sr-Latn-CS"/>
        </w:rPr>
        <w:t>osnovu podataka z</w:t>
      </w:r>
      <w:r w:rsidRPr="006645E2">
        <w:rPr>
          <w:rFonts w:ascii="Times New Roman" w:hAnsi="Times New Roman" w:cs="Times New Roman"/>
          <w:sz w:val="22"/>
          <w:szCs w:val="22"/>
          <w:lang w:val="sr-Latn-CS"/>
        </w:rPr>
        <w:t>a kratkoročni zdravstveni rizik i koeficijenata rizika za navedene elemente koji su pronađeni u po</w:t>
      </w:r>
      <w:r>
        <w:rPr>
          <w:rFonts w:ascii="Times New Roman" w:hAnsi="Times New Roman" w:cs="Times New Roman"/>
          <w:sz w:val="22"/>
          <w:szCs w:val="22"/>
          <w:lang w:val="sr-Latn-CS"/>
        </w:rPr>
        <w:t>većanim koncentracijama</w:t>
      </w:r>
      <w:r w:rsidRPr="006645E2">
        <w:rPr>
          <w:rFonts w:ascii="Times New Roman" w:hAnsi="Times New Roman" w:cs="Times New Roman"/>
          <w:sz w:val="22"/>
          <w:szCs w:val="22"/>
          <w:lang w:val="sr-Latn-CS"/>
        </w:rPr>
        <w:t xml:space="preserve">, može se zaključiti da ni od jednog </w:t>
      </w:r>
      <w:r>
        <w:rPr>
          <w:rFonts w:ascii="Times New Roman" w:hAnsi="Times New Roman" w:cs="Times New Roman"/>
          <w:sz w:val="22"/>
          <w:szCs w:val="22"/>
          <w:lang w:val="sr-Latn-CS"/>
        </w:rPr>
        <w:t>e</w:t>
      </w:r>
      <w:r w:rsidRPr="006645E2">
        <w:rPr>
          <w:rFonts w:ascii="Times New Roman" w:hAnsi="Times New Roman" w:cs="Times New Roman"/>
          <w:sz w:val="22"/>
          <w:szCs w:val="22"/>
          <w:lang w:val="sr-Latn-CS"/>
        </w:rPr>
        <w:t>l</w:t>
      </w:r>
      <w:r>
        <w:rPr>
          <w:rFonts w:ascii="Times New Roman" w:hAnsi="Times New Roman" w:cs="Times New Roman"/>
          <w:sz w:val="22"/>
          <w:szCs w:val="22"/>
          <w:lang w:val="sr-Latn-CS"/>
        </w:rPr>
        <w:t>e</w:t>
      </w:r>
      <w:r w:rsidRPr="006645E2">
        <w:rPr>
          <w:rFonts w:ascii="Times New Roman" w:hAnsi="Times New Roman" w:cs="Times New Roman"/>
          <w:sz w:val="22"/>
          <w:szCs w:val="22"/>
          <w:lang w:val="sr-Latn-CS"/>
        </w:rPr>
        <w:t>m</w:t>
      </w:r>
      <w:r>
        <w:rPr>
          <w:rFonts w:ascii="Times New Roman" w:hAnsi="Times New Roman" w:cs="Times New Roman"/>
          <w:sz w:val="22"/>
          <w:szCs w:val="22"/>
          <w:lang w:val="sr-Latn-CS"/>
        </w:rPr>
        <w:t>e</w:t>
      </w:r>
      <w:r w:rsidRPr="006645E2">
        <w:rPr>
          <w:rFonts w:ascii="Times New Roman" w:hAnsi="Times New Roman" w:cs="Times New Roman"/>
          <w:sz w:val="22"/>
          <w:szCs w:val="22"/>
          <w:lang w:val="sr-Latn-CS"/>
        </w:rPr>
        <w:t>nta ne preti kratkoročni zdravstveni rizik, jer su sve vrednosti KR daleko ispod 1.</w:t>
      </w:r>
      <w:r>
        <w:rPr>
          <w:rFonts w:ascii="Times New Roman" w:hAnsi="Times New Roman" w:cs="Times New Roman"/>
          <w:sz w:val="22"/>
          <w:szCs w:val="22"/>
          <w:lang w:val="sr-Latn-CS"/>
        </w:rPr>
        <w:t xml:space="preserve"> S obzirom na to da za Ca ne postoji podatak o vrednosti za tolerantni nedeljni unos (TNU), jer se ne smatra toksičnim metalom (a nije ni teški metal), nije izračunata vrednost za koeficijent rizika.</w:t>
      </w:r>
    </w:p>
    <w:p w:rsidR="00BE2F2E" w:rsidRDefault="00BE2F2E" w:rsidP="008A33C8">
      <w:pPr>
        <w:ind w:firstLine="426"/>
        <w:jc w:val="both"/>
        <w:rPr>
          <w:lang w:val="sr-Latn-CS"/>
        </w:rPr>
      </w:pPr>
      <w:r w:rsidRPr="00B304D1">
        <w:rPr>
          <w:sz w:val="22"/>
          <w:szCs w:val="22"/>
          <w:lang w:val="sl-SI"/>
        </w:rPr>
        <w:t xml:space="preserve">Procena </w:t>
      </w:r>
      <w:r>
        <w:rPr>
          <w:sz w:val="22"/>
          <w:szCs w:val="22"/>
          <w:lang w:val="sl-SI"/>
        </w:rPr>
        <w:t>dug</w:t>
      </w:r>
      <w:r w:rsidRPr="00B304D1">
        <w:rPr>
          <w:sz w:val="22"/>
          <w:szCs w:val="22"/>
          <w:lang w:val="sl-SI"/>
        </w:rPr>
        <w:t xml:space="preserve">oročnog zdravstvenog rizika izražena </w:t>
      </w:r>
      <w:r>
        <w:rPr>
          <w:sz w:val="22"/>
          <w:szCs w:val="22"/>
          <w:lang w:val="sl-SI"/>
        </w:rPr>
        <w:t>kroz</w:t>
      </w:r>
      <w:r w:rsidRPr="00B304D1">
        <w:rPr>
          <w:sz w:val="22"/>
          <w:szCs w:val="22"/>
          <w:lang w:val="sl-SI"/>
        </w:rPr>
        <w:t xml:space="preserve"> </w:t>
      </w:r>
      <w:r>
        <w:rPr>
          <w:noProof/>
          <w:sz w:val="22"/>
          <w:szCs w:val="22"/>
          <w:lang w:val="sl-SI"/>
        </w:rPr>
        <w:t>oralni</w:t>
      </w:r>
      <w:r w:rsidRPr="00B304D1">
        <w:rPr>
          <w:noProof/>
          <w:sz w:val="22"/>
          <w:szCs w:val="22"/>
          <w:lang w:val="sl-SI"/>
        </w:rPr>
        <w:t xml:space="preserve"> unos</w:t>
      </w:r>
      <w:r>
        <w:rPr>
          <w:noProof/>
          <w:sz w:val="22"/>
          <w:szCs w:val="22"/>
          <w:lang w:val="sl-SI"/>
        </w:rPr>
        <w:t xml:space="preserve"> (</w:t>
      </w:r>
      <w:r w:rsidRPr="00B304D1">
        <w:rPr>
          <w:noProof/>
          <w:sz w:val="22"/>
          <w:szCs w:val="22"/>
          <w:lang w:val="sl-SI"/>
        </w:rPr>
        <w:t>U</w:t>
      </w:r>
      <w:r>
        <w:rPr>
          <w:noProof/>
          <w:sz w:val="22"/>
          <w:szCs w:val="22"/>
          <w:vertAlign w:val="subscript"/>
          <w:lang w:val="sl-SI"/>
        </w:rPr>
        <w:t>oral</w:t>
      </w:r>
      <w:r w:rsidRPr="00B304D1">
        <w:rPr>
          <w:noProof/>
          <w:sz w:val="22"/>
          <w:szCs w:val="22"/>
          <w:lang w:val="sl-SI"/>
        </w:rPr>
        <w:t xml:space="preserve">), i koeficijenta rizika </w:t>
      </w:r>
      <w:r>
        <w:rPr>
          <w:noProof/>
          <w:sz w:val="22"/>
          <w:szCs w:val="22"/>
          <w:lang w:val="sl-SI"/>
        </w:rPr>
        <w:t xml:space="preserve">unosa </w:t>
      </w:r>
      <w:r w:rsidRPr="00B304D1">
        <w:rPr>
          <w:noProof/>
          <w:sz w:val="22"/>
          <w:szCs w:val="22"/>
          <w:lang w:val="sl-SI"/>
        </w:rPr>
        <w:t>(KR</w:t>
      </w:r>
      <w:r>
        <w:rPr>
          <w:noProof/>
          <w:sz w:val="22"/>
          <w:szCs w:val="22"/>
          <w:vertAlign w:val="subscript"/>
          <w:lang w:val="sl-SI"/>
        </w:rPr>
        <w:t>oral</w:t>
      </w:r>
      <w:r w:rsidRPr="00B304D1">
        <w:rPr>
          <w:noProof/>
          <w:sz w:val="22"/>
          <w:szCs w:val="22"/>
          <w:lang w:val="sl-SI"/>
        </w:rPr>
        <w:t>) za potencijalno toksične metale</w:t>
      </w:r>
      <w:r w:rsidRPr="00B304D1">
        <w:rPr>
          <w:sz w:val="22"/>
          <w:szCs w:val="22"/>
          <w:lang w:val="sl-SI"/>
        </w:rPr>
        <w:t xml:space="preserve"> prikazana je u tabeli </w:t>
      </w:r>
      <w:r>
        <w:rPr>
          <w:sz w:val="22"/>
          <w:szCs w:val="22"/>
          <w:lang w:val="sl-SI"/>
        </w:rPr>
        <w:t>7</w:t>
      </w:r>
      <w:r w:rsidRPr="00B304D1">
        <w:rPr>
          <w:sz w:val="22"/>
          <w:szCs w:val="22"/>
          <w:lang w:val="sl-SI"/>
        </w:rPr>
        <w:t>.</w:t>
      </w:r>
    </w:p>
    <w:p w:rsidR="00BE2F2E" w:rsidRPr="005411EE" w:rsidRDefault="00BE2F2E" w:rsidP="00CB20B2">
      <w:pPr>
        <w:jc w:val="both"/>
        <w:rPr>
          <w:sz w:val="22"/>
          <w:szCs w:val="22"/>
          <w:lang w:val="sl-SI"/>
        </w:rPr>
      </w:pPr>
      <w:r w:rsidRPr="005411EE">
        <w:rPr>
          <w:sz w:val="22"/>
          <w:szCs w:val="22"/>
          <w:lang w:val="sl-SI"/>
        </w:rPr>
        <w:lastRenderedPageBreak/>
        <w:t xml:space="preserve">Tabela </w:t>
      </w:r>
      <w:r>
        <w:rPr>
          <w:sz w:val="22"/>
          <w:szCs w:val="22"/>
          <w:lang w:val="sl-SI"/>
        </w:rPr>
        <w:t>7</w:t>
      </w:r>
      <w:r w:rsidRPr="005411EE">
        <w:rPr>
          <w:sz w:val="22"/>
          <w:szCs w:val="22"/>
          <w:lang w:val="sl-SI"/>
        </w:rPr>
        <w:t>. Dugoročni zdravstveni rizik izražen kroz oralni unos (U</w:t>
      </w:r>
      <w:r w:rsidRPr="005411EE">
        <w:rPr>
          <w:sz w:val="22"/>
          <w:szCs w:val="22"/>
          <w:vertAlign w:val="subscript"/>
          <w:lang w:val="sl-SI"/>
        </w:rPr>
        <w:t>oral</w:t>
      </w:r>
      <w:r w:rsidRPr="005411EE">
        <w:rPr>
          <w:sz w:val="22"/>
          <w:szCs w:val="22"/>
          <w:lang w:val="sl-SI"/>
        </w:rPr>
        <w:t>) i koeficijent rizika unosa oralnim putem (KR</w:t>
      </w:r>
      <w:r w:rsidRPr="005411EE">
        <w:rPr>
          <w:sz w:val="22"/>
          <w:szCs w:val="22"/>
          <w:vertAlign w:val="subscript"/>
          <w:lang w:val="sl-SI"/>
        </w:rPr>
        <w:t>oral</w:t>
      </w:r>
      <w:r w:rsidRPr="005411EE">
        <w:rPr>
          <w:sz w:val="22"/>
          <w:szCs w:val="22"/>
          <w:lang w:val="sl-SI"/>
        </w:rPr>
        <w:t>) za odabrane toksične metale</w:t>
      </w:r>
      <w:r>
        <w:rPr>
          <w:sz w:val="22"/>
          <w:szCs w:val="22"/>
          <w:lang w:val="sl-SI"/>
        </w:rPr>
        <w:t>.</w:t>
      </w:r>
    </w:p>
    <w:p w:rsidR="00BE2F2E" w:rsidRPr="003804EF" w:rsidRDefault="00BE2F2E" w:rsidP="00CB20B2">
      <w:pPr>
        <w:jc w:val="both"/>
        <w:rPr>
          <w:i/>
          <w:iCs/>
          <w:noProof/>
          <w:sz w:val="22"/>
          <w:szCs w:val="22"/>
        </w:rPr>
      </w:pPr>
      <w:r w:rsidRPr="005411EE">
        <w:rPr>
          <w:i/>
          <w:iCs/>
          <w:sz w:val="22"/>
          <w:szCs w:val="22"/>
          <w:lang w:val="sr-Latn-CS"/>
        </w:rPr>
        <w:t xml:space="preserve">Table </w:t>
      </w:r>
      <w:r>
        <w:rPr>
          <w:i/>
          <w:iCs/>
          <w:sz w:val="22"/>
          <w:szCs w:val="22"/>
          <w:lang w:val="sr-Latn-CS"/>
        </w:rPr>
        <w:t>7.</w:t>
      </w:r>
      <w:r w:rsidRPr="005411EE">
        <w:rPr>
          <w:i/>
          <w:iCs/>
          <w:sz w:val="22"/>
          <w:szCs w:val="22"/>
          <w:lang w:val="sr-Latn-CS"/>
        </w:rPr>
        <w:t xml:space="preserve"> Long</w:t>
      </w:r>
      <w:r w:rsidRPr="005411EE">
        <w:rPr>
          <w:i/>
          <w:iCs/>
          <w:noProof/>
          <w:sz w:val="22"/>
          <w:szCs w:val="22"/>
          <w:lang w:val="sr-Latn-CS"/>
        </w:rPr>
        <w:t>-term health risk</w:t>
      </w:r>
      <w:r>
        <w:rPr>
          <w:i/>
          <w:iCs/>
          <w:noProof/>
          <w:sz w:val="22"/>
          <w:szCs w:val="22"/>
          <w:lang w:val="sr-Latn-CS"/>
        </w:rPr>
        <w:t>s</w:t>
      </w:r>
      <w:r w:rsidRPr="005411EE">
        <w:rPr>
          <w:i/>
          <w:iCs/>
          <w:noProof/>
          <w:sz w:val="22"/>
          <w:szCs w:val="22"/>
          <w:lang w:val="sr-Latn-CS"/>
        </w:rPr>
        <w:t xml:space="preserve"> expressed through oral intake (</w:t>
      </w:r>
      <w:r w:rsidRPr="005411EE">
        <w:rPr>
          <w:i/>
          <w:iCs/>
          <w:sz w:val="22"/>
          <w:szCs w:val="22"/>
          <w:lang w:val="sr-Latn-CS"/>
        </w:rPr>
        <w:t>U</w:t>
      </w:r>
      <w:r w:rsidRPr="005411EE">
        <w:rPr>
          <w:i/>
          <w:iCs/>
          <w:sz w:val="22"/>
          <w:szCs w:val="22"/>
          <w:vertAlign w:val="subscript"/>
          <w:lang w:val="sr-Latn-CS"/>
        </w:rPr>
        <w:t>oral</w:t>
      </w:r>
      <w:r w:rsidRPr="005411EE">
        <w:rPr>
          <w:i/>
          <w:iCs/>
          <w:noProof/>
          <w:sz w:val="22"/>
          <w:szCs w:val="22"/>
          <w:lang w:val="sr-Latn-CS"/>
        </w:rPr>
        <w:t>) and risk coefficien</w:t>
      </w:r>
      <w:r>
        <w:rPr>
          <w:i/>
          <w:iCs/>
          <w:noProof/>
          <w:sz w:val="22"/>
          <w:szCs w:val="22"/>
          <w:lang w:val="sr-Latn-CS"/>
        </w:rPr>
        <w:t>t</w:t>
      </w:r>
      <w:r w:rsidRPr="005411EE">
        <w:rPr>
          <w:i/>
          <w:iCs/>
          <w:noProof/>
          <w:sz w:val="22"/>
          <w:szCs w:val="22"/>
          <w:lang w:val="sr-Latn-CS"/>
        </w:rPr>
        <w:t xml:space="preserve"> of oral intake (KR</w:t>
      </w:r>
      <w:r w:rsidRPr="005411EE">
        <w:rPr>
          <w:i/>
          <w:iCs/>
          <w:sz w:val="22"/>
          <w:szCs w:val="22"/>
          <w:vertAlign w:val="subscript"/>
          <w:lang w:val="sr-Latn-CS"/>
        </w:rPr>
        <w:t>oral</w:t>
      </w:r>
      <w:r w:rsidRPr="005411EE">
        <w:rPr>
          <w:i/>
          <w:iCs/>
          <w:noProof/>
          <w:sz w:val="22"/>
          <w:szCs w:val="22"/>
          <w:lang w:val="sr-Latn-CS"/>
        </w:rPr>
        <w:t>) for selec</w:t>
      </w:r>
      <w:r>
        <w:rPr>
          <w:i/>
          <w:iCs/>
          <w:noProof/>
          <w:sz w:val="22"/>
          <w:szCs w:val="22"/>
        </w:rPr>
        <w:t>ted toxic metals.</w:t>
      </w:r>
    </w:p>
    <w:p w:rsidR="00BE2F2E" w:rsidRDefault="00BE2F2E" w:rsidP="00CB20B2">
      <w:pPr>
        <w:jc w:val="both"/>
        <w:rPr>
          <w:sz w:val="22"/>
          <w:szCs w:val="22"/>
          <w:lang w:val="sr-Latn-CS"/>
        </w:rPr>
      </w:pPr>
    </w:p>
    <w:tbl>
      <w:tblPr>
        <w:tblW w:w="7371" w:type="dxa"/>
        <w:jc w:val="center"/>
        <w:tblCellMar>
          <w:left w:w="28" w:type="dxa"/>
          <w:right w:w="28" w:type="dxa"/>
        </w:tblCellMar>
        <w:tblLook w:val="0020"/>
      </w:tblPr>
      <w:tblGrid>
        <w:gridCol w:w="1166"/>
        <w:gridCol w:w="2051"/>
        <w:gridCol w:w="1703"/>
        <w:gridCol w:w="2451"/>
      </w:tblGrid>
      <w:tr w:rsidR="00BE2F2E" w:rsidRPr="00CB20B2">
        <w:trPr>
          <w:trHeight w:val="493"/>
          <w:jc w:val="center"/>
        </w:trPr>
        <w:tc>
          <w:tcPr>
            <w:tcW w:w="3217" w:type="dxa"/>
            <w:gridSpan w:val="2"/>
            <w:tcBorders>
              <w:top w:val="single" w:sz="4" w:space="0" w:color="auto"/>
              <w:bottom w:val="single" w:sz="4" w:space="0" w:color="auto"/>
            </w:tcBorders>
          </w:tcPr>
          <w:p w:rsidR="00BE2F2E" w:rsidRPr="00CB20B2" w:rsidRDefault="00BE2F2E" w:rsidP="008A33C8">
            <w:pPr>
              <w:jc w:val="center"/>
              <w:rPr>
                <w:noProof/>
                <w:sz w:val="16"/>
                <w:szCs w:val="16"/>
                <w:lang w:val="sl-SI"/>
              </w:rPr>
            </w:pPr>
          </w:p>
        </w:tc>
        <w:tc>
          <w:tcPr>
            <w:tcW w:w="4154" w:type="dxa"/>
            <w:gridSpan w:val="2"/>
            <w:tcBorders>
              <w:top w:val="single" w:sz="4" w:space="0" w:color="auto"/>
              <w:bottom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Dugoročni rizik</w:t>
            </w:r>
          </w:p>
          <w:p w:rsidR="00BE2F2E" w:rsidRPr="00CB20B2" w:rsidRDefault="00BE2F2E" w:rsidP="00CB20B2">
            <w:pPr>
              <w:jc w:val="center"/>
              <w:rPr>
                <w:i/>
                <w:iCs/>
                <w:noProof/>
                <w:sz w:val="16"/>
                <w:szCs w:val="16"/>
                <w:lang w:val="sl-SI"/>
              </w:rPr>
            </w:pPr>
            <w:r w:rsidRPr="00CB20B2">
              <w:rPr>
                <w:i/>
                <w:iCs/>
                <w:noProof/>
                <w:sz w:val="16"/>
                <w:szCs w:val="16"/>
                <w:lang w:val="sl-SI"/>
              </w:rPr>
              <w:t>Long-term risk</w:t>
            </w:r>
          </w:p>
        </w:tc>
      </w:tr>
      <w:tr w:rsidR="00BE2F2E" w:rsidRPr="00CB20B2">
        <w:trPr>
          <w:trHeight w:val="1020"/>
          <w:jc w:val="center"/>
        </w:trPr>
        <w:tc>
          <w:tcPr>
            <w:tcW w:w="1166" w:type="dxa"/>
            <w:tcBorders>
              <w:top w:val="single" w:sz="4" w:space="0" w:color="auto"/>
              <w:bottom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Elemenat</w:t>
            </w:r>
          </w:p>
          <w:p w:rsidR="00BE2F2E" w:rsidRPr="00CB20B2" w:rsidDel="00A87568" w:rsidRDefault="00BE2F2E" w:rsidP="00CB20B2">
            <w:pPr>
              <w:jc w:val="center"/>
              <w:rPr>
                <w:noProof/>
                <w:sz w:val="16"/>
                <w:szCs w:val="16"/>
                <w:lang w:val="sl-SI"/>
              </w:rPr>
            </w:pPr>
            <w:r w:rsidRPr="00CB20B2">
              <w:rPr>
                <w:i/>
                <w:iCs/>
                <w:noProof/>
                <w:sz w:val="16"/>
                <w:szCs w:val="16"/>
                <w:lang w:val="sl-SI"/>
              </w:rPr>
              <w:t>Element</w:t>
            </w:r>
          </w:p>
        </w:tc>
        <w:tc>
          <w:tcPr>
            <w:tcW w:w="2051" w:type="dxa"/>
            <w:tcBorders>
              <w:top w:val="single" w:sz="4" w:space="0" w:color="auto"/>
              <w:bottom w:val="single" w:sz="4" w:space="0" w:color="auto"/>
            </w:tcBorders>
            <w:vAlign w:val="center"/>
          </w:tcPr>
          <w:p w:rsidR="00BE2F2E" w:rsidRPr="00CB20B2" w:rsidRDefault="00BE2F2E" w:rsidP="00CB20B2">
            <w:pPr>
              <w:jc w:val="center"/>
              <w:rPr>
                <w:noProof/>
                <w:sz w:val="16"/>
                <w:szCs w:val="16"/>
                <w:lang w:val="sl-SI"/>
              </w:rPr>
            </w:pPr>
            <w:r w:rsidRPr="00CB20B2">
              <w:rPr>
                <w:sz w:val="16"/>
                <w:szCs w:val="16"/>
                <w:lang w:val="pl-PL"/>
              </w:rPr>
              <w:t>Referentna vrednost za unos oralnim putem</w:t>
            </w:r>
          </w:p>
          <w:p w:rsidR="00BE2F2E" w:rsidRPr="00CB20B2" w:rsidRDefault="00BE2F2E" w:rsidP="00CB20B2">
            <w:pPr>
              <w:jc w:val="center"/>
              <w:rPr>
                <w:noProof/>
                <w:sz w:val="16"/>
                <w:szCs w:val="16"/>
                <w:vertAlign w:val="subscript"/>
                <w:lang w:val="sl-SI"/>
              </w:rPr>
            </w:pPr>
            <w:r w:rsidRPr="00CB20B2">
              <w:rPr>
                <w:i/>
                <w:iCs/>
                <w:noProof/>
                <w:sz w:val="16"/>
                <w:szCs w:val="16"/>
                <w:lang w:val="sl-SI"/>
              </w:rPr>
              <w:t>Reference value input of elements orally</w:t>
            </w:r>
            <w:r>
              <w:rPr>
                <w:i/>
                <w:iCs/>
                <w:noProof/>
                <w:sz w:val="16"/>
                <w:szCs w:val="16"/>
                <w:lang w:val="sl-SI"/>
              </w:rPr>
              <w:t xml:space="preserve"> </w:t>
            </w:r>
            <w:r w:rsidRPr="00CB20B2">
              <w:rPr>
                <w:noProof/>
                <w:sz w:val="16"/>
                <w:szCs w:val="16"/>
                <w:lang w:val="sl-SI"/>
              </w:rPr>
              <w:t>RfR</w:t>
            </w:r>
            <w:r w:rsidRPr="00CB20B2">
              <w:rPr>
                <w:noProof/>
                <w:sz w:val="16"/>
                <w:szCs w:val="16"/>
                <w:vertAlign w:val="subscript"/>
                <w:lang w:val="sl-SI"/>
              </w:rPr>
              <w:t>oral</w:t>
            </w:r>
          </w:p>
          <w:p w:rsidR="00BE2F2E" w:rsidRPr="00CB20B2" w:rsidRDefault="00BE2F2E" w:rsidP="00CB20B2">
            <w:pPr>
              <w:jc w:val="center"/>
              <w:rPr>
                <w:noProof/>
                <w:sz w:val="16"/>
                <w:szCs w:val="16"/>
                <w:lang w:val="sl-SI"/>
              </w:rPr>
            </w:pPr>
            <w:r w:rsidRPr="00CB20B2">
              <w:rPr>
                <w:noProof/>
                <w:sz w:val="16"/>
                <w:szCs w:val="16"/>
                <w:lang w:val="sl-SI"/>
              </w:rPr>
              <w:t>(mg/dan/kg)</w:t>
            </w:r>
          </w:p>
        </w:tc>
        <w:tc>
          <w:tcPr>
            <w:tcW w:w="1703" w:type="dxa"/>
            <w:tcBorders>
              <w:top w:val="single" w:sz="4" w:space="0" w:color="auto"/>
              <w:bottom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Oralni unos</w:t>
            </w:r>
          </w:p>
          <w:p w:rsidR="00BE2F2E" w:rsidRPr="00CB20B2" w:rsidRDefault="00BE2F2E" w:rsidP="00CB20B2">
            <w:pPr>
              <w:jc w:val="center"/>
              <w:rPr>
                <w:i/>
                <w:iCs/>
                <w:noProof/>
                <w:sz w:val="16"/>
                <w:szCs w:val="16"/>
                <w:lang w:val="sl-SI"/>
              </w:rPr>
            </w:pPr>
            <w:r w:rsidRPr="00CB20B2">
              <w:rPr>
                <w:i/>
                <w:iCs/>
                <w:noProof/>
                <w:sz w:val="16"/>
                <w:szCs w:val="16"/>
                <w:lang w:val="sl-SI"/>
              </w:rPr>
              <w:t>Oral intake</w:t>
            </w:r>
          </w:p>
          <w:p w:rsidR="00BE2F2E" w:rsidRPr="00CB20B2" w:rsidRDefault="00BE2F2E" w:rsidP="00CB20B2">
            <w:pPr>
              <w:jc w:val="center"/>
              <w:rPr>
                <w:noProof/>
                <w:sz w:val="16"/>
                <w:szCs w:val="16"/>
                <w:lang w:val="sl-SI"/>
              </w:rPr>
            </w:pPr>
            <w:r w:rsidRPr="00CB20B2">
              <w:rPr>
                <w:noProof/>
                <w:sz w:val="16"/>
                <w:szCs w:val="16"/>
                <w:lang w:val="sl-SI"/>
              </w:rPr>
              <w:t>(U</w:t>
            </w:r>
            <w:r w:rsidRPr="00CB20B2">
              <w:rPr>
                <w:noProof/>
                <w:sz w:val="16"/>
                <w:szCs w:val="16"/>
                <w:vertAlign w:val="subscript"/>
                <w:lang w:val="sl-SI"/>
              </w:rPr>
              <w:t>oral</w:t>
            </w:r>
            <w:r w:rsidRPr="00CB20B2">
              <w:rPr>
                <w:noProof/>
                <w:sz w:val="16"/>
                <w:szCs w:val="16"/>
                <w:lang w:val="sl-SI"/>
              </w:rPr>
              <w:t>)</w:t>
            </w:r>
          </w:p>
        </w:tc>
        <w:tc>
          <w:tcPr>
            <w:tcW w:w="2451" w:type="dxa"/>
            <w:tcBorders>
              <w:top w:val="single" w:sz="4" w:space="0" w:color="auto"/>
              <w:bottom w:val="single" w:sz="4" w:space="0" w:color="auto"/>
            </w:tcBorders>
            <w:vAlign w:val="center"/>
          </w:tcPr>
          <w:p w:rsidR="00BE2F2E" w:rsidRDefault="00BE2F2E" w:rsidP="00CB20B2">
            <w:pPr>
              <w:jc w:val="center"/>
              <w:rPr>
                <w:noProof/>
                <w:sz w:val="16"/>
                <w:szCs w:val="16"/>
                <w:lang w:val="sl-SI"/>
              </w:rPr>
            </w:pPr>
            <w:r w:rsidRPr="00CB20B2">
              <w:rPr>
                <w:noProof/>
                <w:sz w:val="16"/>
                <w:szCs w:val="16"/>
                <w:lang w:val="sl-SI"/>
              </w:rPr>
              <w:t xml:space="preserve">Koeficijenat rizika unosa </w:t>
            </w:r>
          </w:p>
          <w:p w:rsidR="00BE2F2E" w:rsidRPr="00CB20B2" w:rsidRDefault="00BE2F2E" w:rsidP="00CB20B2">
            <w:pPr>
              <w:jc w:val="center"/>
              <w:rPr>
                <w:noProof/>
                <w:sz w:val="16"/>
                <w:szCs w:val="16"/>
                <w:lang w:val="sl-SI"/>
              </w:rPr>
            </w:pPr>
            <w:r w:rsidRPr="00CB20B2">
              <w:rPr>
                <w:noProof/>
                <w:sz w:val="16"/>
                <w:szCs w:val="16"/>
                <w:lang w:val="sl-SI"/>
              </w:rPr>
              <w:t>oralnim putem</w:t>
            </w:r>
          </w:p>
          <w:p w:rsidR="00BE2F2E" w:rsidRPr="00CB20B2" w:rsidRDefault="00BE2F2E" w:rsidP="00CB20B2">
            <w:pPr>
              <w:jc w:val="center"/>
              <w:rPr>
                <w:i/>
                <w:iCs/>
                <w:noProof/>
                <w:sz w:val="16"/>
                <w:szCs w:val="16"/>
                <w:lang w:val="sl-SI"/>
              </w:rPr>
            </w:pPr>
            <w:r w:rsidRPr="00CB20B2">
              <w:rPr>
                <w:i/>
                <w:iCs/>
                <w:noProof/>
                <w:sz w:val="16"/>
                <w:szCs w:val="16"/>
                <w:lang w:val="sl-SI"/>
              </w:rPr>
              <w:t>Risk coefficient of oral intake</w:t>
            </w:r>
          </w:p>
          <w:p w:rsidR="00BE2F2E" w:rsidRPr="00CB20B2" w:rsidRDefault="00BE2F2E" w:rsidP="00CB20B2">
            <w:pPr>
              <w:jc w:val="center"/>
              <w:rPr>
                <w:noProof/>
                <w:sz w:val="16"/>
                <w:szCs w:val="16"/>
              </w:rPr>
            </w:pPr>
            <w:r w:rsidRPr="00CB20B2">
              <w:rPr>
                <w:noProof/>
                <w:sz w:val="16"/>
                <w:szCs w:val="16"/>
                <w:lang w:val="sl-SI"/>
              </w:rPr>
              <w:t>(KR</w:t>
            </w:r>
            <w:r w:rsidRPr="00CB20B2">
              <w:rPr>
                <w:noProof/>
                <w:sz w:val="16"/>
                <w:szCs w:val="16"/>
                <w:vertAlign w:val="subscript"/>
                <w:lang w:val="sl-SI"/>
              </w:rPr>
              <w:t>oral</w:t>
            </w:r>
            <w:r w:rsidRPr="00CB20B2">
              <w:rPr>
                <w:noProof/>
                <w:sz w:val="16"/>
                <w:szCs w:val="16"/>
              </w:rPr>
              <w:t>)</w:t>
            </w:r>
          </w:p>
        </w:tc>
      </w:tr>
      <w:tr w:rsidR="00BE2F2E" w:rsidRPr="00CB20B2">
        <w:trPr>
          <w:trHeight w:val="227"/>
          <w:jc w:val="center"/>
        </w:trPr>
        <w:tc>
          <w:tcPr>
            <w:tcW w:w="1166" w:type="dxa"/>
            <w:tcBorders>
              <w:top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Cd</w:t>
            </w:r>
          </w:p>
        </w:tc>
        <w:tc>
          <w:tcPr>
            <w:tcW w:w="2051" w:type="dxa"/>
            <w:tcBorders>
              <w:top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0,38</w:t>
            </w:r>
          </w:p>
        </w:tc>
        <w:tc>
          <w:tcPr>
            <w:tcW w:w="1703" w:type="dxa"/>
            <w:tcBorders>
              <w:top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0,077</w:t>
            </w:r>
          </w:p>
        </w:tc>
        <w:tc>
          <w:tcPr>
            <w:tcW w:w="2451" w:type="dxa"/>
            <w:tcBorders>
              <w:top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0,202</w:t>
            </w:r>
          </w:p>
        </w:tc>
      </w:tr>
      <w:tr w:rsidR="00BE2F2E" w:rsidRPr="00CB20B2">
        <w:trPr>
          <w:trHeight w:val="227"/>
          <w:jc w:val="center"/>
        </w:trPr>
        <w:tc>
          <w:tcPr>
            <w:tcW w:w="1166" w:type="dxa"/>
            <w:vAlign w:val="center"/>
          </w:tcPr>
          <w:p w:rsidR="00BE2F2E" w:rsidRPr="00CB20B2" w:rsidRDefault="00BE2F2E" w:rsidP="00CB20B2">
            <w:pPr>
              <w:jc w:val="center"/>
              <w:rPr>
                <w:noProof/>
                <w:sz w:val="16"/>
                <w:szCs w:val="16"/>
                <w:lang w:val="sl-SI"/>
              </w:rPr>
            </w:pPr>
            <w:r w:rsidRPr="00CB20B2">
              <w:rPr>
                <w:noProof/>
                <w:sz w:val="16"/>
                <w:szCs w:val="16"/>
                <w:lang w:val="sl-SI"/>
              </w:rPr>
              <w:t>Cu</w:t>
            </w:r>
          </w:p>
        </w:tc>
        <w:tc>
          <w:tcPr>
            <w:tcW w:w="2051" w:type="dxa"/>
            <w:vAlign w:val="center"/>
          </w:tcPr>
          <w:p w:rsidR="00BE2F2E" w:rsidRPr="00CB20B2" w:rsidRDefault="00BE2F2E" w:rsidP="00CB20B2">
            <w:pPr>
              <w:jc w:val="center"/>
              <w:rPr>
                <w:noProof/>
                <w:sz w:val="16"/>
                <w:szCs w:val="16"/>
                <w:lang w:val="sl-SI"/>
              </w:rPr>
            </w:pPr>
            <w:r w:rsidRPr="00CB20B2">
              <w:rPr>
                <w:noProof/>
                <w:sz w:val="16"/>
                <w:szCs w:val="16"/>
                <w:lang w:val="sl-SI"/>
              </w:rPr>
              <w:t>0,05</w:t>
            </w:r>
          </w:p>
        </w:tc>
        <w:tc>
          <w:tcPr>
            <w:tcW w:w="1703" w:type="dxa"/>
            <w:vAlign w:val="center"/>
          </w:tcPr>
          <w:p w:rsidR="00BE2F2E" w:rsidRPr="00CB20B2" w:rsidRDefault="00BE2F2E" w:rsidP="00CB20B2">
            <w:pPr>
              <w:jc w:val="center"/>
              <w:rPr>
                <w:noProof/>
                <w:sz w:val="16"/>
                <w:szCs w:val="16"/>
                <w:lang w:val="sl-SI"/>
              </w:rPr>
            </w:pPr>
            <w:r w:rsidRPr="00CB20B2">
              <w:rPr>
                <w:noProof/>
                <w:sz w:val="16"/>
                <w:szCs w:val="16"/>
                <w:lang w:val="sl-SI"/>
              </w:rPr>
              <w:t>1,77·10</w:t>
            </w:r>
            <w:r w:rsidRPr="00CB20B2">
              <w:rPr>
                <w:noProof/>
                <w:sz w:val="16"/>
                <w:szCs w:val="16"/>
                <w:vertAlign w:val="superscript"/>
                <w:lang w:val="sl-SI"/>
              </w:rPr>
              <w:t>–3</w:t>
            </w:r>
          </w:p>
        </w:tc>
        <w:tc>
          <w:tcPr>
            <w:tcW w:w="2451" w:type="dxa"/>
            <w:vAlign w:val="center"/>
          </w:tcPr>
          <w:p w:rsidR="00BE2F2E" w:rsidRPr="00CB20B2" w:rsidRDefault="00BE2F2E" w:rsidP="00CB20B2">
            <w:pPr>
              <w:jc w:val="center"/>
              <w:rPr>
                <w:noProof/>
                <w:sz w:val="16"/>
                <w:szCs w:val="16"/>
                <w:lang w:val="sl-SI"/>
              </w:rPr>
            </w:pPr>
            <w:r w:rsidRPr="00CB20B2">
              <w:rPr>
                <w:noProof/>
                <w:sz w:val="16"/>
                <w:szCs w:val="16"/>
                <w:lang w:val="sl-SI"/>
              </w:rPr>
              <w:t>0,035</w:t>
            </w:r>
          </w:p>
        </w:tc>
      </w:tr>
      <w:tr w:rsidR="00BE2F2E" w:rsidRPr="00CB20B2">
        <w:trPr>
          <w:trHeight w:val="227"/>
          <w:jc w:val="center"/>
        </w:trPr>
        <w:tc>
          <w:tcPr>
            <w:tcW w:w="1166" w:type="dxa"/>
            <w:vAlign w:val="center"/>
          </w:tcPr>
          <w:p w:rsidR="00BE2F2E" w:rsidRPr="00CB20B2" w:rsidRDefault="00BE2F2E" w:rsidP="00CB20B2">
            <w:pPr>
              <w:jc w:val="center"/>
              <w:rPr>
                <w:noProof/>
                <w:sz w:val="16"/>
                <w:szCs w:val="16"/>
                <w:lang w:val="sl-SI"/>
              </w:rPr>
            </w:pPr>
            <w:r w:rsidRPr="00CB20B2">
              <w:rPr>
                <w:noProof/>
                <w:sz w:val="16"/>
                <w:szCs w:val="16"/>
                <w:lang w:val="sl-SI"/>
              </w:rPr>
              <w:t>Pb</w:t>
            </w:r>
          </w:p>
        </w:tc>
        <w:tc>
          <w:tcPr>
            <w:tcW w:w="2051" w:type="dxa"/>
            <w:vAlign w:val="center"/>
          </w:tcPr>
          <w:p w:rsidR="00BE2F2E" w:rsidRPr="00CB20B2" w:rsidRDefault="00BE2F2E" w:rsidP="00CB20B2">
            <w:pPr>
              <w:jc w:val="center"/>
              <w:rPr>
                <w:noProof/>
                <w:sz w:val="16"/>
                <w:szCs w:val="16"/>
                <w:lang w:val="sl-SI"/>
              </w:rPr>
            </w:pPr>
            <w:r w:rsidRPr="00CB20B2">
              <w:rPr>
                <w:noProof/>
                <w:sz w:val="16"/>
                <w:szCs w:val="16"/>
                <w:lang w:val="sl-SI"/>
              </w:rPr>
              <w:t>0,0085</w:t>
            </w:r>
          </w:p>
        </w:tc>
        <w:tc>
          <w:tcPr>
            <w:tcW w:w="1703" w:type="dxa"/>
            <w:vAlign w:val="center"/>
          </w:tcPr>
          <w:p w:rsidR="00BE2F2E" w:rsidRPr="00CB20B2" w:rsidRDefault="00BE2F2E" w:rsidP="00CB20B2">
            <w:pPr>
              <w:jc w:val="center"/>
              <w:rPr>
                <w:noProof/>
                <w:sz w:val="16"/>
                <w:szCs w:val="16"/>
                <w:lang w:val="sl-SI"/>
              </w:rPr>
            </w:pPr>
            <w:r w:rsidRPr="00CB20B2">
              <w:rPr>
                <w:noProof/>
                <w:sz w:val="16"/>
                <w:szCs w:val="16"/>
                <w:lang w:val="sl-SI"/>
              </w:rPr>
              <w:t>2,56·10</w:t>
            </w:r>
            <w:r w:rsidRPr="00CB20B2">
              <w:rPr>
                <w:noProof/>
                <w:sz w:val="16"/>
                <w:szCs w:val="16"/>
                <w:vertAlign w:val="superscript"/>
                <w:lang w:val="sl-SI"/>
              </w:rPr>
              <w:t>–4</w:t>
            </w:r>
          </w:p>
        </w:tc>
        <w:tc>
          <w:tcPr>
            <w:tcW w:w="2451" w:type="dxa"/>
            <w:vAlign w:val="center"/>
          </w:tcPr>
          <w:p w:rsidR="00BE2F2E" w:rsidRPr="00CB20B2" w:rsidRDefault="00BE2F2E" w:rsidP="00CB20B2">
            <w:pPr>
              <w:jc w:val="center"/>
              <w:rPr>
                <w:noProof/>
                <w:sz w:val="16"/>
                <w:szCs w:val="16"/>
                <w:lang w:val="sl-SI"/>
              </w:rPr>
            </w:pPr>
            <w:r w:rsidRPr="00CB20B2">
              <w:rPr>
                <w:noProof/>
                <w:sz w:val="16"/>
                <w:szCs w:val="16"/>
                <w:lang w:val="sl-SI"/>
              </w:rPr>
              <w:t>0,030</w:t>
            </w:r>
          </w:p>
        </w:tc>
      </w:tr>
      <w:tr w:rsidR="00BE2F2E" w:rsidRPr="00CB20B2">
        <w:trPr>
          <w:trHeight w:val="227"/>
          <w:jc w:val="center"/>
        </w:trPr>
        <w:tc>
          <w:tcPr>
            <w:tcW w:w="1166" w:type="dxa"/>
            <w:vAlign w:val="center"/>
          </w:tcPr>
          <w:p w:rsidR="00BE2F2E" w:rsidRPr="00CB20B2" w:rsidRDefault="00BE2F2E" w:rsidP="00CB20B2">
            <w:pPr>
              <w:jc w:val="center"/>
              <w:rPr>
                <w:noProof/>
                <w:sz w:val="16"/>
                <w:szCs w:val="16"/>
                <w:lang w:val="sl-SI"/>
              </w:rPr>
            </w:pPr>
            <w:r w:rsidRPr="00CB20B2">
              <w:rPr>
                <w:noProof/>
                <w:sz w:val="16"/>
                <w:szCs w:val="16"/>
                <w:lang w:val="sl-SI"/>
              </w:rPr>
              <w:t>Fe</w:t>
            </w:r>
          </w:p>
        </w:tc>
        <w:tc>
          <w:tcPr>
            <w:tcW w:w="2051" w:type="dxa"/>
            <w:vAlign w:val="center"/>
          </w:tcPr>
          <w:p w:rsidR="00BE2F2E" w:rsidRPr="00CB20B2" w:rsidRDefault="00BE2F2E" w:rsidP="00CB20B2">
            <w:pPr>
              <w:jc w:val="center"/>
              <w:rPr>
                <w:noProof/>
                <w:sz w:val="16"/>
                <w:szCs w:val="16"/>
                <w:lang w:val="sl-SI"/>
              </w:rPr>
            </w:pPr>
            <w:r w:rsidRPr="00CB20B2">
              <w:rPr>
                <w:noProof/>
                <w:sz w:val="16"/>
                <w:szCs w:val="16"/>
                <w:lang w:val="sl-SI"/>
              </w:rPr>
              <w:t>– *</w:t>
            </w:r>
          </w:p>
        </w:tc>
        <w:tc>
          <w:tcPr>
            <w:tcW w:w="1703" w:type="dxa"/>
            <w:vAlign w:val="center"/>
          </w:tcPr>
          <w:p w:rsidR="00BE2F2E" w:rsidRPr="00CB20B2" w:rsidRDefault="00BE2F2E" w:rsidP="00CB20B2">
            <w:pPr>
              <w:jc w:val="center"/>
              <w:rPr>
                <w:noProof/>
                <w:sz w:val="16"/>
                <w:szCs w:val="16"/>
                <w:lang w:val="sl-SI"/>
              </w:rPr>
            </w:pPr>
            <w:r w:rsidRPr="00CB20B2">
              <w:rPr>
                <w:noProof/>
                <w:sz w:val="16"/>
                <w:szCs w:val="16"/>
                <w:lang w:val="sl-SI"/>
              </w:rPr>
              <w:t>–</w:t>
            </w:r>
          </w:p>
        </w:tc>
        <w:tc>
          <w:tcPr>
            <w:tcW w:w="2451" w:type="dxa"/>
            <w:vAlign w:val="center"/>
          </w:tcPr>
          <w:p w:rsidR="00BE2F2E" w:rsidRPr="00CB20B2" w:rsidRDefault="00BE2F2E" w:rsidP="00CB20B2">
            <w:pPr>
              <w:jc w:val="center"/>
              <w:rPr>
                <w:noProof/>
                <w:sz w:val="16"/>
                <w:szCs w:val="16"/>
                <w:lang w:val="sl-SI"/>
              </w:rPr>
            </w:pPr>
            <w:r w:rsidRPr="00CB20B2">
              <w:rPr>
                <w:noProof/>
                <w:sz w:val="16"/>
                <w:szCs w:val="16"/>
                <w:lang w:val="sl-SI"/>
              </w:rPr>
              <w:t>–</w:t>
            </w:r>
          </w:p>
        </w:tc>
      </w:tr>
      <w:tr w:rsidR="00BE2F2E" w:rsidRPr="00CB20B2">
        <w:trPr>
          <w:trHeight w:val="227"/>
          <w:jc w:val="center"/>
        </w:trPr>
        <w:tc>
          <w:tcPr>
            <w:tcW w:w="1166" w:type="dxa"/>
            <w:tcBorders>
              <w:bottom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Al</w:t>
            </w:r>
          </w:p>
        </w:tc>
        <w:tc>
          <w:tcPr>
            <w:tcW w:w="2051" w:type="dxa"/>
            <w:tcBorders>
              <w:bottom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 *</w:t>
            </w:r>
          </w:p>
        </w:tc>
        <w:tc>
          <w:tcPr>
            <w:tcW w:w="1703" w:type="dxa"/>
            <w:tcBorders>
              <w:bottom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w:t>
            </w:r>
          </w:p>
        </w:tc>
        <w:tc>
          <w:tcPr>
            <w:tcW w:w="2451" w:type="dxa"/>
            <w:tcBorders>
              <w:bottom w:val="single" w:sz="4" w:space="0" w:color="auto"/>
            </w:tcBorders>
            <w:vAlign w:val="center"/>
          </w:tcPr>
          <w:p w:rsidR="00BE2F2E" w:rsidRPr="00CB20B2" w:rsidRDefault="00BE2F2E" w:rsidP="00CB20B2">
            <w:pPr>
              <w:jc w:val="center"/>
              <w:rPr>
                <w:noProof/>
                <w:sz w:val="16"/>
                <w:szCs w:val="16"/>
                <w:lang w:val="sl-SI"/>
              </w:rPr>
            </w:pPr>
            <w:r w:rsidRPr="00CB20B2">
              <w:rPr>
                <w:noProof/>
                <w:sz w:val="16"/>
                <w:szCs w:val="16"/>
                <w:lang w:val="sl-SI"/>
              </w:rPr>
              <w:t>–</w:t>
            </w:r>
          </w:p>
        </w:tc>
      </w:tr>
    </w:tbl>
    <w:p w:rsidR="00BE2F2E" w:rsidRPr="00CB20B2" w:rsidRDefault="00BE2F2E" w:rsidP="00CB20B2">
      <w:pPr>
        <w:spacing w:before="40"/>
        <w:jc w:val="both"/>
        <w:rPr>
          <w:noProof/>
          <w:sz w:val="16"/>
          <w:szCs w:val="16"/>
          <w:lang w:val="sl-SI"/>
        </w:rPr>
      </w:pPr>
      <w:r>
        <w:rPr>
          <w:noProof/>
          <w:sz w:val="16"/>
          <w:szCs w:val="16"/>
          <w:lang w:val="sl-SI"/>
        </w:rPr>
        <w:t>*</w:t>
      </w:r>
      <w:r w:rsidRPr="00CB20B2">
        <w:rPr>
          <w:noProof/>
          <w:sz w:val="16"/>
          <w:szCs w:val="16"/>
          <w:lang w:val="sl-SI"/>
        </w:rPr>
        <w:t>Ne postoji RfD</w:t>
      </w:r>
      <w:r w:rsidRPr="00CB20B2">
        <w:rPr>
          <w:noProof/>
          <w:sz w:val="16"/>
          <w:szCs w:val="16"/>
          <w:vertAlign w:val="subscript"/>
          <w:lang w:val="sl-SI"/>
        </w:rPr>
        <w:t>oral</w:t>
      </w:r>
      <w:r w:rsidRPr="00CB20B2">
        <w:rPr>
          <w:noProof/>
          <w:sz w:val="16"/>
          <w:szCs w:val="16"/>
          <w:lang w:val="sl-SI"/>
        </w:rPr>
        <w:t xml:space="preserve"> za Fe i Al.</w:t>
      </w:r>
    </w:p>
    <w:p w:rsidR="00BE2F2E" w:rsidRPr="00CB20B2" w:rsidRDefault="00BE2F2E" w:rsidP="00CB20B2">
      <w:pPr>
        <w:jc w:val="both"/>
        <w:rPr>
          <w:noProof/>
          <w:sz w:val="16"/>
          <w:szCs w:val="16"/>
          <w:lang w:val="sl-SI"/>
        </w:rPr>
      </w:pPr>
      <w:r w:rsidRPr="00CB20B2">
        <w:rPr>
          <w:noProof/>
          <w:sz w:val="16"/>
          <w:szCs w:val="16"/>
          <w:lang w:val="sl-SI"/>
        </w:rPr>
        <w:t>*</w:t>
      </w:r>
      <w:r w:rsidRPr="00CB20B2">
        <w:rPr>
          <w:rStyle w:val="shorttext"/>
          <w:sz w:val="16"/>
          <w:szCs w:val="16"/>
        </w:rPr>
        <w:t xml:space="preserve">There is no information </w:t>
      </w:r>
      <w:r w:rsidRPr="00CB20B2">
        <w:rPr>
          <w:noProof/>
          <w:sz w:val="16"/>
          <w:szCs w:val="16"/>
          <w:lang w:val="sl-SI"/>
        </w:rPr>
        <w:t>of RfD</w:t>
      </w:r>
      <w:r w:rsidRPr="00CB20B2">
        <w:rPr>
          <w:noProof/>
          <w:sz w:val="16"/>
          <w:szCs w:val="16"/>
          <w:vertAlign w:val="subscript"/>
          <w:lang w:val="sl-SI"/>
        </w:rPr>
        <w:t>oral</w:t>
      </w:r>
      <w:r w:rsidRPr="00CB20B2">
        <w:rPr>
          <w:noProof/>
          <w:sz w:val="16"/>
          <w:szCs w:val="16"/>
          <w:lang w:val="sl-SI"/>
        </w:rPr>
        <w:t xml:space="preserve"> for Fe and Al.</w:t>
      </w:r>
    </w:p>
    <w:p w:rsidR="00BE2F2E" w:rsidRDefault="00BE2F2E" w:rsidP="008A33C8">
      <w:pPr>
        <w:ind w:firstLine="425"/>
        <w:rPr>
          <w:sz w:val="22"/>
          <w:szCs w:val="22"/>
          <w:lang w:val="sr-Latn-CS"/>
        </w:rPr>
      </w:pPr>
    </w:p>
    <w:p w:rsidR="00BE2F2E" w:rsidRPr="00421736" w:rsidRDefault="00BE2F2E" w:rsidP="008A33C8">
      <w:pPr>
        <w:ind w:firstLine="425"/>
        <w:jc w:val="both"/>
        <w:rPr>
          <w:noProof/>
          <w:sz w:val="22"/>
          <w:szCs w:val="22"/>
          <w:lang w:val="sl-SI"/>
        </w:rPr>
      </w:pPr>
      <w:r w:rsidRPr="00F94895">
        <w:rPr>
          <w:sz w:val="22"/>
          <w:szCs w:val="22"/>
          <w:lang w:val="pl-PL"/>
        </w:rPr>
        <w:t>Na osnovu rezultata dobijenih za dugoročni potencijalni rizik za pojavu i razvoj kancerogenih oboljenja, mogu se uočiti razlike za ispitivane metale, u zavisnosti od procenjenog unosa oralnim putem (RfD</w:t>
      </w:r>
      <w:r w:rsidRPr="00F94895">
        <w:rPr>
          <w:sz w:val="22"/>
          <w:szCs w:val="22"/>
          <w:vertAlign w:val="subscript"/>
          <w:lang w:val="pl-PL"/>
        </w:rPr>
        <w:t>oral</w:t>
      </w:r>
      <w:r w:rsidRPr="00F94895">
        <w:rPr>
          <w:sz w:val="22"/>
          <w:szCs w:val="22"/>
          <w:lang w:val="pl-PL"/>
        </w:rPr>
        <w:t>), kao i propisanih referentnih vrednosti (ATSDR, 1997; EPA, 2009). U slučaju Fe i Al, nije moguće odrediti dugoročni rizik s obzirom na to da se ovi elementi ne nalazi na EPA listi potencijalno kancerogenih supstanci (</w:t>
      </w:r>
      <w:r w:rsidRPr="00421736">
        <w:rPr>
          <w:noProof/>
          <w:sz w:val="22"/>
          <w:szCs w:val="22"/>
          <w:lang w:val="sl-SI"/>
        </w:rPr>
        <w:t>ne postoji RfD</w:t>
      </w:r>
      <w:r w:rsidRPr="00421736">
        <w:rPr>
          <w:noProof/>
          <w:sz w:val="22"/>
          <w:szCs w:val="22"/>
          <w:vertAlign w:val="subscript"/>
          <w:lang w:val="sl-SI"/>
        </w:rPr>
        <w:t>oral</w:t>
      </w:r>
      <w:r w:rsidRPr="00421736">
        <w:rPr>
          <w:noProof/>
          <w:sz w:val="22"/>
          <w:szCs w:val="22"/>
          <w:lang w:val="sl-SI"/>
        </w:rPr>
        <w:t xml:space="preserve"> za Fe i Al), </w:t>
      </w:r>
      <w:r>
        <w:rPr>
          <w:noProof/>
          <w:sz w:val="22"/>
          <w:szCs w:val="22"/>
          <w:lang w:val="sl-SI"/>
        </w:rPr>
        <w:t>pošto</w:t>
      </w:r>
      <w:r w:rsidRPr="00421736">
        <w:rPr>
          <w:noProof/>
          <w:sz w:val="22"/>
          <w:szCs w:val="22"/>
          <w:lang w:val="sl-SI"/>
        </w:rPr>
        <w:t xml:space="preserve"> nije potvrđeno postojanje ka</w:t>
      </w:r>
      <w:r>
        <w:rPr>
          <w:noProof/>
          <w:sz w:val="22"/>
          <w:szCs w:val="22"/>
          <w:lang w:val="sl-SI"/>
        </w:rPr>
        <w:t>ncerogenog rizika od strane EPA, a</w:t>
      </w:r>
      <w:r w:rsidRPr="00421736">
        <w:rPr>
          <w:noProof/>
          <w:sz w:val="22"/>
          <w:szCs w:val="22"/>
          <w:lang w:val="sl-SI"/>
        </w:rPr>
        <w:t xml:space="preserve"> Al </w:t>
      </w:r>
      <w:r>
        <w:rPr>
          <w:noProof/>
          <w:sz w:val="22"/>
          <w:szCs w:val="22"/>
          <w:lang w:val="sl-SI"/>
        </w:rPr>
        <w:t xml:space="preserve">je </w:t>
      </w:r>
      <w:r w:rsidRPr="00421736">
        <w:rPr>
          <w:noProof/>
          <w:sz w:val="22"/>
          <w:szCs w:val="22"/>
          <w:lang w:val="sl-SI"/>
        </w:rPr>
        <w:t>klasifikova</w:t>
      </w:r>
      <w:r>
        <w:rPr>
          <w:noProof/>
          <w:sz w:val="22"/>
          <w:szCs w:val="22"/>
          <w:lang w:val="sl-SI"/>
        </w:rPr>
        <w:t>n</w:t>
      </w:r>
      <w:r w:rsidRPr="00421736">
        <w:rPr>
          <w:noProof/>
          <w:sz w:val="22"/>
          <w:szCs w:val="22"/>
          <w:lang w:val="sl-SI"/>
        </w:rPr>
        <w:t xml:space="preserve"> kao GRAS (</w:t>
      </w:r>
      <w:r w:rsidRPr="00E2621C">
        <w:rPr>
          <w:noProof/>
          <w:sz w:val="22"/>
          <w:szCs w:val="22"/>
          <w:lang w:val="sl-SI"/>
        </w:rPr>
        <w:t>engl.</w:t>
      </w:r>
      <w:r w:rsidRPr="00421736">
        <w:rPr>
          <w:i/>
          <w:iCs/>
          <w:noProof/>
          <w:sz w:val="22"/>
          <w:szCs w:val="22"/>
          <w:lang w:val="sl-SI"/>
        </w:rPr>
        <w:t xml:space="preserve"> </w:t>
      </w:r>
      <w:r w:rsidRPr="00421736">
        <w:rPr>
          <w:i/>
          <w:iCs/>
          <w:sz w:val="22"/>
          <w:szCs w:val="22"/>
          <w:lang w:val="sl-SI"/>
        </w:rPr>
        <w:t>Generally Regarded As Safe</w:t>
      </w:r>
      <w:r w:rsidRPr="00421736">
        <w:rPr>
          <w:noProof/>
          <w:sz w:val="22"/>
          <w:szCs w:val="22"/>
          <w:lang w:val="sl-SI"/>
        </w:rPr>
        <w:t>).</w:t>
      </w:r>
    </w:p>
    <w:p w:rsidR="00BE2F2E" w:rsidRPr="001328E8" w:rsidRDefault="00BE2F2E" w:rsidP="008A33C8">
      <w:pPr>
        <w:pStyle w:val="PlainText"/>
        <w:ind w:firstLine="425"/>
        <w:jc w:val="both"/>
        <w:rPr>
          <w:rFonts w:ascii="Times New Roman" w:hAnsi="Times New Roman" w:cs="Times New Roman"/>
          <w:sz w:val="22"/>
          <w:szCs w:val="22"/>
          <w:lang w:val="sr-Latn-CS"/>
        </w:rPr>
      </w:pPr>
      <w:r w:rsidRPr="001328E8">
        <w:rPr>
          <w:rFonts w:ascii="Times New Roman" w:hAnsi="Times New Roman" w:cs="Times New Roman"/>
          <w:sz w:val="22"/>
          <w:szCs w:val="22"/>
          <w:lang w:val="sr-Latn-CS"/>
        </w:rPr>
        <w:t xml:space="preserve">Analiza podataka o dugoročnom zdravstvenom riziku ukazuje da jedina realna opasnost postoji od prisustva </w:t>
      </w:r>
      <w:r>
        <w:rPr>
          <w:rFonts w:ascii="Times New Roman" w:hAnsi="Times New Roman" w:cs="Times New Roman"/>
          <w:sz w:val="22"/>
          <w:szCs w:val="22"/>
          <w:lang w:val="sr-Latn-CS"/>
        </w:rPr>
        <w:t>Cd</w:t>
      </w:r>
      <w:r w:rsidRPr="001328E8">
        <w:rPr>
          <w:rFonts w:ascii="Times New Roman" w:hAnsi="Times New Roman" w:cs="Times New Roman"/>
          <w:sz w:val="22"/>
          <w:szCs w:val="22"/>
          <w:lang w:val="sr-Latn-CS"/>
        </w:rPr>
        <w:t xml:space="preserve">, </w:t>
      </w:r>
      <w:r>
        <w:rPr>
          <w:rFonts w:ascii="Times New Roman" w:hAnsi="Times New Roman" w:cs="Times New Roman"/>
          <w:sz w:val="22"/>
          <w:szCs w:val="22"/>
          <w:lang w:val="sr-Latn-CS"/>
        </w:rPr>
        <w:t>Cu</w:t>
      </w:r>
      <w:r w:rsidRPr="001328E8">
        <w:rPr>
          <w:rFonts w:ascii="Times New Roman" w:hAnsi="Times New Roman" w:cs="Times New Roman"/>
          <w:sz w:val="22"/>
          <w:szCs w:val="22"/>
          <w:lang w:val="sr-Latn-CS"/>
        </w:rPr>
        <w:t xml:space="preserve"> i </w:t>
      </w:r>
      <w:r>
        <w:rPr>
          <w:rFonts w:ascii="Times New Roman" w:hAnsi="Times New Roman" w:cs="Times New Roman"/>
          <w:sz w:val="22"/>
          <w:szCs w:val="22"/>
          <w:lang w:val="sr-Latn-CS"/>
        </w:rPr>
        <w:t>Pb</w:t>
      </w:r>
      <w:r w:rsidRPr="001328E8">
        <w:rPr>
          <w:rFonts w:ascii="Times New Roman" w:hAnsi="Times New Roman" w:cs="Times New Roman"/>
          <w:sz w:val="22"/>
          <w:szCs w:val="22"/>
          <w:lang w:val="sr-Latn-CS"/>
        </w:rPr>
        <w:t xml:space="preserve"> u vodi za piće. A</w:t>
      </w:r>
      <w:r>
        <w:rPr>
          <w:rFonts w:ascii="Times New Roman" w:hAnsi="Times New Roman" w:cs="Times New Roman"/>
          <w:sz w:val="22"/>
          <w:szCs w:val="22"/>
          <w:lang w:val="sr-Latn-CS"/>
        </w:rPr>
        <w:t>naliza podataka</w:t>
      </w:r>
      <w:r w:rsidRPr="001328E8">
        <w:rPr>
          <w:rFonts w:ascii="Times New Roman" w:hAnsi="Times New Roman" w:cs="Times New Roman"/>
          <w:sz w:val="22"/>
          <w:szCs w:val="22"/>
          <w:lang w:val="sr-Latn-CS"/>
        </w:rPr>
        <w:t xml:space="preserve"> pokazuje da je </w:t>
      </w:r>
      <w:r>
        <w:rPr>
          <w:rFonts w:ascii="Times New Roman" w:hAnsi="Times New Roman" w:cs="Times New Roman"/>
          <w:sz w:val="22"/>
          <w:szCs w:val="22"/>
          <w:lang w:val="sr-Latn-CS"/>
        </w:rPr>
        <w:t xml:space="preserve">najmanji </w:t>
      </w:r>
      <w:r w:rsidRPr="001328E8">
        <w:rPr>
          <w:rFonts w:ascii="Times New Roman" w:hAnsi="Times New Roman" w:cs="Times New Roman"/>
          <w:sz w:val="22"/>
          <w:szCs w:val="22"/>
          <w:lang w:val="sr-Latn-CS"/>
        </w:rPr>
        <w:t xml:space="preserve">rizik od pojave kancera prisutan </w:t>
      </w:r>
      <w:r>
        <w:rPr>
          <w:rFonts w:ascii="Times New Roman" w:hAnsi="Times New Roman" w:cs="Times New Roman"/>
          <w:sz w:val="22"/>
          <w:szCs w:val="22"/>
          <w:lang w:val="sr-Latn-CS"/>
        </w:rPr>
        <w:t>od Pb (kod 30</w:t>
      </w:r>
      <w:r w:rsidRPr="001328E8">
        <w:rPr>
          <w:rFonts w:ascii="Times New Roman" w:hAnsi="Times New Roman" w:cs="Times New Roman"/>
          <w:sz w:val="22"/>
          <w:szCs w:val="22"/>
          <w:lang w:val="sr-Latn-CS"/>
        </w:rPr>
        <w:t xml:space="preserve"> stanovnika od 1000 stanovnika</w:t>
      </w:r>
      <w:r>
        <w:rPr>
          <w:rFonts w:ascii="Times New Roman" w:hAnsi="Times New Roman" w:cs="Times New Roman"/>
          <w:sz w:val="22"/>
          <w:szCs w:val="22"/>
          <w:lang w:val="sr-Latn-CS"/>
        </w:rPr>
        <w:t>) i Cu (kod 35</w:t>
      </w:r>
      <w:r w:rsidRPr="001328E8">
        <w:rPr>
          <w:rFonts w:ascii="Times New Roman" w:hAnsi="Times New Roman" w:cs="Times New Roman"/>
          <w:sz w:val="22"/>
          <w:szCs w:val="22"/>
          <w:lang w:val="sr-Latn-CS"/>
        </w:rPr>
        <w:t xml:space="preserve"> stanovnika od 1000 stanovnika</w:t>
      </w:r>
      <w:r>
        <w:rPr>
          <w:rFonts w:ascii="Times New Roman" w:hAnsi="Times New Roman" w:cs="Times New Roman"/>
          <w:sz w:val="22"/>
          <w:szCs w:val="22"/>
          <w:lang w:val="sr-Latn-CS"/>
        </w:rPr>
        <w:t>)</w:t>
      </w:r>
      <w:r w:rsidRPr="001328E8">
        <w:rPr>
          <w:rFonts w:ascii="Times New Roman" w:hAnsi="Times New Roman" w:cs="Times New Roman"/>
          <w:sz w:val="22"/>
          <w:szCs w:val="22"/>
          <w:lang w:val="sr-Latn-CS"/>
        </w:rPr>
        <w:t xml:space="preserve"> koji koriste ovu vodu za piće.</w:t>
      </w:r>
    </w:p>
    <w:p w:rsidR="00BE2F2E" w:rsidRPr="00B233DB" w:rsidRDefault="00BE2F2E" w:rsidP="008A33C8">
      <w:pPr>
        <w:pStyle w:val="PlainText"/>
        <w:ind w:firstLine="425"/>
        <w:jc w:val="both"/>
        <w:rPr>
          <w:rFonts w:ascii="Times New Roman" w:hAnsi="Times New Roman" w:cs="Times New Roman"/>
          <w:sz w:val="22"/>
          <w:szCs w:val="22"/>
          <w:lang w:val="sr-Latn-CS"/>
        </w:rPr>
      </w:pPr>
      <w:r w:rsidRPr="00B233DB">
        <w:rPr>
          <w:rFonts w:ascii="Times New Roman" w:hAnsi="Times New Roman" w:cs="Times New Roman"/>
          <w:sz w:val="22"/>
          <w:szCs w:val="22"/>
          <w:lang w:val="sr-Latn-CS"/>
        </w:rPr>
        <w:t>Realno najveći dugoročno zdravstveni rizik preti od prisustva Cd u vodi za piće: kod 202 stanovnika od 1000 stanovnika (svaki peti stanovnik). Kako je na osnovu naših istraživanja (Rajković, Stojanović, Milojković, 2017b)</w:t>
      </w:r>
      <w:r w:rsidRPr="000E4924">
        <w:rPr>
          <w:rFonts w:ascii="Times New Roman" w:hAnsi="Times New Roman" w:cs="Times New Roman"/>
          <w:sz w:val="22"/>
          <w:szCs w:val="22"/>
          <w:lang w:val="sr-Latn-CS"/>
        </w:rPr>
        <w:t xml:space="preserve"> </w:t>
      </w:r>
      <w:r w:rsidRPr="00B233DB">
        <w:rPr>
          <w:rFonts w:ascii="Times New Roman" w:hAnsi="Times New Roman" w:cs="Times New Roman"/>
          <w:sz w:val="22"/>
          <w:szCs w:val="22"/>
          <w:lang w:val="sr-Latn-CS"/>
        </w:rPr>
        <w:t>već utvrđena direktna povezanost prisustva toksičnih elemenata (Pb, Cd, Cr, Si, U) u vodi za piće i pojave porasta hroničnih nezaraznih oboljenja</w:t>
      </w:r>
      <w:r>
        <w:rPr>
          <w:rFonts w:ascii="Times New Roman" w:hAnsi="Times New Roman" w:cs="Times New Roman"/>
          <w:sz w:val="22"/>
          <w:szCs w:val="22"/>
          <w:lang w:val="sr-Latn-CS"/>
        </w:rPr>
        <w:t>,</w:t>
      </w:r>
      <w:r w:rsidRPr="00B233DB">
        <w:rPr>
          <w:rFonts w:ascii="Times New Roman" w:hAnsi="Times New Roman" w:cs="Times New Roman"/>
          <w:sz w:val="22"/>
          <w:szCs w:val="22"/>
          <w:lang w:val="sr-Latn-CS"/>
        </w:rPr>
        <w:t xml:space="preserve"> kao što je hronična bubrežna insuficijencija (HBI) i bolesti mokraćnog sistema sa 84,06%, naročito kod žena doba starosti preko 15 godina, koja je zabeležena u Braničevskom okrugu i čija stopa iznosi 126,3/1000 </w:t>
      </w:r>
      <w:r w:rsidRPr="000E4924">
        <w:rPr>
          <w:rFonts w:ascii="Times New Roman" w:hAnsi="Times New Roman" w:cs="Times New Roman"/>
          <w:sz w:val="22"/>
          <w:szCs w:val="22"/>
          <w:lang w:val="sr-Latn-CS"/>
        </w:rPr>
        <w:t>(</w:t>
      </w:r>
      <w:r w:rsidRPr="00B233DB">
        <w:rPr>
          <w:rFonts w:ascii="Times New Roman" w:hAnsi="Times New Roman" w:cs="Times New Roman"/>
          <w:sz w:val="22"/>
          <w:szCs w:val="22"/>
          <w:lang w:val="sr-Latn-CS"/>
        </w:rPr>
        <w:t>Zavod za javno zdravlje Požarevac, 2012), ovaj rad i ove vrednosti za Cd su još jedna potvrda realne opasnosti koja postoji od njegovog prisustva u vodi za piće.</w:t>
      </w:r>
    </w:p>
    <w:p w:rsidR="00BE2F2E" w:rsidRPr="008A33C8" w:rsidRDefault="00BE2F2E" w:rsidP="00CB20B2">
      <w:pPr>
        <w:jc w:val="center"/>
        <w:rPr>
          <w:b/>
          <w:bCs/>
          <w:sz w:val="22"/>
          <w:szCs w:val="22"/>
          <w:lang w:val="sr-Latn-CS"/>
        </w:rPr>
      </w:pPr>
      <w:r w:rsidRPr="008A33C8">
        <w:rPr>
          <w:b/>
          <w:bCs/>
          <w:sz w:val="22"/>
          <w:szCs w:val="22"/>
          <w:lang w:val="sr-Latn-CS"/>
        </w:rPr>
        <w:lastRenderedPageBreak/>
        <w:t>Zaključak</w:t>
      </w:r>
    </w:p>
    <w:p w:rsidR="00BE2F2E" w:rsidRPr="002C1E86" w:rsidRDefault="00BE2F2E" w:rsidP="00CB20B2">
      <w:pPr>
        <w:tabs>
          <w:tab w:val="left" w:pos="-5643"/>
        </w:tabs>
        <w:jc w:val="center"/>
        <w:rPr>
          <w:sz w:val="22"/>
          <w:szCs w:val="22"/>
          <w:lang w:val="sr-Latn-CS"/>
        </w:rPr>
      </w:pPr>
    </w:p>
    <w:p w:rsidR="00BE2F2E" w:rsidRPr="008A33C8" w:rsidRDefault="00BE2F2E" w:rsidP="00EF4DBE">
      <w:pPr>
        <w:ind w:firstLine="426"/>
        <w:jc w:val="both"/>
        <w:rPr>
          <w:sz w:val="22"/>
          <w:szCs w:val="22"/>
          <w:lang w:val="sl-SI"/>
        </w:rPr>
      </w:pPr>
      <w:r w:rsidRPr="008A33C8">
        <w:rPr>
          <w:sz w:val="22"/>
          <w:szCs w:val="22"/>
          <w:lang w:val="sl-SI"/>
        </w:rPr>
        <w:t>U radu je ispitivan kamenac koji je nastao iz vodovodne mreže Grada Požarevca, tokom vremenskog perioda 2012</w:t>
      </w:r>
      <w:r w:rsidRPr="008A33C8">
        <w:rPr>
          <w:rFonts w:ascii="Cambria Math" w:hAnsi="Cambria Math" w:cs="Cambria Math"/>
          <w:sz w:val="22"/>
          <w:szCs w:val="22"/>
          <w:lang w:val="sl-SI"/>
        </w:rPr>
        <w:t>‒</w:t>
      </w:r>
      <w:r w:rsidRPr="008A33C8">
        <w:rPr>
          <w:sz w:val="22"/>
          <w:szCs w:val="22"/>
          <w:lang w:val="sl-SI"/>
        </w:rPr>
        <w:t>2017. godine. Na osnovu dobijenih rezultata ispitivanja, mogu se izvesti sledeći zaključci:</w:t>
      </w:r>
    </w:p>
    <w:p w:rsidR="00BE2F2E" w:rsidRPr="008A33C8" w:rsidRDefault="00BE2F2E" w:rsidP="00EF4DBE">
      <w:pPr>
        <w:ind w:firstLine="426"/>
        <w:jc w:val="both"/>
        <w:rPr>
          <w:sz w:val="22"/>
          <w:szCs w:val="22"/>
          <w:lang w:val="sl-SI"/>
        </w:rPr>
      </w:pPr>
      <w:r w:rsidRPr="008A33C8">
        <w:rPr>
          <w:sz w:val="22"/>
          <w:szCs w:val="22"/>
          <w:lang w:val="sl-SI"/>
        </w:rPr>
        <w:t>Fizičko-hemijska i mikrobiološka analiza uzoraka vode za piće iz vodovodne mreže Grada Požarevca u Braničevskom okrugu pokazala je da je voda kvaliteta pogodnog za humanu upotrebu i da odgovara kvalitetu preporučenom pravilnikom;</w:t>
      </w:r>
    </w:p>
    <w:p w:rsidR="00BE2F2E" w:rsidRPr="008A33C8" w:rsidRDefault="00BE2F2E" w:rsidP="00EF4DBE">
      <w:pPr>
        <w:ind w:firstLine="426"/>
        <w:jc w:val="both"/>
        <w:rPr>
          <w:sz w:val="22"/>
          <w:szCs w:val="22"/>
          <w:lang w:val="sl-SI"/>
        </w:rPr>
      </w:pPr>
      <w:r w:rsidRPr="008A33C8">
        <w:rPr>
          <w:sz w:val="22"/>
          <w:szCs w:val="22"/>
          <w:lang w:val="sl-SI"/>
        </w:rPr>
        <w:t>Prema količini suvog ostatka (do 1 g/dm</w:t>
      </w:r>
      <w:r w:rsidRPr="008A33C8">
        <w:rPr>
          <w:sz w:val="22"/>
          <w:szCs w:val="22"/>
          <w:vertAlign w:val="superscript"/>
          <w:lang w:val="sl-SI"/>
        </w:rPr>
        <w:t>3</w:t>
      </w:r>
      <w:r w:rsidRPr="008A33C8">
        <w:rPr>
          <w:sz w:val="22"/>
          <w:szCs w:val="22"/>
          <w:lang w:val="sl-SI"/>
        </w:rPr>
        <w:t xml:space="preserve">,), voda se ubraja u malomineralne vode. Radi se o vodi koja se zahvata pretežno iz karbonatnih stena – </w:t>
      </w:r>
      <w:r w:rsidRPr="008A33C8">
        <w:rPr>
          <w:i/>
          <w:iCs/>
          <w:sz w:val="22"/>
          <w:szCs w:val="22"/>
          <w:lang w:val="sl-SI"/>
        </w:rPr>
        <w:t>krečnjaka</w:t>
      </w:r>
      <w:r w:rsidRPr="008A33C8">
        <w:rPr>
          <w:sz w:val="22"/>
          <w:szCs w:val="22"/>
          <w:lang w:val="sl-SI"/>
        </w:rPr>
        <w:t xml:space="preserve"> (CaCO</w:t>
      </w:r>
      <w:r w:rsidRPr="008A33C8">
        <w:rPr>
          <w:sz w:val="22"/>
          <w:szCs w:val="22"/>
          <w:vertAlign w:val="subscript"/>
          <w:lang w:val="sl-SI"/>
        </w:rPr>
        <w:t>3</w:t>
      </w:r>
      <w:r w:rsidRPr="008A33C8">
        <w:rPr>
          <w:sz w:val="22"/>
          <w:szCs w:val="22"/>
          <w:lang w:val="sl-SI"/>
        </w:rPr>
        <w:t xml:space="preserve">) i </w:t>
      </w:r>
      <w:r w:rsidRPr="008A33C8">
        <w:rPr>
          <w:i/>
          <w:iCs/>
          <w:sz w:val="22"/>
          <w:szCs w:val="22"/>
          <w:lang w:val="sl-SI"/>
        </w:rPr>
        <w:t>dolomita</w:t>
      </w:r>
      <w:r w:rsidRPr="008A33C8">
        <w:rPr>
          <w:sz w:val="22"/>
          <w:szCs w:val="22"/>
          <w:lang w:val="sl-SI"/>
        </w:rPr>
        <w:t xml:space="preserve"> (MgCO</w:t>
      </w:r>
      <w:r w:rsidRPr="008A33C8">
        <w:rPr>
          <w:sz w:val="22"/>
          <w:szCs w:val="22"/>
          <w:vertAlign w:val="subscript"/>
          <w:lang w:val="sl-SI"/>
        </w:rPr>
        <w:t>3</w:t>
      </w:r>
      <w:r w:rsidRPr="008A33C8">
        <w:rPr>
          <w:sz w:val="22"/>
          <w:szCs w:val="22"/>
          <w:lang w:val="sl-SI"/>
        </w:rPr>
        <w:t>·CaCO</w:t>
      </w:r>
      <w:r w:rsidRPr="008A33C8">
        <w:rPr>
          <w:sz w:val="22"/>
          <w:szCs w:val="22"/>
          <w:vertAlign w:val="subscript"/>
          <w:lang w:val="sl-SI"/>
        </w:rPr>
        <w:t>3</w:t>
      </w:r>
      <w:r w:rsidRPr="008A33C8">
        <w:rPr>
          <w:sz w:val="22"/>
          <w:szCs w:val="22"/>
          <w:lang w:val="sl-SI"/>
        </w:rPr>
        <w:t xml:space="preserve">); </w:t>
      </w:r>
    </w:p>
    <w:p w:rsidR="00BE2F2E" w:rsidRPr="008A33C8" w:rsidRDefault="00BE2F2E" w:rsidP="00EF4DBE">
      <w:pPr>
        <w:ind w:firstLine="426"/>
        <w:jc w:val="both"/>
        <w:rPr>
          <w:sz w:val="22"/>
          <w:szCs w:val="22"/>
          <w:lang w:val="sl-SI"/>
        </w:rPr>
      </w:pPr>
      <w:r w:rsidRPr="008A33C8">
        <w:rPr>
          <w:sz w:val="22"/>
          <w:szCs w:val="22"/>
          <w:lang w:val="sl-SI"/>
        </w:rPr>
        <w:t>Podatak o elektroprovodljivosti govori da je voda za piće iz vodovodne mreže Grada Požarevca bogata rastvorenim materijama;</w:t>
      </w:r>
    </w:p>
    <w:p w:rsidR="00BE2F2E" w:rsidRPr="008A33C8" w:rsidRDefault="00BE2F2E" w:rsidP="00EF4DBE">
      <w:pPr>
        <w:ind w:firstLine="426"/>
        <w:jc w:val="both"/>
        <w:rPr>
          <w:sz w:val="22"/>
          <w:szCs w:val="22"/>
          <w:lang w:val="sr-Latn-CS"/>
        </w:rPr>
      </w:pPr>
      <w:r w:rsidRPr="008A33C8">
        <w:rPr>
          <w:sz w:val="22"/>
          <w:szCs w:val="22"/>
          <w:lang w:val="sr-Latn-CS"/>
        </w:rPr>
        <w:t>Na osnovu sadržaja CaCO</w:t>
      </w:r>
      <w:r w:rsidRPr="008A33C8">
        <w:rPr>
          <w:sz w:val="22"/>
          <w:szCs w:val="22"/>
          <w:vertAlign w:val="subscript"/>
          <w:lang w:val="sr-Latn-CS"/>
        </w:rPr>
        <w:t>3</w:t>
      </w:r>
      <w:r w:rsidRPr="008A33C8">
        <w:rPr>
          <w:sz w:val="22"/>
          <w:szCs w:val="22"/>
          <w:lang w:val="sr-Latn-CS"/>
        </w:rPr>
        <w:t xml:space="preserve"> u dm</w:t>
      </w:r>
      <w:r w:rsidRPr="008A33C8">
        <w:rPr>
          <w:sz w:val="22"/>
          <w:szCs w:val="22"/>
          <w:vertAlign w:val="superscript"/>
          <w:lang w:val="sr-Latn-CS"/>
        </w:rPr>
        <w:t>3</w:t>
      </w:r>
      <w:r w:rsidRPr="008A33C8">
        <w:rPr>
          <w:sz w:val="22"/>
          <w:szCs w:val="22"/>
          <w:lang w:val="sr-Latn-CS"/>
        </w:rPr>
        <w:t xml:space="preserve"> od 613,92 mg/dm</w:t>
      </w:r>
      <w:r w:rsidRPr="008A33C8">
        <w:rPr>
          <w:sz w:val="22"/>
          <w:szCs w:val="22"/>
          <w:vertAlign w:val="superscript"/>
          <w:lang w:val="sr-Latn-CS"/>
        </w:rPr>
        <w:t>3</w:t>
      </w:r>
      <w:r w:rsidRPr="008A33C8">
        <w:rPr>
          <w:sz w:val="22"/>
          <w:szCs w:val="22"/>
          <w:lang w:val="sr-Latn-CS"/>
        </w:rPr>
        <w:t xml:space="preserve"> voda za piće iz vodovodne mreže Grada Požarevca nalazi se u kategoriji </w:t>
      </w:r>
      <w:r w:rsidRPr="008A33C8">
        <w:rPr>
          <w:i/>
          <w:iCs/>
          <w:sz w:val="22"/>
          <w:szCs w:val="22"/>
          <w:lang w:val="sr-Latn-CS"/>
        </w:rPr>
        <w:t>tvrde vode</w:t>
      </w:r>
      <w:r w:rsidRPr="008A33C8">
        <w:rPr>
          <w:sz w:val="22"/>
          <w:szCs w:val="22"/>
          <w:lang w:val="sr-Latn-CS"/>
        </w:rPr>
        <w:t xml:space="preserve">. Na osnovu geološke analize sastava zemljišta na teritoriji Grada Požarevca, može se objasniti prisustvo karbonata i silicijuma u vodi za piće iz lesnih sedimenata, u kojima ima kalcita; </w:t>
      </w:r>
    </w:p>
    <w:p w:rsidR="00BE2F2E" w:rsidRPr="008A33C8" w:rsidRDefault="00BE2F2E" w:rsidP="00EF4DBE">
      <w:pPr>
        <w:ind w:firstLine="426"/>
        <w:jc w:val="both"/>
        <w:rPr>
          <w:sz w:val="22"/>
          <w:szCs w:val="22"/>
          <w:lang w:val="sr-Latn-CS"/>
        </w:rPr>
      </w:pPr>
      <w:r w:rsidRPr="008A33C8">
        <w:rPr>
          <w:sz w:val="22"/>
          <w:szCs w:val="22"/>
          <w:lang w:val="sr-Latn-CS"/>
        </w:rPr>
        <w:t>Od makroelemenata određen je sadržaj metala: Ca, Mg, Na i K. Sadržaj ovih elemenata je u skladu sa Pravilnikom o higijenskoj ispravnosti vode za piće, osim Ca čija je vrednost viša od maksimalno dozvoljene koncentracije. Zabrinjava i odnos Ca/Mg koji je, umesto 3</w:t>
      </w:r>
      <w:r w:rsidRPr="008A33C8">
        <w:rPr>
          <w:rFonts w:ascii="Cambria Math" w:hAnsi="Cambria Math" w:cs="Cambria Math"/>
          <w:sz w:val="22"/>
          <w:szCs w:val="22"/>
          <w:lang w:val="sr-Latn-CS"/>
        </w:rPr>
        <w:t>‒</w:t>
      </w:r>
      <w:r w:rsidRPr="008A33C8">
        <w:rPr>
          <w:sz w:val="22"/>
          <w:szCs w:val="22"/>
          <w:lang w:val="sr-Latn-CS"/>
        </w:rPr>
        <w:t>4, više od deset puta viši, što ukazuje na nizak sadržaj Mg u vodi;</w:t>
      </w:r>
    </w:p>
    <w:p w:rsidR="00BE2F2E" w:rsidRPr="008A33C8" w:rsidRDefault="00BE2F2E" w:rsidP="00EF4DBE">
      <w:pPr>
        <w:ind w:firstLine="426"/>
        <w:jc w:val="both"/>
        <w:rPr>
          <w:sz w:val="22"/>
          <w:szCs w:val="22"/>
          <w:lang w:val="sr-Latn-CS"/>
        </w:rPr>
      </w:pPr>
      <w:r w:rsidRPr="008A33C8">
        <w:rPr>
          <w:sz w:val="22"/>
          <w:szCs w:val="22"/>
          <w:lang w:val="sr-Latn-CS"/>
        </w:rPr>
        <w:t>Od mikroelemenata određen je sadržaj metala: Zn, Mn, Fe i Cu. Sadržaj Zn, Cu i Mn je u skladu sa Pravilnikom o higijenskoj ispravnosti vode za piće;</w:t>
      </w:r>
    </w:p>
    <w:p w:rsidR="00BE2F2E" w:rsidRPr="008A33C8" w:rsidRDefault="00BE2F2E" w:rsidP="00EF4DBE">
      <w:pPr>
        <w:ind w:firstLine="426"/>
        <w:jc w:val="both"/>
        <w:rPr>
          <w:sz w:val="22"/>
          <w:szCs w:val="22"/>
          <w:lang w:val="sr-Latn-CS"/>
        </w:rPr>
      </w:pPr>
      <w:r w:rsidRPr="008A33C8">
        <w:rPr>
          <w:sz w:val="22"/>
          <w:szCs w:val="22"/>
          <w:lang w:val="sr-Latn-CS"/>
        </w:rPr>
        <w:t>Od ostalih elemenata određen je sadržaj Pb, Cd i Al u vodi za piće. Sadržaj Cd i Pb je na samoj granici dozvoljenih koncentracija, dok je sadržaj Al 2,7 puta viši od maksimalno dozvoljene koncentracije;</w:t>
      </w:r>
    </w:p>
    <w:p w:rsidR="00BE2F2E" w:rsidRPr="008A33C8" w:rsidRDefault="00BE2F2E" w:rsidP="00EF4DBE">
      <w:pPr>
        <w:ind w:firstLine="426"/>
        <w:jc w:val="both"/>
        <w:rPr>
          <w:sz w:val="22"/>
          <w:szCs w:val="22"/>
          <w:lang w:val="sr-Latn-CS"/>
        </w:rPr>
      </w:pPr>
      <w:r w:rsidRPr="008A33C8">
        <w:rPr>
          <w:sz w:val="22"/>
          <w:szCs w:val="22"/>
          <w:lang w:val="sr-Latn-CS"/>
        </w:rPr>
        <w:t>Na osnovu ovih istraživanja uočena je povezanost prisustva toksičnih elemenata (Pb, Cd, Al) u vodi za piće i pojave porasta hroničnih nezaraznih oboljenja kao što je hronična bubrežna insuficijencija (HBI) i bolesti mokraćnog sistema sa 84,06%, naročito kod žena doba starosti preko 15 godina, koja je zabeležena u Braničevskom okrugu i čija stopa iznosi 126,3/1000.</w:t>
      </w:r>
    </w:p>
    <w:p w:rsidR="00BE2F2E" w:rsidRPr="008A33C8" w:rsidRDefault="00BE2F2E" w:rsidP="00EF4DBE">
      <w:pPr>
        <w:ind w:firstLine="426"/>
        <w:jc w:val="both"/>
        <w:rPr>
          <w:sz w:val="22"/>
          <w:szCs w:val="22"/>
          <w:lang w:val="sr-Latn-CS"/>
        </w:rPr>
      </w:pPr>
      <w:r w:rsidRPr="008A33C8">
        <w:rPr>
          <w:sz w:val="22"/>
          <w:szCs w:val="22"/>
          <w:lang w:val="sr-Latn-CS"/>
        </w:rPr>
        <w:t>Proračunati podaci ukazuju da rizik od unošenja elemenata koji se u vodi za piće iz vodovodne mreže Grada Požarevca nalaze u vrednosti višoj od one dozvoljene pravilnikom, ni za jedan metal ne pokazuje kratkoročni zdravstveni rizik po zdravlje ljudi.</w:t>
      </w:r>
    </w:p>
    <w:p w:rsidR="00BE2F2E" w:rsidRPr="008A33C8" w:rsidRDefault="00BE2F2E" w:rsidP="00EF4DBE">
      <w:pPr>
        <w:pStyle w:val="PlainText"/>
        <w:ind w:firstLine="426"/>
        <w:jc w:val="both"/>
        <w:rPr>
          <w:rFonts w:ascii="Times New Roman" w:hAnsi="Times New Roman" w:cs="Times New Roman"/>
          <w:sz w:val="22"/>
          <w:szCs w:val="22"/>
          <w:lang w:val="sr-Latn-CS"/>
        </w:rPr>
      </w:pPr>
      <w:r w:rsidRPr="008A33C8">
        <w:rPr>
          <w:rFonts w:ascii="Times New Roman" w:hAnsi="Times New Roman" w:cs="Times New Roman"/>
          <w:sz w:val="22"/>
          <w:szCs w:val="22"/>
          <w:lang w:val="sr-Latn-CS"/>
        </w:rPr>
        <w:t>Analiza podataka o dugoročnom zdravstvenom riziku ukazuje da jedina realna opasnost postoji od prisustva Cd u vodi za piće. Rizik od pojave kancera prisutan je kod svakog petog stanovnika koji koristi ovu vodu za piće.</w:t>
      </w:r>
    </w:p>
    <w:p w:rsidR="00BE2F2E" w:rsidRPr="008A33C8" w:rsidRDefault="00BE2F2E" w:rsidP="008A33C8">
      <w:pPr>
        <w:jc w:val="both"/>
        <w:rPr>
          <w:b/>
          <w:bCs/>
          <w:sz w:val="22"/>
          <w:szCs w:val="22"/>
          <w:lang w:val="sl-SI"/>
        </w:rPr>
      </w:pPr>
    </w:p>
    <w:p w:rsidR="00BE2F2E" w:rsidRDefault="00BE2F2E" w:rsidP="00CB20B2">
      <w:pPr>
        <w:spacing w:before="120"/>
        <w:jc w:val="both"/>
        <w:rPr>
          <w:b/>
          <w:bCs/>
          <w:sz w:val="22"/>
          <w:szCs w:val="22"/>
          <w:lang w:val="sl-SI"/>
        </w:rPr>
      </w:pPr>
      <w:r w:rsidRPr="00D32E13">
        <w:rPr>
          <w:b/>
          <w:bCs/>
          <w:sz w:val="22"/>
          <w:szCs w:val="22"/>
          <w:lang w:val="sl-SI"/>
        </w:rPr>
        <w:lastRenderedPageBreak/>
        <w:t>Zahvalnica</w:t>
      </w:r>
    </w:p>
    <w:p w:rsidR="00BE2F2E" w:rsidRDefault="00BE2F2E" w:rsidP="008A33C8">
      <w:pPr>
        <w:ind w:firstLine="425"/>
        <w:jc w:val="both"/>
        <w:rPr>
          <w:sz w:val="22"/>
          <w:szCs w:val="22"/>
          <w:lang w:val="sr-Latn-CS"/>
        </w:rPr>
      </w:pPr>
    </w:p>
    <w:p w:rsidR="00BE2F2E" w:rsidRPr="00D32E13" w:rsidRDefault="00BE2F2E" w:rsidP="008A33C8">
      <w:pPr>
        <w:ind w:firstLine="425"/>
        <w:jc w:val="both"/>
        <w:rPr>
          <w:sz w:val="22"/>
          <w:szCs w:val="22"/>
          <w:lang w:val="sr-Latn-CS"/>
        </w:rPr>
      </w:pPr>
      <w:r w:rsidRPr="00D32E13">
        <w:rPr>
          <w:sz w:val="22"/>
          <w:szCs w:val="22"/>
          <w:lang w:val="sr-Latn-CS"/>
        </w:rPr>
        <w:t>Ovaj rad je rađen u okviru projekta osnovnih istraživanja broj III 43009. Autori se zahvaljuju Ministarstvu nauke i zaštite životne sredine Republike Srbije za učešće u finansiranju ovoga rada.</w:t>
      </w:r>
    </w:p>
    <w:p w:rsidR="00BE2F2E" w:rsidRPr="00732EB8" w:rsidRDefault="00BE2F2E" w:rsidP="00E350CC">
      <w:pPr>
        <w:pStyle w:val="Heading1"/>
        <w:keepNext w:val="0"/>
        <w:widowControl w:val="0"/>
        <w:rPr>
          <w:b w:val="0"/>
          <w:bCs w:val="0"/>
          <w:lang w:val="sr-Latn-CS"/>
        </w:rPr>
      </w:pPr>
    </w:p>
    <w:p w:rsidR="00BE2F2E" w:rsidRPr="00406CFA" w:rsidRDefault="00BE2F2E" w:rsidP="00855B50">
      <w:pPr>
        <w:pStyle w:val="Heading1"/>
        <w:keepNext w:val="0"/>
        <w:widowControl w:val="0"/>
        <w:rPr>
          <w:lang w:val="sr-Latn-CS"/>
        </w:rPr>
      </w:pPr>
      <w:r w:rsidRPr="006743BF">
        <w:rPr>
          <w:lang w:val="sr-Latn-CS"/>
        </w:rPr>
        <w:t>Literatura</w:t>
      </w:r>
    </w:p>
    <w:p w:rsidR="00BE2F2E" w:rsidRPr="00732EB8" w:rsidRDefault="00BE2F2E" w:rsidP="00855B50">
      <w:pPr>
        <w:pStyle w:val="Heading1"/>
        <w:keepNext w:val="0"/>
        <w:widowControl w:val="0"/>
        <w:rPr>
          <w:b w:val="0"/>
          <w:bCs w:val="0"/>
          <w:lang w:val="sr-Latn-CS"/>
        </w:rPr>
      </w:pPr>
    </w:p>
    <w:p w:rsidR="00BE2F2E" w:rsidRPr="008A33C8" w:rsidRDefault="00BE2F2E" w:rsidP="008A33C8">
      <w:pPr>
        <w:widowControl w:val="0"/>
        <w:ind w:left="425" w:hanging="425"/>
        <w:jc w:val="both"/>
        <w:rPr>
          <w:sz w:val="18"/>
          <w:szCs w:val="18"/>
          <w:lang w:val="pl-PL"/>
        </w:rPr>
      </w:pPr>
      <w:r w:rsidRPr="008A33C8">
        <w:rPr>
          <w:sz w:val="18"/>
          <w:szCs w:val="18"/>
          <w:lang w:val="pl-PL"/>
        </w:rPr>
        <w:t xml:space="preserve">Agency for Toxic Substances and Disease Registry (ATSDR) (1997). </w:t>
      </w:r>
      <w:r w:rsidRPr="008A33C8">
        <w:rPr>
          <w:i/>
          <w:iCs/>
          <w:sz w:val="18"/>
          <w:szCs w:val="18"/>
          <w:lang w:val="pl-PL"/>
        </w:rPr>
        <w:t>Toxicological Profile: Uranium and Compounds DE-98/02</w:t>
      </w:r>
      <w:r w:rsidRPr="008A33C8">
        <w:rPr>
          <w:sz w:val="18"/>
          <w:szCs w:val="18"/>
          <w:lang w:val="pl-PL"/>
        </w:rPr>
        <w:t xml:space="preserve">, Department of Health and Human Services. </w:t>
      </w:r>
      <w:r w:rsidRPr="008A33C8">
        <w:rPr>
          <w:rStyle w:val="value"/>
          <w:sz w:val="18"/>
          <w:szCs w:val="18"/>
        </w:rPr>
        <w:t>Atlanta, USA.</w:t>
      </w:r>
    </w:p>
    <w:p w:rsidR="00BE2F2E" w:rsidRPr="008A33C8" w:rsidRDefault="00A11A1F" w:rsidP="008A33C8">
      <w:pPr>
        <w:widowControl w:val="0"/>
        <w:ind w:left="425" w:hanging="425"/>
        <w:jc w:val="both"/>
        <w:rPr>
          <w:sz w:val="18"/>
          <w:szCs w:val="18"/>
        </w:rPr>
      </w:pPr>
      <w:hyperlink r:id="rId22" w:history="1">
        <w:r w:rsidR="00BE2F2E" w:rsidRPr="008A33C8">
          <w:rPr>
            <w:rStyle w:val="Hyperlink"/>
            <w:color w:val="auto"/>
            <w:sz w:val="18"/>
            <w:szCs w:val="18"/>
            <w:u w:val="none"/>
          </w:rPr>
          <w:t>Becaria</w:t>
        </w:r>
      </w:hyperlink>
      <w:r w:rsidR="00BE2F2E" w:rsidRPr="008A33C8">
        <w:rPr>
          <w:sz w:val="18"/>
          <w:szCs w:val="18"/>
        </w:rPr>
        <w:t xml:space="preserve">, A., </w:t>
      </w:r>
      <w:hyperlink r:id="rId23" w:history="1">
        <w:r w:rsidR="00BE2F2E" w:rsidRPr="008A33C8">
          <w:rPr>
            <w:rStyle w:val="Hyperlink"/>
            <w:color w:val="auto"/>
            <w:sz w:val="18"/>
            <w:szCs w:val="18"/>
            <w:u w:val="none"/>
          </w:rPr>
          <w:t>Campbell</w:t>
        </w:r>
      </w:hyperlink>
      <w:r w:rsidR="00BE2F2E" w:rsidRPr="008A33C8">
        <w:rPr>
          <w:sz w:val="18"/>
          <w:szCs w:val="18"/>
        </w:rPr>
        <w:t xml:space="preserve">, A., &amp; </w:t>
      </w:r>
      <w:hyperlink r:id="rId24" w:history="1">
        <w:r w:rsidR="00BE2F2E" w:rsidRPr="008A33C8">
          <w:rPr>
            <w:rStyle w:val="Hyperlink"/>
            <w:color w:val="auto"/>
            <w:sz w:val="18"/>
            <w:szCs w:val="18"/>
            <w:u w:val="none"/>
          </w:rPr>
          <w:t>Bondy</w:t>
        </w:r>
      </w:hyperlink>
      <w:r w:rsidR="00BE2F2E" w:rsidRPr="008A33C8">
        <w:rPr>
          <w:sz w:val="18"/>
          <w:szCs w:val="18"/>
        </w:rPr>
        <w:t>, S.C. (2002). Aluminum as a toxicant</w:t>
      </w:r>
      <w:r w:rsidR="00BE2F2E" w:rsidRPr="008A33C8">
        <w:rPr>
          <w:sz w:val="18"/>
          <w:szCs w:val="18"/>
          <w:lang w:val="sl-SI"/>
        </w:rPr>
        <w:t>.</w:t>
      </w:r>
      <w:r w:rsidR="00BE2F2E" w:rsidRPr="008A33C8">
        <w:rPr>
          <w:sz w:val="18"/>
          <w:szCs w:val="18"/>
        </w:rPr>
        <w:t xml:space="preserve"> </w:t>
      </w:r>
      <w:r w:rsidR="00BE2F2E" w:rsidRPr="008A33C8">
        <w:rPr>
          <w:i/>
          <w:iCs/>
          <w:sz w:val="18"/>
          <w:szCs w:val="18"/>
        </w:rPr>
        <w:t>Toxicology and Industrial Health</w:t>
      </w:r>
      <w:r w:rsidR="00BE2F2E" w:rsidRPr="008A33C8">
        <w:rPr>
          <w:sz w:val="18"/>
          <w:szCs w:val="18"/>
        </w:rPr>
        <w:t xml:space="preserve">, </w:t>
      </w:r>
      <w:r w:rsidR="00BE2F2E" w:rsidRPr="008A33C8">
        <w:rPr>
          <w:i/>
          <w:iCs/>
          <w:sz w:val="18"/>
          <w:szCs w:val="18"/>
        </w:rPr>
        <w:t>18</w:t>
      </w:r>
      <w:r w:rsidR="00BE2F2E">
        <w:rPr>
          <w:i/>
          <w:iCs/>
          <w:sz w:val="18"/>
          <w:szCs w:val="18"/>
        </w:rPr>
        <w:t xml:space="preserve"> </w:t>
      </w:r>
      <w:r w:rsidR="00BE2F2E" w:rsidRPr="008A33C8">
        <w:rPr>
          <w:i/>
          <w:iCs/>
          <w:sz w:val="18"/>
          <w:szCs w:val="18"/>
        </w:rPr>
        <w:t>(7)</w:t>
      </w:r>
      <w:r w:rsidR="00BE2F2E" w:rsidRPr="008A33C8">
        <w:rPr>
          <w:sz w:val="18"/>
          <w:szCs w:val="18"/>
        </w:rPr>
        <w:t>, 309</w:t>
      </w:r>
      <w:r w:rsidR="00BE2F2E">
        <w:rPr>
          <w:sz w:val="18"/>
          <w:szCs w:val="18"/>
        </w:rPr>
        <w:t>-</w:t>
      </w:r>
      <w:r w:rsidR="00BE2F2E" w:rsidRPr="008A33C8">
        <w:rPr>
          <w:sz w:val="18"/>
          <w:szCs w:val="18"/>
        </w:rPr>
        <w:t>320.</w:t>
      </w:r>
    </w:p>
    <w:p w:rsidR="00BE2F2E" w:rsidRPr="008A33C8" w:rsidRDefault="00BE2F2E" w:rsidP="008A33C8">
      <w:pPr>
        <w:widowControl w:val="0"/>
        <w:ind w:left="425" w:hanging="425"/>
        <w:jc w:val="both"/>
        <w:rPr>
          <w:sz w:val="18"/>
          <w:szCs w:val="18"/>
          <w:lang w:val="sl-SI"/>
        </w:rPr>
      </w:pPr>
      <w:r w:rsidRPr="008A33C8">
        <w:rPr>
          <w:sz w:val="18"/>
          <w:szCs w:val="18"/>
          <w:lang w:val="sl-SI"/>
        </w:rPr>
        <w:t xml:space="preserve">Environmental Protection Agency (EPA) (2009). </w:t>
      </w:r>
      <w:r w:rsidRPr="008A33C8">
        <w:rPr>
          <w:i/>
          <w:iCs/>
          <w:sz w:val="18"/>
          <w:szCs w:val="18"/>
          <w:lang w:val="sl-SI"/>
        </w:rPr>
        <w:t>Analytical Methods Approved for Drinking Water Compliance Monitoring og Inorganic Constituents National Primary Drinking Water Regulati</w:t>
      </w:r>
      <w:r w:rsidRPr="008A33C8">
        <w:rPr>
          <w:sz w:val="18"/>
          <w:szCs w:val="18"/>
          <w:lang w:val="sl-SI"/>
        </w:rPr>
        <w:t xml:space="preserve">ons. The method are specified in CFR 141.23 and Appendix A to Subpart C of Part 141, </w:t>
      </w:r>
      <w:hyperlink r:id="rId25" w:history="1">
        <w:r w:rsidRPr="008A33C8">
          <w:rPr>
            <w:rStyle w:val="Hyperlink"/>
            <w:color w:val="auto"/>
            <w:sz w:val="18"/>
            <w:szCs w:val="18"/>
            <w:u w:val="none"/>
          </w:rPr>
          <w:t xml:space="preserve">Washington, </w:t>
        </w:r>
      </w:hyperlink>
      <w:r w:rsidRPr="008A33C8">
        <w:rPr>
          <w:sz w:val="18"/>
          <w:szCs w:val="18"/>
          <w:lang w:val="sl-SI"/>
        </w:rPr>
        <w:t>USA.</w:t>
      </w:r>
    </w:p>
    <w:p w:rsidR="00BE2F2E" w:rsidRPr="008A33C8" w:rsidRDefault="00BE2F2E" w:rsidP="008A33C8">
      <w:pPr>
        <w:widowControl w:val="0"/>
        <w:ind w:left="425" w:hanging="425"/>
        <w:jc w:val="both"/>
        <w:rPr>
          <w:sz w:val="18"/>
          <w:szCs w:val="18"/>
          <w:lang w:val="sl-SI"/>
        </w:rPr>
      </w:pPr>
      <w:r w:rsidRPr="008A33C8">
        <w:rPr>
          <w:sz w:val="18"/>
          <w:szCs w:val="18"/>
          <w:lang w:val="sl-SI"/>
        </w:rPr>
        <w:t xml:space="preserve">Environmental Protection Agency (EPA) (2009). </w:t>
      </w:r>
      <w:r w:rsidRPr="008A33C8">
        <w:rPr>
          <w:i/>
          <w:iCs/>
          <w:sz w:val="18"/>
          <w:szCs w:val="18"/>
          <w:lang w:val="sl-SI"/>
        </w:rPr>
        <w:t>Analytical Methods Approved for Drinking Water Compliance Monitoring of Inorganic Constituents National Primary Drinking Water Regulations</w:t>
      </w:r>
      <w:r w:rsidRPr="008A33C8">
        <w:rPr>
          <w:sz w:val="18"/>
          <w:szCs w:val="18"/>
          <w:lang w:val="sl-SI"/>
        </w:rPr>
        <w:t>. The method are specified in CFR 141.23 and Appendix A to Subpart C of Part 141, Washington, USA.</w:t>
      </w:r>
    </w:p>
    <w:p w:rsidR="00BE2F2E" w:rsidRPr="008A33C8" w:rsidRDefault="00BE2F2E" w:rsidP="008A33C8">
      <w:pPr>
        <w:widowControl w:val="0"/>
        <w:ind w:left="425" w:hanging="425"/>
        <w:jc w:val="both"/>
        <w:rPr>
          <w:sz w:val="18"/>
          <w:szCs w:val="18"/>
          <w:lang w:val="sl-SI"/>
        </w:rPr>
      </w:pPr>
      <w:r w:rsidRPr="008A33C8">
        <w:rPr>
          <w:sz w:val="18"/>
          <w:szCs w:val="18"/>
          <w:lang w:val="sl-SI"/>
        </w:rPr>
        <w:t xml:space="preserve">EU Directive 98/83/EC (1998). </w:t>
      </w:r>
      <w:r w:rsidRPr="008A33C8">
        <w:rPr>
          <w:i/>
          <w:iCs/>
          <w:sz w:val="18"/>
          <w:szCs w:val="18"/>
          <w:lang w:val="sl-SI"/>
        </w:rPr>
        <w:t>Council Directive of 3 November 1998 on the quality of water intended for human consumption</w:t>
      </w:r>
      <w:r w:rsidRPr="008A33C8">
        <w:rPr>
          <w:sz w:val="18"/>
          <w:szCs w:val="18"/>
          <w:lang w:val="sl-SI"/>
        </w:rPr>
        <w:t>. Official Journal of the European Union L330/32 5/12/1998.</w:t>
      </w:r>
    </w:p>
    <w:p w:rsidR="00BE2F2E" w:rsidRPr="008A33C8" w:rsidRDefault="00BE2F2E" w:rsidP="008A33C8">
      <w:pPr>
        <w:widowControl w:val="0"/>
        <w:ind w:left="425" w:hanging="425"/>
        <w:jc w:val="both"/>
        <w:rPr>
          <w:sz w:val="18"/>
          <w:szCs w:val="18"/>
          <w:lang w:val="sr-Latn-CS"/>
        </w:rPr>
      </w:pPr>
      <w:r w:rsidRPr="008A33C8">
        <w:rPr>
          <w:sz w:val="18"/>
          <w:szCs w:val="18"/>
          <w:lang w:val="sr-Latn-CS"/>
        </w:rPr>
        <w:t xml:space="preserve">Jelenković, J.R. (1999). </w:t>
      </w:r>
      <w:r w:rsidRPr="008A33C8">
        <w:rPr>
          <w:i/>
          <w:iCs/>
          <w:sz w:val="18"/>
          <w:szCs w:val="18"/>
          <w:lang w:val="sr-Latn-CS"/>
        </w:rPr>
        <w:t>Ležišta metaličnih mineralnih sirovina</w:t>
      </w:r>
      <w:r w:rsidRPr="008A33C8">
        <w:rPr>
          <w:sz w:val="18"/>
          <w:szCs w:val="18"/>
          <w:lang w:val="sr-Latn-CS"/>
        </w:rPr>
        <w:t xml:space="preserve"> [Metallic ore mineral deposits</w:t>
      </w:r>
      <w:r w:rsidRPr="008A33C8">
        <w:rPr>
          <w:rStyle w:val="shorttext"/>
          <w:sz w:val="18"/>
          <w:szCs w:val="18"/>
          <w:lang w:val="sr-Latn-CS"/>
        </w:rPr>
        <w:t>]</w:t>
      </w:r>
      <w:r w:rsidRPr="008A33C8">
        <w:rPr>
          <w:sz w:val="18"/>
          <w:szCs w:val="18"/>
          <w:shd w:val="clear" w:color="auto" w:fill="FCFCFC"/>
          <w:lang w:val="sr-Latn-CS"/>
        </w:rPr>
        <w:t>.</w:t>
      </w:r>
      <w:r w:rsidRPr="008A33C8">
        <w:rPr>
          <w:sz w:val="18"/>
          <w:szCs w:val="18"/>
          <w:lang w:val="sr-Latn-CS"/>
        </w:rPr>
        <w:t xml:space="preserve"> Beograd: Rudarsko-geološki fakultet Univerziteta u Beogradu</w:t>
      </w:r>
      <w:r>
        <w:rPr>
          <w:sz w:val="18"/>
          <w:szCs w:val="18"/>
          <w:lang w:val="sr-Latn-CS"/>
        </w:rPr>
        <w:t>.</w:t>
      </w:r>
    </w:p>
    <w:p w:rsidR="00BE2F2E" w:rsidRPr="008A33C8" w:rsidRDefault="00BE2F2E" w:rsidP="008A33C8">
      <w:pPr>
        <w:widowControl w:val="0"/>
        <w:ind w:left="425" w:hanging="425"/>
        <w:jc w:val="both"/>
        <w:rPr>
          <w:sz w:val="18"/>
          <w:szCs w:val="18"/>
          <w:lang w:val="sr-Latn-CS"/>
        </w:rPr>
      </w:pPr>
      <w:r w:rsidRPr="008A33C8">
        <w:rPr>
          <w:sz w:val="18"/>
          <w:szCs w:val="18"/>
          <w:lang w:val="sr-Latn-CS"/>
        </w:rPr>
        <w:t>Kostić, A.Ž., Pantelić, N.Đ., Kaluđerović, L.M., Jonaš, J.P., Dojčinović, B.P., &amp; Popović-Đorđević, J.B. (2016a). Physicochemical Properties of Waters in Southern Banat (Serbia); Potential Leaching of Some Trace Elements from Ground and Human helath Risk</w:t>
      </w:r>
      <w:r w:rsidRPr="008A33C8">
        <w:rPr>
          <w:sz w:val="18"/>
          <w:szCs w:val="18"/>
          <w:lang w:val="sl-SI"/>
        </w:rPr>
        <w:t>.</w:t>
      </w:r>
      <w:r w:rsidRPr="008A33C8">
        <w:rPr>
          <w:sz w:val="18"/>
          <w:szCs w:val="18"/>
          <w:lang w:val="sr-Latn-CS"/>
        </w:rPr>
        <w:t xml:space="preserve"> </w:t>
      </w:r>
      <w:r w:rsidRPr="008A33C8">
        <w:rPr>
          <w:i/>
          <w:iCs/>
          <w:sz w:val="18"/>
          <w:szCs w:val="18"/>
          <w:lang w:val="sr-Latn-CS"/>
        </w:rPr>
        <w:t>Expo Health</w:t>
      </w:r>
      <w:r w:rsidRPr="008A33C8">
        <w:rPr>
          <w:sz w:val="18"/>
          <w:szCs w:val="18"/>
          <w:lang w:val="sr-Latn-CS"/>
        </w:rPr>
        <w:t xml:space="preserve">, </w:t>
      </w:r>
      <w:r w:rsidRPr="008A33C8">
        <w:rPr>
          <w:i/>
          <w:iCs/>
          <w:sz w:val="18"/>
          <w:szCs w:val="18"/>
          <w:lang w:val="sr-Latn-CS"/>
        </w:rPr>
        <w:t>8</w:t>
      </w:r>
      <w:r w:rsidRPr="008A33C8">
        <w:rPr>
          <w:sz w:val="18"/>
          <w:szCs w:val="18"/>
          <w:lang w:val="sr-Latn-CS"/>
        </w:rPr>
        <w:t>, 227</w:t>
      </w:r>
      <w:r>
        <w:rPr>
          <w:sz w:val="18"/>
          <w:szCs w:val="18"/>
          <w:lang w:val="sr-Latn-CS"/>
        </w:rPr>
        <w:t>-</w:t>
      </w:r>
      <w:r w:rsidRPr="008A33C8">
        <w:rPr>
          <w:sz w:val="18"/>
          <w:szCs w:val="18"/>
          <w:lang w:val="sr-Latn-CS"/>
        </w:rPr>
        <w:t>238.</w:t>
      </w:r>
    </w:p>
    <w:p w:rsidR="00BE2F2E" w:rsidRPr="008A33C8" w:rsidRDefault="00BE2F2E" w:rsidP="008A33C8">
      <w:pPr>
        <w:widowControl w:val="0"/>
        <w:ind w:left="425" w:hanging="425"/>
        <w:jc w:val="both"/>
        <w:rPr>
          <w:sz w:val="18"/>
          <w:szCs w:val="18"/>
          <w:lang w:val="sr-Latn-CS"/>
        </w:rPr>
      </w:pPr>
      <w:r w:rsidRPr="008A33C8">
        <w:rPr>
          <w:sz w:val="18"/>
          <w:szCs w:val="18"/>
          <w:lang w:val="sr-Latn-CS"/>
        </w:rPr>
        <w:t xml:space="preserve">Kostić, A., Lačnjevac, Č., Pantelić, N., &amp; Popović, J. (2016b). Procena potencijalnog zdravstvenog rizika usled prisustva makro i mikroelemenata u pijaćoj vodi sa područja Dolova (opština Pančevo), </w:t>
      </w:r>
      <w:r w:rsidRPr="008A33C8">
        <w:rPr>
          <w:i/>
          <w:iCs/>
          <w:sz w:val="18"/>
          <w:szCs w:val="18"/>
          <w:lang w:val="sl-SI"/>
        </w:rPr>
        <w:t>Međunarodno savetovanje „Održivi razvoj Braničevskog okruga i energetskog kompleksa Kostolac”</w:t>
      </w:r>
      <w:r w:rsidRPr="008A33C8">
        <w:rPr>
          <w:sz w:val="18"/>
          <w:szCs w:val="18"/>
          <w:lang w:val="sl-SI"/>
        </w:rPr>
        <w:t>, Zbornik radova, Kostolac, 91</w:t>
      </w:r>
      <w:r>
        <w:rPr>
          <w:sz w:val="18"/>
          <w:szCs w:val="18"/>
          <w:lang w:val="sl-SI"/>
        </w:rPr>
        <w:t>-</w:t>
      </w:r>
      <w:r w:rsidRPr="008A33C8">
        <w:rPr>
          <w:sz w:val="18"/>
          <w:szCs w:val="18"/>
          <w:lang w:val="sl-SI"/>
        </w:rPr>
        <w:t>94.</w:t>
      </w:r>
    </w:p>
    <w:p w:rsidR="00BE2F2E" w:rsidRPr="008A33C8" w:rsidRDefault="00BE2F2E" w:rsidP="008A33C8">
      <w:pPr>
        <w:widowControl w:val="0"/>
        <w:ind w:left="425" w:hanging="425"/>
        <w:jc w:val="both"/>
        <w:rPr>
          <w:sz w:val="18"/>
          <w:szCs w:val="18"/>
          <w:lang w:val="pl-PL"/>
        </w:rPr>
      </w:pPr>
      <w:r w:rsidRPr="008A33C8">
        <w:rPr>
          <w:sz w:val="18"/>
          <w:szCs w:val="18"/>
          <w:lang w:val="pl-PL"/>
        </w:rPr>
        <w:t>Leung, A.O., Duzgoren-Aydin, N.S., Cheung, K.C., &amp; Wong, M.H.</w:t>
      </w:r>
      <w:r w:rsidRPr="008A33C8">
        <w:rPr>
          <w:sz w:val="18"/>
          <w:szCs w:val="18"/>
          <w:lang w:val="sr-Latn-CS"/>
        </w:rPr>
        <w:t xml:space="preserve"> (2008). </w:t>
      </w:r>
      <w:r w:rsidRPr="008A33C8">
        <w:rPr>
          <w:sz w:val="18"/>
          <w:szCs w:val="18"/>
          <w:lang w:val="pl-PL"/>
        </w:rPr>
        <w:t>Heavy metals concentrations of surface dust from e-waste recycling and its human health implications in southern China</w:t>
      </w:r>
      <w:r w:rsidRPr="008A33C8">
        <w:rPr>
          <w:sz w:val="18"/>
          <w:szCs w:val="18"/>
          <w:lang w:val="sl-SI"/>
        </w:rPr>
        <w:t>.</w:t>
      </w:r>
      <w:r w:rsidRPr="008A33C8">
        <w:rPr>
          <w:sz w:val="18"/>
          <w:szCs w:val="18"/>
          <w:lang w:val="pl-PL"/>
        </w:rPr>
        <w:t xml:space="preserve"> </w:t>
      </w:r>
      <w:r w:rsidRPr="008A33C8">
        <w:rPr>
          <w:i/>
          <w:iCs/>
          <w:sz w:val="18"/>
          <w:szCs w:val="18"/>
        </w:rPr>
        <w:t>Environmental Science &amp; Technology</w:t>
      </w:r>
      <w:r w:rsidRPr="008A33C8">
        <w:rPr>
          <w:sz w:val="18"/>
          <w:szCs w:val="18"/>
        </w:rPr>
        <w:t xml:space="preserve">, </w:t>
      </w:r>
      <w:r w:rsidRPr="008A33C8">
        <w:rPr>
          <w:i/>
          <w:iCs/>
          <w:sz w:val="18"/>
          <w:szCs w:val="18"/>
        </w:rPr>
        <w:t>42</w:t>
      </w:r>
      <w:r w:rsidRPr="008A33C8">
        <w:rPr>
          <w:sz w:val="18"/>
          <w:szCs w:val="18"/>
        </w:rPr>
        <w:t>, 2674</w:t>
      </w:r>
      <w:r>
        <w:rPr>
          <w:sz w:val="18"/>
          <w:szCs w:val="18"/>
        </w:rPr>
        <w:t>-</w:t>
      </w:r>
      <w:r w:rsidRPr="008A33C8">
        <w:rPr>
          <w:sz w:val="18"/>
          <w:szCs w:val="18"/>
        </w:rPr>
        <w:t>2680.</w:t>
      </w:r>
    </w:p>
    <w:p w:rsidR="00BE2F2E" w:rsidRPr="008A33C8" w:rsidRDefault="00BE2F2E" w:rsidP="008A33C8">
      <w:pPr>
        <w:widowControl w:val="0"/>
        <w:ind w:left="425" w:hanging="425"/>
        <w:jc w:val="both"/>
        <w:rPr>
          <w:i/>
          <w:iCs/>
          <w:sz w:val="18"/>
          <w:szCs w:val="18"/>
          <w:lang w:val="pl-PL"/>
        </w:rPr>
      </w:pPr>
      <w:r w:rsidRPr="008A33C8">
        <w:rPr>
          <w:sz w:val="18"/>
          <w:szCs w:val="18"/>
          <w:lang w:val="pl-PL"/>
        </w:rPr>
        <w:t>Lin, K., Lu, S., Wang, J., &amp; Yang, Y.</w:t>
      </w:r>
      <w:r w:rsidRPr="008A33C8">
        <w:rPr>
          <w:rStyle w:val="Emphasis"/>
          <w:i w:val="0"/>
          <w:iCs w:val="0"/>
          <w:sz w:val="18"/>
          <w:szCs w:val="18"/>
          <w:lang w:val="de-DE"/>
        </w:rPr>
        <w:t xml:space="preserve"> (2015)</w:t>
      </w:r>
      <w:r w:rsidRPr="008A33C8">
        <w:rPr>
          <w:sz w:val="18"/>
          <w:szCs w:val="18"/>
          <w:lang w:val="sl-SI"/>
        </w:rPr>
        <w:t xml:space="preserve">. </w:t>
      </w:r>
      <w:r w:rsidRPr="008A33C8">
        <w:rPr>
          <w:sz w:val="18"/>
          <w:szCs w:val="18"/>
          <w:lang w:val="pl-PL"/>
        </w:rPr>
        <w:t>The arsenic contamination of rice in Guangdong Provice, the most economically dynamic provinces of China: arsenic speciation and its potential health risk</w:t>
      </w:r>
      <w:r w:rsidRPr="008A33C8">
        <w:rPr>
          <w:sz w:val="18"/>
          <w:szCs w:val="18"/>
          <w:lang w:val="sl-SI"/>
        </w:rPr>
        <w:t>.</w:t>
      </w:r>
      <w:r w:rsidRPr="008A33C8">
        <w:rPr>
          <w:sz w:val="18"/>
          <w:szCs w:val="18"/>
          <w:lang w:val="pl-PL"/>
        </w:rPr>
        <w:t xml:space="preserve"> </w:t>
      </w:r>
      <w:r w:rsidRPr="008A33C8">
        <w:rPr>
          <w:rStyle w:val="Emphasis"/>
          <w:sz w:val="18"/>
          <w:szCs w:val="18"/>
        </w:rPr>
        <w:t>Environmental</w:t>
      </w:r>
      <w:r w:rsidRPr="008A33C8">
        <w:rPr>
          <w:rStyle w:val="st"/>
          <w:sz w:val="18"/>
          <w:szCs w:val="18"/>
        </w:rPr>
        <w:t xml:space="preserve"> </w:t>
      </w:r>
      <w:r w:rsidRPr="008A33C8">
        <w:rPr>
          <w:rStyle w:val="st"/>
          <w:i/>
          <w:iCs/>
          <w:sz w:val="18"/>
          <w:szCs w:val="18"/>
        </w:rPr>
        <w:t>Geochemistry</w:t>
      </w:r>
      <w:r w:rsidRPr="008A33C8">
        <w:rPr>
          <w:rStyle w:val="st"/>
          <w:sz w:val="18"/>
          <w:szCs w:val="18"/>
        </w:rPr>
        <w:t xml:space="preserve"> </w:t>
      </w:r>
      <w:r w:rsidRPr="008A33C8">
        <w:rPr>
          <w:rStyle w:val="st"/>
          <w:i/>
          <w:iCs/>
          <w:sz w:val="18"/>
          <w:szCs w:val="18"/>
        </w:rPr>
        <w:t>and</w:t>
      </w:r>
      <w:r w:rsidRPr="008A33C8">
        <w:rPr>
          <w:rStyle w:val="st"/>
          <w:sz w:val="18"/>
          <w:szCs w:val="18"/>
        </w:rPr>
        <w:t xml:space="preserve"> </w:t>
      </w:r>
      <w:r w:rsidRPr="008A33C8">
        <w:rPr>
          <w:rStyle w:val="Emphasis"/>
          <w:sz w:val="18"/>
          <w:szCs w:val="18"/>
        </w:rPr>
        <w:t>Health</w:t>
      </w:r>
      <w:r>
        <w:rPr>
          <w:rStyle w:val="Emphasis"/>
          <w:i w:val="0"/>
          <w:iCs w:val="0"/>
          <w:sz w:val="18"/>
          <w:szCs w:val="18"/>
        </w:rPr>
        <w:t xml:space="preserve">, </w:t>
      </w:r>
      <w:r w:rsidRPr="008A33C8">
        <w:rPr>
          <w:rStyle w:val="Emphasis"/>
          <w:sz w:val="18"/>
          <w:szCs w:val="18"/>
        </w:rPr>
        <w:t>37</w:t>
      </w:r>
      <w:r>
        <w:rPr>
          <w:rStyle w:val="Emphasis"/>
          <w:i w:val="0"/>
          <w:iCs w:val="0"/>
          <w:sz w:val="18"/>
          <w:szCs w:val="18"/>
        </w:rPr>
        <w:t>, 535-</w:t>
      </w:r>
      <w:r w:rsidRPr="008A33C8">
        <w:rPr>
          <w:rStyle w:val="Emphasis"/>
          <w:i w:val="0"/>
          <w:iCs w:val="0"/>
          <w:sz w:val="18"/>
          <w:szCs w:val="18"/>
        </w:rPr>
        <w:t>361.</w:t>
      </w:r>
    </w:p>
    <w:p w:rsidR="00BE2F2E" w:rsidRPr="008A33C8" w:rsidRDefault="00BE2F2E" w:rsidP="008A33C8">
      <w:pPr>
        <w:pStyle w:val="PlainText"/>
        <w:ind w:left="425" w:hanging="425"/>
        <w:jc w:val="both"/>
        <w:rPr>
          <w:rFonts w:ascii="Times New Roman" w:hAnsi="Times New Roman" w:cs="Times New Roman"/>
          <w:sz w:val="18"/>
          <w:szCs w:val="18"/>
          <w:lang w:val="sr-Latn-CS"/>
        </w:rPr>
      </w:pPr>
      <w:r w:rsidRPr="008A33C8">
        <w:rPr>
          <w:rFonts w:ascii="Times New Roman" w:hAnsi="Times New Roman" w:cs="Times New Roman"/>
          <w:sz w:val="18"/>
          <w:szCs w:val="18"/>
          <w:lang w:val="sr-Latn-CS"/>
        </w:rPr>
        <w:t xml:space="preserve">Milojević, M. (2004). Kvalitet vode u vodovodu. </w:t>
      </w:r>
      <w:r w:rsidRPr="008A33C8">
        <w:rPr>
          <w:rFonts w:ascii="Times New Roman" w:hAnsi="Times New Roman" w:cs="Times New Roman"/>
          <w:i/>
          <w:iCs/>
          <w:sz w:val="18"/>
          <w:szCs w:val="18"/>
          <w:lang w:val="sr-Latn-CS"/>
        </w:rPr>
        <w:t>Vodoprivreda</w:t>
      </w:r>
      <w:r w:rsidRPr="008A33C8">
        <w:rPr>
          <w:rFonts w:ascii="Times New Roman" w:hAnsi="Times New Roman" w:cs="Times New Roman"/>
          <w:sz w:val="18"/>
          <w:szCs w:val="18"/>
          <w:lang w:val="sr-Latn-CS"/>
        </w:rPr>
        <w:t xml:space="preserve">, </w:t>
      </w:r>
      <w:r w:rsidRPr="008A33C8">
        <w:rPr>
          <w:rFonts w:ascii="Times New Roman" w:hAnsi="Times New Roman" w:cs="Times New Roman"/>
          <w:i/>
          <w:iCs/>
          <w:sz w:val="18"/>
          <w:szCs w:val="18"/>
          <w:lang w:val="sr-Latn-CS"/>
        </w:rPr>
        <w:t>36</w:t>
      </w:r>
      <w:r w:rsidRPr="008A33C8">
        <w:rPr>
          <w:rFonts w:ascii="Times New Roman" w:hAnsi="Times New Roman" w:cs="Times New Roman"/>
          <w:sz w:val="18"/>
          <w:szCs w:val="18"/>
          <w:lang w:val="sr-Latn-CS"/>
        </w:rPr>
        <w:t>(211-212), 339</w:t>
      </w:r>
      <w:r>
        <w:rPr>
          <w:rStyle w:val="Emphasis"/>
          <w:rFonts w:ascii="Times New Roman" w:hAnsi="Times New Roman" w:cs="Times New Roman"/>
          <w:i w:val="0"/>
          <w:iCs w:val="0"/>
          <w:sz w:val="18"/>
          <w:szCs w:val="18"/>
        </w:rPr>
        <w:t>-</w:t>
      </w:r>
      <w:r w:rsidRPr="008A33C8">
        <w:rPr>
          <w:rFonts w:ascii="Times New Roman" w:hAnsi="Times New Roman" w:cs="Times New Roman"/>
          <w:sz w:val="18"/>
          <w:szCs w:val="18"/>
          <w:lang w:val="sr-Latn-CS"/>
        </w:rPr>
        <w:t>360.</w:t>
      </w:r>
    </w:p>
    <w:p w:rsidR="00BE2F2E" w:rsidRPr="008A33C8" w:rsidRDefault="00BE2F2E" w:rsidP="008A33C8">
      <w:pPr>
        <w:widowControl w:val="0"/>
        <w:ind w:left="425" w:hanging="425"/>
        <w:jc w:val="both"/>
        <w:rPr>
          <w:rStyle w:val="Emphasis"/>
          <w:i w:val="0"/>
          <w:iCs w:val="0"/>
          <w:sz w:val="18"/>
          <w:szCs w:val="18"/>
        </w:rPr>
      </w:pPr>
      <w:r w:rsidRPr="008A33C8">
        <w:rPr>
          <w:sz w:val="18"/>
          <w:szCs w:val="18"/>
          <w:lang w:val="pl-PL"/>
        </w:rPr>
        <w:t>Momot, O., &amp; Synzynys, B.</w:t>
      </w:r>
      <w:r w:rsidRPr="008A33C8">
        <w:rPr>
          <w:rStyle w:val="Emphasis"/>
          <w:i w:val="0"/>
          <w:iCs w:val="0"/>
          <w:sz w:val="18"/>
          <w:szCs w:val="18"/>
        </w:rPr>
        <w:t xml:space="preserve"> (2005)</w:t>
      </w:r>
      <w:r w:rsidRPr="008A33C8">
        <w:rPr>
          <w:sz w:val="18"/>
          <w:szCs w:val="18"/>
          <w:lang w:val="sl-SI"/>
        </w:rPr>
        <w:t xml:space="preserve">. </w:t>
      </w:r>
      <w:r w:rsidRPr="008A33C8">
        <w:rPr>
          <w:sz w:val="18"/>
          <w:szCs w:val="18"/>
          <w:lang w:val="pl-PL"/>
        </w:rPr>
        <w:t>Toxic aluminium and heavy metals in groundwater of Middle Russia: health risk assessment</w:t>
      </w:r>
      <w:r w:rsidRPr="008A33C8">
        <w:rPr>
          <w:sz w:val="18"/>
          <w:szCs w:val="18"/>
          <w:lang w:val="sl-SI"/>
        </w:rPr>
        <w:t>.</w:t>
      </w:r>
      <w:r w:rsidRPr="008A33C8">
        <w:rPr>
          <w:sz w:val="18"/>
          <w:szCs w:val="18"/>
          <w:lang w:val="pl-PL"/>
        </w:rPr>
        <w:t xml:space="preserve"> </w:t>
      </w:r>
      <w:r w:rsidRPr="008A33C8">
        <w:rPr>
          <w:rStyle w:val="Emphasis"/>
          <w:sz w:val="18"/>
          <w:szCs w:val="18"/>
        </w:rPr>
        <w:t>International Journal</w:t>
      </w:r>
      <w:r w:rsidRPr="008A33C8">
        <w:rPr>
          <w:rStyle w:val="st"/>
          <w:sz w:val="18"/>
          <w:szCs w:val="18"/>
        </w:rPr>
        <w:t xml:space="preserve"> </w:t>
      </w:r>
      <w:r w:rsidRPr="008A33C8">
        <w:rPr>
          <w:rStyle w:val="st"/>
          <w:i/>
          <w:iCs/>
          <w:sz w:val="18"/>
          <w:szCs w:val="18"/>
        </w:rPr>
        <w:t>of</w:t>
      </w:r>
      <w:r w:rsidRPr="008A33C8">
        <w:rPr>
          <w:rStyle w:val="st"/>
          <w:sz w:val="18"/>
          <w:szCs w:val="18"/>
        </w:rPr>
        <w:t xml:space="preserve"> </w:t>
      </w:r>
      <w:r w:rsidRPr="008A33C8">
        <w:rPr>
          <w:rStyle w:val="Emphasis"/>
          <w:sz w:val="18"/>
          <w:szCs w:val="18"/>
        </w:rPr>
        <w:t>Environmental Research</w:t>
      </w:r>
      <w:r w:rsidRPr="008A33C8">
        <w:rPr>
          <w:rStyle w:val="st"/>
          <w:sz w:val="18"/>
          <w:szCs w:val="18"/>
        </w:rPr>
        <w:t xml:space="preserve"> </w:t>
      </w:r>
      <w:r w:rsidRPr="008A33C8">
        <w:rPr>
          <w:rStyle w:val="st"/>
          <w:i/>
          <w:iCs/>
          <w:sz w:val="18"/>
          <w:szCs w:val="18"/>
        </w:rPr>
        <w:t xml:space="preserve">and </w:t>
      </w:r>
      <w:r w:rsidRPr="008A33C8">
        <w:rPr>
          <w:rStyle w:val="Emphasis"/>
          <w:sz w:val="18"/>
          <w:szCs w:val="18"/>
        </w:rPr>
        <w:t>Public Health</w:t>
      </w:r>
      <w:r w:rsidRPr="008A33C8">
        <w:rPr>
          <w:rStyle w:val="Emphasis"/>
          <w:i w:val="0"/>
          <w:iCs w:val="0"/>
          <w:sz w:val="18"/>
          <w:szCs w:val="18"/>
        </w:rPr>
        <w:t xml:space="preserve">, </w:t>
      </w:r>
      <w:r w:rsidRPr="008A33C8">
        <w:rPr>
          <w:rStyle w:val="Emphasis"/>
          <w:sz w:val="18"/>
          <w:szCs w:val="18"/>
        </w:rPr>
        <w:t>2</w:t>
      </w:r>
      <w:r w:rsidRPr="008A33C8">
        <w:rPr>
          <w:rStyle w:val="Emphasis"/>
          <w:i w:val="0"/>
          <w:iCs w:val="0"/>
          <w:sz w:val="18"/>
          <w:szCs w:val="18"/>
        </w:rPr>
        <w:t>, 214</w:t>
      </w:r>
      <w:r>
        <w:rPr>
          <w:rStyle w:val="Emphasis"/>
          <w:i w:val="0"/>
          <w:iCs w:val="0"/>
          <w:sz w:val="18"/>
          <w:szCs w:val="18"/>
        </w:rPr>
        <w:t>-</w:t>
      </w:r>
      <w:r w:rsidRPr="008A33C8">
        <w:rPr>
          <w:rStyle w:val="Emphasis"/>
          <w:i w:val="0"/>
          <w:iCs w:val="0"/>
          <w:sz w:val="18"/>
          <w:szCs w:val="18"/>
        </w:rPr>
        <w:t>218.</w:t>
      </w:r>
    </w:p>
    <w:p w:rsidR="00BE2F2E" w:rsidRPr="008A33C8" w:rsidRDefault="00BE2F2E" w:rsidP="008A33C8">
      <w:pPr>
        <w:widowControl w:val="0"/>
        <w:ind w:left="425" w:hanging="425"/>
        <w:jc w:val="both"/>
        <w:rPr>
          <w:rStyle w:val="Emphasis"/>
          <w:i w:val="0"/>
          <w:iCs w:val="0"/>
          <w:sz w:val="18"/>
          <w:szCs w:val="18"/>
          <w:lang w:val="pl-PL"/>
        </w:rPr>
      </w:pPr>
      <w:r w:rsidRPr="008A33C8">
        <w:rPr>
          <w:sz w:val="18"/>
          <w:szCs w:val="18"/>
          <w:lang w:val="pl-PL"/>
        </w:rPr>
        <w:t xml:space="preserve">Papić, M., Ćuk, M., Todorović, M., Stojković, J., Hajdin, B., &amp; Atanacković,  N. </w:t>
      </w:r>
      <w:r w:rsidRPr="008A33C8">
        <w:rPr>
          <w:rStyle w:val="Emphasis"/>
          <w:i w:val="0"/>
          <w:iCs w:val="0"/>
          <w:sz w:val="18"/>
          <w:szCs w:val="18"/>
          <w:lang w:val="pl-PL"/>
        </w:rPr>
        <w:t>(2012)</w:t>
      </w:r>
      <w:r w:rsidRPr="008A33C8">
        <w:rPr>
          <w:sz w:val="18"/>
          <w:szCs w:val="18"/>
          <w:lang w:val="sl-SI"/>
        </w:rPr>
        <w:t xml:space="preserve">. </w:t>
      </w:r>
      <w:r w:rsidRPr="008A33C8">
        <w:rPr>
          <w:sz w:val="18"/>
          <w:szCs w:val="18"/>
          <w:lang w:val="pl-PL"/>
        </w:rPr>
        <w:t>Arsenic in Tap Water of Serbia´s South Pannonian Basin and Arsenic Risk Assessment</w:t>
      </w:r>
      <w:r w:rsidRPr="008A33C8">
        <w:rPr>
          <w:sz w:val="18"/>
          <w:szCs w:val="18"/>
          <w:lang w:val="sl-SI"/>
        </w:rPr>
        <w:t>.</w:t>
      </w:r>
      <w:r w:rsidRPr="008A33C8">
        <w:rPr>
          <w:sz w:val="18"/>
          <w:szCs w:val="18"/>
          <w:lang w:val="pl-PL"/>
        </w:rPr>
        <w:t xml:space="preserve"> </w:t>
      </w:r>
      <w:r w:rsidRPr="008A33C8">
        <w:rPr>
          <w:rStyle w:val="Emphasis"/>
          <w:sz w:val="18"/>
          <w:szCs w:val="18"/>
          <w:lang w:val="pl-PL"/>
        </w:rPr>
        <w:t>Polish</w:t>
      </w:r>
      <w:r w:rsidRPr="008A33C8">
        <w:rPr>
          <w:rStyle w:val="st"/>
          <w:sz w:val="18"/>
          <w:szCs w:val="18"/>
          <w:lang w:val="pl-PL"/>
        </w:rPr>
        <w:t xml:space="preserve"> </w:t>
      </w:r>
      <w:r w:rsidRPr="008A33C8">
        <w:rPr>
          <w:rStyle w:val="st"/>
          <w:i/>
          <w:iCs/>
          <w:sz w:val="18"/>
          <w:szCs w:val="18"/>
          <w:lang w:val="pl-PL"/>
        </w:rPr>
        <w:t>Journal of</w:t>
      </w:r>
      <w:r w:rsidRPr="008A33C8">
        <w:rPr>
          <w:rStyle w:val="st"/>
          <w:sz w:val="18"/>
          <w:szCs w:val="18"/>
          <w:lang w:val="pl-PL"/>
        </w:rPr>
        <w:t xml:space="preserve"> </w:t>
      </w:r>
      <w:r w:rsidRPr="008A33C8">
        <w:rPr>
          <w:rStyle w:val="Emphasis"/>
          <w:sz w:val="18"/>
          <w:szCs w:val="18"/>
          <w:lang w:val="pl-PL"/>
        </w:rPr>
        <w:t>Environmental</w:t>
      </w:r>
      <w:r w:rsidRPr="008A33C8">
        <w:rPr>
          <w:rStyle w:val="st"/>
          <w:sz w:val="18"/>
          <w:szCs w:val="18"/>
          <w:lang w:val="pl-PL"/>
        </w:rPr>
        <w:t xml:space="preserve"> </w:t>
      </w:r>
      <w:r w:rsidRPr="008A33C8">
        <w:rPr>
          <w:rStyle w:val="st"/>
          <w:i/>
          <w:iCs/>
          <w:sz w:val="18"/>
          <w:szCs w:val="18"/>
          <w:lang w:val="pl-PL"/>
        </w:rPr>
        <w:t>Studies</w:t>
      </w:r>
      <w:r w:rsidRPr="008A33C8">
        <w:rPr>
          <w:rStyle w:val="st"/>
          <w:sz w:val="18"/>
          <w:szCs w:val="18"/>
          <w:lang w:val="pl-PL"/>
        </w:rPr>
        <w:t>,</w:t>
      </w:r>
      <w:r w:rsidRPr="008A33C8">
        <w:rPr>
          <w:rStyle w:val="Emphasis"/>
          <w:i w:val="0"/>
          <w:iCs w:val="0"/>
          <w:sz w:val="18"/>
          <w:szCs w:val="18"/>
          <w:lang w:val="pl-PL"/>
        </w:rPr>
        <w:t xml:space="preserve"> </w:t>
      </w:r>
      <w:r w:rsidRPr="008A33C8">
        <w:rPr>
          <w:rStyle w:val="Emphasis"/>
          <w:sz w:val="18"/>
          <w:szCs w:val="18"/>
          <w:lang w:val="pl-PL"/>
        </w:rPr>
        <w:t>21</w:t>
      </w:r>
      <w:r w:rsidRPr="008A33C8">
        <w:rPr>
          <w:rStyle w:val="Emphasis"/>
          <w:i w:val="0"/>
          <w:iCs w:val="0"/>
          <w:sz w:val="18"/>
          <w:szCs w:val="18"/>
          <w:lang w:val="pl-PL"/>
        </w:rPr>
        <w:t>,</w:t>
      </w:r>
      <w:r w:rsidRPr="008A33C8">
        <w:rPr>
          <w:sz w:val="18"/>
          <w:szCs w:val="18"/>
          <w:lang w:val="pl-PL"/>
        </w:rPr>
        <w:t xml:space="preserve"> </w:t>
      </w:r>
      <w:r w:rsidRPr="008A33C8">
        <w:rPr>
          <w:rStyle w:val="Emphasis"/>
          <w:i w:val="0"/>
          <w:iCs w:val="0"/>
          <w:sz w:val="18"/>
          <w:szCs w:val="18"/>
          <w:lang w:val="pl-PL"/>
        </w:rPr>
        <w:t>1783</w:t>
      </w:r>
      <w:r>
        <w:rPr>
          <w:rStyle w:val="Emphasis"/>
          <w:i w:val="0"/>
          <w:iCs w:val="0"/>
          <w:sz w:val="18"/>
          <w:szCs w:val="18"/>
          <w:lang w:val="pl-PL"/>
        </w:rPr>
        <w:t>-</w:t>
      </w:r>
      <w:r w:rsidRPr="008A33C8">
        <w:rPr>
          <w:rStyle w:val="Emphasis"/>
          <w:i w:val="0"/>
          <w:iCs w:val="0"/>
          <w:sz w:val="18"/>
          <w:szCs w:val="18"/>
          <w:lang w:val="pl-PL"/>
        </w:rPr>
        <w:t>1790.</w:t>
      </w:r>
    </w:p>
    <w:p w:rsidR="00BE2F2E" w:rsidRPr="008A33C8" w:rsidRDefault="00BE2F2E" w:rsidP="008A33C8">
      <w:pPr>
        <w:widowControl w:val="0"/>
        <w:ind w:left="425" w:hanging="425"/>
        <w:jc w:val="both"/>
        <w:rPr>
          <w:rStyle w:val="Emphasis"/>
          <w:i w:val="0"/>
          <w:iCs w:val="0"/>
          <w:sz w:val="18"/>
          <w:szCs w:val="18"/>
          <w:lang w:val="pl-PL"/>
        </w:rPr>
      </w:pPr>
      <w:r w:rsidRPr="008A33C8">
        <w:rPr>
          <w:sz w:val="18"/>
          <w:szCs w:val="18"/>
          <w:lang w:val="pl-PL"/>
        </w:rPr>
        <w:t xml:space="preserve">Pavlica, T., Božić-Krstić, V., Rakić, R., &amp; Srdić, B. </w:t>
      </w:r>
      <w:r w:rsidRPr="008A33C8">
        <w:rPr>
          <w:rStyle w:val="Emphasis"/>
          <w:i w:val="0"/>
          <w:iCs w:val="0"/>
          <w:sz w:val="18"/>
          <w:szCs w:val="18"/>
          <w:lang w:val="pl-PL"/>
        </w:rPr>
        <w:t xml:space="preserve">(2010). </w:t>
      </w:r>
      <w:r w:rsidRPr="008A33C8">
        <w:rPr>
          <w:sz w:val="18"/>
          <w:szCs w:val="18"/>
          <w:lang w:val="pl-PL"/>
        </w:rPr>
        <w:t>Nutritional status nad fat tissue distribution in health adults from some places in Central Banat</w:t>
      </w:r>
      <w:r w:rsidRPr="008A33C8">
        <w:rPr>
          <w:sz w:val="18"/>
          <w:szCs w:val="18"/>
          <w:lang w:val="sl-SI"/>
        </w:rPr>
        <w:t>.</w:t>
      </w:r>
      <w:r w:rsidRPr="008A33C8">
        <w:rPr>
          <w:sz w:val="18"/>
          <w:szCs w:val="18"/>
          <w:lang w:val="pl-PL"/>
        </w:rPr>
        <w:t xml:space="preserve"> </w:t>
      </w:r>
      <w:r w:rsidRPr="008A33C8">
        <w:rPr>
          <w:rStyle w:val="Emphasis"/>
          <w:sz w:val="18"/>
          <w:szCs w:val="18"/>
          <w:lang w:val="pl-PL"/>
        </w:rPr>
        <w:t>Medicinski Pregled</w:t>
      </w:r>
      <w:r w:rsidRPr="008A33C8">
        <w:rPr>
          <w:rStyle w:val="Emphasis"/>
          <w:i w:val="0"/>
          <w:iCs w:val="0"/>
          <w:sz w:val="18"/>
          <w:szCs w:val="18"/>
          <w:lang w:val="pl-PL"/>
        </w:rPr>
        <w:t xml:space="preserve">, </w:t>
      </w:r>
      <w:r w:rsidRPr="008A33C8">
        <w:rPr>
          <w:rStyle w:val="Emphasis"/>
          <w:sz w:val="18"/>
          <w:szCs w:val="18"/>
          <w:lang w:val="pl-PL"/>
        </w:rPr>
        <w:t>LXIII</w:t>
      </w:r>
      <w:r w:rsidRPr="008A33C8">
        <w:rPr>
          <w:rStyle w:val="Emphasis"/>
          <w:i w:val="0"/>
          <w:iCs w:val="0"/>
          <w:sz w:val="18"/>
          <w:szCs w:val="18"/>
          <w:lang w:val="pl-PL"/>
        </w:rPr>
        <w:t>,</w:t>
      </w:r>
      <w:r w:rsidRPr="008A33C8">
        <w:rPr>
          <w:sz w:val="18"/>
          <w:szCs w:val="18"/>
          <w:lang w:val="pl-PL"/>
        </w:rPr>
        <w:t xml:space="preserve"> </w:t>
      </w:r>
      <w:r w:rsidRPr="008A33C8">
        <w:rPr>
          <w:rStyle w:val="Emphasis"/>
          <w:i w:val="0"/>
          <w:iCs w:val="0"/>
          <w:sz w:val="18"/>
          <w:szCs w:val="18"/>
          <w:lang w:val="pl-PL"/>
        </w:rPr>
        <w:t>21</w:t>
      </w:r>
      <w:r>
        <w:rPr>
          <w:rStyle w:val="Emphasis"/>
          <w:i w:val="0"/>
          <w:iCs w:val="0"/>
          <w:sz w:val="18"/>
          <w:szCs w:val="18"/>
          <w:lang w:val="pl-PL"/>
        </w:rPr>
        <w:t>-</w:t>
      </w:r>
      <w:r w:rsidRPr="008A33C8">
        <w:rPr>
          <w:rStyle w:val="Emphasis"/>
          <w:i w:val="0"/>
          <w:iCs w:val="0"/>
          <w:sz w:val="18"/>
          <w:szCs w:val="18"/>
          <w:lang w:val="pl-PL"/>
        </w:rPr>
        <w:t>26.</w:t>
      </w:r>
    </w:p>
    <w:p w:rsidR="00EF4DBE" w:rsidRDefault="00EF4DBE" w:rsidP="008A33C8">
      <w:pPr>
        <w:widowControl w:val="0"/>
        <w:ind w:left="425" w:hanging="425"/>
        <w:jc w:val="both"/>
        <w:rPr>
          <w:sz w:val="18"/>
          <w:szCs w:val="18"/>
          <w:lang w:val="sl-SI"/>
        </w:rPr>
      </w:pPr>
    </w:p>
    <w:p w:rsidR="00BE2F2E" w:rsidRPr="008A33C8" w:rsidRDefault="00BE2F2E" w:rsidP="008A33C8">
      <w:pPr>
        <w:widowControl w:val="0"/>
        <w:ind w:left="425" w:hanging="425"/>
        <w:jc w:val="both"/>
        <w:rPr>
          <w:sz w:val="18"/>
          <w:szCs w:val="18"/>
          <w:lang w:val="sl-SI"/>
        </w:rPr>
      </w:pPr>
      <w:r w:rsidRPr="008A33C8">
        <w:rPr>
          <w:sz w:val="18"/>
          <w:szCs w:val="18"/>
          <w:lang w:val="sl-SI"/>
        </w:rPr>
        <w:lastRenderedPageBreak/>
        <w:t xml:space="preserve">Petrović, M., Zlokuća Mandić, T.M., Veljković, N., Papić, P.J., Poznanović, M.M., Stojković, J.S., &amp; Magazinović, S.M. (2012). Makro- i mikroelementi u flaširanim vodama i vodama iz javnih vodovoda u Srbiji. </w:t>
      </w:r>
      <w:r w:rsidRPr="008A33C8">
        <w:rPr>
          <w:i/>
          <w:iCs/>
          <w:sz w:val="18"/>
          <w:szCs w:val="18"/>
          <w:lang w:val="sl-SI"/>
        </w:rPr>
        <w:t>Hemijska industrija</w:t>
      </w:r>
      <w:r w:rsidRPr="008A33C8">
        <w:rPr>
          <w:sz w:val="18"/>
          <w:szCs w:val="18"/>
          <w:lang w:val="sl-SI"/>
        </w:rPr>
        <w:t xml:space="preserve">, </w:t>
      </w:r>
      <w:r w:rsidRPr="008A33C8">
        <w:rPr>
          <w:i/>
          <w:iCs/>
          <w:sz w:val="18"/>
          <w:szCs w:val="18"/>
          <w:lang w:val="sl-SI"/>
        </w:rPr>
        <w:t>66</w:t>
      </w:r>
      <w:r>
        <w:rPr>
          <w:i/>
          <w:iCs/>
          <w:sz w:val="18"/>
          <w:szCs w:val="18"/>
          <w:lang w:val="sl-SI"/>
        </w:rPr>
        <w:t xml:space="preserve"> </w:t>
      </w:r>
      <w:r w:rsidRPr="008A33C8">
        <w:rPr>
          <w:i/>
          <w:iCs/>
          <w:sz w:val="18"/>
          <w:szCs w:val="18"/>
          <w:lang w:val="sl-SI"/>
        </w:rPr>
        <w:t>(1)</w:t>
      </w:r>
      <w:r w:rsidRPr="008A33C8">
        <w:rPr>
          <w:sz w:val="18"/>
          <w:szCs w:val="18"/>
          <w:lang w:val="sl-SI"/>
        </w:rPr>
        <w:t>, 107</w:t>
      </w:r>
      <w:r>
        <w:rPr>
          <w:sz w:val="18"/>
          <w:szCs w:val="18"/>
          <w:lang w:val="sl-SI"/>
        </w:rPr>
        <w:t>-</w:t>
      </w:r>
      <w:r w:rsidRPr="008A33C8">
        <w:rPr>
          <w:sz w:val="18"/>
          <w:szCs w:val="18"/>
          <w:lang w:val="sl-SI"/>
        </w:rPr>
        <w:t>122.</w:t>
      </w:r>
    </w:p>
    <w:p w:rsidR="00BE2F2E" w:rsidRDefault="00BE2F2E" w:rsidP="008A33C8">
      <w:pPr>
        <w:widowControl w:val="0"/>
        <w:autoSpaceDE w:val="0"/>
        <w:autoSpaceDN w:val="0"/>
        <w:adjustRightInd w:val="0"/>
        <w:ind w:left="425" w:hanging="425"/>
        <w:jc w:val="both"/>
        <w:rPr>
          <w:sz w:val="18"/>
          <w:szCs w:val="18"/>
        </w:rPr>
      </w:pPr>
      <w:r w:rsidRPr="008A33C8">
        <w:rPr>
          <w:sz w:val="18"/>
          <w:szCs w:val="18"/>
        </w:rPr>
        <w:t xml:space="preserve">Pizent, A., &amp; Butković, S. (2010). Copper in Household Drinking Water in the City of Zagreb, Croatia. </w:t>
      </w:r>
      <w:r w:rsidRPr="008A33C8">
        <w:rPr>
          <w:i/>
          <w:iCs/>
          <w:sz w:val="18"/>
          <w:szCs w:val="18"/>
        </w:rPr>
        <w:t>Archives of Industrial Hygiene and Toxicology</w:t>
      </w:r>
      <w:r w:rsidRPr="008A33C8">
        <w:rPr>
          <w:sz w:val="18"/>
          <w:szCs w:val="18"/>
        </w:rPr>
        <w:t xml:space="preserve">, </w:t>
      </w:r>
      <w:r w:rsidRPr="008A33C8">
        <w:rPr>
          <w:i/>
          <w:iCs/>
          <w:sz w:val="18"/>
          <w:szCs w:val="18"/>
        </w:rPr>
        <w:t>61</w:t>
      </w:r>
      <w:r w:rsidRPr="008A33C8">
        <w:rPr>
          <w:sz w:val="18"/>
          <w:szCs w:val="18"/>
        </w:rPr>
        <w:t>, 305</w:t>
      </w:r>
      <w:r>
        <w:rPr>
          <w:sz w:val="18"/>
          <w:szCs w:val="18"/>
        </w:rPr>
        <w:t>-</w:t>
      </w:r>
      <w:r w:rsidRPr="008A33C8">
        <w:rPr>
          <w:sz w:val="18"/>
          <w:szCs w:val="18"/>
        </w:rPr>
        <w:t>309.</w:t>
      </w:r>
    </w:p>
    <w:p w:rsidR="00EF4DBE" w:rsidRPr="008A33C8" w:rsidRDefault="00EF4DBE" w:rsidP="00EF4DBE">
      <w:pPr>
        <w:pStyle w:val="ListParagraph"/>
        <w:widowControl w:val="0"/>
        <w:spacing w:after="0" w:line="240" w:lineRule="auto"/>
        <w:ind w:left="425" w:hanging="425"/>
        <w:jc w:val="both"/>
        <w:rPr>
          <w:rFonts w:ascii="Times New Roman" w:hAnsi="Times New Roman" w:cs="Times New Roman"/>
          <w:sz w:val="18"/>
          <w:szCs w:val="18"/>
          <w:lang w:val="sl-SI" w:eastAsia="en-CA"/>
        </w:rPr>
      </w:pPr>
      <w:r>
        <w:rPr>
          <w:rFonts w:ascii="Times New Roman" w:hAnsi="Times New Roman" w:cs="Times New Roman"/>
          <w:sz w:val="18"/>
          <w:szCs w:val="18"/>
          <w:lang w:val="sl-SI"/>
        </w:rPr>
        <w:t>Rajaković-Ognjanović, V.</w:t>
      </w:r>
      <w:r w:rsidRPr="008A33C8">
        <w:rPr>
          <w:rFonts w:ascii="Times New Roman" w:hAnsi="Times New Roman" w:cs="Times New Roman"/>
          <w:sz w:val="18"/>
          <w:szCs w:val="18"/>
          <w:lang w:val="sl-SI"/>
        </w:rPr>
        <w:t xml:space="preserve"> </w:t>
      </w:r>
      <w:r>
        <w:rPr>
          <w:rFonts w:ascii="Times New Roman" w:hAnsi="Times New Roman" w:cs="Times New Roman"/>
          <w:sz w:val="18"/>
          <w:szCs w:val="18"/>
          <w:lang w:val="sl-SI"/>
        </w:rPr>
        <w:t>(201</w:t>
      </w:r>
      <w:r w:rsidRPr="008A33C8">
        <w:rPr>
          <w:rFonts w:ascii="Times New Roman" w:hAnsi="Times New Roman" w:cs="Times New Roman"/>
          <w:sz w:val="18"/>
          <w:szCs w:val="18"/>
          <w:lang w:val="sl-SI"/>
        </w:rPr>
        <w:t xml:space="preserve">6). </w:t>
      </w:r>
      <w:r w:rsidRPr="008A33C8">
        <w:rPr>
          <w:rFonts w:ascii="Times New Roman" w:hAnsi="Times New Roman" w:cs="Times New Roman"/>
          <w:i/>
          <w:iCs/>
          <w:sz w:val="18"/>
          <w:szCs w:val="18"/>
          <w:lang w:val="sl-SI"/>
        </w:rPr>
        <w:t>Kvalitet vod</w:t>
      </w:r>
      <w:r>
        <w:rPr>
          <w:rFonts w:ascii="Times New Roman" w:hAnsi="Times New Roman" w:cs="Times New Roman"/>
          <w:i/>
          <w:iCs/>
          <w:sz w:val="18"/>
          <w:szCs w:val="18"/>
          <w:lang w:val="sl-SI"/>
        </w:rPr>
        <w:t>e –</w:t>
      </w:r>
      <w:r w:rsidRPr="008A33C8">
        <w:rPr>
          <w:rFonts w:ascii="Times New Roman" w:hAnsi="Times New Roman" w:cs="Times New Roman"/>
          <w:i/>
          <w:iCs/>
          <w:sz w:val="18"/>
          <w:szCs w:val="18"/>
          <w:lang w:val="sl-SI"/>
        </w:rPr>
        <w:t xml:space="preserve"> laboratorijski pr</w:t>
      </w:r>
      <w:r>
        <w:rPr>
          <w:rFonts w:ascii="Times New Roman" w:hAnsi="Times New Roman" w:cs="Times New Roman"/>
          <w:i/>
          <w:iCs/>
          <w:sz w:val="18"/>
          <w:szCs w:val="18"/>
          <w:lang w:val="sl-SI"/>
        </w:rPr>
        <w:t>aktikum sa teorijskim osnovama</w:t>
      </w:r>
      <w:r w:rsidRPr="008A33C8">
        <w:rPr>
          <w:rFonts w:ascii="Times New Roman" w:hAnsi="Times New Roman" w:cs="Times New Roman"/>
          <w:sz w:val="18"/>
          <w:szCs w:val="18"/>
          <w:lang w:val="sl-SI"/>
        </w:rPr>
        <w:t>. Beograd: Građevinski fakultet.</w:t>
      </w:r>
    </w:p>
    <w:p w:rsidR="00BE2F2E" w:rsidRPr="008A33C8" w:rsidRDefault="00BE2F2E" w:rsidP="008A33C8">
      <w:pPr>
        <w:widowControl w:val="0"/>
        <w:ind w:left="425" w:hanging="425"/>
        <w:jc w:val="both"/>
        <w:rPr>
          <w:sz w:val="18"/>
          <w:szCs w:val="18"/>
          <w:lang w:val="sr-Latn-CS"/>
        </w:rPr>
      </w:pPr>
      <w:r w:rsidRPr="008A33C8">
        <w:rPr>
          <w:sz w:val="18"/>
          <w:szCs w:val="18"/>
          <w:lang w:val="sl-SI"/>
        </w:rPr>
        <w:t>Rajković, M.B. (</w:t>
      </w:r>
      <w:r w:rsidRPr="008A33C8">
        <w:rPr>
          <w:sz w:val="18"/>
          <w:szCs w:val="18"/>
          <w:lang w:val="sr-Latn-CS"/>
        </w:rPr>
        <w:t xml:space="preserve">2002). </w:t>
      </w:r>
      <w:r w:rsidRPr="008A33C8">
        <w:rPr>
          <w:i/>
          <w:iCs/>
          <w:sz w:val="18"/>
          <w:szCs w:val="18"/>
          <w:lang w:val="sl-SI"/>
        </w:rPr>
        <w:t>Hemija elemenata</w:t>
      </w:r>
      <w:r w:rsidRPr="008A33C8">
        <w:rPr>
          <w:sz w:val="18"/>
          <w:szCs w:val="18"/>
          <w:lang w:val="sl-SI"/>
        </w:rPr>
        <w:t>. Beograd: Poljoprivredni fakultet</w:t>
      </w:r>
      <w:r w:rsidRPr="008A33C8">
        <w:rPr>
          <w:sz w:val="18"/>
          <w:szCs w:val="18"/>
          <w:lang w:val="sr-Latn-CS"/>
        </w:rPr>
        <w:t>.</w:t>
      </w:r>
    </w:p>
    <w:p w:rsidR="00BE2F2E" w:rsidRPr="008A33C8" w:rsidRDefault="00BE2F2E" w:rsidP="008A33C8">
      <w:pPr>
        <w:widowControl w:val="0"/>
        <w:ind w:left="425" w:hanging="425"/>
        <w:jc w:val="both"/>
        <w:rPr>
          <w:sz w:val="18"/>
          <w:szCs w:val="18"/>
          <w:lang w:val="sl-SI"/>
        </w:rPr>
      </w:pPr>
      <w:r w:rsidRPr="008A33C8">
        <w:rPr>
          <w:sz w:val="18"/>
          <w:szCs w:val="18"/>
          <w:lang w:val="sl-SI"/>
        </w:rPr>
        <w:t xml:space="preserve">Rajković, M.B. (2003). Neke neorganske supstance koje se mogu naći u vodi za piće i posledice po zdravlje ljudi. </w:t>
      </w:r>
      <w:r w:rsidRPr="008A33C8">
        <w:rPr>
          <w:i/>
          <w:iCs/>
          <w:sz w:val="18"/>
          <w:szCs w:val="18"/>
          <w:lang w:val="sl-SI"/>
        </w:rPr>
        <w:t>Hemijska industrija</w:t>
      </w:r>
      <w:r w:rsidRPr="008A33C8">
        <w:rPr>
          <w:sz w:val="18"/>
          <w:szCs w:val="18"/>
          <w:lang w:val="sl-SI"/>
        </w:rPr>
        <w:t xml:space="preserve">, </w:t>
      </w:r>
      <w:r w:rsidRPr="008A33C8">
        <w:rPr>
          <w:i/>
          <w:iCs/>
          <w:sz w:val="18"/>
          <w:szCs w:val="18"/>
          <w:lang w:val="sl-SI"/>
        </w:rPr>
        <w:t>57</w:t>
      </w:r>
      <w:r w:rsidRPr="008A33C8">
        <w:rPr>
          <w:sz w:val="18"/>
          <w:szCs w:val="18"/>
          <w:lang w:val="sl-SI"/>
        </w:rPr>
        <w:t>, 24</w:t>
      </w:r>
      <w:r>
        <w:rPr>
          <w:sz w:val="18"/>
          <w:szCs w:val="18"/>
          <w:lang w:val="sl-SI"/>
        </w:rPr>
        <w:t>-</w:t>
      </w:r>
      <w:r w:rsidRPr="008A33C8">
        <w:rPr>
          <w:sz w:val="18"/>
          <w:szCs w:val="18"/>
          <w:lang w:val="sl-SI"/>
        </w:rPr>
        <w:t>34.</w:t>
      </w:r>
    </w:p>
    <w:p w:rsidR="00BE2F2E" w:rsidRPr="008A33C8" w:rsidRDefault="00BE2F2E" w:rsidP="008A33C8">
      <w:pPr>
        <w:widowControl w:val="0"/>
        <w:ind w:left="425" w:hanging="425"/>
        <w:jc w:val="both"/>
        <w:rPr>
          <w:sz w:val="18"/>
          <w:szCs w:val="18"/>
        </w:rPr>
      </w:pPr>
      <w:r w:rsidRPr="008A33C8">
        <w:rPr>
          <w:sz w:val="18"/>
          <w:szCs w:val="18"/>
          <w:lang w:val="sl-SI"/>
        </w:rPr>
        <w:t xml:space="preserve">Rajković, M.B., Stojanović, M.D., Pantelić, G.K., &amp; Tošković, D.V. (2004). </w:t>
      </w:r>
      <w:r w:rsidRPr="008A33C8">
        <w:rPr>
          <w:sz w:val="18"/>
          <w:szCs w:val="18"/>
        </w:rPr>
        <w:t>Determination of Inorganic Compounds in Drinking Water on the Basis of House Water Heater Scale. Part 1. Determination of heavy metals and uranium</w:t>
      </w:r>
      <w:r w:rsidRPr="008A33C8">
        <w:rPr>
          <w:sz w:val="18"/>
          <w:szCs w:val="18"/>
          <w:lang w:val="sl-SI"/>
        </w:rPr>
        <w:t>.</w:t>
      </w:r>
      <w:r w:rsidRPr="008A33C8">
        <w:rPr>
          <w:sz w:val="18"/>
          <w:szCs w:val="18"/>
        </w:rPr>
        <w:t xml:space="preserve"> </w:t>
      </w:r>
      <w:r w:rsidRPr="008A33C8">
        <w:rPr>
          <w:i/>
          <w:iCs/>
          <w:sz w:val="18"/>
          <w:szCs w:val="18"/>
        </w:rPr>
        <w:t>Acta Periodica Technologica</w:t>
      </w:r>
      <w:r w:rsidRPr="008A33C8">
        <w:rPr>
          <w:sz w:val="18"/>
          <w:szCs w:val="18"/>
        </w:rPr>
        <w:t xml:space="preserve">, </w:t>
      </w:r>
      <w:r w:rsidRPr="008A33C8">
        <w:rPr>
          <w:i/>
          <w:iCs/>
          <w:sz w:val="18"/>
          <w:szCs w:val="18"/>
        </w:rPr>
        <w:t>35</w:t>
      </w:r>
      <w:r w:rsidRPr="008A33C8">
        <w:rPr>
          <w:sz w:val="18"/>
          <w:szCs w:val="18"/>
          <w:lang w:val="sl-SI"/>
        </w:rPr>
        <w:t xml:space="preserve">, </w:t>
      </w:r>
      <w:r w:rsidRPr="008A33C8">
        <w:rPr>
          <w:sz w:val="18"/>
          <w:szCs w:val="18"/>
        </w:rPr>
        <w:t>131</w:t>
      </w:r>
      <w:r>
        <w:rPr>
          <w:sz w:val="18"/>
          <w:szCs w:val="18"/>
        </w:rPr>
        <w:t>-</w:t>
      </w:r>
      <w:r w:rsidRPr="008A33C8">
        <w:rPr>
          <w:sz w:val="18"/>
          <w:szCs w:val="18"/>
        </w:rPr>
        <w:t>140.</w:t>
      </w:r>
    </w:p>
    <w:p w:rsidR="00BE2F2E" w:rsidRPr="008A33C8" w:rsidRDefault="00BE2F2E" w:rsidP="008A33C8">
      <w:pPr>
        <w:widowControl w:val="0"/>
        <w:ind w:left="425" w:hanging="425"/>
        <w:jc w:val="both"/>
        <w:rPr>
          <w:sz w:val="18"/>
          <w:szCs w:val="18"/>
          <w:lang w:val="sr-Latn-CS"/>
        </w:rPr>
      </w:pPr>
      <w:r w:rsidRPr="008A33C8">
        <w:rPr>
          <w:sz w:val="18"/>
          <w:szCs w:val="18"/>
          <w:lang w:val="sl-SI"/>
        </w:rPr>
        <w:t>Rajković, M.B. (</w:t>
      </w:r>
      <w:r w:rsidRPr="008A33C8">
        <w:rPr>
          <w:sz w:val="18"/>
          <w:szCs w:val="18"/>
          <w:lang w:val="sr-Latn-CS"/>
        </w:rPr>
        <w:t xml:space="preserve">2007). </w:t>
      </w:r>
      <w:r w:rsidRPr="008A33C8">
        <w:rPr>
          <w:i/>
          <w:iCs/>
          <w:sz w:val="18"/>
          <w:szCs w:val="18"/>
          <w:lang w:val="sl-SI"/>
        </w:rPr>
        <w:t>Uvod u analitičku hemiju klasične osnove</w:t>
      </w:r>
      <w:r w:rsidRPr="008A33C8">
        <w:rPr>
          <w:sz w:val="18"/>
          <w:szCs w:val="18"/>
          <w:lang w:val="sl-SI"/>
        </w:rPr>
        <w:t>. Beograd: Pergament</w:t>
      </w:r>
      <w:r w:rsidRPr="008A33C8">
        <w:rPr>
          <w:sz w:val="18"/>
          <w:szCs w:val="18"/>
          <w:lang w:val="sr-Latn-CS"/>
        </w:rPr>
        <w:t>.</w:t>
      </w:r>
    </w:p>
    <w:p w:rsidR="00BE2F2E" w:rsidRPr="008A33C8" w:rsidRDefault="00BE2F2E" w:rsidP="008A33C8">
      <w:pPr>
        <w:widowControl w:val="0"/>
        <w:ind w:left="425" w:hanging="425"/>
        <w:jc w:val="both"/>
        <w:rPr>
          <w:sz w:val="18"/>
          <w:szCs w:val="18"/>
        </w:rPr>
      </w:pPr>
      <w:r w:rsidRPr="008A33C8">
        <w:rPr>
          <w:sz w:val="18"/>
          <w:szCs w:val="18"/>
          <w:lang w:val="sl-SI"/>
        </w:rPr>
        <w:t>Rajkovic</w:t>
      </w:r>
      <w:r w:rsidRPr="008A33C8">
        <w:rPr>
          <w:sz w:val="18"/>
          <w:szCs w:val="18"/>
          <w:lang w:val="sr-Latn-CS"/>
        </w:rPr>
        <w:t xml:space="preserve"> M.B., </w:t>
      </w:r>
      <w:r w:rsidRPr="008A33C8">
        <w:rPr>
          <w:sz w:val="18"/>
          <w:szCs w:val="18"/>
          <w:lang w:val="sl-SI"/>
        </w:rPr>
        <w:t>Lacnjevac, C., Ralevic, N., Stojanovic, M., Toskovic, D., Pantelic, G., Ristic, N., &amp; Jovanic, S. (2008a). Identification of Metals (Heavy and Radioactive) in Drinking Water by an Indirect Analysis Method Based on Scale Test.</w:t>
      </w:r>
      <w:r w:rsidRPr="008A33C8">
        <w:rPr>
          <w:sz w:val="18"/>
          <w:szCs w:val="18"/>
        </w:rPr>
        <w:t xml:space="preserve"> </w:t>
      </w:r>
      <w:r w:rsidRPr="008A33C8">
        <w:rPr>
          <w:i/>
          <w:iCs/>
          <w:sz w:val="18"/>
          <w:szCs w:val="18"/>
        </w:rPr>
        <w:t>Sensors</w:t>
      </w:r>
      <w:r w:rsidRPr="008A33C8">
        <w:rPr>
          <w:sz w:val="18"/>
          <w:szCs w:val="18"/>
        </w:rPr>
        <w:t xml:space="preserve">, </w:t>
      </w:r>
      <w:r w:rsidRPr="008A33C8">
        <w:rPr>
          <w:i/>
          <w:iCs/>
          <w:sz w:val="18"/>
          <w:szCs w:val="18"/>
        </w:rPr>
        <w:t>8</w:t>
      </w:r>
      <w:r w:rsidRPr="008A33C8">
        <w:rPr>
          <w:sz w:val="18"/>
          <w:szCs w:val="18"/>
          <w:lang w:val="sl-SI"/>
        </w:rPr>
        <w:t xml:space="preserve">, </w:t>
      </w:r>
      <w:r>
        <w:rPr>
          <w:sz w:val="18"/>
          <w:szCs w:val="18"/>
        </w:rPr>
        <w:t>2188-</w:t>
      </w:r>
      <w:r w:rsidRPr="008A33C8">
        <w:rPr>
          <w:sz w:val="18"/>
          <w:szCs w:val="18"/>
        </w:rPr>
        <w:t>2207.</w:t>
      </w:r>
    </w:p>
    <w:p w:rsidR="00BE2F2E" w:rsidRPr="008A33C8" w:rsidRDefault="00BE2F2E" w:rsidP="008A33C8">
      <w:pPr>
        <w:widowControl w:val="0"/>
        <w:ind w:left="425" w:hanging="425"/>
        <w:jc w:val="both"/>
        <w:rPr>
          <w:sz w:val="18"/>
          <w:szCs w:val="18"/>
          <w:lang w:val="sl-SI"/>
        </w:rPr>
      </w:pPr>
      <w:r w:rsidRPr="008A33C8">
        <w:rPr>
          <w:sz w:val="18"/>
          <w:szCs w:val="18"/>
          <w:lang w:val="sl-SI"/>
        </w:rPr>
        <w:t>Rajković,</w:t>
      </w:r>
      <w:r w:rsidRPr="008A33C8">
        <w:rPr>
          <w:sz w:val="18"/>
          <w:szCs w:val="18"/>
          <w:lang w:val="sr-Latn-CS"/>
        </w:rPr>
        <w:t xml:space="preserve"> M.B.</w:t>
      </w:r>
      <w:r w:rsidRPr="008A33C8">
        <w:rPr>
          <w:sz w:val="18"/>
          <w:szCs w:val="18"/>
          <w:lang w:val="sl-SI"/>
        </w:rPr>
        <w:t xml:space="preserve">, Lačnjevac, Č., Stojanović, M., Pantelić, G., Tošković, D., &amp; Stanojević D. (2008b). Određivanje neorganskih jedinjenja u vodi za piće u vodi iz vodovodne mreže Beograda – Gornji grad Zemun na bazi kamenca, </w:t>
      </w:r>
      <w:r w:rsidRPr="008A33C8">
        <w:rPr>
          <w:i/>
          <w:iCs/>
          <w:sz w:val="18"/>
          <w:szCs w:val="18"/>
          <w:lang w:val="sl-SI"/>
        </w:rPr>
        <w:t>29. stručno-naučni skup sa međunarodnim učešćem VODOVOD I KANALIZACIJA ’08</w:t>
      </w:r>
      <w:r w:rsidRPr="008A33C8">
        <w:rPr>
          <w:sz w:val="18"/>
          <w:szCs w:val="18"/>
          <w:lang w:val="sl-SI"/>
        </w:rPr>
        <w:t>, ., Zbornik radova, Zlatibor,113</w:t>
      </w:r>
      <w:r>
        <w:rPr>
          <w:sz w:val="18"/>
          <w:szCs w:val="18"/>
          <w:lang w:val="sl-SI"/>
        </w:rPr>
        <w:t>-</w:t>
      </w:r>
      <w:r w:rsidRPr="008A33C8">
        <w:rPr>
          <w:sz w:val="18"/>
          <w:szCs w:val="18"/>
          <w:lang w:val="sl-SI"/>
        </w:rPr>
        <w:t>118.</w:t>
      </w:r>
    </w:p>
    <w:p w:rsidR="00BE2F2E" w:rsidRPr="008A33C8" w:rsidRDefault="00BE2F2E" w:rsidP="008A33C8">
      <w:pPr>
        <w:widowControl w:val="0"/>
        <w:ind w:left="425" w:hanging="425"/>
        <w:jc w:val="both"/>
        <w:rPr>
          <w:sz w:val="18"/>
          <w:szCs w:val="18"/>
          <w:lang w:val="sl-SI"/>
        </w:rPr>
      </w:pPr>
      <w:r w:rsidRPr="008A33C8">
        <w:rPr>
          <w:sz w:val="18"/>
          <w:szCs w:val="18"/>
          <w:lang w:val="sr-Latn-CS"/>
        </w:rPr>
        <w:t>Rajković, M.B., Stojanović, M.D., &amp; Pantelić, G.K. (2009</w:t>
      </w:r>
      <w:r w:rsidRPr="008A33C8">
        <w:rPr>
          <w:i/>
          <w:iCs/>
          <w:sz w:val="18"/>
          <w:szCs w:val="18"/>
          <w:lang w:val="sr-Latn-CS"/>
        </w:rPr>
        <w:t xml:space="preserve">). </w:t>
      </w:r>
      <w:r w:rsidRPr="008A33C8">
        <w:rPr>
          <w:i/>
          <w:iCs/>
          <w:sz w:val="18"/>
          <w:szCs w:val="18"/>
          <w:lang w:val="sl-SI"/>
        </w:rPr>
        <w:t>Indirektna metoda određivanja elemenata (metala i nemetala) u vodi za piće ispitivanjem kamenca</w:t>
      </w:r>
      <w:r w:rsidRPr="008A33C8">
        <w:rPr>
          <w:sz w:val="18"/>
          <w:szCs w:val="18"/>
          <w:lang w:val="sl-SI"/>
        </w:rPr>
        <w:t>. Beograd: Savez inženjera i tehničara Srbije</w:t>
      </w:r>
      <w:r w:rsidRPr="008A33C8">
        <w:rPr>
          <w:sz w:val="18"/>
          <w:szCs w:val="18"/>
          <w:lang w:val="sr-Latn-CS"/>
        </w:rPr>
        <w:t>.</w:t>
      </w:r>
    </w:p>
    <w:p w:rsidR="00BE2F2E" w:rsidRPr="008A33C8" w:rsidRDefault="00BE2F2E" w:rsidP="008A33C8">
      <w:pPr>
        <w:pStyle w:val="ListParagraph"/>
        <w:widowControl w:val="0"/>
        <w:spacing w:after="0" w:line="240" w:lineRule="auto"/>
        <w:ind w:left="425" w:hanging="425"/>
        <w:jc w:val="both"/>
        <w:rPr>
          <w:rFonts w:ascii="Times New Roman" w:hAnsi="Times New Roman" w:cs="Times New Roman"/>
          <w:sz w:val="18"/>
          <w:szCs w:val="18"/>
          <w:lang w:val="sr-Latn-CS"/>
        </w:rPr>
      </w:pPr>
      <w:r w:rsidRPr="008A33C8">
        <w:rPr>
          <w:rFonts w:ascii="Times New Roman" w:hAnsi="Times New Roman" w:cs="Times New Roman"/>
          <w:sz w:val="18"/>
          <w:szCs w:val="18"/>
          <w:lang w:val="sr-Latn-CS"/>
        </w:rPr>
        <w:t xml:space="preserve">Rajković, M.B. (2010). </w:t>
      </w:r>
      <w:r w:rsidRPr="008A33C8">
        <w:rPr>
          <w:rFonts w:ascii="Times New Roman" w:hAnsi="Times New Roman" w:cs="Times New Roman"/>
          <w:i/>
          <w:iCs/>
          <w:sz w:val="18"/>
          <w:szCs w:val="18"/>
          <w:lang w:val="sr-Latn-CS"/>
        </w:rPr>
        <w:t>Hemijske metode analize</w:t>
      </w:r>
      <w:r w:rsidRPr="008A33C8">
        <w:rPr>
          <w:rFonts w:ascii="Times New Roman" w:hAnsi="Times New Roman" w:cs="Times New Roman"/>
          <w:sz w:val="18"/>
          <w:szCs w:val="18"/>
          <w:lang w:val="sr-Latn-CS"/>
        </w:rPr>
        <w:t>. Beograd: Poljoprivredni fakultet.</w:t>
      </w:r>
    </w:p>
    <w:p w:rsidR="00BE2F2E" w:rsidRPr="008A33C8" w:rsidRDefault="00BE2F2E" w:rsidP="008A33C8">
      <w:pPr>
        <w:widowControl w:val="0"/>
        <w:ind w:left="425" w:hanging="425"/>
        <w:jc w:val="both"/>
        <w:rPr>
          <w:sz w:val="18"/>
          <w:szCs w:val="18"/>
          <w:lang w:val="sr-Latn-CS"/>
        </w:rPr>
      </w:pPr>
      <w:r w:rsidRPr="008A33C8">
        <w:rPr>
          <w:sz w:val="18"/>
          <w:szCs w:val="18"/>
          <w:lang w:val="sl-SI"/>
        </w:rPr>
        <w:t xml:space="preserve">Rajković, M.B., Sredović, I.D., Račović, M.B., &amp; Stojanović, M.D. (2012). Analysis of Quality Mineral Water of Serbia: Region Arandjelovac. </w:t>
      </w:r>
      <w:r w:rsidRPr="008A33C8">
        <w:rPr>
          <w:i/>
          <w:iCs/>
          <w:sz w:val="18"/>
          <w:szCs w:val="18"/>
          <w:lang w:val="sl-SI"/>
        </w:rPr>
        <w:t>Journal of Water Resource and Protection</w:t>
      </w:r>
      <w:r w:rsidRPr="008A33C8">
        <w:rPr>
          <w:sz w:val="18"/>
          <w:szCs w:val="18"/>
          <w:lang w:val="sl-SI"/>
        </w:rPr>
        <w:t xml:space="preserve">, </w:t>
      </w:r>
      <w:r w:rsidRPr="008A33C8">
        <w:rPr>
          <w:i/>
          <w:iCs/>
          <w:sz w:val="18"/>
          <w:szCs w:val="18"/>
          <w:lang w:val="sl-SI"/>
        </w:rPr>
        <w:t>4</w:t>
      </w:r>
      <w:r>
        <w:rPr>
          <w:i/>
          <w:iCs/>
          <w:sz w:val="18"/>
          <w:szCs w:val="18"/>
          <w:lang w:val="sl-SI"/>
        </w:rPr>
        <w:t xml:space="preserve"> </w:t>
      </w:r>
      <w:r w:rsidRPr="008A33C8">
        <w:rPr>
          <w:sz w:val="18"/>
          <w:szCs w:val="18"/>
          <w:lang w:val="sr-Cyrl-CS"/>
        </w:rPr>
        <w:t>(</w:t>
      </w:r>
      <w:r w:rsidRPr="008A33C8">
        <w:rPr>
          <w:sz w:val="18"/>
          <w:szCs w:val="18"/>
          <w:lang w:val="sl-SI"/>
        </w:rPr>
        <w:t>9</w:t>
      </w:r>
      <w:r w:rsidRPr="008A33C8">
        <w:rPr>
          <w:sz w:val="18"/>
          <w:szCs w:val="18"/>
          <w:lang w:val="sr-Cyrl-CS"/>
        </w:rPr>
        <w:t>)</w:t>
      </w:r>
      <w:r w:rsidRPr="008A33C8">
        <w:rPr>
          <w:sz w:val="18"/>
          <w:szCs w:val="18"/>
          <w:lang w:val="sl-SI"/>
        </w:rPr>
        <w:t>,</w:t>
      </w:r>
      <w:r>
        <w:rPr>
          <w:sz w:val="18"/>
          <w:szCs w:val="18"/>
          <w:lang w:val="sl-SI"/>
        </w:rPr>
        <w:t xml:space="preserve"> 783-</w:t>
      </w:r>
      <w:r w:rsidRPr="008A33C8">
        <w:rPr>
          <w:sz w:val="18"/>
          <w:szCs w:val="18"/>
          <w:lang w:val="sl-SI"/>
        </w:rPr>
        <w:t>794.</w:t>
      </w:r>
    </w:p>
    <w:p w:rsidR="00BE2F2E" w:rsidRPr="008A33C8" w:rsidRDefault="00BE2F2E" w:rsidP="008A33C8">
      <w:pPr>
        <w:widowControl w:val="0"/>
        <w:ind w:left="425" w:hanging="425"/>
        <w:jc w:val="both"/>
        <w:rPr>
          <w:sz w:val="18"/>
          <w:szCs w:val="18"/>
          <w:lang w:val="sr-Latn-CS"/>
        </w:rPr>
      </w:pPr>
      <w:r w:rsidRPr="008A33C8">
        <w:rPr>
          <w:sz w:val="18"/>
          <w:szCs w:val="18"/>
          <w:lang w:val="sr-Latn-CS"/>
        </w:rPr>
        <w:t xml:space="preserve">Rajković, M., Stojanović, M., &amp; Milojković, S. (2015). Ispitivanje kvaliteta vode za piće iz individualnih bunara u selu Dubravica u Braničevskom okrugu. </w:t>
      </w:r>
      <w:r w:rsidRPr="008A33C8">
        <w:rPr>
          <w:i/>
          <w:iCs/>
          <w:sz w:val="18"/>
          <w:szCs w:val="18"/>
          <w:lang w:val="sr-Latn-CS"/>
        </w:rPr>
        <w:t>Zaštita materijala</w:t>
      </w:r>
      <w:r w:rsidRPr="008A33C8">
        <w:rPr>
          <w:sz w:val="18"/>
          <w:szCs w:val="18"/>
          <w:lang w:val="sr-Latn-CS"/>
        </w:rPr>
        <w:t xml:space="preserve">, </w:t>
      </w:r>
      <w:r w:rsidRPr="008A33C8">
        <w:rPr>
          <w:i/>
          <w:iCs/>
          <w:sz w:val="18"/>
          <w:szCs w:val="18"/>
          <w:lang w:val="sr-Latn-CS"/>
        </w:rPr>
        <w:t>56</w:t>
      </w:r>
      <w:r>
        <w:rPr>
          <w:i/>
          <w:iCs/>
          <w:sz w:val="18"/>
          <w:szCs w:val="18"/>
          <w:lang w:val="sr-Latn-CS"/>
        </w:rPr>
        <w:t xml:space="preserve"> </w:t>
      </w:r>
      <w:r w:rsidRPr="008A33C8">
        <w:rPr>
          <w:sz w:val="18"/>
          <w:szCs w:val="18"/>
          <w:lang w:val="sr-Latn-CS"/>
        </w:rPr>
        <w:t>(2), 213</w:t>
      </w:r>
      <w:r>
        <w:rPr>
          <w:sz w:val="18"/>
          <w:szCs w:val="18"/>
          <w:lang w:val="sr-Latn-CS"/>
        </w:rPr>
        <w:t>-</w:t>
      </w:r>
      <w:r w:rsidRPr="008A33C8">
        <w:rPr>
          <w:sz w:val="18"/>
          <w:szCs w:val="18"/>
          <w:lang w:val="sr-Latn-CS"/>
        </w:rPr>
        <w:t>223.</w:t>
      </w:r>
    </w:p>
    <w:p w:rsidR="00BE2F2E" w:rsidRPr="008A33C8" w:rsidRDefault="00BE2F2E" w:rsidP="008A33C8">
      <w:pPr>
        <w:widowControl w:val="0"/>
        <w:ind w:left="425" w:hanging="425"/>
        <w:jc w:val="both"/>
        <w:rPr>
          <w:sz w:val="18"/>
          <w:szCs w:val="18"/>
          <w:lang w:val="sl-SI"/>
        </w:rPr>
      </w:pPr>
      <w:r w:rsidRPr="008A33C8">
        <w:rPr>
          <w:sz w:val="18"/>
          <w:szCs w:val="18"/>
          <w:lang w:val="sr-Latn-CS"/>
        </w:rPr>
        <w:t>Rajković, M</w:t>
      </w:r>
      <w:r w:rsidRPr="008A33C8">
        <w:rPr>
          <w:sz w:val="18"/>
          <w:szCs w:val="18"/>
          <w:lang w:val="sl-SI"/>
        </w:rPr>
        <w:t>.</w:t>
      </w:r>
      <w:r w:rsidRPr="008A33C8">
        <w:rPr>
          <w:sz w:val="18"/>
          <w:szCs w:val="18"/>
          <w:lang w:val="sr-Latn-CS"/>
        </w:rPr>
        <w:t xml:space="preserve">B., </w:t>
      </w:r>
      <w:r w:rsidRPr="008A33C8">
        <w:rPr>
          <w:sz w:val="18"/>
          <w:szCs w:val="18"/>
          <w:lang w:val="sl-SI"/>
        </w:rPr>
        <w:t>Stojanović</w:t>
      </w:r>
      <w:r w:rsidRPr="008A33C8">
        <w:rPr>
          <w:sz w:val="18"/>
          <w:szCs w:val="18"/>
          <w:lang w:val="sr-Latn-CS"/>
        </w:rPr>
        <w:t xml:space="preserve">, </w:t>
      </w:r>
      <w:r w:rsidRPr="008A33C8">
        <w:rPr>
          <w:sz w:val="18"/>
          <w:szCs w:val="18"/>
          <w:lang w:val="sl-SI"/>
        </w:rPr>
        <w:t>M.D., &amp; Milojković</w:t>
      </w:r>
      <w:r w:rsidRPr="008A33C8">
        <w:rPr>
          <w:sz w:val="18"/>
          <w:szCs w:val="18"/>
          <w:lang w:val="sr-Latn-CS"/>
        </w:rPr>
        <w:t xml:space="preserve">, </w:t>
      </w:r>
      <w:r w:rsidRPr="008A33C8">
        <w:rPr>
          <w:sz w:val="18"/>
          <w:szCs w:val="18"/>
          <w:lang w:val="sl-SI"/>
        </w:rPr>
        <w:t xml:space="preserve">S.R. </w:t>
      </w:r>
      <w:r w:rsidRPr="008A33C8">
        <w:rPr>
          <w:sz w:val="18"/>
          <w:szCs w:val="18"/>
          <w:lang w:val="sr-Latn-CS"/>
        </w:rPr>
        <w:t>(2017a)</w:t>
      </w:r>
      <w:r w:rsidRPr="008A33C8">
        <w:rPr>
          <w:sz w:val="18"/>
          <w:szCs w:val="18"/>
          <w:lang w:val="sl-SI"/>
        </w:rPr>
        <w:t xml:space="preserve">. </w:t>
      </w:r>
      <w:r w:rsidRPr="008A33C8">
        <w:rPr>
          <w:sz w:val="18"/>
          <w:szCs w:val="18"/>
          <w:lang w:val="sr-Latn-CS"/>
        </w:rPr>
        <w:t xml:space="preserve">Procena potencijalnog zdravstvenog rizika usled prisustva toksičnih metala u vodi za piće iz individualnih bunara u selu Dubravica u Braničevskom okrugu. </w:t>
      </w:r>
      <w:r w:rsidRPr="008A33C8">
        <w:rPr>
          <w:i/>
          <w:iCs/>
          <w:sz w:val="18"/>
          <w:szCs w:val="18"/>
          <w:lang w:val="sr-Latn-CS"/>
        </w:rPr>
        <w:t>Journal of Agricultural Sciences</w:t>
      </w:r>
      <w:r w:rsidRPr="008A33C8">
        <w:rPr>
          <w:sz w:val="18"/>
          <w:szCs w:val="18"/>
          <w:lang w:val="sr-Latn-CS"/>
        </w:rPr>
        <w:t xml:space="preserve">, </w:t>
      </w:r>
      <w:r w:rsidRPr="008A33C8">
        <w:rPr>
          <w:i/>
          <w:iCs/>
          <w:sz w:val="18"/>
          <w:szCs w:val="18"/>
          <w:lang w:val="sr-Latn-CS"/>
        </w:rPr>
        <w:t>62</w:t>
      </w:r>
      <w:r>
        <w:rPr>
          <w:i/>
          <w:iCs/>
          <w:sz w:val="18"/>
          <w:szCs w:val="18"/>
          <w:lang w:val="sr-Latn-CS"/>
        </w:rPr>
        <w:t xml:space="preserve"> </w:t>
      </w:r>
      <w:r w:rsidRPr="00C00557">
        <w:rPr>
          <w:sz w:val="18"/>
          <w:szCs w:val="18"/>
          <w:lang w:val="sr-Latn-CS"/>
        </w:rPr>
        <w:t>(1),</w:t>
      </w:r>
      <w:r w:rsidRPr="008A33C8">
        <w:rPr>
          <w:sz w:val="18"/>
          <w:szCs w:val="18"/>
          <w:lang w:val="sr-Latn-CS"/>
        </w:rPr>
        <w:t xml:space="preserve"> 61</w:t>
      </w:r>
      <w:r>
        <w:rPr>
          <w:sz w:val="18"/>
          <w:szCs w:val="18"/>
          <w:lang w:val="sr-Latn-CS"/>
        </w:rPr>
        <w:t>-</w:t>
      </w:r>
      <w:r w:rsidRPr="008A33C8">
        <w:rPr>
          <w:sz w:val="18"/>
          <w:szCs w:val="18"/>
          <w:lang w:val="sr-Latn-CS"/>
        </w:rPr>
        <w:t>77.</w:t>
      </w:r>
    </w:p>
    <w:p w:rsidR="00BE2F2E" w:rsidRPr="008A33C8" w:rsidRDefault="00BE2F2E" w:rsidP="008A33C8">
      <w:pPr>
        <w:widowControl w:val="0"/>
        <w:ind w:left="425" w:hanging="425"/>
        <w:jc w:val="both"/>
        <w:rPr>
          <w:sz w:val="18"/>
          <w:szCs w:val="18"/>
          <w:lang w:val="sl-SI"/>
        </w:rPr>
      </w:pPr>
      <w:r w:rsidRPr="008A33C8">
        <w:rPr>
          <w:sz w:val="18"/>
          <w:szCs w:val="18"/>
          <w:lang w:val="sl-SI"/>
        </w:rPr>
        <w:t xml:space="preserve">Rajković, </w:t>
      </w:r>
      <w:r w:rsidRPr="008A33C8">
        <w:rPr>
          <w:sz w:val="18"/>
          <w:szCs w:val="18"/>
          <w:lang w:val="sr-Latn-CS"/>
        </w:rPr>
        <w:t>M</w:t>
      </w:r>
      <w:r w:rsidRPr="008A33C8">
        <w:rPr>
          <w:sz w:val="18"/>
          <w:szCs w:val="18"/>
          <w:lang w:val="sl-SI"/>
        </w:rPr>
        <w:t xml:space="preserve">.B., Stojanović, M., &amp; Milojković, S. (2017b). Uticaj makro- i mikroelemenata na zdravstvenu ispravnost vode za piće iz individiualnih bunara u selu Dubravica u Braničevskom okrugu, </w:t>
      </w:r>
      <w:r w:rsidRPr="008A33C8">
        <w:rPr>
          <w:i/>
          <w:iCs/>
          <w:sz w:val="18"/>
          <w:szCs w:val="18"/>
          <w:lang w:val="sl-SI"/>
        </w:rPr>
        <w:t>Savetovanje „Održivi razvoj Braničevskog okruga i energetskog kompleksa Kostolac”</w:t>
      </w:r>
      <w:r w:rsidRPr="008A33C8">
        <w:rPr>
          <w:sz w:val="18"/>
          <w:szCs w:val="18"/>
          <w:lang w:val="sl-SI"/>
        </w:rPr>
        <w:t>, Zbornik radova, Kostolac, 27</w:t>
      </w:r>
      <w:r>
        <w:rPr>
          <w:sz w:val="18"/>
          <w:szCs w:val="18"/>
          <w:lang w:val="sl-SI"/>
        </w:rPr>
        <w:t>-</w:t>
      </w:r>
      <w:r w:rsidRPr="008A33C8">
        <w:rPr>
          <w:sz w:val="18"/>
          <w:szCs w:val="18"/>
          <w:lang w:val="sl-SI"/>
        </w:rPr>
        <w:t>36.</w:t>
      </w:r>
    </w:p>
    <w:p w:rsidR="00BE2F2E" w:rsidRPr="008A33C8" w:rsidRDefault="00BE2F2E" w:rsidP="008A33C8">
      <w:pPr>
        <w:widowControl w:val="0"/>
        <w:ind w:left="425" w:hanging="425"/>
        <w:jc w:val="both"/>
        <w:rPr>
          <w:sz w:val="18"/>
          <w:szCs w:val="18"/>
          <w:shd w:val="clear" w:color="auto" w:fill="FCFCFC"/>
          <w:lang w:val="sr-Latn-CS"/>
        </w:rPr>
      </w:pPr>
      <w:r w:rsidRPr="008A33C8">
        <w:rPr>
          <w:sz w:val="18"/>
          <w:szCs w:val="18"/>
          <w:lang w:val="sr-Latn-CS"/>
        </w:rPr>
        <w:t>Rakić, M. (1984).</w:t>
      </w:r>
      <w:r w:rsidRPr="008A33C8">
        <w:rPr>
          <w:sz w:val="18"/>
          <w:szCs w:val="18"/>
          <w:shd w:val="clear" w:color="auto" w:fill="FCFCFC"/>
          <w:lang w:val="sr-Latn-CS"/>
        </w:rPr>
        <w:t xml:space="preserve"> </w:t>
      </w:r>
      <w:r w:rsidRPr="008A33C8">
        <w:rPr>
          <w:i/>
          <w:iCs/>
          <w:sz w:val="18"/>
          <w:szCs w:val="18"/>
          <w:shd w:val="clear" w:color="auto" w:fill="FCFCFC"/>
          <w:lang w:val="sr-Latn-CS"/>
        </w:rPr>
        <w:t>Basic geological map 1:100000, Sheet for Bela Crkva L34-115</w:t>
      </w:r>
      <w:r w:rsidRPr="008A33C8">
        <w:rPr>
          <w:sz w:val="18"/>
          <w:szCs w:val="18"/>
          <w:shd w:val="clear" w:color="auto" w:fill="FCFCFC"/>
          <w:lang w:val="sr-Latn-CS"/>
        </w:rPr>
        <w:t>, Belgrade: RO Geological Institute. Federal Geological Bureau of Belgrade, (In Serbian).</w:t>
      </w:r>
    </w:p>
    <w:p w:rsidR="00BE2F2E" w:rsidRPr="008A33C8" w:rsidRDefault="00BE2F2E" w:rsidP="008A33C8">
      <w:pPr>
        <w:pStyle w:val="PlainText"/>
        <w:ind w:left="425" w:hanging="425"/>
        <w:jc w:val="both"/>
        <w:rPr>
          <w:rFonts w:ascii="Times New Roman" w:hAnsi="Times New Roman" w:cs="Times New Roman"/>
          <w:sz w:val="18"/>
          <w:szCs w:val="18"/>
          <w:lang w:val="sr-Latn-CS"/>
        </w:rPr>
      </w:pPr>
      <w:r w:rsidRPr="008A33C8">
        <w:rPr>
          <w:rFonts w:ascii="Times New Roman" w:hAnsi="Times New Roman" w:cs="Times New Roman"/>
          <w:sz w:val="18"/>
          <w:szCs w:val="18"/>
          <w:lang w:val="sr-Latn-CS"/>
        </w:rPr>
        <w:t xml:space="preserve">Rekalić, V. (1998). </w:t>
      </w:r>
      <w:r w:rsidRPr="008A33C8">
        <w:rPr>
          <w:rFonts w:ascii="Times New Roman" w:hAnsi="Times New Roman" w:cs="Times New Roman"/>
          <w:i/>
          <w:iCs/>
          <w:sz w:val="18"/>
          <w:szCs w:val="18"/>
          <w:lang w:val="sr-Latn-CS"/>
        </w:rPr>
        <w:t>Analiza zagađivača vazduha i vode</w:t>
      </w:r>
      <w:r w:rsidRPr="008A33C8">
        <w:rPr>
          <w:rFonts w:ascii="Times New Roman" w:hAnsi="Times New Roman" w:cs="Times New Roman"/>
          <w:sz w:val="18"/>
          <w:szCs w:val="18"/>
          <w:lang w:val="sr-Latn-CS"/>
        </w:rPr>
        <w:t>. Beograd: Tehnološko-metalurški fakultet.</w:t>
      </w:r>
    </w:p>
    <w:p w:rsidR="00BE2F2E" w:rsidRPr="008A33C8" w:rsidRDefault="00BE2F2E" w:rsidP="008A33C8">
      <w:pPr>
        <w:widowControl w:val="0"/>
        <w:ind w:left="425" w:hanging="425"/>
        <w:jc w:val="both"/>
        <w:rPr>
          <w:sz w:val="18"/>
          <w:szCs w:val="18"/>
          <w:lang w:val="sr-Latn-CS"/>
        </w:rPr>
      </w:pPr>
      <w:r w:rsidRPr="008A33C8">
        <w:rPr>
          <w:sz w:val="18"/>
          <w:szCs w:val="18"/>
          <w:lang w:val="sr-Latn-CS"/>
        </w:rPr>
        <w:t>Republika Srbija, Zavod za javno zdravlje Požarevac (2012): Analiza zdravstvenog stanja stanovništva Braničevskog okruga za 2012.godinu, Požarevac</w:t>
      </w:r>
    </w:p>
    <w:p w:rsidR="00BE2F2E" w:rsidRPr="008A33C8" w:rsidRDefault="00BE2F2E" w:rsidP="008A33C8">
      <w:pPr>
        <w:widowControl w:val="0"/>
        <w:ind w:left="425" w:hanging="425"/>
        <w:jc w:val="both"/>
        <w:rPr>
          <w:sz w:val="18"/>
          <w:szCs w:val="18"/>
          <w:lang w:val="sr-Latn-CS"/>
        </w:rPr>
      </w:pPr>
      <w:r w:rsidRPr="008A33C8">
        <w:rPr>
          <w:sz w:val="18"/>
          <w:szCs w:val="18"/>
          <w:lang w:val="sr-Latn-CS"/>
        </w:rPr>
        <w:t>Available from</w:t>
      </w:r>
      <w:r w:rsidRPr="008A33C8">
        <w:rPr>
          <w:rStyle w:val="HTMLCite"/>
          <w:i w:val="0"/>
          <w:iCs w:val="0"/>
          <w:sz w:val="18"/>
          <w:szCs w:val="18"/>
        </w:rPr>
        <w:t xml:space="preserve">: </w:t>
      </w:r>
      <w:r w:rsidRPr="008A33C8">
        <w:rPr>
          <w:sz w:val="18"/>
          <w:szCs w:val="18"/>
          <w:lang w:val="sr-Latn-CS"/>
        </w:rPr>
        <w:t>http://www.javnozdravljepo.nadlanu.com/UserFiles/javnozdravljepo/File/Analiza zdravstvenog stanja Branicevskog okruga 2012.pdf</w:t>
      </w:r>
    </w:p>
    <w:p w:rsidR="00BE2F2E" w:rsidRPr="008A33C8" w:rsidRDefault="00BE2F2E" w:rsidP="008A33C8">
      <w:pPr>
        <w:widowControl w:val="0"/>
        <w:ind w:left="425" w:hanging="425"/>
        <w:jc w:val="both"/>
        <w:rPr>
          <w:sz w:val="18"/>
          <w:szCs w:val="18"/>
          <w:lang w:val="sl-SI"/>
        </w:rPr>
      </w:pPr>
      <w:r w:rsidRPr="008A33C8">
        <w:rPr>
          <w:sz w:val="18"/>
          <w:szCs w:val="18"/>
          <w:lang w:val="sr-Latn-CS"/>
        </w:rPr>
        <w:t xml:space="preserve">Službeni list SRJ (1998): </w:t>
      </w:r>
      <w:r w:rsidRPr="008A33C8">
        <w:rPr>
          <w:i/>
          <w:iCs/>
          <w:sz w:val="18"/>
          <w:szCs w:val="18"/>
          <w:lang w:val="sr-Latn-CS"/>
        </w:rPr>
        <w:t>Pravilnik o higijenskoj ispravnosti vode za piće</w:t>
      </w:r>
      <w:r w:rsidRPr="008A33C8">
        <w:rPr>
          <w:sz w:val="18"/>
          <w:szCs w:val="18"/>
          <w:lang w:val="sr-Latn-CS"/>
        </w:rPr>
        <w:t>. Broj 42/1998.</w:t>
      </w:r>
    </w:p>
    <w:p w:rsidR="00BE2F2E" w:rsidRPr="008A33C8" w:rsidRDefault="00BE2F2E" w:rsidP="008A33C8">
      <w:pPr>
        <w:pStyle w:val="BodyText2"/>
        <w:widowControl w:val="0"/>
        <w:spacing w:after="0" w:line="240" w:lineRule="auto"/>
        <w:ind w:left="425" w:hanging="425"/>
        <w:jc w:val="both"/>
        <w:rPr>
          <w:sz w:val="18"/>
          <w:szCs w:val="18"/>
          <w:lang w:val="sl-SI"/>
        </w:rPr>
      </w:pPr>
      <w:r w:rsidRPr="008A33C8">
        <w:rPr>
          <w:sz w:val="18"/>
          <w:szCs w:val="18"/>
          <w:lang w:val="sl-SI"/>
        </w:rPr>
        <w:t xml:space="preserve">Službeni list SRJ (1999): </w:t>
      </w:r>
      <w:r w:rsidRPr="008A33C8">
        <w:rPr>
          <w:i/>
          <w:iCs/>
          <w:sz w:val="18"/>
          <w:szCs w:val="18"/>
          <w:lang w:val="sl-SI"/>
        </w:rPr>
        <w:t>Pravilnik o izmenama i dopunama Pravilnika o higijenskoj ispravnosti vode za piće</w:t>
      </w:r>
      <w:r w:rsidRPr="008A33C8">
        <w:rPr>
          <w:sz w:val="18"/>
          <w:szCs w:val="18"/>
          <w:lang w:val="sl-SI"/>
        </w:rPr>
        <w:t>. Broj 44/1999.</w:t>
      </w:r>
    </w:p>
    <w:p w:rsidR="00EF4DBE" w:rsidRDefault="00EF4DBE" w:rsidP="008A33C8">
      <w:pPr>
        <w:widowControl w:val="0"/>
        <w:ind w:left="425" w:hanging="425"/>
        <w:jc w:val="both"/>
        <w:rPr>
          <w:sz w:val="18"/>
          <w:szCs w:val="18"/>
          <w:lang w:val="sl-SI"/>
        </w:rPr>
      </w:pPr>
    </w:p>
    <w:p w:rsidR="00EF4DBE" w:rsidRDefault="00EF4DBE" w:rsidP="008A33C8">
      <w:pPr>
        <w:widowControl w:val="0"/>
        <w:ind w:left="425" w:hanging="425"/>
        <w:jc w:val="both"/>
        <w:rPr>
          <w:sz w:val="18"/>
          <w:szCs w:val="18"/>
          <w:lang w:val="sl-SI"/>
        </w:rPr>
      </w:pPr>
    </w:p>
    <w:p w:rsidR="00EF4DBE" w:rsidRDefault="00EF4DBE" w:rsidP="008A33C8">
      <w:pPr>
        <w:widowControl w:val="0"/>
        <w:ind w:left="425" w:hanging="425"/>
        <w:jc w:val="both"/>
        <w:rPr>
          <w:sz w:val="18"/>
          <w:szCs w:val="18"/>
          <w:lang w:val="sl-SI"/>
        </w:rPr>
      </w:pPr>
    </w:p>
    <w:p w:rsidR="00BE2F2E" w:rsidRPr="008A33C8" w:rsidRDefault="00BE2F2E" w:rsidP="008A33C8">
      <w:pPr>
        <w:widowControl w:val="0"/>
        <w:ind w:left="425" w:hanging="425"/>
        <w:jc w:val="both"/>
        <w:rPr>
          <w:sz w:val="18"/>
          <w:szCs w:val="18"/>
          <w:lang w:val="sl-SI"/>
        </w:rPr>
      </w:pPr>
      <w:r w:rsidRPr="008A33C8">
        <w:rPr>
          <w:sz w:val="18"/>
          <w:szCs w:val="18"/>
          <w:lang w:val="sl-SI"/>
        </w:rPr>
        <w:lastRenderedPageBreak/>
        <w:t xml:space="preserve">Službeni list SCG br. 53/2005 i Službeni glasnik RS br. 43/2013: </w:t>
      </w:r>
      <w:r w:rsidRPr="008A33C8">
        <w:rPr>
          <w:i/>
          <w:iCs/>
          <w:sz w:val="18"/>
          <w:szCs w:val="18"/>
          <w:lang w:val="sl-SI"/>
        </w:rPr>
        <w:t>Pravilnik o kvalitetu i drugim zahtevima za prirodnu mineralnu vodu, prirodnu izvorsku vodu i stonu vodu</w:t>
      </w:r>
      <w:r w:rsidRPr="008A33C8">
        <w:rPr>
          <w:sz w:val="18"/>
          <w:szCs w:val="18"/>
          <w:lang w:val="sl-SI"/>
        </w:rPr>
        <w:t>.</w:t>
      </w:r>
    </w:p>
    <w:p w:rsidR="00BE2F2E" w:rsidRPr="008A33C8" w:rsidRDefault="00BE2F2E" w:rsidP="00EF4DBE">
      <w:pPr>
        <w:widowControl w:val="0"/>
        <w:ind w:left="425" w:hanging="425"/>
        <w:rPr>
          <w:sz w:val="18"/>
          <w:szCs w:val="18"/>
          <w:lang w:val="sl-SI"/>
        </w:rPr>
      </w:pPr>
      <w:r w:rsidRPr="008A33C8">
        <w:rPr>
          <w:sz w:val="18"/>
          <w:szCs w:val="18"/>
          <w:lang w:val="sl-SI"/>
        </w:rPr>
        <w:t xml:space="preserve">Available from: </w:t>
      </w:r>
      <w:hyperlink r:id="rId26" w:history="1">
        <w:r w:rsidRPr="008A33C8">
          <w:rPr>
            <w:rStyle w:val="Hyperlink"/>
            <w:color w:val="auto"/>
            <w:sz w:val="18"/>
            <w:szCs w:val="18"/>
            <w:u w:val="none"/>
            <w:lang w:val="sl-SI"/>
          </w:rPr>
          <w:t>http://www.tehnologijahrane.com/pravilnik/pravilnik-o-kvalitetu-i-drugim-zahtevima-za-prirodnu-mineralnu-vodu-prirodnu-izvorsku-vodu-i-stonu</w:t>
        </w:r>
      </w:hyperlink>
      <w:r>
        <w:rPr>
          <w:sz w:val="18"/>
          <w:szCs w:val="18"/>
        </w:rPr>
        <w:t>.</w:t>
      </w:r>
    </w:p>
    <w:p w:rsidR="00BE2F2E" w:rsidRPr="008A33C8" w:rsidRDefault="00BE2F2E" w:rsidP="008A33C8">
      <w:pPr>
        <w:widowControl w:val="0"/>
        <w:ind w:left="425" w:hanging="425"/>
        <w:jc w:val="both"/>
        <w:rPr>
          <w:sz w:val="18"/>
          <w:szCs w:val="18"/>
          <w:lang w:val="sl-SI"/>
        </w:rPr>
      </w:pPr>
      <w:r w:rsidRPr="008A33C8">
        <w:rPr>
          <w:sz w:val="18"/>
          <w:szCs w:val="18"/>
          <w:lang w:val="sl-SI"/>
        </w:rPr>
        <w:t xml:space="preserve">Službeni list RS (2013): </w:t>
      </w:r>
      <w:r w:rsidRPr="008A33C8">
        <w:rPr>
          <w:i/>
          <w:iCs/>
          <w:sz w:val="18"/>
          <w:szCs w:val="18"/>
          <w:lang w:val="sl-SI"/>
        </w:rPr>
        <w:t>Pravilnik o kvalitetu i drugim zahtevima za prirodnu mineralnu vodu, prirodnu izvorsku vodu i stonu vodu</w:t>
      </w:r>
      <w:r w:rsidRPr="008A33C8">
        <w:rPr>
          <w:sz w:val="18"/>
          <w:szCs w:val="18"/>
          <w:lang w:val="sl-SI"/>
        </w:rPr>
        <w:t>. broj 43/2013.</w:t>
      </w:r>
    </w:p>
    <w:p w:rsidR="00BE2F2E" w:rsidRPr="008A33C8" w:rsidRDefault="00BE2F2E" w:rsidP="008A33C8">
      <w:pPr>
        <w:widowControl w:val="0"/>
        <w:ind w:left="425" w:hanging="425"/>
        <w:jc w:val="both"/>
        <w:rPr>
          <w:sz w:val="18"/>
          <w:szCs w:val="18"/>
          <w:lang w:val="sl-SI"/>
        </w:rPr>
      </w:pPr>
      <w:r w:rsidRPr="008A33C8">
        <w:rPr>
          <w:sz w:val="18"/>
          <w:szCs w:val="18"/>
          <w:lang w:val="sl-SI"/>
        </w:rPr>
        <w:t xml:space="preserve">Text from the Web site: </w:t>
      </w:r>
      <w:r w:rsidRPr="008A33C8">
        <w:rPr>
          <w:sz w:val="18"/>
          <w:szCs w:val="18"/>
        </w:rPr>
        <w:t>Committee for Medicinal Products for Human Use (</w:t>
      </w:r>
      <w:r w:rsidRPr="008A33C8">
        <w:rPr>
          <w:rStyle w:val="Emphasis"/>
          <w:i w:val="0"/>
          <w:iCs w:val="0"/>
          <w:sz w:val="18"/>
          <w:szCs w:val="18"/>
        </w:rPr>
        <w:t>CHMP) (2008): Guideline on the specification limits for residues of metal catalysts or metal reagents</w:t>
      </w:r>
      <w:r w:rsidRPr="008A33C8">
        <w:rPr>
          <w:sz w:val="18"/>
          <w:szCs w:val="18"/>
        </w:rPr>
        <w:t>.</w:t>
      </w:r>
      <w:r w:rsidRPr="008A33C8">
        <w:rPr>
          <w:rStyle w:val="Emphasis"/>
          <w:i w:val="0"/>
          <w:iCs w:val="0"/>
          <w:sz w:val="18"/>
          <w:szCs w:val="18"/>
        </w:rPr>
        <w:t xml:space="preserve"> </w:t>
      </w:r>
      <w:r w:rsidRPr="008A33C8">
        <w:rPr>
          <w:rStyle w:val="Emphasis"/>
          <w:sz w:val="18"/>
          <w:szCs w:val="18"/>
        </w:rPr>
        <w:t>European Medicines Agency, Committee for medicinal products for human use</w:t>
      </w:r>
      <w:r w:rsidRPr="008A33C8">
        <w:rPr>
          <w:rStyle w:val="Emphasis"/>
          <w:i w:val="0"/>
          <w:iCs w:val="0"/>
          <w:sz w:val="18"/>
          <w:szCs w:val="18"/>
        </w:rPr>
        <w:t xml:space="preserve">, London. </w:t>
      </w:r>
      <w:r w:rsidRPr="008A33C8">
        <w:rPr>
          <w:sz w:val="18"/>
          <w:szCs w:val="18"/>
          <w:lang w:val="sl-SI"/>
        </w:rPr>
        <w:t xml:space="preserve">Available from: </w:t>
      </w:r>
    </w:p>
    <w:p w:rsidR="00BE2F2E" w:rsidRPr="00C00557" w:rsidRDefault="00BE2F2E" w:rsidP="00C00557">
      <w:pPr>
        <w:widowControl w:val="0"/>
        <w:ind w:left="425" w:hanging="425"/>
        <w:jc w:val="both"/>
        <w:rPr>
          <w:rStyle w:val="Emphasis"/>
          <w:i w:val="0"/>
          <w:iCs w:val="0"/>
          <w:spacing w:val="-4"/>
          <w:sz w:val="18"/>
          <w:szCs w:val="18"/>
          <w:lang w:val="sl-SI"/>
        </w:rPr>
      </w:pPr>
      <w:r w:rsidRPr="008A33C8">
        <w:rPr>
          <w:sz w:val="18"/>
          <w:szCs w:val="18"/>
          <w:lang w:val="sl-SI"/>
        </w:rPr>
        <w:t>Available from</w:t>
      </w:r>
      <w:r w:rsidRPr="008A33C8">
        <w:rPr>
          <w:rStyle w:val="Emphasis"/>
          <w:i w:val="0"/>
          <w:iCs w:val="0"/>
          <w:sz w:val="18"/>
          <w:szCs w:val="18"/>
          <w:lang w:val="sl-SI"/>
        </w:rPr>
        <w:t xml:space="preserve"> </w:t>
      </w:r>
      <w:r w:rsidRPr="00C00557">
        <w:rPr>
          <w:rStyle w:val="Emphasis"/>
          <w:i w:val="0"/>
          <w:iCs w:val="0"/>
          <w:spacing w:val="-4"/>
          <w:sz w:val="18"/>
          <w:szCs w:val="18"/>
          <w:lang w:val="sl-SI"/>
        </w:rPr>
        <w:t>http://www.ema.europa.eu/docs/en_GB/document_library/Scientific_guideline/2009/09/</w:t>
      </w:r>
    </w:p>
    <w:p w:rsidR="00BE2F2E" w:rsidRPr="00C00557" w:rsidRDefault="00BE2F2E" w:rsidP="008A33C8">
      <w:pPr>
        <w:widowControl w:val="0"/>
        <w:ind w:left="425" w:hanging="425"/>
        <w:jc w:val="both"/>
        <w:rPr>
          <w:rStyle w:val="Emphasis"/>
          <w:i w:val="0"/>
          <w:iCs w:val="0"/>
          <w:spacing w:val="-4"/>
          <w:sz w:val="18"/>
          <w:szCs w:val="18"/>
          <w:lang w:val="sl-SI"/>
        </w:rPr>
      </w:pPr>
      <w:r>
        <w:rPr>
          <w:rStyle w:val="Emphasis"/>
          <w:i w:val="0"/>
          <w:iCs w:val="0"/>
          <w:spacing w:val="-4"/>
          <w:sz w:val="18"/>
          <w:szCs w:val="18"/>
          <w:lang w:val="sl-SI"/>
        </w:rPr>
        <w:t>WC500003586.pdf).</w:t>
      </w:r>
    </w:p>
    <w:p w:rsidR="00BE2F2E" w:rsidRPr="008A33C8" w:rsidRDefault="00A11A1F" w:rsidP="008A33C8">
      <w:pPr>
        <w:pStyle w:val="Heading3"/>
        <w:keepNext w:val="0"/>
        <w:widowControl w:val="0"/>
        <w:spacing w:before="0" w:after="0"/>
        <w:ind w:left="425" w:hanging="425"/>
        <w:jc w:val="both"/>
        <w:rPr>
          <w:rFonts w:ascii="Times New Roman" w:hAnsi="Times New Roman" w:cs="Times New Roman"/>
          <w:sz w:val="18"/>
          <w:szCs w:val="18"/>
          <w:lang w:val="sl-SI"/>
        </w:rPr>
      </w:pPr>
      <w:hyperlink r:id="rId27" w:history="1">
        <w:r w:rsidR="00BE2F2E" w:rsidRPr="008A33C8">
          <w:rPr>
            <w:rStyle w:val="Hyperlink"/>
            <w:rFonts w:ascii="Times New Roman" w:hAnsi="Times New Roman" w:cs="Times New Roman"/>
            <w:color w:val="auto"/>
            <w:sz w:val="18"/>
            <w:szCs w:val="18"/>
            <w:u w:val="none"/>
          </w:rPr>
          <w:t>World Health Organization (WHO</w:t>
        </w:r>
      </w:hyperlink>
      <w:r w:rsidR="00BE2F2E" w:rsidRPr="008A33C8">
        <w:rPr>
          <w:rFonts w:ascii="Times New Roman" w:hAnsi="Times New Roman" w:cs="Times New Roman"/>
          <w:sz w:val="18"/>
          <w:szCs w:val="18"/>
        </w:rPr>
        <w:t>)</w:t>
      </w:r>
      <w:r w:rsidR="00BE2F2E" w:rsidRPr="008A33C8">
        <w:rPr>
          <w:rFonts w:ascii="Times New Roman" w:hAnsi="Times New Roman" w:cs="Times New Roman"/>
          <w:sz w:val="18"/>
          <w:szCs w:val="18"/>
          <w:lang w:val="sl-SI"/>
        </w:rPr>
        <w:t xml:space="preserve"> (2006</w:t>
      </w:r>
      <w:r w:rsidR="00BE2F2E" w:rsidRPr="008A33C8">
        <w:rPr>
          <w:rFonts w:ascii="Times New Roman" w:hAnsi="Times New Roman" w:cs="Times New Roman"/>
          <w:sz w:val="18"/>
          <w:szCs w:val="18"/>
        </w:rPr>
        <w:t>)</w:t>
      </w:r>
      <w:r w:rsidR="00BE2F2E" w:rsidRPr="008A33C8">
        <w:rPr>
          <w:rFonts w:ascii="Times New Roman" w:hAnsi="Times New Roman" w:cs="Times New Roman"/>
          <w:sz w:val="18"/>
          <w:szCs w:val="18"/>
          <w:lang w:val="sl-SI"/>
        </w:rPr>
        <w:t xml:space="preserve">: </w:t>
      </w:r>
      <w:r w:rsidR="00BE2F2E" w:rsidRPr="008A33C8">
        <w:rPr>
          <w:rFonts w:ascii="Times New Roman" w:hAnsi="Times New Roman" w:cs="Times New Roman"/>
          <w:i/>
          <w:iCs/>
          <w:sz w:val="18"/>
          <w:szCs w:val="18"/>
          <w:lang w:val="sl-SI"/>
        </w:rPr>
        <w:t>Guidelines for Drinking-Water Quality</w:t>
      </w:r>
      <w:r w:rsidR="00BE2F2E" w:rsidRPr="008A33C8">
        <w:rPr>
          <w:rFonts w:ascii="Times New Roman" w:hAnsi="Times New Roman" w:cs="Times New Roman"/>
          <w:sz w:val="18"/>
          <w:szCs w:val="18"/>
          <w:lang w:val="sl-SI"/>
        </w:rPr>
        <w:t>. First Addendum to Third Edition Vol. 1 recommendation, Geneva, Switzerland, p. 595.</w:t>
      </w:r>
    </w:p>
    <w:p w:rsidR="00BE2F2E" w:rsidRPr="008A33C8" w:rsidRDefault="00A11A1F" w:rsidP="008A33C8">
      <w:pPr>
        <w:pStyle w:val="Heading3"/>
        <w:keepNext w:val="0"/>
        <w:widowControl w:val="0"/>
        <w:spacing w:before="0" w:after="0"/>
        <w:ind w:left="425" w:hanging="425"/>
        <w:jc w:val="both"/>
        <w:rPr>
          <w:rFonts w:ascii="Times New Roman" w:hAnsi="Times New Roman" w:cs="Times New Roman"/>
          <w:sz w:val="18"/>
          <w:szCs w:val="18"/>
          <w:lang w:val="sl-SI"/>
        </w:rPr>
      </w:pPr>
      <w:hyperlink r:id="rId28" w:history="1">
        <w:r w:rsidR="00BE2F2E" w:rsidRPr="008A33C8">
          <w:rPr>
            <w:rStyle w:val="Hyperlink"/>
            <w:rFonts w:ascii="Times New Roman" w:hAnsi="Times New Roman" w:cs="Times New Roman"/>
            <w:color w:val="auto"/>
            <w:sz w:val="18"/>
            <w:szCs w:val="18"/>
            <w:u w:val="none"/>
            <w:lang w:val="sr-Latn-CS"/>
          </w:rPr>
          <w:t>World Health Organization (WHO</w:t>
        </w:r>
      </w:hyperlink>
      <w:r w:rsidR="00BE2F2E" w:rsidRPr="008A33C8">
        <w:rPr>
          <w:rFonts w:ascii="Times New Roman" w:hAnsi="Times New Roman" w:cs="Times New Roman"/>
          <w:sz w:val="18"/>
          <w:szCs w:val="18"/>
          <w:lang w:val="sr-Latn-CS"/>
        </w:rPr>
        <w:t>) (</w:t>
      </w:r>
      <w:r w:rsidR="00BE2F2E" w:rsidRPr="008A33C8">
        <w:rPr>
          <w:rFonts w:ascii="Times New Roman" w:hAnsi="Times New Roman" w:cs="Times New Roman"/>
          <w:sz w:val="18"/>
          <w:szCs w:val="18"/>
          <w:lang w:val="sl-SI"/>
        </w:rPr>
        <w:t>2011</w:t>
      </w:r>
      <w:r w:rsidR="00BE2F2E" w:rsidRPr="008A33C8">
        <w:rPr>
          <w:rFonts w:ascii="Times New Roman" w:hAnsi="Times New Roman" w:cs="Times New Roman"/>
          <w:sz w:val="18"/>
          <w:szCs w:val="18"/>
          <w:lang w:val="sr-Latn-CS"/>
        </w:rPr>
        <w:t>):</w:t>
      </w:r>
      <w:r w:rsidR="00BE2F2E" w:rsidRPr="008A33C8">
        <w:rPr>
          <w:rFonts w:ascii="Times New Roman" w:hAnsi="Times New Roman" w:cs="Times New Roman"/>
          <w:sz w:val="18"/>
          <w:szCs w:val="18"/>
          <w:lang w:val="sl-SI"/>
        </w:rPr>
        <w:t xml:space="preserve"> </w:t>
      </w:r>
      <w:r w:rsidR="00BE2F2E" w:rsidRPr="008A33C8">
        <w:rPr>
          <w:rFonts w:ascii="Times New Roman" w:hAnsi="Times New Roman" w:cs="Times New Roman"/>
          <w:i/>
          <w:iCs/>
          <w:sz w:val="18"/>
          <w:szCs w:val="18"/>
          <w:lang w:val="sl-SI"/>
        </w:rPr>
        <w:t>Guidelines for Drinking-Water Quality</w:t>
      </w:r>
      <w:r w:rsidR="00BE2F2E" w:rsidRPr="008A33C8">
        <w:rPr>
          <w:rFonts w:ascii="Times New Roman" w:hAnsi="Times New Roman" w:cs="Times New Roman"/>
          <w:sz w:val="18"/>
          <w:szCs w:val="18"/>
          <w:lang w:val="sl-SI"/>
        </w:rPr>
        <w:t>. 4th ed., Geneva, Switzerland.</w:t>
      </w:r>
    </w:p>
    <w:p w:rsidR="00BE2F2E" w:rsidRPr="008A33C8" w:rsidRDefault="00BE2F2E" w:rsidP="008A33C8">
      <w:pPr>
        <w:widowControl w:val="0"/>
        <w:ind w:left="425" w:hanging="425"/>
        <w:jc w:val="both"/>
        <w:rPr>
          <w:sz w:val="18"/>
          <w:szCs w:val="18"/>
          <w:lang w:val="sr-Latn-CS"/>
        </w:rPr>
      </w:pPr>
      <w:r w:rsidRPr="008A33C8">
        <w:rPr>
          <w:sz w:val="18"/>
          <w:szCs w:val="18"/>
        </w:rPr>
        <w:t xml:space="preserve">World Health Organization (WHO) (1998): </w:t>
      </w:r>
      <w:r w:rsidRPr="008A33C8">
        <w:rPr>
          <w:i/>
          <w:iCs/>
          <w:sz w:val="18"/>
          <w:szCs w:val="18"/>
        </w:rPr>
        <w:t>Guidelines for Drinking-Water Q</w:t>
      </w:r>
      <w:r w:rsidRPr="008A33C8">
        <w:rPr>
          <w:sz w:val="18"/>
          <w:szCs w:val="18"/>
        </w:rPr>
        <w:t xml:space="preserve">uality. 2nd ed., Addendum to Volume 2: Health Criteria and Other SupportingInformation, WHO/EOS/98.1, Geneva, </w:t>
      </w:r>
      <w:r w:rsidRPr="008A33C8">
        <w:rPr>
          <w:sz w:val="18"/>
          <w:szCs w:val="18"/>
          <w:lang w:val="sl-SI"/>
        </w:rPr>
        <w:t>Switzerland</w:t>
      </w:r>
      <w:r w:rsidRPr="008A33C8">
        <w:rPr>
          <w:sz w:val="18"/>
          <w:szCs w:val="18"/>
        </w:rPr>
        <w:t>, p. 283.</w:t>
      </w:r>
    </w:p>
    <w:p w:rsidR="00BE2F2E" w:rsidRPr="00EF4DBE" w:rsidRDefault="00BE2F2E" w:rsidP="008A33C8">
      <w:pPr>
        <w:widowControl w:val="0"/>
        <w:ind w:left="425" w:hanging="425"/>
        <w:jc w:val="both"/>
        <w:rPr>
          <w:sz w:val="18"/>
          <w:szCs w:val="18"/>
          <w:lang w:val="sl-SI"/>
        </w:rPr>
      </w:pPr>
      <w:r w:rsidRPr="008A33C8">
        <w:rPr>
          <w:sz w:val="18"/>
          <w:szCs w:val="18"/>
          <w:lang w:val="pl-PL"/>
        </w:rPr>
        <w:t>Wu, J., &amp; Sun, Z. (</w:t>
      </w:r>
      <w:r w:rsidRPr="008A33C8">
        <w:rPr>
          <w:rStyle w:val="Emphasis"/>
          <w:i w:val="0"/>
          <w:iCs w:val="0"/>
          <w:sz w:val="18"/>
          <w:szCs w:val="18"/>
        </w:rPr>
        <w:t xml:space="preserve">2015). </w:t>
      </w:r>
      <w:r w:rsidRPr="008A33C8">
        <w:rPr>
          <w:sz w:val="18"/>
          <w:szCs w:val="18"/>
          <w:lang w:val="pl-PL"/>
        </w:rPr>
        <w:t>Evaluation of shallow groundwater contamination and associated human health risk in aluvial plain impacted by agricultural and industrial activities</w:t>
      </w:r>
      <w:r w:rsidRPr="008A33C8">
        <w:rPr>
          <w:sz w:val="18"/>
          <w:szCs w:val="18"/>
          <w:lang w:val="sl-SI"/>
        </w:rPr>
        <w:t>.</w:t>
      </w:r>
      <w:r w:rsidRPr="008A33C8">
        <w:rPr>
          <w:sz w:val="18"/>
          <w:szCs w:val="18"/>
          <w:lang w:val="pl-PL"/>
        </w:rPr>
        <w:t xml:space="preserve"> </w:t>
      </w:r>
      <w:r w:rsidRPr="008A33C8">
        <w:rPr>
          <w:rStyle w:val="Emphasis"/>
          <w:sz w:val="18"/>
          <w:szCs w:val="18"/>
        </w:rPr>
        <w:t>Expo Health</w:t>
      </w:r>
      <w:r w:rsidRPr="008A33C8">
        <w:rPr>
          <w:rStyle w:val="Emphasis"/>
          <w:i w:val="0"/>
          <w:iCs w:val="0"/>
          <w:sz w:val="18"/>
          <w:szCs w:val="18"/>
        </w:rPr>
        <w:t>.</w:t>
      </w:r>
      <w:r w:rsidR="00EF4DBE">
        <w:rPr>
          <w:rStyle w:val="Emphasis"/>
          <w:i w:val="0"/>
          <w:iCs w:val="0"/>
          <w:sz w:val="18"/>
          <w:szCs w:val="18"/>
        </w:rPr>
        <w:t>,</w:t>
      </w:r>
      <w:r w:rsidR="00EF4DBE" w:rsidRPr="008A33C8">
        <w:rPr>
          <w:sz w:val="18"/>
          <w:szCs w:val="18"/>
          <w:lang w:val="sr-Latn-CS"/>
        </w:rPr>
        <w:t xml:space="preserve"> </w:t>
      </w:r>
      <w:r w:rsidR="00EF4DBE" w:rsidRPr="008A33C8">
        <w:rPr>
          <w:i/>
          <w:iCs/>
          <w:sz w:val="18"/>
          <w:szCs w:val="18"/>
          <w:lang w:val="sr-Latn-CS"/>
        </w:rPr>
        <w:t>62</w:t>
      </w:r>
      <w:r w:rsidR="00EF4DBE">
        <w:rPr>
          <w:i/>
          <w:iCs/>
          <w:sz w:val="18"/>
          <w:szCs w:val="18"/>
          <w:lang w:val="sr-Latn-CS"/>
        </w:rPr>
        <w:t xml:space="preserve"> </w:t>
      </w:r>
      <w:r w:rsidR="00EF4DBE" w:rsidRPr="00C00557">
        <w:rPr>
          <w:sz w:val="18"/>
          <w:szCs w:val="18"/>
          <w:lang w:val="sr-Latn-CS"/>
        </w:rPr>
        <w:t>(</w:t>
      </w:r>
      <w:r w:rsidR="00EF4DBE">
        <w:rPr>
          <w:sz w:val="18"/>
          <w:szCs w:val="18"/>
          <w:lang w:val="sr-Latn-CS"/>
        </w:rPr>
        <w:t>3</w:t>
      </w:r>
      <w:r w:rsidR="00EF4DBE" w:rsidRPr="00C00557">
        <w:rPr>
          <w:sz w:val="18"/>
          <w:szCs w:val="18"/>
          <w:lang w:val="sr-Latn-CS"/>
        </w:rPr>
        <w:t>),</w:t>
      </w:r>
      <w:r w:rsidR="00EF4DBE">
        <w:rPr>
          <w:sz w:val="18"/>
          <w:szCs w:val="18"/>
          <w:lang w:val="sr-Latn-CS"/>
        </w:rPr>
        <w:t xml:space="preserve"> 31</w:t>
      </w:r>
      <w:r w:rsidR="00EF4DBE" w:rsidRPr="008A33C8">
        <w:rPr>
          <w:sz w:val="18"/>
          <w:szCs w:val="18"/>
          <w:lang w:val="sr-Latn-CS"/>
        </w:rPr>
        <w:t>1</w:t>
      </w:r>
      <w:r w:rsidR="00EF4DBE">
        <w:rPr>
          <w:sz w:val="18"/>
          <w:szCs w:val="18"/>
          <w:lang w:val="sr-Latn-CS"/>
        </w:rPr>
        <w:t>-329</w:t>
      </w:r>
      <w:r w:rsidR="00EF4DBE" w:rsidRPr="008A33C8">
        <w:rPr>
          <w:sz w:val="18"/>
          <w:szCs w:val="18"/>
          <w:lang w:val="sr-Latn-CS"/>
        </w:rPr>
        <w:t>.</w:t>
      </w:r>
    </w:p>
    <w:p w:rsidR="00BE2F2E" w:rsidRDefault="00BE2F2E" w:rsidP="00E350CC">
      <w:pPr>
        <w:ind w:left="426" w:hanging="426"/>
        <w:jc w:val="both"/>
        <w:rPr>
          <w:sz w:val="22"/>
          <w:szCs w:val="22"/>
        </w:rPr>
      </w:pPr>
    </w:p>
    <w:p w:rsidR="00BE2F2E" w:rsidRDefault="00BE2F2E" w:rsidP="00E350CC">
      <w:pPr>
        <w:ind w:left="426" w:hanging="426"/>
        <w:jc w:val="both"/>
        <w:rPr>
          <w:sz w:val="22"/>
          <w:szCs w:val="22"/>
        </w:rPr>
      </w:pPr>
    </w:p>
    <w:p w:rsidR="00BE2F2E" w:rsidRPr="00755B82" w:rsidRDefault="00BE2F2E" w:rsidP="00E350CC">
      <w:pPr>
        <w:ind w:left="426" w:hanging="426"/>
        <w:jc w:val="both"/>
        <w:rPr>
          <w:sz w:val="22"/>
          <w:szCs w:val="22"/>
        </w:rPr>
      </w:pPr>
    </w:p>
    <w:p w:rsidR="00BE2F2E" w:rsidRPr="00D877A5" w:rsidRDefault="00BE2F2E" w:rsidP="007A4B8C">
      <w:pPr>
        <w:autoSpaceDE w:val="0"/>
        <w:autoSpaceDN w:val="0"/>
        <w:adjustRightInd w:val="0"/>
        <w:ind w:left="709" w:hanging="709"/>
        <w:jc w:val="right"/>
        <w:rPr>
          <w:sz w:val="18"/>
          <w:szCs w:val="18"/>
        </w:rPr>
      </w:pPr>
      <w:r w:rsidRPr="00D877A5">
        <w:rPr>
          <w:sz w:val="18"/>
          <w:szCs w:val="18"/>
        </w:rPr>
        <w:t>Primljeno: 23. februara 2018.</w:t>
      </w:r>
    </w:p>
    <w:p w:rsidR="00BE2F2E" w:rsidRDefault="00BE2F2E" w:rsidP="007A4B8C">
      <w:pPr>
        <w:autoSpaceDE w:val="0"/>
        <w:autoSpaceDN w:val="0"/>
        <w:adjustRightInd w:val="0"/>
        <w:ind w:left="709" w:hanging="709"/>
        <w:jc w:val="right"/>
        <w:rPr>
          <w:sz w:val="18"/>
          <w:szCs w:val="18"/>
        </w:rPr>
      </w:pPr>
      <w:r w:rsidRPr="00D877A5">
        <w:rPr>
          <w:sz w:val="18"/>
          <w:szCs w:val="18"/>
        </w:rPr>
        <w:t>Odobreno: 13. jula 2018.</w:t>
      </w:r>
    </w:p>
    <w:p w:rsidR="00BE2F2E" w:rsidRPr="00BA621C" w:rsidRDefault="00BE2F2E" w:rsidP="0019645B">
      <w:pPr>
        <w:ind w:left="720" w:hanging="720"/>
        <w:jc w:val="both"/>
        <w:rPr>
          <w:sz w:val="22"/>
          <w:szCs w:val="22"/>
        </w:rPr>
      </w:pPr>
    </w:p>
    <w:p w:rsidR="00BE2F2E" w:rsidRPr="00BA621C"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Default="00BE2F2E" w:rsidP="0019645B">
      <w:pPr>
        <w:ind w:left="720" w:hanging="720"/>
        <w:jc w:val="both"/>
        <w:rPr>
          <w:sz w:val="22"/>
          <w:szCs w:val="22"/>
        </w:rPr>
      </w:pPr>
    </w:p>
    <w:p w:rsidR="00BE2F2E" w:rsidRPr="00C00557" w:rsidRDefault="00BE2F2E" w:rsidP="00CB20B2">
      <w:pPr>
        <w:jc w:val="center"/>
        <w:rPr>
          <w:i/>
          <w:iCs/>
          <w:sz w:val="22"/>
          <w:szCs w:val="22"/>
          <w:lang w:val="sl-SI"/>
        </w:rPr>
      </w:pPr>
      <w:r w:rsidRPr="00C00557">
        <w:rPr>
          <w:sz w:val="22"/>
          <w:szCs w:val="22"/>
        </w:rPr>
        <w:t>ANALYSIS OF MACRO- AND MICROELEMENTS IN DRINKING WATER FROM THE POŽAREVAC CITY PUBLIC WATER SUPPLY SYSTEM</w:t>
      </w:r>
    </w:p>
    <w:p w:rsidR="00BE2F2E" w:rsidRPr="00C00557" w:rsidRDefault="00BE2F2E" w:rsidP="00CB20B2">
      <w:pPr>
        <w:jc w:val="center"/>
        <w:rPr>
          <w:sz w:val="22"/>
          <w:szCs w:val="22"/>
          <w:lang w:val="sr-Latn-CS"/>
        </w:rPr>
      </w:pPr>
    </w:p>
    <w:p w:rsidR="00BE2F2E" w:rsidRPr="00C00557" w:rsidRDefault="00BE2F2E" w:rsidP="00CB20B2">
      <w:pPr>
        <w:jc w:val="center"/>
        <w:rPr>
          <w:b/>
          <w:bCs/>
          <w:sz w:val="22"/>
          <w:szCs w:val="22"/>
          <w:lang w:val="sr-Latn-CS"/>
        </w:rPr>
      </w:pPr>
      <w:r w:rsidRPr="00C00557">
        <w:rPr>
          <w:b/>
          <w:bCs/>
          <w:sz w:val="22"/>
          <w:szCs w:val="22"/>
          <w:lang w:val="sr-Latn-CS"/>
        </w:rPr>
        <w:t>Miloš B. Rajković</w:t>
      </w:r>
      <w:r w:rsidRPr="00C00557">
        <w:rPr>
          <w:rStyle w:val="FootnoteReference"/>
          <w:b/>
          <w:bCs/>
          <w:sz w:val="22"/>
          <w:szCs w:val="22"/>
          <w:lang w:val="sr-Latn-CS"/>
        </w:rPr>
        <w:footnoteReference w:customMarkFollows="1" w:id="2"/>
        <w:sym w:font="Symbol" w:char="F02A"/>
      </w:r>
      <w:r w:rsidRPr="00C00557">
        <w:rPr>
          <w:sz w:val="22"/>
          <w:szCs w:val="22"/>
          <w:vertAlign w:val="superscript"/>
          <w:lang w:val="sr-Latn-CS"/>
        </w:rPr>
        <w:t>1</w:t>
      </w:r>
      <w:r w:rsidRPr="00C00557">
        <w:rPr>
          <w:sz w:val="22"/>
          <w:szCs w:val="22"/>
          <w:lang w:val="sr-Latn-CS"/>
        </w:rPr>
        <w:t>,</w:t>
      </w:r>
      <w:r w:rsidRPr="00C00557">
        <w:rPr>
          <w:b/>
          <w:bCs/>
          <w:sz w:val="22"/>
          <w:szCs w:val="22"/>
          <w:lang w:val="sr-Latn-CS"/>
        </w:rPr>
        <w:t xml:space="preserve"> Mirjana D. Stojanović</w:t>
      </w:r>
      <w:r w:rsidRPr="00C00557">
        <w:rPr>
          <w:sz w:val="22"/>
          <w:szCs w:val="22"/>
          <w:vertAlign w:val="superscript"/>
          <w:lang w:val="sr-Latn-CS"/>
        </w:rPr>
        <w:t>2</w:t>
      </w:r>
      <w:r w:rsidRPr="00C00557">
        <w:rPr>
          <w:sz w:val="22"/>
          <w:szCs w:val="22"/>
          <w:lang w:val="sr-Latn-CS"/>
        </w:rPr>
        <w:t>,</w:t>
      </w:r>
      <w:r w:rsidRPr="00C00557">
        <w:rPr>
          <w:b/>
          <w:bCs/>
          <w:sz w:val="22"/>
          <w:szCs w:val="22"/>
          <w:lang w:val="sr-Latn-CS"/>
        </w:rPr>
        <w:t xml:space="preserve"> Slađana R. Milojković</w:t>
      </w:r>
      <w:r w:rsidRPr="00C00557">
        <w:rPr>
          <w:sz w:val="22"/>
          <w:szCs w:val="22"/>
          <w:vertAlign w:val="superscript"/>
          <w:lang w:val="sr-Latn-CS"/>
        </w:rPr>
        <w:t>3</w:t>
      </w:r>
      <w:r w:rsidRPr="00C00557">
        <w:rPr>
          <w:sz w:val="22"/>
          <w:szCs w:val="22"/>
          <w:lang w:val="sr-Latn-CS"/>
        </w:rPr>
        <w:t>,</w:t>
      </w:r>
    </w:p>
    <w:p w:rsidR="00BE2F2E" w:rsidRPr="00C00557" w:rsidRDefault="00BE2F2E" w:rsidP="00CB20B2">
      <w:pPr>
        <w:jc w:val="center"/>
        <w:rPr>
          <w:b/>
          <w:bCs/>
          <w:sz w:val="22"/>
          <w:szCs w:val="22"/>
          <w:lang w:val="sr-Latn-CS"/>
        </w:rPr>
      </w:pPr>
      <w:r w:rsidRPr="00C00557">
        <w:rPr>
          <w:b/>
          <w:bCs/>
          <w:sz w:val="22"/>
          <w:szCs w:val="22"/>
          <w:lang w:val="sr-Latn-CS"/>
        </w:rPr>
        <w:t>Aleksandar P. Đorđević</w:t>
      </w:r>
      <w:r w:rsidRPr="00C00557">
        <w:rPr>
          <w:sz w:val="22"/>
          <w:szCs w:val="22"/>
          <w:vertAlign w:val="superscript"/>
          <w:lang w:val="sr-Latn-CS"/>
        </w:rPr>
        <w:t>1</w:t>
      </w:r>
      <w:r w:rsidRPr="00C00557">
        <w:rPr>
          <w:sz w:val="22"/>
          <w:szCs w:val="22"/>
          <w:lang w:val="sr-Latn-CS"/>
        </w:rPr>
        <w:t xml:space="preserve"> </w:t>
      </w:r>
      <w:r w:rsidRPr="00C00557">
        <w:rPr>
          <w:b/>
          <w:bCs/>
          <w:sz w:val="22"/>
          <w:szCs w:val="22"/>
          <w:lang w:val="sr-Latn-CS"/>
        </w:rPr>
        <w:t>and Lazar M. Kaluđerović</w:t>
      </w:r>
      <w:r w:rsidRPr="00C00557">
        <w:rPr>
          <w:sz w:val="22"/>
          <w:szCs w:val="22"/>
          <w:vertAlign w:val="superscript"/>
          <w:lang w:val="sr-Latn-CS"/>
        </w:rPr>
        <w:t>1</w:t>
      </w:r>
    </w:p>
    <w:p w:rsidR="00BE2F2E" w:rsidRPr="00C00557" w:rsidRDefault="00BE2F2E" w:rsidP="005254A9">
      <w:pPr>
        <w:pStyle w:val="ListParagraph"/>
        <w:spacing w:after="0" w:line="240" w:lineRule="auto"/>
        <w:ind w:left="0"/>
        <w:jc w:val="center"/>
        <w:rPr>
          <w:rFonts w:ascii="Times New Roman" w:hAnsi="Times New Roman" w:cs="Times New Roman"/>
          <w:caps/>
        </w:rPr>
      </w:pPr>
    </w:p>
    <w:p w:rsidR="00BE2F2E" w:rsidRPr="00C00557" w:rsidRDefault="00BE2F2E" w:rsidP="00CB20B2">
      <w:pPr>
        <w:jc w:val="center"/>
        <w:rPr>
          <w:sz w:val="22"/>
          <w:szCs w:val="22"/>
        </w:rPr>
      </w:pPr>
      <w:r w:rsidRPr="00C00557">
        <w:rPr>
          <w:sz w:val="22"/>
          <w:szCs w:val="22"/>
          <w:vertAlign w:val="superscript"/>
          <w:lang w:val="sr-Latn-CS"/>
        </w:rPr>
        <w:t>1</w:t>
      </w:r>
      <w:r w:rsidRPr="00C00557">
        <w:rPr>
          <w:sz w:val="22"/>
          <w:szCs w:val="22"/>
        </w:rPr>
        <w:t>University of Belgrade, Faculty of Agriculture,</w:t>
      </w:r>
    </w:p>
    <w:p w:rsidR="00BE2F2E" w:rsidRPr="00C00557" w:rsidRDefault="00BE2F2E" w:rsidP="00CB20B2">
      <w:pPr>
        <w:jc w:val="center"/>
        <w:rPr>
          <w:sz w:val="22"/>
          <w:szCs w:val="22"/>
          <w:vertAlign w:val="superscript"/>
          <w:lang w:val="sr-Latn-CS"/>
        </w:rPr>
      </w:pPr>
      <w:r w:rsidRPr="00C00557">
        <w:rPr>
          <w:sz w:val="22"/>
          <w:szCs w:val="22"/>
        </w:rPr>
        <w:t>Nemanjina 6, 11080 Belgrade-Zemun, Serbia</w:t>
      </w:r>
      <w:r w:rsidRPr="00C00557">
        <w:rPr>
          <w:sz w:val="22"/>
          <w:szCs w:val="22"/>
          <w:vertAlign w:val="superscript"/>
          <w:lang w:val="sr-Latn-CS"/>
        </w:rPr>
        <w:t xml:space="preserve"> </w:t>
      </w:r>
    </w:p>
    <w:p w:rsidR="00BE2F2E" w:rsidRPr="00C00557" w:rsidRDefault="00BE2F2E" w:rsidP="00CB20B2">
      <w:pPr>
        <w:jc w:val="center"/>
        <w:rPr>
          <w:sz w:val="22"/>
          <w:szCs w:val="22"/>
          <w:lang w:val="sr-Latn-CS"/>
        </w:rPr>
      </w:pPr>
      <w:r w:rsidRPr="00C00557">
        <w:rPr>
          <w:sz w:val="22"/>
          <w:szCs w:val="22"/>
          <w:vertAlign w:val="superscript"/>
          <w:lang w:val="sr-Latn-CS"/>
        </w:rPr>
        <w:t>2</w:t>
      </w:r>
      <w:r w:rsidRPr="00C00557">
        <w:rPr>
          <w:sz w:val="22"/>
          <w:szCs w:val="22"/>
          <w:lang w:val="sr-Latn-CS"/>
        </w:rPr>
        <w:t xml:space="preserve">Institute for Technology of Nuclear and Other Mineral Raw Materials (ITNMS), </w:t>
      </w:r>
    </w:p>
    <w:p w:rsidR="00BE2F2E" w:rsidRPr="00C00557" w:rsidRDefault="00BE2F2E" w:rsidP="00CB20B2">
      <w:pPr>
        <w:jc w:val="center"/>
        <w:rPr>
          <w:sz w:val="22"/>
          <w:szCs w:val="22"/>
          <w:lang w:val="sr-Latn-CS"/>
        </w:rPr>
      </w:pPr>
      <w:r w:rsidRPr="00C00557">
        <w:rPr>
          <w:sz w:val="22"/>
          <w:szCs w:val="22"/>
          <w:lang w:val="sr-Latn-CS"/>
        </w:rPr>
        <w:t>Franše d’Eperea 86, Belgrade, Serbia</w:t>
      </w:r>
    </w:p>
    <w:p w:rsidR="00BE2F2E" w:rsidRPr="00C00557" w:rsidRDefault="00BE2F2E" w:rsidP="00CB20B2">
      <w:pPr>
        <w:jc w:val="center"/>
        <w:rPr>
          <w:sz w:val="22"/>
          <w:szCs w:val="22"/>
        </w:rPr>
      </w:pPr>
      <w:r w:rsidRPr="00C00557">
        <w:rPr>
          <w:sz w:val="22"/>
          <w:szCs w:val="22"/>
          <w:vertAlign w:val="superscript"/>
        </w:rPr>
        <w:t>3</w:t>
      </w:r>
      <w:r w:rsidRPr="00C00557">
        <w:rPr>
          <w:sz w:val="22"/>
          <w:szCs w:val="22"/>
        </w:rPr>
        <w:t xml:space="preserve">Agricultural Boarding School „Sonja Marinković”, </w:t>
      </w:r>
    </w:p>
    <w:p w:rsidR="00BE2F2E" w:rsidRPr="00C00557" w:rsidRDefault="00BE2F2E" w:rsidP="00CB20B2">
      <w:pPr>
        <w:jc w:val="center"/>
        <w:rPr>
          <w:sz w:val="22"/>
          <w:szCs w:val="22"/>
        </w:rPr>
      </w:pPr>
      <w:r w:rsidRPr="00C00557">
        <w:rPr>
          <w:sz w:val="22"/>
          <w:szCs w:val="22"/>
        </w:rPr>
        <w:t xml:space="preserve">Ilije Birčanina 70, </w:t>
      </w:r>
      <w:r w:rsidRPr="00C00557">
        <w:rPr>
          <w:sz w:val="22"/>
          <w:szCs w:val="22"/>
          <w:lang w:val="sr-Latn-CS"/>
        </w:rPr>
        <w:t>Požarevac, Serbia</w:t>
      </w:r>
    </w:p>
    <w:p w:rsidR="00BE2F2E" w:rsidRPr="00C00557" w:rsidRDefault="00BE2F2E" w:rsidP="005254A9">
      <w:pPr>
        <w:jc w:val="center"/>
        <w:rPr>
          <w:sz w:val="22"/>
          <w:szCs w:val="22"/>
        </w:rPr>
      </w:pPr>
    </w:p>
    <w:p w:rsidR="00BE2F2E" w:rsidRPr="00C00557" w:rsidRDefault="00BE2F2E" w:rsidP="005254A9">
      <w:pPr>
        <w:jc w:val="center"/>
        <w:rPr>
          <w:sz w:val="22"/>
          <w:szCs w:val="22"/>
          <w:lang w:val="sr-Latn-CS"/>
        </w:rPr>
      </w:pPr>
      <w:r w:rsidRPr="00C00557">
        <w:rPr>
          <w:sz w:val="22"/>
          <w:szCs w:val="22"/>
          <w:lang w:val="sr-Latn-CS"/>
        </w:rPr>
        <w:t>A b s t r a c t</w:t>
      </w:r>
    </w:p>
    <w:p w:rsidR="00BE2F2E" w:rsidRPr="00C00557" w:rsidRDefault="00BE2F2E" w:rsidP="005254A9">
      <w:pPr>
        <w:jc w:val="center"/>
        <w:rPr>
          <w:sz w:val="22"/>
          <w:szCs w:val="22"/>
        </w:rPr>
      </w:pPr>
    </w:p>
    <w:p w:rsidR="00BE2F2E" w:rsidRPr="00DA395B" w:rsidRDefault="00BE2F2E" w:rsidP="00C00557">
      <w:pPr>
        <w:ind w:firstLine="425"/>
        <w:jc w:val="both"/>
        <w:rPr>
          <w:sz w:val="22"/>
          <w:szCs w:val="22"/>
          <w:lang w:val="sr-Latn-CS"/>
        </w:rPr>
      </w:pPr>
      <w:r>
        <w:rPr>
          <w:sz w:val="22"/>
          <w:szCs w:val="22"/>
        </w:rPr>
        <w:t>T</w:t>
      </w:r>
      <w:r w:rsidRPr="0046200E">
        <w:rPr>
          <w:sz w:val="22"/>
          <w:szCs w:val="22"/>
        </w:rPr>
        <w:t xml:space="preserve">his study </w:t>
      </w:r>
      <w:r>
        <w:rPr>
          <w:sz w:val="22"/>
          <w:szCs w:val="22"/>
        </w:rPr>
        <w:t>aims at analysing</w:t>
      </w:r>
      <w:r w:rsidRPr="0046200E">
        <w:rPr>
          <w:sz w:val="22"/>
          <w:szCs w:val="22"/>
        </w:rPr>
        <w:t xml:space="preserve"> physical, chemical and microbiological properties, and content of macro- and microelements in the water from the Po</w:t>
      </w:r>
      <w:r>
        <w:rPr>
          <w:sz w:val="22"/>
          <w:szCs w:val="22"/>
        </w:rPr>
        <w:t>ž</w:t>
      </w:r>
      <w:r w:rsidRPr="0046200E">
        <w:rPr>
          <w:sz w:val="22"/>
          <w:szCs w:val="22"/>
        </w:rPr>
        <w:t xml:space="preserve">arevac </w:t>
      </w:r>
      <w:r>
        <w:rPr>
          <w:sz w:val="22"/>
          <w:szCs w:val="22"/>
        </w:rPr>
        <w:t>c</w:t>
      </w:r>
      <w:r w:rsidRPr="0046200E">
        <w:rPr>
          <w:sz w:val="22"/>
          <w:szCs w:val="22"/>
        </w:rPr>
        <w:t>ity public water supply</w:t>
      </w:r>
      <w:r>
        <w:rPr>
          <w:sz w:val="22"/>
          <w:szCs w:val="22"/>
        </w:rPr>
        <w:t xml:space="preserve"> system</w:t>
      </w:r>
      <w:r w:rsidRPr="0046200E">
        <w:rPr>
          <w:sz w:val="22"/>
          <w:szCs w:val="22"/>
        </w:rPr>
        <w:t>. Analysis show</w:t>
      </w:r>
      <w:r>
        <w:rPr>
          <w:sz w:val="22"/>
          <w:szCs w:val="22"/>
        </w:rPr>
        <w:t>s</w:t>
      </w:r>
      <w:r w:rsidRPr="0046200E">
        <w:rPr>
          <w:sz w:val="22"/>
          <w:szCs w:val="22"/>
        </w:rPr>
        <w:t xml:space="preserve"> </w:t>
      </w:r>
      <w:r>
        <w:rPr>
          <w:sz w:val="22"/>
          <w:szCs w:val="22"/>
        </w:rPr>
        <w:t xml:space="preserve">an </w:t>
      </w:r>
      <w:r w:rsidRPr="0046200E">
        <w:rPr>
          <w:sz w:val="22"/>
          <w:szCs w:val="22"/>
        </w:rPr>
        <w:t xml:space="preserve">increased content of Ca in drinking water, as a result of </w:t>
      </w:r>
      <w:r>
        <w:rPr>
          <w:sz w:val="22"/>
          <w:szCs w:val="22"/>
        </w:rPr>
        <w:t xml:space="preserve">the </w:t>
      </w:r>
      <w:r w:rsidRPr="0046200E">
        <w:rPr>
          <w:sz w:val="22"/>
          <w:szCs w:val="22"/>
        </w:rPr>
        <w:t xml:space="preserve">position </w:t>
      </w:r>
      <w:r>
        <w:rPr>
          <w:sz w:val="22"/>
          <w:szCs w:val="22"/>
        </w:rPr>
        <w:t xml:space="preserve">of Požarevac </w:t>
      </w:r>
      <w:r w:rsidRPr="0046200E">
        <w:rPr>
          <w:sz w:val="22"/>
          <w:szCs w:val="22"/>
        </w:rPr>
        <w:t xml:space="preserve">on </w:t>
      </w:r>
      <w:r>
        <w:rPr>
          <w:sz w:val="22"/>
          <w:szCs w:val="22"/>
        </w:rPr>
        <w:t xml:space="preserve">the </w:t>
      </w:r>
      <w:r w:rsidRPr="0046200E">
        <w:rPr>
          <w:sz w:val="22"/>
          <w:szCs w:val="22"/>
        </w:rPr>
        <w:t xml:space="preserve">sediments of </w:t>
      </w:r>
      <w:r w:rsidR="00F65439">
        <w:rPr>
          <w:sz w:val="22"/>
          <w:szCs w:val="22"/>
        </w:rPr>
        <w:t>river terrace</w:t>
      </w:r>
      <w:r w:rsidRPr="0046200E">
        <w:rPr>
          <w:sz w:val="22"/>
          <w:szCs w:val="22"/>
        </w:rPr>
        <w:t xml:space="preserve"> of accumulative character of t1 type, predominantly consisting of quartzite. </w:t>
      </w:r>
      <w:r>
        <w:rPr>
          <w:sz w:val="22"/>
          <w:szCs w:val="22"/>
        </w:rPr>
        <w:t>The w</w:t>
      </w:r>
      <w:r w:rsidRPr="0046200E">
        <w:rPr>
          <w:sz w:val="22"/>
          <w:szCs w:val="22"/>
        </w:rPr>
        <w:t>ater from the public water supply is alkaline (</w:t>
      </w:r>
      <w:r>
        <w:rPr>
          <w:sz w:val="22"/>
          <w:szCs w:val="22"/>
        </w:rPr>
        <w:t>‘</w:t>
      </w:r>
      <w:r w:rsidRPr="0046200E">
        <w:rPr>
          <w:sz w:val="22"/>
          <w:szCs w:val="22"/>
        </w:rPr>
        <w:t>calcic</w:t>
      </w:r>
      <w:r>
        <w:rPr>
          <w:sz w:val="22"/>
          <w:szCs w:val="22"/>
        </w:rPr>
        <w:t>’</w:t>
      </w:r>
      <w:r w:rsidRPr="0046200E">
        <w:rPr>
          <w:sz w:val="22"/>
          <w:szCs w:val="22"/>
        </w:rPr>
        <w:t xml:space="preserve">, </w:t>
      </w:r>
      <w:r>
        <w:rPr>
          <w:sz w:val="22"/>
          <w:szCs w:val="22"/>
        </w:rPr>
        <w:t>‘</w:t>
      </w:r>
      <w:r w:rsidRPr="0046200E">
        <w:rPr>
          <w:sz w:val="22"/>
          <w:szCs w:val="22"/>
        </w:rPr>
        <w:t>bicarbonate water</w:t>
      </w:r>
      <w:r>
        <w:rPr>
          <w:sz w:val="22"/>
          <w:szCs w:val="22"/>
        </w:rPr>
        <w:t>’</w:t>
      </w:r>
      <w:r w:rsidRPr="0046200E">
        <w:rPr>
          <w:sz w:val="22"/>
          <w:szCs w:val="22"/>
        </w:rPr>
        <w:t xml:space="preserve">) and very hard, due to </w:t>
      </w:r>
      <w:r>
        <w:rPr>
          <w:sz w:val="22"/>
          <w:szCs w:val="22"/>
        </w:rPr>
        <w:t xml:space="preserve">the </w:t>
      </w:r>
      <w:r w:rsidRPr="0046200E">
        <w:rPr>
          <w:sz w:val="22"/>
          <w:szCs w:val="22"/>
        </w:rPr>
        <w:t xml:space="preserve">increased Ca content. Beside Ca, potassium and aluminium exceed </w:t>
      </w:r>
      <w:r>
        <w:rPr>
          <w:sz w:val="22"/>
          <w:szCs w:val="22"/>
        </w:rPr>
        <w:t xml:space="preserve">the </w:t>
      </w:r>
      <w:r w:rsidRPr="0046200E">
        <w:rPr>
          <w:sz w:val="22"/>
          <w:szCs w:val="22"/>
        </w:rPr>
        <w:t xml:space="preserve">maximum contaminant level, while Pb and Cd are at the very limit. Calculated data show that there </w:t>
      </w:r>
      <w:r>
        <w:rPr>
          <w:sz w:val="22"/>
          <w:szCs w:val="22"/>
        </w:rPr>
        <w:t>are</w:t>
      </w:r>
      <w:r w:rsidRPr="0046200E">
        <w:rPr>
          <w:sz w:val="22"/>
          <w:szCs w:val="22"/>
        </w:rPr>
        <w:t xml:space="preserve"> no short-term health risk</w:t>
      </w:r>
      <w:r>
        <w:rPr>
          <w:sz w:val="22"/>
          <w:szCs w:val="22"/>
        </w:rPr>
        <w:t>s</w:t>
      </w:r>
      <w:r w:rsidRPr="0046200E">
        <w:rPr>
          <w:sz w:val="22"/>
          <w:szCs w:val="22"/>
        </w:rPr>
        <w:t xml:space="preserve"> regarding elements exceeding allowed concentrations found in </w:t>
      </w:r>
      <w:r>
        <w:rPr>
          <w:sz w:val="22"/>
          <w:szCs w:val="22"/>
        </w:rPr>
        <w:t xml:space="preserve">the </w:t>
      </w:r>
      <w:r w:rsidRPr="0046200E">
        <w:rPr>
          <w:sz w:val="22"/>
          <w:szCs w:val="22"/>
        </w:rPr>
        <w:t>public water supply</w:t>
      </w:r>
      <w:r>
        <w:rPr>
          <w:sz w:val="22"/>
          <w:szCs w:val="22"/>
        </w:rPr>
        <w:t xml:space="preserve"> system</w:t>
      </w:r>
      <w:r w:rsidRPr="0046200E">
        <w:rPr>
          <w:sz w:val="22"/>
          <w:szCs w:val="22"/>
        </w:rPr>
        <w:t>. Data analysis regarding long-term health risk</w:t>
      </w:r>
      <w:r>
        <w:rPr>
          <w:sz w:val="22"/>
          <w:szCs w:val="22"/>
        </w:rPr>
        <w:t>s</w:t>
      </w:r>
      <w:r w:rsidRPr="0046200E">
        <w:rPr>
          <w:sz w:val="22"/>
          <w:szCs w:val="22"/>
        </w:rPr>
        <w:t xml:space="preserve"> show</w:t>
      </w:r>
      <w:r>
        <w:rPr>
          <w:sz w:val="22"/>
          <w:szCs w:val="22"/>
        </w:rPr>
        <w:t>s</w:t>
      </w:r>
      <w:r w:rsidRPr="0046200E">
        <w:rPr>
          <w:sz w:val="22"/>
          <w:szCs w:val="22"/>
        </w:rPr>
        <w:t xml:space="preserve"> that Cd present in drinking water poses the only relevant threat to human health. Cancer risk is present</w:t>
      </w:r>
      <w:r>
        <w:rPr>
          <w:sz w:val="22"/>
          <w:szCs w:val="22"/>
        </w:rPr>
        <w:t>ed</w:t>
      </w:r>
      <w:r w:rsidRPr="0046200E">
        <w:rPr>
          <w:sz w:val="22"/>
          <w:szCs w:val="22"/>
        </w:rPr>
        <w:t xml:space="preserve"> </w:t>
      </w:r>
      <w:r>
        <w:rPr>
          <w:sz w:val="22"/>
          <w:szCs w:val="22"/>
        </w:rPr>
        <w:t>in</w:t>
      </w:r>
      <w:r w:rsidRPr="0046200E">
        <w:rPr>
          <w:sz w:val="22"/>
          <w:szCs w:val="22"/>
        </w:rPr>
        <w:t xml:space="preserve"> 202 out of 1000 inhabitants using this water.</w:t>
      </w:r>
    </w:p>
    <w:p w:rsidR="00BE2F2E" w:rsidRPr="006C6606" w:rsidRDefault="00BE2F2E" w:rsidP="00C00557">
      <w:pPr>
        <w:ind w:firstLine="425"/>
        <w:rPr>
          <w:sz w:val="22"/>
          <w:szCs w:val="22"/>
        </w:rPr>
      </w:pPr>
      <w:r w:rsidRPr="0046200E">
        <w:rPr>
          <w:b/>
          <w:bCs/>
          <w:sz w:val="22"/>
          <w:szCs w:val="22"/>
        </w:rPr>
        <w:t>Key words</w:t>
      </w:r>
      <w:r w:rsidRPr="008712BF">
        <w:rPr>
          <w:b/>
          <w:bCs/>
          <w:sz w:val="22"/>
          <w:szCs w:val="22"/>
        </w:rPr>
        <w:t>:</w:t>
      </w:r>
      <w:r w:rsidRPr="0046200E">
        <w:rPr>
          <w:sz w:val="22"/>
          <w:szCs w:val="22"/>
        </w:rPr>
        <w:t xml:space="preserve"> drinking water, scale, calcium, heavy metals, </w:t>
      </w:r>
      <w:r>
        <w:rPr>
          <w:sz w:val="22"/>
          <w:szCs w:val="22"/>
        </w:rPr>
        <w:t>Požarevac.</w:t>
      </w:r>
    </w:p>
    <w:p w:rsidR="00BE2F2E" w:rsidRDefault="00BE2F2E" w:rsidP="007B2382">
      <w:pPr>
        <w:pStyle w:val="BodyText"/>
        <w:spacing w:after="0"/>
        <w:ind w:firstLine="425"/>
        <w:jc w:val="both"/>
        <w:rPr>
          <w:sz w:val="22"/>
          <w:szCs w:val="22"/>
          <w:lang w:val="sr-Latn-CS"/>
        </w:rPr>
      </w:pPr>
    </w:p>
    <w:p w:rsidR="00BE2F2E" w:rsidRDefault="00BE2F2E" w:rsidP="007B2382">
      <w:pPr>
        <w:pStyle w:val="BodyText"/>
        <w:spacing w:after="0"/>
        <w:ind w:firstLine="425"/>
        <w:jc w:val="both"/>
        <w:rPr>
          <w:sz w:val="22"/>
          <w:szCs w:val="22"/>
          <w:lang w:val="sr-Latn-CS"/>
        </w:rPr>
      </w:pPr>
    </w:p>
    <w:p w:rsidR="00BE2F2E" w:rsidRPr="007B2382" w:rsidRDefault="00BE2F2E" w:rsidP="007B2382">
      <w:pPr>
        <w:pStyle w:val="BodyText"/>
        <w:spacing w:after="0"/>
        <w:ind w:firstLine="425"/>
        <w:jc w:val="both"/>
        <w:rPr>
          <w:sz w:val="22"/>
          <w:szCs w:val="22"/>
          <w:lang w:val="sr-Latn-CS"/>
        </w:rPr>
      </w:pPr>
    </w:p>
    <w:p w:rsidR="00BE2F2E" w:rsidRPr="00D877A5" w:rsidRDefault="00BE2F2E" w:rsidP="007A4B8C">
      <w:pPr>
        <w:autoSpaceDE w:val="0"/>
        <w:autoSpaceDN w:val="0"/>
        <w:adjustRightInd w:val="0"/>
        <w:ind w:left="709" w:hanging="709"/>
        <w:jc w:val="right"/>
        <w:rPr>
          <w:sz w:val="18"/>
          <w:szCs w:val="18"/>
        </w:rPr>
      </w:pPr>
      <w:r w:rsidRPr="00D877A5">
        <w:rPr>
          <w:sz w:val="18"/>
          <w:szCs w:val="18"/>
        </w:rPr>
        <w:t>Received: February</w:t>
      </w:r>
      <w:r>
        <w:rPr>
          <w:sz w:val="18"/>
          <w:szCs w:val="18"/>
        </w:rPr>
        <w:t xml:space="preserve"> </w:t>
      </w:r>
      <w:r w:rsidRPr="00D877A5">
        <w:rPr>
          <w:sz w:val="18"/>
          <w:szCs w:val="18"/>
        </w:rPr>
        <w:t>23, 2018</w:t>
      </w:r>
    </w:p>
    <w:p w:rsidR="00BE2F2E" w:rsidRPr="007A4B8C" w:rsidRDefault="00BE2F2E" w:rsidP="007A4B8C">
      <w:pPr>
        <w:autoSpaceDE w:val="0"/>
        <w:autoSpaceDN w:val="0"/>
        <w:adjustRightInd w:val="0"/>
        <w:ind w:left="709" w:hanging="709"/>
        <w:jc w:val="right"/>
        <w:rPr>
          <w:sz w:val="18"/>
          <w:szCs w:val="18"/>
        </w:rPr>
      </w:pPr>
      <w:r w:rsidRPr="00D877A5">
        <w:rPr>
          <w:sz w:val="18"/>
          <w:szCs w:val="18"/>
        </w:rPr>
        <w:t xml:space="preserve">Accepted: </w:t>
      </w:r>
      <w:r>
        <w:rPr>
          <w:sz w:val="18"/>
          <w:szCs w:val="18"/>
        </w:rPr>
        <w:t xml:space="preserve">July </w:t>
      </w:r>
      <w:r w:rsidRPr="00D877A5">
        <w:rPr>
          <w:sz w:val="18"/>
          <w:szCs w:val="18"/>
        </w:rPr>
        <w:t>13, 2018</w:t>
      </w:r>
    </w:p>
    <w:sectPr w:rsidR="00BE2F2E" w:rsidRPr="007A4B8C" w:rsidSect="00DF7ECF">
      <w:headerReference w:type="even" r:id="rId29"/>
      <w:headerReference w:type="default" r:id="rId30"/>
      <w:headerReference w:type="first" r:id="rId31"/>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551" w:rsidRDefault="009F6551">
      <w:r>
        <w:separator/>
      </w:r>
    </w:p>
  </w:endnote>
  <w:endnote w:type="continuationSeparator" w:id="0">
    <w:p w:rsidR="009F6551" w:rsidRDefault="009F65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00000003" w:usb1="00000000" w:usb2="00000000" w:usb3="00000000" w:csb0="00000001" w:csb1="00000000"/>
  </w:font>
  <w:font w:name="Garamond Premr Pro Smb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551" w:rsidRDefault="009F6551">
      <w:r>
        <w:separator/>
      </w:r>
    </w:p>
  </w:footnote>
  <w:footnote w:type="continuationSeparator" w:id="0">
    <w:p w:rsidR="009F6551" w:rsidRDefault="009F6551">
      <w:r>
        <w:continuationSeparator/>
      </w:r>
    </w:p>
  </w:footnote>
  <w:footnote w:id="1">
    <w:p w:rsidR="00EF4DBE" w:rsidRDefault="00EF4DBE" w:rsidP="006469D0">
      <w:pPr>
        <w:pStyle w:val="FootnoteText"/>
      </w:pPr>
      <w:r w:rsidRPr="006469D0">
        <w:rPr>
          <w:rStyle w:val="FootnoteReference"/>
          <w:sz w:val="18"/>
          <w:szCs w:val="18"/>
          <w:lang w:val="de-DE"/>
        </w:rPr>
        <w:t>*</w:t>
      </w:r>
      <w:r w:rsidRPr="006469D0">
        <w:rPr>
          <w:sz w:val="18"/>
          <w:szCs w:val="18"/>
          <w:lang w:val="de-DE"/>
        </w:rPr>
        <w:t xml:space="preserve">Autor za kontakt: e-mail: </w:t>
      </w:r>
      <w:hyperlink r:id="rId1" w:history="1">
        <w:r w:rsidRPr="006469D0">
          <w:rPr>
            <w:rStyle w:val="Hyperlink"/>
            <w:color w:val="auto"/>
            <w:sz w:val="18"/>
            <w:szCs w:val="18"/>
            <w:u w:val="none"/>
            <w:lang w:val="de-DE"/>
          </w:rPr>
          <w:t>rajmi@agrif.bg.ac.rs</w:t>
        </w:r>
      </w:hyperlink>
    </w:p>
  </w:footnote>
  <w:footnote w:id="2">
    <w:p w:rsidR="00EF4DBE" w:rsidRDefault="00EF4DBE" w:rsidP="00CB20B2">
      <w:pPr>
        <w:pStyle w:val="FootnoteText"/>
        <w:jc w:val="both"/>
      </w:pPr>
      <w:r w:rsidRPr="008712BF">
        <w:rPr>
          <w:rStyle w:val="FootnoteReference"/>
          <w:sz w:val="18"/>
          <w:szCs w:val="18"/>
        </w:rPr>
        <w:sym w:font="Symbol" w:char="F02A"/>
      </w:r>
      <w:r w:rsidRPr="008712BF">
        <w:rPr>
          <w:sz w:val="18"/>
          <w:szCs w:val="18"/>
        </w:rPr>
        <w:t xml:space="preserve">Corresponding author: e-mail: </w:t>
      </w:r>
      <w:hyperlink r:id="rId2" w:history="1">
        <w:r w:rsidRPr="008712BF">
          <w:rPr>
            <w:rStyle w:val="Hyperlink"/>
            <w:color w:val="auto"/>
            <w:sz w:val="18"/>
            <w:szCs w:val="18"/>
            <w:u w:val="none"/>
          </w:rPr>
          <w:t>rajmi@agrif.bg.ac.rs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DBE" w:rsidRDefault="00A11A1F" w:rsidP="003E2BC8">
    <w:pPr>
      <w:pStyle w:val="Header"/>
      <w:framePr w:wrap="auto" w:vAnchor="text" w:hAnchor="page" w:x="2264" w:y="24"/>
      <w:rPr>
        <w:rStyle w:val="PageNumber"/>
        <w:sz w:val="18"/>
        <w:szCs w:val="18"/>
      </w:rPr>
    </w:pPr>
    <w:r w:rsidRPr="004D3E6C">
      <w:rPr>
        <w:rStyle w:val="PageNumber"/>
        <w:sz w:val="18"/>
        <w:szCs w:val="18"/>
      </w:rPr>
      <w:fldChar w:fldCharType="begin"/>
    </w:r>
    <w:r w:rsidR="00EF4DBE" w:rsidRPr="004D3E6C">
      <w:rPr>
        <w:rStyle w:val="PageNumber"/>
        <w:sz w:val="18"/>
        <w:szCs w:val="18"/>
      </w:rPr>
      <w:instrText xml:space="preserve">PAGE  </w:instrText>
    </w:r>
    <w:r w:rsidRPr="004D3E6C">
      <w:rPr>
        <w:rStyle w:val="PageNumber"/>
        <w:sz w:val="18"/>
        <w:szCs w:val="18"/>
      </w:rPr>
      <w:fldChar w:fldCharType="separate"/>
    </w:r>
    <w:r w:rsidR="00DB606B">
      <w:rPr>
        <w:rStyle w:val="PageNumber"/>
        <w:noProof/>
        <w:sz w:val="18"/>
        <w:szCs w:val="18"/>
      </w:rPr>
      <w:t>20</w:t>
    </w:r>
    <w:r w:rsidRPr="004D3E6C">
      <w:rPr>
        <w:rStyle w:val="PageNumber"/>
        <w:sz w:val="18"/>
        <w:szCs w:val="18"/>
      </w:rPr>
      <w:fldChar w:fldCharType="end"/>
    </w:r>
  </w:p>
  <w:p w:rsidR="00EF4DBE" w:rsidRPr="00A5338B" w:rsidRDefault="00EF4DBE" w:rsidP="007873B0">
    <w:pPr>
      <w:pStyle w:val="Header"/>
      <w:pBdr>
        <w:bottom w:val="single" w:sz="4" w:space="1" w:color="auto"/>
      </w:pBdr>
      <w:jc w:val="center"/>
      <w:rPr>
        <w:sz w:val="18"/>
        <w:szCs w:val="18"/>
        <w:lang w:val="en-US"/>
      </w:rPr>
    </w:pPr>
    <w:r w:rsidRPr="005E2BED">
      <w:rPr>
        <w:sz w:val="18"/>
        <w:szCs w:val="18"/>
        <w:lang w:val="sr-Latn-CS"/>
      </w:rPr>
      <w:t>Miloš B. Rajković</w:t>
    </w:r>
    <w:r w:rsidRPr="00A5338B">
      <w:rPr>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DBE" w:rsidRPr="009C09D1" w:rsidRDefault="00A11A1F">
    <w:pPr>
      <w:pStyle w:val="Header"/>
      <w:framePr w:wrap="auto" w:vAnchor="text" w:hAnchor="margin" w:xAlign="outside" w:y="1"/>
      <w:rPr>
        <w:rStyle w:val="PageNumber"/>
        <w:color w:val="FF0000"/>
        <w:sz w:val="18"/>
        <w:szCs w:val="18"/>
      </w:rPr>
    </w:pPr>
    <w:r w:rsidRPr="004D3E6C">
      <w:rPr>
        <w:rStyle w:val="PageNumber"/>
        <w:sz w:val="18"/>
        <w:szCs w:val="18"/>
      </w:rPr>
      <w:fldChar w:fldCharType="begin"/>
    </w:r>
    <w:r w:rsidR="00EF4DBE" w:rsidRPr="004D3E6C">
      <w:rPr>
        <w:rStyle w:val="PageNumber"/>
        <w:sz w:val="18"/>
        <w:szCs w:val="18"/>
      </w:rPr>
      <w:instrText xml:space="preserve">PAGE  </w:instrText>
    </w:r>
    <w:r w:rsidRPr="004D3E6C">
      <w:rPr>
        <w:rStyle w:val="PageNumber"/>
        <w:sz w:val="18"/>
        <w:szCs w:val="18"/>
      </w:rPr>
      <w:fldChar w:fldCharType="separate"/>
    </w:r>
    <w:r w:rsidR="00DB606B">
      <w:rPr>
        <w:rStyle w:val="PageNumber"/>
        <w:noProof/>
        <w:sz w:val="18"/>
        <w:szCs w:val="18"/>
      </w:rPr>
      <w:t>21</w:t>
    </w:r>
    <w:r w:rsidRPr="004D3E6C">
      <w:rPr>
        <w:rStyle w:val="PageNumber"/>
        <w:sz w:val="18"/>
        <w:szCs w:val="18"/>
      </w:rPr>
      <w:fldChar w:fldCharType="end"/>
    </w:r>
  </w:p>
  <w:p w:rsidR="00EF4DBE" w:rsidRPr="005E2BED" w:rsidRDefault="00EF4DBE" w:rsidP="00A5338B">
    <w:pPr>
      <w:pStyle w:val="Header"/>
      <w:pBdr>
        <w:bottom w:val="single" w:sz="4" w:space="1" w:color="auto"/>
      </w:pBdr>
      <w:jc w:val="center"/>
      <w:rPr>
        <w:sz w:val="18"/>
        <w:szCs w:val="18"/>
        <w:lang w:val="sr-Latn-CS"/>
      </w:rPr>
    </w:pPr>
    <w:r>
      <w:rPr>
        <w:sz w:val="18"/>
        <w:szCs w:val="18"/>
        <w:lang w:val="sr-Latn-CS"/>
      </w:rPr>
      <w:t>Analiza sadržaja makro</w:t>
    </w:r>
    <w:r w:rsidRPr="005E2BED">
      <w:rPr>
        <w:sz w:val="18"/>
        <w:szCs w:val="18"/>
        <w:lang w:val="sr-Latn-CS"/>
      </w:rPr>
      <w:t xml:space="preserve"> i mikroelemenata u vodi za piće iz vodovodne mreže grada </w:t>
    </w:r>
    <w:r>
      <w:rPr>
        <w:sz w:val="18"/>
        <w:szCs w:val="18"/>
        <w:lang w:val="sr-Latn-CS"/>
      </w:rPr>
      <w:t>P</w:t>
    </w:r>
    <w:r w:rsidRPr="005E2BED">
      <w:rPr>
        <w:sz w:val="18"/>
        <w:szCs w:val="18"/>
        <w:lang w:val="sr-Latn-CS"/>
      </w:rPr>
      <w:t>ožarevca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Ind w:w="2" w:type="dxa"/>
      <w:tblCellMar>
        <w:left w:w="0" w:type="dxa"/>
        <w:right w:w="0" w:type="dxa"/>
      </w:tblCellMar>
      <w:tblLook w:val="0000"/>
    </w:tblPr>
    <w:tblGrid>
      <w:gridCol w:w="3686"/>
      <w:gridCol w:w="3685"/>
    </w:tblGrid>
    <w:tr w:rsidR="00EF4DBE" w:rsidRPr="006469D0">
      <w:tc>
        <w:tcPr>
          <w:tcW w:w="3686" w:type="dxa"/>
        </w:tcPr>
        <w:p w:rsidR="00EF4DBE" w:rsidRPr="004D3E6C" w:rsidRDefault="00EF4DBE">
          <w:pPr>
            <w:rPr>
              <w:sz w:val="18"/>
              <w:szCs w:val="18"/>
              <w:lang w:val="en-US"/>
            </w:rPr>
          </w:pPr>
          <w:r w:rsidRPr="004D3E6C">
            <w:rPr>
              <w:sz w:val="18"/>
              <w:szCs w:val="18"/>
              <w:lang w:val="en-US"/>
            </w:rPr>
            <w:t>Journal of Agricultural Sciences</w:t>
          </w:r>
        </w:p>
        <w:p w:rsidR="00EF4DBE" w:rsidRPr="004D3E6C" w:rsidRDefault="00EF4DBE"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8</w:t>
          </w:r>
        </w:p>
        <w:p w:rsidR="00EF4DBE" w:rsidRPr="00621E03" w:rsidRDefault="00EF4DBE" w:rsidP="00897BE7">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vAlign w:val="center"/>
        </w:tcPr>
        <w:p w:rsidR="00EF4DBE" w:rsidRPr="00E7314B" w:rsidRDefault="00A11A1F" w:rsidP="008A1EFB">
          <w:pPr>
            <w:pStyle w:val="BodyText"/>
            <w:tabs>
              <w:tab w:val="right" w:leader="dot" w:pos="7371"/>
            </w:tabs>
            <w:spacing w:after="0"/>
            <w:jc w:val="right"/>
            <w:rPr>
              <w:sz w:val="18"/>
              <w:szCs w:val="18"/>
              <w:lang w:val="en-GB" w:eastAsia="en-GB"/>
            </w:rPr>
          </w:pPr>
          <w:hyperlink r:id="rId1" w:history="1">
            <w:r w:rsidR="00EF4DBE" w:rsidRPr="00E7314B">
              <w:rPr>
                <w:rStyle w:val="Hyperlink"/>
                <w:color w:val="auto"/>
                <w:sz w:val="18"/>
                <w:szCs w:val="18"/>
                <w:lang w:val="en-GB" w:eastAsia="en-GB"/>
              </w:rPr>
              <w:t>https://doi.org/</w:t>
            </w:r>
          </w:hyperlink>
        </w:p>
        <w:p w:rsidR="00EF4DBE" w:rsidRPr="006469D0" w:rsidRDefault="00EF4DBE" w:rsidP="008A1EFB">
          <w:pPr>
            <w:pStyle w:val="BodyText"/>
            <w:tabs>
              <w:tab w:val="right" w:leader="dot" w:pos="7371"/>
            </w:tabs>
            <w:spacing w:after="0"/>
            <w:jc w:val="right"/>
            <w:rPr>
              <w:sz w:val="18"/>
              <w:szCs w:val="18"/>
              <w:lang w:val="sr-Latn-CS" w:eastAsia="en-GB"/>
            </w:rPr>
          </w:pPr>
          <w:r w:rsidRPr="006469D0">
            <w:rPr>
              <w:sz w:val="18"/>
              <w:szCs w:val="18"/>
              <w:lang w:eastAsia="en-GB"/>
            </w:rPr>
            <w:t xml:space="preserve">UDC:  </w:t>
          </w:r>
        </w:p>
        <w:p w:rsidR="00EF4DBE" w:rsidRPr="006469D0" w:rsidRDefault="00EF4DBE" w:rsidP="008A1EFB">
          <w:pPr>
            <w:jc w:val="right"/>
            <w:rPr>
              <w:sz w:val="18"/>
              <w:szCs w:val="18"/>
            </w:rPr>
          </w:pPr>
          <w:r w:rsidRPr="006469D0">
            <w:rPr>
              <w:sz w:val="18"/>
              <w:szCs w:val="18"/>
              <w:lang w:val="en-US"/>
            </w:rPr>
            <w:t>Original scientific paper</w:t>
          </w:r>
        </w:p>
      </w:tc>
    </w:tr>
  </w:tbl>
  <w:p w:rsidR="00EF4DBE" w:rsidRPr="00621E03" w:rsidRDefault="00EF4DBE">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5E19"/>
    <w:multiLevelType w:val="hybridMultilevel"/>
    <w:tmpl w:val="8BBE656C"/>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AD71BE7"/>
    <w:multiLevelType w:val="hybridMultilevel"/>
    <w:tmpl w:val="527E0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2207F7"/>
    <w:multiLevelType w:val="hybridMultilevel"/>
    <w:tmpl w:val="5A4EEBEA"/>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3">
    <w:nsid w:val="0E923615"/>
    <w:multiLevelType w:val="hybridMultilevel"/>
    <w:tmpl w:val="E55EF19E"/>
    <w:lvl w:ilvl="0" w:tplc="081A000F">
      <w:start w:val="1"/>
      <w:numFmt w:val="decimal"/>
      <w:lvlText w:val="%1."/>
      <w:lvlJc w:val="left"/>
      <w:pPr>
        <w:tabs>
          <w:tab w:val="num" w:pos="1440"/>
        </w:tabs>
        <w:ind w:left="1440" w:hanging="360"/>
      </w:pPr>
    </w:lvl>
    <w:lvl w:ilvl="1" w:tplc="081A0019">
      <w:start w:val="1"/>
      <w:numFmt w:val="lowerLetter"/>
      <w:lvlText w:val="%2."/>
      <w:lvlJc w:val="left"/>
      <w:pPr>
        <w:tabs>
          <w:tab w:val="num" w:pos="2160"/>
        </w:tabs>
        <w:ind w:left="2160" w:hanging="360"/>
      </w:pPr>
    </w:lvl>
    <w:lvl w:ilvl="2" w:tplc="081A001B">
      <w:start w:val="1"/>
      <w:numFmt w:val="lowerRoman"/>
      <w:lvlText w:val="%3."/>
      <w:lvlJc w:val="right"/>
      <w:pPr>
        <w:tabs>
          <w:tab w:val="num" w:pos="2880"/>
        </w:tabs>
        <w:ind w:left="2880" w:hanging="180"/>
      </w:pPr>
    </w:lvl>
    <w:lvl w:ilvl="3" w:tplc="081A000F">
      <w:start w:val="1"/>
      <w:numFmt w:val="decimal"/>
      <w:lvlText w:val="%4."/>
      <w:lvlJc w:val="left"/>
      <w:pPr>
        <w:tabs>
          <w:tab w:val="num" w:pos="3600"/>
        </w:tabs>
        <w:ind w:left="3600" w:hanging="360"/>
      </w:pPr>
    </w:lvl>
    <w:lvl w:ilvl="4" w:tplc="081A0019">
      <w:start w:val="1"/>
      <w:numFmt w:val="lowerLetter"/>
      <w:lvlText w:val="%5."/>
      <w:lvlJc w:val="left"/>
      <w:pPr>
        <w:tabs>
          <w:tab w:val="num" w:pos="4320"/>
        </w:tabs>
        <w:ind w:left="4320" w:hanging="360"/>
      </w:pPr>
    </w:lvl>
    <w:lvl w:ilvl="5" w:tplc="081A001B">
      <w:start w:val="1"/>
      <w:numFmt w:val="lowerRoman"/>
      <w:lvlText w:val="%6."/>
      <w:lvlJc w:val="right"/>
      <w:pPr>
        <w:tabs>
          <w:tab w:val="num" w:pos="5040"/>
        </w:tabs>
        <w:ind w:left="5040" w:hanging="180"/>
      </w:pPr>
    </w:lvl>
    <w:lvl w:ilvl="6" w:tplc="081A000F">
      <w:start w:val="1"/>
      <w:numFmt w:val="decimal"/>
      <w:lvlText w:val="%7."/>
      <w:lvlJc w:val="left"/>
      <w:pPr>
        <w:tabs>
          <w:tab w:val="num" w:pos="5760"/>
        </w:tabs>
        <w:ind w:left="5760" w:hanging="360"/>
      </w:pPr>
    </w:lvl>
    <w:lvl w:ilvl="7" w:tplc="081A0019">
      <w:start w:val="1"/>
      <w:numFmt w:val="lowerLetter"/>
      <w:lvlText w:val="%8."/>
      <w:lvlJc w:val="left"/>
      <w:pPr>
        <w:tabs>
          <w:tab w:val="num" w:pos="6480"/>
        </w:tabs>
        <w:ind w:left="6480" w:hanging="360"/>
      </w:pPr>
    </w:lvl>
    <w:lvl w:ilvl="8" w:tplc="081A001B">
      <w:start w:val="1"/>
      <w:numFmt w:val="lowerRoman"/>
      <w:lvlText w:val="%9."/>
      <w:lvlJc w:val="right"/>
      <w:pPr>
        <w:tabs>
          <w:tab w:val="num" w:pos="7200"/>
        </w:tabs>
        <w:ind w:left="7200" w:hanging="180"/>
      </w:pPr>
    </w:lvl>
  </w:abstractNum>
  <w:abstractNum w:abstractNumId="4">
    <w:nsid w:val="0F7D6ACD"/>
    <w:multiLevelType w:val="hybridMultilevel"/>
    <w:tmpl w:val="07905838"/>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5">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nsid w:val="125C113F"/>
    <w:multiLevelType w:val="hybridMultilevel"/>
    <w:tmpl w:val="BFB62F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3EF6026"/>
    <w:multiLevelType w:val="hybridMultilevel"/>
    <w:tmpl w:val="AFE8ECA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18D63F4"/>
    <w:multiLevelType w:val="hybridMultilevel"/>
    <w:tmpl w:val="84F42A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EBC1446"/>
    <w:multiLevelType w:val="hybridMultilevel"/>
    <w:tmpl w:val="7F8C7D3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0294FA2"/>
    <w:multiLevelType w:val="multilevel"/>
    <w:tmpl w:val="4E5A4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6B620DD"/>
    <w:multiLevelType w:val="hybridMultilevel"/>
    <w:tmpl w:val="DE0E78C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20E65E6"/>
    <w:multiLevelType w:val="hybridMultilevel"/>
    <w:tmpl w:val="B9D6DC0C"/>
    <w:lvl w:ilvl="0" w:tplc="3EEA0C54">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4D0C0040"/>
    <w:multiLevelType w:val="hybridMultilevel"/>
    <w:tmpl w:val="903007A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4">
    <w:nsid w:val="5623504E"/>
    <w:multiLevelType w:val="hybridMultilevel"/>
    <w:tmpl w:val="0E06397C"/>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15">
    <w:nsid w:val="5F4A6505"/>
    <w:multiLevelType w:val="hybridMultilevel"/>
    <w:tmpl w:val="57F02B58"/>
    <w:lvl w:ilvl="0" w:tplc="0409000F">
      <w:start w:val="1"/>
      <w:numFmt w:val="decimal"/>
      <w:lvlText w:val="%1."/>
      <w:lvlJc w:val="left"/>
      <w:pPr>
        <w:tabs>
          <w:tab w:val="num" w:pos="1381"/>
        </w:tabs>
        <w:ind w:left="1381" w:hanging="360"/>
      </w:pPr>
    </w:lvl>
    <w:lvl w:ilvl="1" w:tplc="04090019">
      <w:start w:val="1"/>
      <w:numFmt w:val="lowerLetter"/>
      <w:lvlText w:val="%2."/>
      <w:lvlJc w:val="left"/>
      <w:pPr>
        <w:tabs>
          <w:tab w:val="num" w:pos="2101"/>
        </w:tabs>
        <w:ind w:left="2101" w:hanging="360"/>
      </w:pPr>
    </w:lvl>
    <w:lvl w:ilvl="2" w:tplc="0409001B">
      <w:start w:val="1"/>
      <w:numFmt w:val="lowerRoman"/>
      <w:lvlText w:val="%3."/>
      <w:lvlJc w:val="right"/>
      <w:pPr>
        <w:tabs>
          <w:tab w:val="num" w:pos="2821"/>
        </w:tabs>
        <w:ind w:left="2821" w:hanging="180"/>
      </w:pPr>
    </w:lvl>
    <w:lvl w:ilvl="3" w:tplc="0409000F">
      <w:start w:val="1"/>
      <w:numFmt w:val="decimal"/>
      <w:lvlText w:val="%4."/>
      <w:lvlJc w:val="left"/>
      <w:pPr>
        <w:tabs>
          <w:tab w:val="num" w:pos="3541"/>
        </w:tabs>
        <w:ind w:left="3541" w:hanging="360"/>
      </w:pPr>
    </w:lvl>
    <w:lvl w:ilvl="4" w:tplc="04090019">
      <w:start w:val="1"/>
      <w:numFmt w:val="lowerLetter"/>
      <w:lvlText w:val="%5."/>
      <w:lvlJc w:val="left"/>
      <w:pPr>
        <w:tabs>
          <w:tab w:val="num" w:pos="4261"/>
        </w:tabs>
        <w:ind w:left="4261" w:hanging="360"/>
      </w:pPr>
    </w:lvl>
    <w:lvl w:ilvl="5" w:tplc="0409001B">
      <w:start w:val="1"/>
      <w:numFmt w:val="lowerRoman"/>
      <w:lvlText w:val="%6."/>
      <w:lvlJc w:val="right"/>
      <w:pPr>
        <w:tabs>
          <w:tab w:val="num" w:pos="4981"/>
        </w:tabs>
        <w:ind w:left="4981" w:hanging="180"/>
      </w:pPr>
    </w:lvl>
    <w:lvl w:ilvl="6" w:tplc="0409000F">
      <w:start w:val="1"/>
      <w:numFmt w:val="decimal"/>
      <w:lvlText w:val="%7."/>
      <w:lvlJc w:val="left"/>
      <w:pPr>
        <w:tabs>
          <w:tab w:val="num" w:pos="5701"/>
        </w:tabs>
        <w:ind w:left="5701" w:hanging="360"/>
      </w:pPr>
    </w:lvl>
    <w:lvl w:ilvl="7" w:tplc="04090019">
      <w:start w:val="1"/>
      <w:numFmt w:val="lowerLetter"/>
      <w:lvlText w:val="%8."/>
      <w:lvlJc w:val="left"/>
      <w:pPr>
        <w:tabs>
          <w:tab w:val="num" w:pos="6421"/>
        </w:tabs>
        <w:ind w:left="6421" w:hanging="360"/>
      </w:pPr>
    </w:lvl>
    <w:lvl w:ilvl="8" w:tplc="0409001B">
      <w:start w:val="1"/>
      <w:numFmt w:val="lowerRoman"/>
      <w:lvlText w:val="%9."/>
      <w:lvlJc w:val="right"/>
      <w:pPr>
        <w:tabs>
          <w:tab w:val="num" w:pos="7141"/>
        </w:tabs>
        <w:ind w:left="7141" w:hanging="180"/>
      </w:pPr>
    </w:lvl>
  </w:abstractNum>
  <w:abstractNum w:abstractNumId="16">
    <w:nsid w:val="65D1547A"/>
    <w:multiLevelType w:val="hybridMultilevel"/>
    <w:tmpl w:val="A942ECB4"/>
    <w:lvl w:ilvl="0" w:tplc="3ABA713C">
      <w:start w:val="1"/>
      <w:numFmt w:val="decimal"/>
      <w:lvlText w:val="%1."/>
      <w:lvlJc w:val="left"/>
      <w:pPr>
        <w:tabs>
          <w:tab w:val="num" w:pos="785"/>
        </w:tabs>
        <w:ind w:left="785" w:hanging="360"/>
      </w:pPr>
      <w:rPr>
        <w:b w:val="0"/>
        <w:bCs w:val="0"/>
        <w:color w:val="auto"/>
        <w:sz w:val="28"/>
        <w:szCs w:val="28"/>
      </w:rPr>
    </w:lvl>
    <w:lvl w:ilvl="1" w:tplc="04190019">
      <w:start w:val="1"/>
      <w:numFmt w:val="lowerLetter"/>
      <w:lvlText w:val="%2."/>
      <w:lvlJc w:val="left"/>
      <w:pPr>
        <w:tabs>
          <w:tab w:val="num" w:pos="1505"/>
        </w:tabs>
        <w:ind w:left="1505" w:hanging="360"/>
      </w:pPr>
    </w:lvl>
    <w:lvl w:ilvl="2" w:tplc="0419001B">
      <w:start w:val="1"/>
      <w:numFmt w:val="lowerRoman"/>
      <w:lvlText w:val="%3."/>
      <w:lvlJc w:val="right"/>
      <w:pPr>
        <w:tabs>
          <w:tab w:val="num" w:pos="2225"/>
        </w:tabs>
        <w:ind w:left="2225" w:hanging="180"/>
      </w:pPr>
    </w:lvl>
    <w:lvl w:ilvl="3" w:tplc="0419000F">
      <w:start w:val="1"/>
      <w:numFmt w:val="decimal"/>
      <w:lvlText w:val="%4."/>
      <w:lvlJc w:val="left"/>
      <w:pPr>
        <w:tabs>
          <w:tab w:val="num" w:pos="2945"/>
        </w:tabs>
        <w:ind w:left="2945" w:hanging="360"/>
      </w:pPr>
    </w:lvl>
    <w:lvl w:ilvl="4" w:tplc="04190019">
      <w:start w:val="1"/>
      <w:numFmt w:val="lowerLetter"/>
      <w:lvlText w:val="%5."/>
      <w:lvlJc w:val="left"/>
      <w:pPr>
        <w:tabs>
          <w:tab w:val="num" w:pos="3665"/>
        </w:tabs>
        <w:ind w:left="3665" w:hanging="360"/>
      </w:pPr>
    </w:lvl>
    <w:lvl w:ilvl="5" w:tplc="0419001B">
      <w:start w:val="1"/>
      <w:numFmt w:val="lowerRoman"/>
      <w:lvlText w:val="%6."/>
      <w:lvlJc w:val="right"/>
      <w:pPr>
        <w:tabs>
          <w:tab w:val="num" w:pos="4385"/>
        </w:tabs>
        <w:ind w:left="4385" w:hanging="180"/>
      </w:pPr>
    </w:lvl>
    <w:lvl w:ilvl="6" w:tplc="0419000F">
      <w:start w:val="1"/>
      <w:numFmt w:val="decimal"/>
      <w:lvlText w:val="%7."/>
      <w:lvlJc w:val="left"/>
      <w:pPr>
        <w:tabs>
          <w:tab w:val="num" w:pos="5105"/>
        </w:tabs>
        <w:ind w:left="5105" w:hanging="360"/>
      </w:pPr>
    </w:lvl>
    <w:lvl w:ilvl="7" w:tplc="04190019">
      <w:start w:val="1"/>
      <w:numFmt w:val="lowerLetter"/>
      <w:lvlText w:val="%8."/>
      <w:lvlJc w:val="left"/>
      <w:pPr>
        <w:tabs>
          <w:tab w:val="num" w:pos="5825"/>
        </w:tabs>
        <w:ind w:left="5825" w:hanging="360"/>
      </w:pPr>
    </w:lvl>
    <w:lvl w:ilvl="8" w:tplc="0419001B">
      <w:start w:val="1"/>
      <w:numFmt w:val="lowerRoman"/>
      <w:lvlText w:val="%9."/>
      <w:lvlJc w:val="right"/>
      <w:pPr>
        <w:tabs>
          <w:tab w:val="num" w:pos="6545"/>
        </w:tabs>
        <w:ind w:left="6545" w:hanging="180"/>
      </w:pPr>
    </w:lvl>
  </w:abstractNum>
  <w:abstractNum w:abstractNumId="17">
    <w:nsid w:val="680E2536"/>
    <w:multiLevelType w:val="hybridMultilevel"/>
    <w:tmpl w:val="6CB855F6"/>
    <w:lvl w:ilvl="0" w:tplc="0409000F">
      <w:start w:val="1"/>
      <w:numFmt w:val="decimal"/>
      <w:lvlText w:val="%1."/>
      <w:lvlJc w:val="left"/>
      <w:pPr>
        <w:tabs>
          <w:tab w:val="num" w:pos="1004"/>
        </w:tabs>
        <w:ind w:left="1004" w:hanging="360"/>
      </w:pPr>
    </w:lvl>
    <w:lvl w:ilvl="1" w:tplc="04090019">
      <w:start w:val="1"/>
      <w:numFmt w:val="lowerLetter"/>
      <w:lvlText w:val="%2."/>
      <w:lvlJc w:val="left"/>
      <w:pPr>
        <w:tabs>
          <w:tab w:val="num" w:pos="1724"/>
        </w:tabs>
        <w:ind w:left="1724" w:hanging="360"/>
      </w:p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8">
    <w:nsid w:val="68513F8A"/>
    <w:multiLevelType w:val="hybridMultilevel"/>
    <w:tmpl w:val="98D24330"/>
    <w:lvl w:ilvl="0" w:tplc="D3DA11C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70901227"/>
    <w:multiLevelType w:val="hybridMultilevel"/>
    <w:tmpl w:val="1A3CB006"/>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71EF1CF4"/>
    <w:multiLevelType w:val="hybridMultilevel"/>
    <w:tmpl w:val="DB8419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73FC4EF0"/>
    <w:multiLevelType w:val="hybridMultilevel"/>
    <w:tmpl w:val="C2AAAB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74A4762E"/>
    <w:multiLevelType w:val="hybridMultilevel"/>
    <w:tmpl w:val="32AC6204"/>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23">
    <w:nsid w:val="74E42C93"/>
    <w:multiLevelType w:val="hybridMultilevel"/>
    <w:tmpl w:val="08E8E88A"/>
    <w:lvl w:ilvl="0" w:tplc="39587272">
      <w:start w:val="1"/>
      <w:numFmt w:val="bullet"/>
      <w:lvlText w:val=""/>
      <w:lvlJc w:val="left"/>
      <w:pPr>
        <w:ind w:left="4689" w:hanging="360"/>
      </w:pPr>
      <w:rPr>
        <w:rFonts w:ascii="Symbol" w:hAnsi="Symbol" w:cs="Symbol" w:hint="default"/>
        <w:sz w:val="24"/>
        <w:szCs w:val="24"/>
      </w:rPr>
    </w:lvl>
    <w:lvl w:ilvl="1" w:tplc="8850EE2C">
      <w:start w:val="1"/>
      <w:numFmt w:val="bullet"/>
      <w:lvlText w:val="o"/>
      <w:lvlJc w:val="left"/>
      <w:pPr>
        <w:ind w:left="5409" w:hanging="360"/>
      </w:pPr>
      <w:rPr>
        <w:rFonts w:ascii="Courier New" w:hAnsi="Courier New" w:cs="Courier New" w:hint="default"/>
        <w:sz w:val="20"/>
        <w:szCs w:val="20"/>
      </w:rPr>
    </w:lvl>
    <w:lvl w:ilvl="2" w:tplc="04090005">
      <w:start w:val="1"/>
      <w:numFmt w:val="bullet"/>
      <w:lvlText w:val=""/>
      <w:lvlJc w:val="left"/>
      <w:pPr>
        <w:ind w:left="6129" w:hanging="360"/>
      </w:pPr>
      <w:rPr>
        <w:rFonts w:ascii="Wingdings" w:hAnsi="Wingdings" w:cs="Wingdings" w:hint="default"/>
      </w:rPr>
    </w:lvl>
    <w:lvl w:ilvl="3" w:tplc="04090001">
      <w:start w:val="1"/>
      <w:numFmt w:val="bullet"/>
      <w:lvlText w:val=""/>
      <w:lvlJc w:val="left"/>
      <w:pPr>
        <w:ind w:left="6849" w:hanging="360"/>
      </w:pPr>
      <w:rPr>
        <w:rFonts w:ascii="Symbol" w:hAnsi="Symbol" w:cs="Symbol" w:hint="default"/>
      </w:rPr>
    </w:lvl>
    <w:lvl w:ilvl="4" w:tplc="04090003">
      <w:start w:val="1"/>
      <w:numFmt w:val="bullet"/>
      <w:lvlText w:val="o"/>
      <w:lvlJc w:val="left"/>
      <w:pPr>
        <w:ind w:left="7569" w:hanging="360"/>
      </w:pPr>
      <w:rPr>
        <w:rFonts w:ascii="Courier New" w:hAnsi="Courier New" w:cs="Courier New" w:hint="default"/>
      </w:rPr>
    </w:lvl>
    <w:lvl w:ilvl="5" w:tplc="04090005">
      <w:start w:val="1"/>
      <w:numFmt w:val="bullet"/>
      <w:lvlText w:val=""/>
      <w:lvlJc w:val="left"/>
      <w:pPr>
        <w:ind w:left="8289" w:hanging="360"/>
      </w:pPr>
      <w:rPr>
        <w:rFonts w:ascii="Wingdings" w:hAnsi="Wingdings" w:cs="Wingdings" w:hint="default"/>
      </w:rPr>
    </w:lvl>
    <w:lvl w:ilvl="6" w:tplc="04090001">
      <w:start w:val="1"/>
      <w:numFmt w:val="bullet"/>
      <w:lvlText w:val=""/>
      <w:lvlJc w:val="left"/>
      <w:pPr>
        <w:ind w:left="9009" w:hanging="360"/>
      </w:pPr>
      <w:rPr>
        <w:rFonts w:ascii="Symbol" w:hAnsi="Symbol" w:cs="Symbol" w:hint="default"/>
      </w:rPr>
    </w:lvl>
    <w:lvl w:ilvl="7" w:tplc="04090003">
      <w:start w:val="1"/>
      <w:numFmt w:val="bullet"/>
      <w:lvlText w:val="o"/>
      <w:lvlJc w:val="left"/>
      <w:pPr>
        <w:ind w:left="9729" w:hanging="360"/>
      </w:pPr>
      <w:rPr>
        <w:rFonts w:ascii="Courier New" w:hAnsi="Courier New" w:cs="Courier New" w:hint="default"/>
      </w:rPr>
    </w:lvl>
    <w:lvl w:ilvl="8" w:tplc="04090005">
      <w:start w:val="1"/>
      <w:numFmt w:val="bullet"/>
      <w:lvlText w:val=""/>
      <w:lvlJc w:val="left"/>
      <w:pPr>
        <w:ind w:left="10449" w:hanging="360"/>
      </w:pPr>
      <w:rPr>
        <w:rFonts w:ascii="Wingdings" w:hAnsi="Wingdings" w:cs="Wingdings" w:hint="default"/>
      </w:rPr>
    </w:lvl>
  </w:abstractNum>
  <w:abstractNum w:abstractNumId="24">
    <w:nsid w:val="75B31769"/>
    <w:multiLevelType w:val="hybridMultilevel"/>
    <w:tmpl w:val="B1CA471C"/>
    <w:lvl w:ilvl="0" w:tplc="A53094F4">
      <w:start w:val="1"/>
      <w:numFmt w:val="decimal"/>
      <w:lvlText w:val="%1."/>
      <w:lvlJc w:val="left"/>
      <w:pPr>
        <w:tabs>
          <w:tab w:val="num" w:pos="57"/>
        </w:tabs>
        <w:ind w:left="964" w:hanging="96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2"/>
  </w:num>
  <w:num w:numId="2">
    <w:abstractNumId w:val="14"/>
  </w:num>
  <w:num w:numId="3">
    <w:abstractNumId w:val="3"/>
  </w:num>
  <w:num w:numId="4">
    <w:abstractNumId w:val="2"/>
  </w:num>
  <w:num w:numId="5">
    <w:abstractNumId w:val="15"/>
  </w:num>
  <w:num w:numId="6">
    <w:abstractNumId w:val="21"/>
  </w:num>
  <w:num w:numId="7">
    <w:abstractNumId w:val="7"/>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8"/>
  </w:num>
  <w:num w:numId="12">
    <w:abstractNumId w:val="24"/>
  </w:num>
  <w:num w:numId="13">
    <w:abstractNumId w:val="4"/>
  </w:num>
  <w:num w:numId="14">
    <w:abstractNumId w:val="20"/>
  </w:num>
  <w:num w:numId="15">
    <w:abstractNumId w:val="17"/>
  </w:num>
  <w:num w:numId="16">
    <w:abstractNumId w:val="10"/>
  </w:num>
  <w:num w:numId="17">
    <w:abstractNumId w:val="13"/>
  </w:num>
  <w:num w:numId="18">
    <w:abstractNumId w:val="5"/>
  </w:num>
  <w:num w:numId="19">
    <w:abstractNumId w:val="12"/>
  </w:num>
  <w:num w:numId="20">
    <w:abstractNumId w:val="11"/>
  </w:num>
  <w:num w:numId="21">
    <w:abstractNumId w:val="6"/>
  </w:num>
  <w:num w:numId="22">
    <w:abstractNumId w:val="23"/>
  </w:num>
  <w:num w:numId="23">
    <w:abstractNumId w:val="8"/>
  </w:num>
  <w:num w:numId="24">
    <w:abstractNumId w:val="19"/>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5"/>
  <w:hyphenationZone w:val="425"/>
  <w:doNotHyphenateCaps/>
  <w:evenAndOddHeaders/>
  <w:drawingGridHorizontalSpacing w:val="100"/>
  <w:displayHorizontalDrawingGridEvery w:val="2"/>
  <w:characterSpacingControl w:val="doNotCompress"/>
  <w:doNotValidateAgainstSchema/>
  <w:doNotDemarcateInvalidXml/>
  <w:footnotePr>
    <w:numFmt w:val="chicago"/>
    <w:footnote w:id="-1"/>
    <w:footnote w:id="0"/>
  </w:footnotePr>
  <w:endnotePr>
    <w:numFmt w:val="chicago"/>
    <w:endnote w:id="-1"/>
    <w:endnote w:id="0"/>
  </w:endnotePr>
  <w:compat/>
  <w:rsids>
    <w:rsidRoot w:val="00864A51"/>
    <w:rsid w:val="00000392"/>
    <w:rsid w:val="00001280"/>
    <w:rsid w:val="0000417E"/>
    <w:rsid w:val="000049BB"/>
    <w:rsid w:val="000058A0"/>
    <w:rsid w:val="00006BE4"/>
    <w:rsid w:val="00007AC9"/>
    <w:rsid w:val="00007C2C"/>
    <w:rsid w:val="00014B65"/>
    <w:rsid w:val="00016C42"/>
    <w:rsid w:val="00020E31"/>
    <w:rsid w:val="00021B32"/>
    <w:rsid w:val="00023D8E"/>
    <w:rsid w:val="00024A75"/>
    <w:rsid w:val="00025986"/>
    <w:rsid w:val="000259E9"/>
    <w:rsid w:val="000262DE"/>
    <w:rsid w:val="000309D7"/>
    <w:rsid w:val="0003458B"/>
    <w:rsid w:val="00035D82"/>
    <w:rsid w:val="000402F6"/>
    <w:rsid w:val="00040FA1"/>
    <w:rsid w:val="00044221"/>
    <w:rsid w:val="0004639B"/>
    <w:rsid w:val="00050B5D"/>
    <w:rsid w:val="00052689"/>
    <w:rsid w:val="000535F1"/>
    <w:rsid w:val="000536D8"/>
    <w:rsid w:val="00054A00"/>
    <w:rsid w:val="0006002F"/>
    <w:rsid w:val="00060E84"/>
    <w:rsid w:val="0006179A"/>
    <w:rsid w:val="00065EDB"/>
    <w:rsid w:val="000668EF"/>
    <w:rsid w:val="00067337"/>
    <w:rsid w:val="0007089C"/>
    <w:rsid w:val="000734D9"/>
    <w:rsid w:val="00077104"/>
    <w:rsid w:val="00077346"/>
    <w:rsid w:val="00084783"/>
    <w:rsid w:val="00086180"/>
    <w:rsid w:val="00087A3D"/>
    <w:rsid w:val="000908F4"/>
    <w:rsid w:val="00091660"/>
    <w:rsid w:val="00092547"/>
    <w:rsid w:val="00093FEB"/>
    <w:rsid w:val="00094C83"/>
    <w:rsid w:val="000A71D5"/>
    <w:rsid w:val="000B4472"/>
    <w:rsid w:val="000B52C0"/>
    <w:rsid w:val="000B69DD"/>
    <w:rsid w:val="000C2AD1"/>
    <w:rsid w:val="000C6E7A"/>
    <w:rsid w:val="000C6F4D"/>
    <w:rsid w:val="000D1FFB"/>
    <w:rsid w:val="000D20CD"/>
    <w:rsid w:val="000D219A"/>
    <w:rsid w:val="000D35CB"/>
    <w:rsid w:val="000D5967"/>
    <w:rsid w:val="000D7C85"/>
    <w:rsid w:val="000E2F35"/>
    <w:rsid w:val="000E4924"/>
    <w:rsid w:val="000E62B7"/>
    <w:rsid w:val="000E734C"/>
    <w:rsid w:val="000F0A5C"/>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CE9"/>
    <w:rsid w:val="00131D44"/>
    <w:rsid w:val="001328E8"/>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72BD"/>
    <w:rsid w:val="001604C0"/>
    <w:rsid w:val="00164F54"/>
    <w:rsid w:val="001651CA"/>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0ED8"/>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50B2"/>
    <w:rsid w:val="00206FBE"/>
    <w:rsid w:val="0020733E"/>
    <w:rsid w:val="0021095B"/>
    <w:rsid w:val="00211A60"/>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603D6"/>
    <w:rsid w:val="00262E4A"/>
    <w:rsid w:val="0026355A"/>
    <w:rsid w:val="0026570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E5"/>
    <w:rsid w:val="002926FD"/>
    <w:rsid w:val="00293489"/>
    <w:rsid w:val="00293E95"/>
    <w:rsid w:val="002947C5"/>
    <w:rsid w:val="0029632B"/>
    <w:rsid w:val="00296AE9"/>
    <w:rsid w:val="00297803"/>
    <w:rsid w:val="00297EE6"/>
    <w:rsid w:val="002A2342"/>
    <w:rsid w:val="002A372D"/>
    <w:rsid w:val="002B352C"/>
    <w:rsid w:val="002B4D87"/>
    <w:rsid w:val="002B4EEA"/>
    <w:rsid w:val="002C0382"/>
    <w:rsid w:val="002C1DF0"/>
    <w:rsid w:val="002C1E86"/>
    <w:rsid w:val="002C2784"/>
    <w:rsid w:val="002C3A18"/>
    <w:rsid w:val="002C3E04"/>
    <w:rsid w:val="002C4CD4"/>
    <w:rsid w:val="002C4E3F"/>
    <w:rsid w:val="002C5621"/>
    <w:rsid w:val="002C65B4"/>
    <w:rsid w:val="002D16BB"/>
    <w:rsid w:val="002D41E8"/>
    <w:rsid w:val="002E204F"/>
    <w:rsid w:val="002E2B30"/>
    <w:rsid w:val="002E3AE3"/>
    <w:rsid w:val="002E4BAE"/>
    <w:rsid w:val="002E5831"/>
    <w:rsid w:val="002E6660"/>
    <w:rsid w:val="002E746A"/>
    <w:rsid w:val="002F0ADD"/>
    <w:rsid w:val="002F1017"/>
    <w:rsid w:val="002F1527"/>
    <w:rsid w:val="002F18D9"/>
    <w:rsid w:val="002F42C3"/>
    <w:rsid w:val="0030070D"/>
    <w:rsid w:val="00300E3E"/>
    <w:rsid w:val="003011AD"/>
    <w:rsid w:val="0030448E"/>
    <w:rsid w:val="00306C72"/>
    <w:rsid w:val="00306CCB"/>
    <w:rsid w:val="003122C0"/>
    <w:rsid w:val="00315827"/>
    <w:rsid w:val="00320918"/>
    <w:rsid w:val="00324C5D"/>
    <w:rsid w:val="0032797E"/>
    <w:rsid w:val="00330389"/>
    <w:rsid w:val="00332631"/>
    <w:rsid w:val="00334CD0"/>
    <w:rsid w:val="00341C52"/>
    <w:rsid w:val="00342FA9"/>
    <w:rsid w:val="00343CA3"/>
    <w:rsid w:val="00344572"/>
    <w:rsid w:val="00347495"/>
    <w:rsid w:val="00347C0A"/>
    <w:rsid w:val="00353031"/>
    <w:rsid w:val="003543CF"/>
    <w:rsid w:val="00354809"/>
    <w:rsid w:val="00354B0B"/>
    <w:rsid w:val="003551EF"/>
    <w:rsid w:val="00356585"/>
    <w:rsid w:val="003602BA"/>
    <w:rsid w:val="00360938"/>
    <w:rsid w:val="00361020"/>
    <w:rsid w:val="00364F8E"/>
    <w:rsid w:val="003672C1"/>
    <w:rsid w:val="003714DF"/>
    <w:rsid w:val="003720F5"/>
    <w:rsid w:val="003729A7"/>
    <w:rsid w:val="00376847"/>
    <w:rsid w:val="0037750B"/>
    <w:rsid w:val="003804EF"/>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2519"/>
    <w:rsid w:val="003C0D55"/>
    <w:rsid w:val="003C1D27"/>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F0C69"/>
    <w:rsid w:val="003F0E1D"/>
    <w:rsid w:val="003F1CAF"/>
    <w:rsid w:val="003F4D00"/>
    <w:rsid w:val="0040230D"/>
    <w:rsid w:val="004035BD"/>
    <w:rsid w:val="0040436E"/>
    <w:rsid w:val="00406CFA"/>
    <w:rsid w:val="00406D60"/>
    <w:rsid w:val="004137CF"/>
    <w:rsid w:val="00414BE9"/>
    <w:rsid w:val="00421736"/>
    <w:rsid w:val="004254B6"/>
    <w:rsid w:val="004267A2"/>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00E"/>
    <w:rsid w:val="00462CD6"/>
    <w:rsid w:val="00463915"/>
    <w:rsid w:val="00464F68"/>
    <w:rsid w:val="0046534D"/>
    <w:rsid w:val="00472923"/>
    <w:rsid w:val="00477547"/>
    <w:rsid w:val="004779C9"/>
    <w:rsid w:val="004814CA"/>
    <w:rsid w:val="004824F4"/>
    <w:rsid w:val="00482CCE"/>
    <w:rsid w:val="00482FD8"/>
    <w:rsid w:val="004845FE"/>
    <w:rsid w:val="004878F2"/>
    <w:rsid w:val="00487C4F"/>
    <w:rsid w:val="004917BA"/>
    <w:rsid w:val="004919B2"/>
    <w:rsid w:val="00492E22"/>
    <w:rsid w:val="004A0319"/>
    <w:rsid w:val="004A127D"/>
    <w:rsid w:val="004A3AC5"/>
    <w:rsid w:val="004A4F37"/>
    <w:rsid w:val="004A73DA"/>
    <w:rsid w:val="004B149C"/>
    <w:rsid w:val="004B2694"/>
    <w:rsid w:val="004B6C6B"/>
    <w:rsid w:val="004C060F"/>
    <w:rsid w:val="004C1146"/>
    <w:rsid w:val="004C2D0D"/>
    <w:rsid w:val="004C6D10"/>
    <w:rsid w:val="004D16FA"/>
    <w:rsid w:val="004D3E6C"/>
    <w:rsid w:val="004D49A0"/>
    <w:rsid w:val="004D69D5"/>
    <w:rsid w:val="004D73F7"/>
    <w:rsid w:val="004E00BB"/>
    <w:rsid w:val="004E7C02"/>
    <w:rsid w:val="004F0D80"/>
    <w:rsid w:val="004F40ED"/>
    <w:rsid w:val="004F4232"/>
    <w:rsid w:val="00500CFE"/>
    <w:rsid w:val="005012CC"/>
    <w:rsid w:val="00504F0C"/>
    <w:rsid w:val="00515087"/>
    <w:rsid w:val="00516C2D"/>
    <w:rsid w:val="00523034"/>
    <w:rsid w:val="0052508A"/>
    <w:rsid w:val="005254A9"/>
    <w:rsid w:val="00527516"/>
    <w:rsid w:val="005278ED"/>
    <w:rsid w:val="005279A8"/>
    <w:rsid w:val="00527AFA"/>
    <w:rsid w:val="00532C8D"/>
    <w:rsid w:val="00533506"/>
    <w:rsid w:val="00540672"/>
    <w:rsid w:val="005408C3"/>
    <w:rsid w:val="005411EE"/>
    <w:rsid w:val="00543705"/>
    <w:rsid w:val="00545825"/>
    <w:rsid w:val="00547315"/>
    <w:rsid w:val="00550A20"/>
    <w:rsid w:val="005542B1"/>
    <w:rsid w:val="00555FC3"/>
    <w:rsid w:val="0055644D"/>
    <w:rsid w:val="005568B0"/>
    <w:rsid w:val="00560D9E"/>
    <w:rsid w:val="00564A3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78A4"/>
    <w:rsid w:val="005922DE"/>
    <w:rsid w:val="00595E90"/>
    <w:rsid w:val="005977CD"/>
    <w:rsid w:val="005977EA"/>
    <w:rsid w:val="00597BD3"/>
    <w:rsid w:val="005A2507"/>
    <w:rsid w:val="005B0DA8"/>
    <w:rsid w:val="005B1332"/>
    <w:rsid w:val="005B32A1"/>
    <w:rsid w:val="005B5DA9"/>
    <w:rsid w:val="005C0CCD"/>
    <w:rsid w:val="005C3211"/>
    <w:rsid w:val="005C4877"/>
    <w:rsid w:val="005C6333"/>
    <w:rsid w:val="005D155E"/>
    <w:rsid w:val="005D33B7"/>
    <w:rsid w:val="005D652A"/>
    <w:rsid w:val="005E09F2"/>
    <w:rsid w:val="005E2BED"/>
    <w:rsid w:val="005E6043"/>
    <w:rsid w:val="005E6D25"/>
    <w:rsid w:val="005F0C25"/>
    <w:rsid w:val="005F199C"/>
    <w:rsid w:val="005F3636"/>
    <w:rsid w:val="005F4FC8"/>
    <w:rsid w:val="005F5D22"/>
    <w:rsid w:val="005F64EC"/>
    <w:rsid w:val="00600CAC"/>
    <w:rsid w:val="00605F2F"/>
    <w:rsid w:val="00606666"/>
    <w:rsid w:val="00606C9A"/>
    <w:rsid w:val="00606E3A"/>
    <w:rsid w:val="006073C5"/>
    <w:rsid w:val="00607488"/>
    <w:rsid w:val="00611D95"/>
    <w:rsid w:val="00612461"/>
    <w:rsid w:val="00613F7F"/>
    <w:rsid w:val="006173F5"/>
    <w:rsid w:val="00617E26"/>
    <w:rsid w:val="006211A0"/>
    <w:rsid w:val="0062191C"/>
    <w:rsid w:val="00621E03"/>
    <w:rsid w:val="00623218"/>
    <w:rsid w:val="006232A9"/>
    <w:rsid w:val="00630109"/>
    <w:rsid w:val="0063062C"/>
    <w:rsid w:val="00634E04"/>
    <w:rsid w:val="006353FE"/>
    <w:rsid w:val="00635A81"/>
    <w:rsid w:val="0063688B"/>
    <w:rsid w:val="00636F1B"/>
    <w:rsid w:val="0063701B"/>
    <w:rsid w:val="006451EA"/>
    <w:rsid w:val="006455D7"/>
    <w:rsid w:val="00645ECD"/>
    <w:rsid w:val="006469D0"/>
    <w:rsid w:val="00650FDD"/>
    <w:rsid w:val="00651560"/>
    <w:rsid w:val="00652C03"/>
    <w:rsid w:val="0065321F"/>
    <w:rsid w:val="006551FB"/>
    <w:rsid w:val="00655780"/>
    <w:rsid w:val="00656B18"/>
    <w:rsid w:val="00656F57"/>
    <w:rsid w:val="006571BF"/>
    <w:rsid w:val="00657FBA"/>
    <w:rsid w:val="006613EB"/>
    <w:rsid w:val="00663042"/>
    <w:rsid w:val="006635DE"/>
    <w:rsid w:val="006638FB"/>
    <w:rsid w:val="0066394C"/>
    <w:rsid w:val="006645E2"/>
    <w:rsid w:val="00665B12"/>
    <w:rsid w:val="00666043"/>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2A27"/>
    <w:rsid w:val="006C41C0"/>
    <w:rsid w:val="006C465E"/>
    <w:rsid w:val="006C6606"/>
    <w:rsid w:val="006C7C5F"/>
    <w:rsid w:val="006D0126"/>
    <w:rsid w:val="006D0857"/>
    <w:rsid w:val="006D1AA9"/>
    <w:rsid w:val="006D2829"/>
    <w:rsid w:val="006D6E6D"/>
    <w:rsid w:val="006D7CB0"/>
    <w:rsid w:val="006E242A"/>
    <w:rsid w:val="006E519E"/>
    <w:rsid w:val="006E5657"/>
    <w:rsid w:val="006E6B21"/>
    <w:rsid w:val="006E7389"/>
    <w:rsid w:val="006F0134"/>
    <w:rsid w:val="006F16F7"/>
    <w:rsid w:val="006F24B9"/>
    <w:rsid w:val="006F4388"/>
    <w:rsid w:val="006F5D18"/>
    <w:rsid w:val="006F6BE1"/>
    <w:rsid w:val="00700CCA"/>
    <w:rsid w:val="00702E5B"/>
    <w:rsid w:val="00704127"/>
    <w:rsid w:val="00706B52"/>
    <w:rsid w:val="00706C1B"/>
    <w:rsid w:val="00706F3E"/>
    <w:rsid w:val="007070FB"/>
    <w:rsid w:val="007102A9"/>
    <w:rsid w:val="00711578"/>
    <w:rsid w:val="00712A9D"/>
    <w:rsid w:val="00713171"/>
    <w:rsid w:val="00714BE3"/>
    <w:rsid w:val="00715877"/>
    <w:rsid w:val="00716D56"/>
    <w:rsid w:val="00720DFC"/>
    <w:rsid w:val="00720FE6"/>
    <w:rsid w:val="00721FF0"/>
    <w:rsid w:val="0072623C"/>
    <w:rsid w:val="0072664E"/>
    <w:rsid w:val="007271FD"/>
    <w:rsid w:val="00731696"/>
    <w:rsid w:val="00732EB8"/>
    <w:rsid w:val="0073667D"/>
    <w:rsid w:val="007477FF"/>
    <w:rsid w:val="00753150"/>
    <w:rsid w:val="00753D32"/>
    <w:rsid w:val="00755B82"/>
    <w:rsid w:val="007610A9"/>
    <w:rsid w:val="007640C6"/>
    <w:rsid w:val="0076468A"/>
    <w:rsid w:val="0076503E"/>
    <w:rsid w:val="0076533E"/>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17E5"/>
    <w:rsid w:val="00792385"/>
    <w:rsid w:val="00793BF6"/>
    <w:rsid w:val="007952AB"/>
    <w:rsid w:val="00795306"/>
    <w:rsid w:val="00795876"/>
    <w:rsid w:val="00797EE8"/>
    <w:rsid w:val="007A24B8"/>
    <w:rsid w:val="007A34A0"/>
    <w:rsid w:val="007A4B8C"/>
    <w:rsid w:val="007B0091"/>
    <w:rsid w:val="007B0164"/>
    <w:rsid w:val="007B02C0"/>
    <w:rsid w:val="007B0BFF"/>
    <w:rsid w:val="007B2382"/>
    <w:rsid w:val="007B722F"/>
    <w:rsid w:val="007B74B6"/>
    <w:rsid w:val="007C0719"/>
    <w:rsid w:val="007C0BF5"/>
    <w:rsid w:val="007C1539"/>
    <w:rsid w:val="007C1953"/>
    <w:rsid w:val="007C28BD"/>
    <w:rsid w:val="007C39B9"/>
    <w:rsid w:val="007C5AD2"/>
    <w:rsid w:val="007D07F3"/>
    <w:rsid w:val="007D3126"/>
    <w:rsid w:val="007D603D"/>
    <w:rsid w:val="007D6765"/>
    <w:rsid w:val="007D71E0"/>
    <w:rsid w:val="007E0565"/>
    <w:rsid w:val="007E3A84"/>
    <w:rsid w:val="007E73DA"/>
    <w:rsid w:val="007E7C6B"/>
    <w:rsid w:val="007F3590"/>
    <w:rsid w:val="007F3593"/>
    <w:rsid w:val="007F3A85"/>
    <w:rsid w:val="007F5C1A"/>
    <w:rsid w:val="007F5ED9"/>
    <w:rsid w:val="007F61AA"/>
    <w:rsid w:val="007F7A49"/>
    <w:rsid w:val="008033F0"/>
    <w:rsid w:val="00803D5D"/>
    <w:rsid w:val="008125F4"/>
    <w:rsid w:val="00813FC7"/>
    <w:rsid w:val="0082347E"/>
    <w:rsid w:val="00823AF6"/>
    <w:rsid w:val="00823FB0"/>
    <w:rsid w:val="0082566C"/>
    <w:rsid w:val="00834AE3"/>
    <w:rsid w:val="008379C6"/>
    <w:rsid w:val="00837A24"/>
    <w:rsid w:val="00844730"/>
    <w:rsid w:val="00846243"/>
    <w:rsid w:val="008464B4"/>
    <w:rsid w:val="0084729A"/>
    <w:rsid w:val="00852E7F"/>
    <w:rsid w:val="00854799"/>
    <w:rsid w:val="00855B50"/>
    <w:rsid w:val="0085764D"/>
    <w:rsid w:val="00857AF9"/>
    <w:rsid w:val="00862BA4"/>
    <w:rsid w:val="00863E2C"/>
    <w:rsid w:val="00864A51"/>
    <w:rsid w:val="00865DF1"/>
    <w:rsid w:val="00867166"/>
    <w:rsid w:val="0086721D"/>
    <w:rsid w:val="008677E9"/>
    <w:rsid w:val="008678B9"/>
    <w:rsid w:val="008709E1"/>
    <w:rsid w:val="008712BF"/>
    <w:rsid w:val="00871BED"/>
    <w:rsid w:val="00872C71"/>
    <w:rsid w:val="008738E4"/>
    <w:rsid w:val="00873AC1"/>
    <w:rsid w:val="00875670"/>
    <w:rsid w:val="00886F15"/>
    <w:rsid w:val="0089166F"/>
    <w:rsid w:val="008916EF"/>
    <w:rsid w:val="00892888"/>
    <w:rsid w:val="008929DF"/>
    <w:rsid w:val="00893E4F"/>
    <w:rsid w:val="00896017"/>
    <w:rsid w:val="00897BE7"/>
    <w:rsid w:val="00897FE3"/>
    <w:rsid w:val="008A123F"/>
    <w:rsid w:val="008A1D83"/>
    <w:rsid w:val="008A1EFB"/>
    <w:rsid w:val="008A2DE5"/>
    <w:rsid w:val="008A304F"/>
    <w:rsid w:val="008A33C8"/>
    <w:rsid w:val="008A40BD"/>
    <w:rsid w:val="008A7970"/>
    <w:rsid w:val="008B1584"/>
    <w:rsid w:val="008B566D"/>
    <w:rsid w:val="008C3672"/>
    <w:rsid w:val="008C3919"/>
    <w:rsid w:val="008C4ECF"/>
    <w:rsid w:val="008D12B7"/>
    <w:rsid w:val="008D4381"/>
    <w:rsid w:val="008D54DB"/>
    <w:rsid w:val="008D5C5F"/>
    <w:rsid w:val="008D745C"/>
    <w:rsid w:val="008E2422"/>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2274"/>
    <w:rsid w:val="00924788"/>
    <w:rsid w:val="00924CEF"/>
    <w:rsid w:val="0092541A"/>
    <w:rsid w:val="00926BAD"/>
    <w:rsid w:val="009276D2"/>
    <w:rsid w:val="00930B88"/>
    <w:rsid w:val="0093135D"/>
    <w:rsid w:val="00934029"/>
    <w:rsid w:val="009355FB"/>
    <w:rsid w:val="009356E0"/>
    <w:rsid w:val="00942ED6"/>
    <w:rsid w:val="009447B8"/>
    <w:rsid w:val="00946F42"/>
    <w:rsid w:val="00950F9E"/>
    <w:rsid w:val="00952EDD"/>
    <w:rsid w:val="00954586"/>
    <w:rsid w:val="009563A2"/>
    <w:rsid w:val="00956754"/>
    <w:rsid w:val="00957735"/>
    <w:rsid w:val="00957BC0"/>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394D"/>
    <w:rsid w:val="009B4963"/>
    <w:rsid w:val="009B512C"/>
    <w:rsid w:val="009B56C3"/>
    <w:rsid w:val="009B76BD"/>
    <w:rsid w:val="009B79F1"/>
    <w:rsid w:val="009C09D1"/>
    <w:rsid w:val="009C2C52"/>
    <w:rsid w:val="009C459C"/>
    <w:rsid w:val="009C5B6C"/>
    <w:rsid w:val="009C5C80"/>
    <w:rsid w:val="009C691F"/>
    <w:rsid w:val="009D0393"/>
    <w:rsid w:val="009D28A7"/>
    <w:rsid w:val="009D4071"/>
    <w:rsid w:val="009E014D"/>
    <w:rsid w:val="009E0F74"/>
    <w:rsid w:val="009E1687"/>
    <w:rsid w:val="009E59C8"/>
    <w:rsid w:val="009E6A46"/>
    <w:rsid w:val="009F0AB4"/>
    <w:rsid w:val="009F1776"/>
    <w:rsid w:val="009F2345"/>
    <w:rsid w:val="009F3E64"/>
    <w:rsid w:val="009F64D8"/>
    <w:rsid w:val="009F6551"/>
    <w:rsid w:val="00A0090E"/>
    <w:rsid w:val="00A02B44"/>
    <w:rsid w:val="00A058EC"/>
    <w:rsid w:val="00A05CC6"/>
    <w:rsid w:val="00A10BD5"/>
    <w:rsid w:val="00A11A1F"/>
    <w:rsid w:val="00A127DD"/>
    <w:rsid w:val="00A12CF5"/>
    <w:rsid w:val="00A14FFB"/>
    <w:rsid w:val="00A15D57"/>
    <w:rsid w:val="00A167D4"/>
    <w:rsid w:val="00A21809"/>
    <w:rsid w:val="00A24693"/>
    <w:rsid w:val="00A25ADE"/>
    <w:rsid w:val="00A26053"/>
    <w:rsid w:val="00A30EAD"/>
    <w:rsid w:val="00A35D5D"/>
    <w:rsid w:val="00A35FC9"/>
    <w:rsid w:val="00A363AB"/>
    <w:rsid w:val="00A37900"/>
    <w:rsid w:val="00A37F4C"/>
    <w:rsid w:val="00A43300"/>
    <w:rsid w:val="00A43A2D"/>
    <w:rsid w:val="00A46117"/>
    <w:rsid w:val="00A469C0"/>
    <w:rsid w:val="00A47BAA"/>
    <w:rsid w:val="00A5338B"/>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196C"/>
    <w:rsid w:val="00A8230A"/>
    <w:rsid w:val="00A834BE"/>
    <w:rsid w:val="00A85910"/>
    <w:rsid w:val="00A870B2"/>
    <w:rsid w:val="00A87568"/>
    <w:rsid w:val="00A877A4"/>
    <w:rsid w:val="00A90C15"/>
    <w:rsid w:val="00A913A2"/>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3C21"/>
    <w:rsid w:val="00AC4652"/>
    <w:rsid w:val="00AC4D87"/>
    <w:rsid w:val="00AD19C9"/>
    <w:rsid w:val="00AD24A9"/>
    <w:rsid w:val="00AD2739"/>
    <w:rsid w:val="00AD65F4"/>
    <w:rsid w:val="00AE0119"/>
    <w:rsid w:val="00AE2F13"/>
    <w:rsid w:val="00AE53B6"/>
    <w:rsid w:val="00AF0364"/>
    <w:rsid w:val="00AF084A"/>
    <w:rsid w:val="00AF0976"/>
    <w:rsid w:val="00AF1E3D"/>
    <w:rsid w:val="00AF2080"/>
    <w:rsid w:val="00AF6A40"/>
    <w:rsid w:val="00B010C5"/>
    <w:rsid w:val="00B011CE"/>
    <w:rsid w:val="00B017CE"/>
    <w:rsid w:val="00B0763A"/>
    <w:rsid w:val="00B1002E"/>
    <w:rsid w:val="00B12A57"/>
    <w:rsid w:val="00B13B7F"/>
    <w:rsid w:val="00B17E64"/>
    <w:rsid w:val="00B205A9"/>
    <w:rsid w:val="00B233DB"/>
    <w:rsid w:val="00B24B31"/>
    <w:rsid w:val="00B30468"/>
    <w:rsid w:val="00B304D1"/>
    <w:rsid w:val="00B320FF"/>
    <w:rsid w:val="00B32C9E"/>
    <w:rsid w:val="00B3458F"/>
    <w:rsid w:val="00B372B7"/>
    <w:rsid w:val="00B37DC9"/>
    <w:rsid w:val="00B4018B"/>
    <w:rsid w:val="00B409E7"/>
    <w:rsid w:val="00B40EFB"/>
    <w:rsid w:val="00B458ED"/>
    <w:rsid w:val="00B45A52"/>
    <w:rsid w:val="00B45DB0"/>
    <w:rsid w:val="00B51C0F"/>
    <w:rsid w:val="00B5219E"/>
    <w:rsid w:val="00B52E44"/>
    <w:rsid w:val="00B52E8D"/>
    <w:rsid w:val="00B52EDF"/>
    <w:rsid w:val="00B57B1A"/>
    <w:rsid w:val="00B57CEE"/>
    <w:rsid w:val="00B60611"/>
    <w:rsid w:val="00B60B83"/>
    <w:rsid w:val="00B60FB8"/>
    <w:rsid w:val="00B63073"/>
    <w:rsid w:val="00B674A2"/>
    <w:rsid w:val="00B70390"/>
    <w:rsid w:val="00B7107E"/>
    <w:rsid w:val="00B72EB5"/>
    <w:rsid w:val="00B73BF8"/>
    <w:rsid w:val="00B74975"/>
    <w:rsid w:val="00B76A11"/>
    <w:rsid w:val="00B77038"/>
    <w:rsid w:val="00B85907"/>
    <w:rsid w:val="00B91548"/>
    <w:rsid w:val="00B91A20"/>
    <w:rsid w:val="00B932C3"/>
    <w:rsid w:val="00BA1513"/>
    <w:rsid w:val="00BA45E7"/>
    <w:rsid w:val="00BA4F51"/>
    <w:rsid w:val="00BA547B"/>
    <w:rsid w:val="00BA621C"/>
    <w:rsid w:val="00BA75D6"/>
    <w:rsid w:val="00BB0065"/>
    <w:rsid w:val="00BB01CD"/>
    <w:rsid w:val="00BB0793"/>
    <w:rsid w:val="00BB0F00"/>
    <w:rsid w:val="00BB41BF"/>
    <w:rsid w:val="00BB6974"/>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2F2E"/>
    <w:rsid w:val="00BE3464"/>
    <w:rsid w:val="00BE3D09"/>
    <w:rsid w:val="00BE3D8A"/>
    <w:rsid w:val="00BE48C5"/>
    <w:rsid w:val="00BF03D7"/>
    <w:rsid w:val="00BF1B57"/>
    <w:rsid w:val="00BF2242"/>
    <w:rsid w:val="00BF24F6"/>
    <w:rsid w:val="00BF4127"/>
    <w:rsid w:val="00BF52D6"/>
    <w:rsid w:val="00BF5398"/>
    <w:rsid w:val="00BF6AF1"/>
    <w:rsid w:val="00C00557"/>
    <w:rsid w:val="00C054E6"/>
    <w:rsid w:val="00C0588D"/>
    <w:rsid w:val="00C114F2"/>
    <w:rsid w:val="00C11650"/>
    <w:rsid w:val="00C118BC"/>
    <w:rsid w:val="00C11EB3"/>
    <w:rsid w:val="00C21ABF"/>
    <w:rsid w:val="00C252DF"/>
    <w:rsid w:val="00C255C5"/>
    <w:rsid w:val="00C2665B"/>
    <w:rsid w:val="00C30EB3"/>
    <w:rsid w:val="00C31FBC"/>
    <w:rsid w:val="00C373E1"/>
    <w:rsid w:val="00C37F73"/>
    <w:rsid w:val="00C41475"/>
    <w:rsid w:val="00C42917"/>
    <w:rsid w:val="00C5046D"/>
    <w:rsid w:val="00C5685E"/>
    <w:rsid w:val="00C56E4F"/>
    <w:rsid w:val="00C576B9"/>
    <w:rsid w:val="00C604B8"/>
    <w:rsid w:val="00C639B2"/>
    <w:rsid w:val="00C63AEF"/>
    <w:rsid w:val="00C662F8"/>
    <w:rsid w:val="00C66764"/>
    <w:rsid w:val="00C66C37"/>
    <w:rsid w:val="00C67305"/>
    <w:rsid w:val="00C7265C"/>
    <w:rsid w:val="00C749D6"/>
    <w:rsid w:val="00C74BB7"/>
    <w:rsid w:val="00C77917"/>
    <w:rsid w:val="00C77AB2"/>
    <w:rsid w:val="00C82489"/>
    <w:rsid w:val="00C828AD"/>
    <w:rsid w:val="00C82C96"/>
    <w:rsid w:val="00C85591"/>
    <w:rsid w:val="00C86DCE"/>
    <w:rsid w:val="00C91E64"/>
    <w:rsid w:val="00C949E3"/>
    <w:rsid w:val="00C96B26"/>
    <w:rsid w:val="00CA1655"/>
    <w:rsid w:val="00CA4429"/>
    <w:rsid w:val="00CA46BD"/>
    <w:rsid w:val="00CB20B2"/>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70E3"/>
    <w:rsid w:val="00CD7659"/>
    <w:rsid w:val="00CD7F42"/>
    <w:rsid w:val="00CE072A"/>
    <w:rsid w:val="00CE07DE"/>
    <w:rsid w:val="00CE1169"/>
    <w:rsid w:val="00CE3C84"/>
    <w:rsid w:val="00CE4FEA"/>
    <w:rsid w:val="00CE7E73"/>
    <w:rsid w:val="00CE7FB5"/>
    <w:rsid w:val="00CF260B"/>
    <w:rsid w:val="00CF36FE"/>
    <w:rsid w:val="00CF3969"/>
    <w:rsid w:val="00CF4596"/>
    <w:rsid w:val="00CF55FF"/>
    <w:rsid w:val="00CF7F6D"/>
    <w:rsid w:val="00D02C82"/>
    <w:rsid w:val="00D07876"/>
    <w:rsid w:val="00D1239B"/>
    <w:rsid w:val="00D132E4"/>
    <w:rsid w:val="00D1736D"/>
    <w:rsid w:val="00D201AE"/>
    <w:rsid w:val="00D21B13"/>
    <w:rsid w:val="00D2274D"/>
    <w:rsid w:val="00D22A6D"/>
    <w:rsid w:val="00D24143"/>
    <w:rsid w:val="00D30950"/>
    <w:rsid w:val="00D32E13"/>
    <w:rsid w:val="00D33732"/>
    <w:rsid w:val="00D361B4"/>
    <w:rsid w:val="00D37C5D"/>
    <w:rsid w:val="00D444B7"/>
    <w:rsid w:val="00D446CE"/>
    <w:rsid w:val="00D46427"/>
    <w:rsid w:val="00D466C5"/>
    <w:rsid w:val="00D47BF4"/>
    <w:rsid w:val="00D50683"/>
    <w:rsid w:val="00D51636"/>
    <w:rsid w:val="00D52BD7"/>
    <w:rsid w:val="00D544D2"/>
    <w:rsid w:val="00D56644"/>
    <w:rsid w:val="00D57C28"/>
    <w:rsid w:val="00D61146"/>
    <w:rsid w:val="00D63ADE"/>
    <w:rsid w:val="00D643DE"/>
    <w:rsid w:val="00D6723E"/>
    <w:rsid w:val="00D7088C"/>
    <w:rsid w:val="00D71432"/>
    <w:rsid w:val="00D72ADA"/>
    <w:rsid w:val="00D7318D"/>
    <w:rsid w:val="00D7515F"/>
    <w:rsid w:val="00D77169"/>
    <w:rsid w:val="00D82336"/>
    <w:rsid w:val="00D82547"/>
    <w:rsid w:val="00D82E0B"/>
    <w:rsid w:val="00D83C3D"/>
    <w:rsid w:val="00D85C19"/>
    <w:rsid w:val="00D85E38"/>
    <w:rsid w:val="00D877A5"/>
    <w:rsid w:val="00D87948"/>
    <w:rsid w:val="00D912EF"/>
    <w:rsid w:val="00D976DF"/>
    <w:rsid w:val="00DA0FEB"/>
    <w:rsid w:val="00DA395B"/>
    <w:rsid w:val="00DA4E53"/>
    <w:rsid w:val="00DA533D"/>
    <w:rsid w:val="00DA5511"/>
    <w:rsid w:val="00DA5BB3"/>
    <w:rsid w:val="00DA62C3"/>
    <w:rsid w:val="00DA7FDB"/>
    <w:rsid w:val="00DB1EC3"/>
    <w:rsid w:val="00DB21B1"/>
    <w:rsid w:val="00DB317C"/>
    <w:rsid w:val="00DB4D07"/>
    <w:rsid w:val="00DB606B"/>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2892"/>
    <w:rsid w:val="00DE7796"/>
    <w:rsid w:val="00DF52EB"/>
    <w:rsid w:val="00DF5F81"/>
    <w:rsid w:val="00DF7959"/>
    <w:rsid w:val="00DF7ECF"/>
    <w:rsid w:val="00E0048F"/>
    <w:rsid w:val="00E10641"/>
    <w:rsid w:val="00E13530"/>
    <w:rsid w:val="00E17013"/>
    <w:rsid w:val="00E216BB"/>
    <w:rsid w:val="00E2365E"/>
    <w:rsid w:val="00E24BF0"/>
    <w:rsid w:val="00E2621C"/>
    <w:rsid w:val="00E32DB8"/>
    <w:rsid w:val="00E350CC"/>
    <w:rsid w:val="00E3574C"/>
    <w:rsid w:val="00E37289"/>
    <w:rsid w:val="00E40007"/>
    <w:rsid w:val="00E429E5"/>
    <w:rsid w:val="00E468FA"/>
    <w:rsid w:val="00E520B8"/>
    <w:rsid w:val="00E53426"/>
    <w:rsid w:val="00E53924"/>
    <w:rsid w:val="00E53ED2"/>
    <w:rsid w:val="00E608ED"/>
    <w:rsid w:val="00E612DD"/>
    <w:rsid w:val="00E7314B"/>
    <w:rsid w:val="00E74001"/>
    <w:rsid w:val="00E74FA6"/>
    <w:rsid w:val="00E84DB9"/>
    <w:rsid w:val="00E8527E"/>
    <w:rsid w:val="00E86297"/>
    <w:rsid w:val="00E863F0"/>
    <w:rsid w:val="00E86C96"/>
    <w:rsid w:val="00E92FA5"/>
    <w:rsid w:val="00E93FB0"/>
    <w:rsid w:val="00E94EA2"/>
    <w:rsid w:val="00E951D8"/>
    <w:rsid w:val="00E955DB"/>
    <w:rsid w:val="00E96DC2"/>
    <w:rsid w:val="00EA141C"/>
    <w:rsid w:val="00EA23AD"/>
    <w:rsid w:val="00EA4F2B"/>
    <w:rsid w:val="00EA7B9E"/>
    <w:rsid w:val="00EB7469"/>
    <w:rsid w:val="00EB770E"/>
    <w:rsid w:val="00EC1B40"/>
    <w:rsid w:val="00EC5081"/>
    <w:rsid w:val="00ED0F2A"/>
    <w:rsid w:val="00ED2A13"/>
    <w:rsid w:val="00ED3AC6"/>
    <w:rsid w:val="00ED5C5D"/>
    <w:rsid w:val="00EE28C9"/>
    <w:rsid w:val="00EE32E4"/>
    <w:rsid w:val="00EE371D"/>
    <w:rsid w:val="00EE4997"/>
    <w:rsid w:val="00EE4DF9"/>
    <w:rsid w:val="00EF0BC6"/>
    <w:rsid w:val="00EF47AD"/>
    <w:rsid w:val="00EF4DBE"/>
    <w:rsid w:val="00EF5FB1"/>
    <w:rsid w:val="00EF64EA"/>
    <w:rsid w:val="00EF669B"/>
    <w:rsid w:val="00F00303"/>
    <w:rsid w:val="00F01CF0"/>
    <w:rsid w:val="00F03ECD"/>
    <w:rsid w:val="00F04679"/>
    <w:rsid w:val="00F07861"/>
    <w:rsid w:val="00F16C0E"/>
    <w:rsid w:val="00F217F8"/>
    <w:rsid w:val="00F22CE6"/>
    <w:rsid w:val="00F2321F"/>
    <w:rsid w:val="00F26015"/>
    <w:rsid w:val="00F2638F"/>
    <w:rsid w:val="00F27164"/>
    <w:rsid w:val="00F33675"/>
    <w:rsid w:val="00F370C5"/>
    <w:rsid w:val="00F37CB0"/>
    <w:rsid w:val="00F4019E"/>
    <w:rsid w:val="00F440A5"/>
    <w:rsid w:val="00F47F2C"/>
    <w:rsid w:val="00F51A3A"/>
    <w:rsid w:val="00F51C2E"/>
    <w:rsid w:val="00F5212E"/>
    <w:rsid w:val="00F56C10"/>
    <w:rsid w:val="00F62F1B"/>
    <w:rsid w:val="00F65439"/>
    <w:rsid w:val="00F656E1"/>
    <w:rsid w:val="00F65EAE"/>
    <w:rsid w:val="00F71F16"/>
    <w:rsid w:val="00F72132"/>
    <w:rsid w:val="00F73F51"/>
    <w:rsid w:val="00F82E45"/>
    <w:rsid w:val="00F83EE0"/>
    <w:rsid w:val="00F879DE"/>
    <w:rsid w:val="00F913BA"/>
    <w:rsid w:val="00F93E41"/>
    <w:rsid w:val="00F942F1"/>
    <w:rsid w:val="00F94895"/>
    <w:rsid w:val="00F97E69"/>
    <w:rsid w:val="00FA10B6"/>
    <w:rsid w:val="00FA3E3E"/>
    <w:rsid w:val="00FA55C3"/>
    <w:rsid w:val="00FA5B67"/>
    <w:rsid w:val="00FA798E"/>
    <w:rsid w:val="00FB2E48"/>
    <w:rsid w:val="00FB4015"/>
    <w:rsid w:val="00FB62B6"/>
    <w:rsid w:val="00FB647B"/>
    <w:rsid w:val="00FB6AAD"/>
    <w:rsid w:val="00FC3DF3"/>
    <w:rsid w:val="00FC475D"/>
    <w:rsid w:val="00FC73F4"/>
    <w:rsid w:val="00FD0D9C"/>
    <w:rsid w:val="00FD2775"/>
    <w:rsid w:val="00FD3E32"/>
    <w:rsid w:val="00FD6067"/>
    <w:rsid w:val="00FD683A"/>
    <w:rsid w:val="00FE139C"/>
    <w:rsid w:val="00FE41C8"/>
    <w:rsid w:val="00FE4621"/>
    <w:rsid w:val="00FE4A3C"/>
    <w:rsid w:val="00FE4BC0"/>
    <w:rsid w:val="00FE5C9C"/>
    <w:rsid w:val="00FF3D2F"/>
    <w:rsid w:val="00FF42B3"/>
    <w:rsid w:val="00FF527D"/>
    <w:rsid w:val="00FF54EF"/>
    <w:rsid w:val="00FF5C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FollowedHyperlink"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EF4DBE"/>
    <w:rPr>
      <w:sz w:val="20"/>
      <w:szCs w:val="20"/>
      <w:lang w:val="en-GB" w:eastAsia="en-GB"/>
    </w:rPr>
  </w:style>
  <w:style w:type="paragraph" w:styleId="Heading1">
    <w:name w:val="heading 1"/>
    <w:basedOn w:val="Normal"/>
    <w:next w:val="Normal"/>
    <w:link w:val="Heading1Char"/>
    <w:uiPriority w:val="99"/>
    <w:qFormat/>
    <w:rsid w:val="002A2342"/>
    <w:pPr>
      <w:keepNext/>
      <w:jc w:val="center"/>
      <w:outlineLvl w:val="0"/>
    </w:pPr>
    <w:rPr>
      <w:b/>
      <w:bCs/>
      <w:sz w:val="22"/>
      <w:szCs w:val="22"/>
      <w:lang w:val="en-US"/>
    </w:rPr>
  </w:style>
  <w:style w:type="paragraph" w:styleId="Heading2">
    <w:name w:val="heading 2"/>
    <w:basedOn w:val="Normal"/>
    <w:next w:val="Normal"/>
    <w:link w:val="Heading2Char"/>
    <w:uiPriority w:val="99"/>
    <w:qFormat/>
    <w:rsid w:val="00376847"/>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376847"/>
    <w:pPr>
      <w:keepNext/>
      <w:spacing w:before="120" w:after="120"/>
      <w:outlineLvl w:val="2"/>
    </w:pPr>
    <w:rPr>
      <w:rFonts w:ascii="YuTimes" w:hAnsi="YuTimes" w:cs="YuTimes"/>
      <w:sz w:val="24"/>
      <w:szCs w:val="24"/>
      <w:lang w:eastAsia="en-US"/>
    </w:rPr>
  </w:style>
  <w:style w:type="paragraph" w:styleId="Heading4">
    <w:name w:val="heading 4"/>
    <w:basedOn w:val="Normal"/>
    <w:next w:val="Normal"/>
    <w:link w:val="Heading4Char"/>
    <w:uiPriority w:val="99"/>
    <w:qFormat/>
    <w:rsid w:val="00376847"/>
    <w:pPr>
      <w:keepNext/>
      <w:spacing w:before="120"/>
      <w:jc w:val="center"/>
      <w:outlineLvl w:val="3"/>
    </w:pPr>
    <w:rPr>
      <w:rFonts w:ascii="YuTimes" w:hAnsi="YuTimes" w:cs="YuTimes"/>
      <w:spacing w:val="-10"/>
      <w:sz w:val="24"/>
      <w:szCs w:val="24"/>
      <w:lang w:eastAsia="en-US"/>
    </w:rPr>
  </w:style>
  <w:style w:type="paragraph" w:styleId="Heading5">
    <w:name w:val="heading 5"/>
    <w:basedOn w:val="Normal"/>
    <w:next w:val="Normal"/>
    <w:link w:val="Heading5Char"/>
    <w:uiPriority w:val="99"/>
    <w:qFormat/>
    <w:rsid w:val="00376847"/>
    <w:pPr>
      <w:keepNext/>
      <w:tabs>
        <w:tab w:val="left" w:pos="540"/>
      </w:tabs>
      <w:spacing w:line="360" w:lineRule="auto"/>
      <w:ind w:firstLine="720"/>
      <w:jc w:val="both"/>
      <w:outlineLvl w:val="4"/>
    </w:pPr>
    <w:rPr>
      <w:b/>
      <w:bCs/>
      <w:sz w:val="24"/>
      <w:szCs w:val="24"/>
      <w:lang w:eastAsia="en-US"/>
    </w:rPr>
  </w:style>
  <w:style w:type="paragraph" w:styleId="Heading6">
    <w:name w:val="heading 6"/>
    <w:basedOn w:val="Normal"/>
    <w:next w:val="Normal"/>
    <w:link w:val="Heading6Char"/>
    <w:uiPriority w:val="99"/>
    <w:qFormat/>
    <w:rsid w:val="0019645B"/>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4EB6"/>
    <w:rPr>
      <w:b/>
      <w:bCs/>
      <w:sz w:val="22"/>
      <w:szCs w:val="22"/>
      <w:lang w:eastAsia="en-GB"/>
    </w:rPr>
  </w:style>
  <w:style w:type="character" w:customStyle="1" w:styleId="Heading2Char">
    <w:name w:val="Heading 2 Char"/>
    <w:basedOn w:val="DefaultParagraphFont"/>
    <w:link w:val="Heading2"/>
    <w:uiPriority w:val="99"/>
    <w:rsid w:val="00376847"/>
    <w:rPr>
      <w:rFonts w:ascii="Cambria" w:hAnsi="Cambria" w:cs="Cambria"/>
      <w:b/>
      <w:bCs/>
      <w:i/>
      <w:iCs/>
      <w:sz w:val="28"/>
      <w:szCs w:val="28"/>
      <w:lang w:val="en-GB" w:eastAsia="en-GB"/>
    </w:rPr>
  </w:style>
  <w:style w:type="character" w:customStyle="1" w:styleId="Heading3Char">
    <w:name w:val="Heading 3 Char"/>
    <w:basedOn w:val="DefaultParagraphFont"/>
    <w:link w:val="Heading3"/>
    <w:uiPriority w:val="99"/>
    <w:rsid w:val="00376847"/>
    <w:rPr>
      <w:rFonts w:ascii="YuTimes" w:hAnsi="YuTimes" w:cs="YuTimes"/>
      <w:sz w:val="24"/>
      <w:szCs w:val="24"/>
      <w:lang w:val="en-GB"/>
    </w:rPr>
  </w:style>
  <w:style w:type="character" w:customStyle="1" w:styleId="Heading4Char">
    <w:name w:val="Heading 4 Char"/>
    <w:basedOn w:val="DefaultParagraphFont"/>
    <w:link w:val="Heading4"/>
    <w:uiPriority w:val="99"/>
    <w:rsid w:val="00376847"/>
    <w:rPr>
      <w:rFonts w:ascii="YuTimes" w:hAnsi="YuTimes" w:cs="YuTimes"/>
      <w:spacing w:val="-10"/>
      <w:sz w:val="24"/>
      <w:szCs w:val="24"/>
      <w:lang w:val="en-GB"/>
    </w:rPr>
  </w:style>
  <w:style w:type="character" w:customStyle="1" w:styleId="Heading5Char">
    <w:name w:val="Heading 5 Char"/>
    <w:basedOn w:val="DefaultParagraphFont"/>
    <w:link w:val="Heading5"/>
    <w:uiPriority w:val="99"/>
    <w:rsid w:val="00376847"/>
    <w:rPr>
      <w:b/>
      <w:bCs/>
      <w:sz w:val="24"/>
      <w:szCs w:val="24"/>
      <w:lang w:val="en-GB"/>
    </w:rPr>
  </w:style>
  <w:style w:type="character" w:customStyle="1" w:styleId="Heading6Char">
    <w:name w:val="Heading 6 Char"/>
    <w:basedOn w:val="DefaultParagraphFont"/>
    <w:link w:val="Heading6"/>
    <w:uiPriority w:val="99"/>
    <w:semiHidden/>
    <w:rsid w:val="0019645B"/>
    <w:rPr>
      <w:rFonts w:ascii="Calibri" w:hAnsi="Calibri" w:cs="Calibri"/>
      <w:b/>
      <w:bCs/>
      <w:sz w:val="22"/>
      <w:szCs w:val="22"/>
      <w:lang w:val="en-GB" w:eastAsia="en-GB"/>
    </w:rPr>
  </w:style>
  <w:style w:type="character" w:customStyle="1" w:styleId="Heading7Char">
    <w:name w:val="Heading 7 Char"/>
    <w:basedOn w:val="DefaultParagraphFont"/>
    <w:link w:val="Heading7"/>
    <w:uiPriority w:val="99"/>
    <w:rsid w:val="00376847"/>
    <w:rPr>
      <w:sz w:val="24"/>
      <w:szCs w:val="24"/>
      <w:lang w:val="en-GB"/>
    </w:rPr>
  </w:style>
  <w:style w:type="paragraph" w:styleId="BodyText2">
    <w:name w:val="Body Text 2"/>
    <w:basedOn w:val="Normal"/>
    <w:link w:val="BodyText2Char"/>
    <w:uiPriority w:val="99"/>
    <w:rsid w:val="00961BAF"/>
    <w:pPr>
      <w:spacing w:after="120" w:line="480" w:lineRule="auto"/>
    </w:pPr>
  </w:style>
  <w:style w:type="character" w:customStyle="1" w:styleId="BodyText2Char">
    <w:name w:val="Body Text 2 Char"/>
    <w:basedOn w:val="DefaultParagraphFont"/>
    <w:link w:val="BodyText2"/>
    <w:uiPriority w:val="99"/>
    <w:semiHidden/>
    <w:rsid w:val="00961BAF"/>
    <w:rPr>
      <w:lang w:val="en-GB" w:eastAsia="en-GB"/>
    </w:rPr>
  </w:style>
  <w:style w:type="character" w:customStyle="1" w:styleId="BodyTextIndentChar">
    <w:name w:val="Body Text Indent Char"/>
    <w:link w:val="BodyText2"/>
    <w:uiPriority w:val="99"/>
    <w:semiHidden/>
    <w:rsid w:val="00961BAF"/>
    <w:rPr>
      <w:sz w:val="24"/>
      <w:szCs w:val="24"/>
    </w:rPr>
  </w:style>
  <w:style w:type="paragraph" w:customStyle="1" w:styleId="Literatura">
    <w:name w:val="Literatura"/>
    <w:basedOn w:val="Normal"/>
    <w:uiPriority w:val="99"/>
    <w:rsid w:val="002A2342"/>
    <w:pPr>
      <w:widowControl w:val="0"/>
      <w:spacing w:after="120"/>
      <w:ind w:left="1418" w:hanging="1418"/>
      <w:jc w:val="both"/>
    </w:pPr>
    <w:rPr>
      <w:sz w:val="22"/>
      <w:szCs w:val="22"/>
      <w:lang w:val="en-US" w:eastAsia="en-US"/>
    </w:rPr>
  </w:style>
  <w:style w:type="character" w:styleId="Hyperlink">
    <w:name w:val="Hyperlink"/>
    <w:basedOn w:val="DefaultParagraphFont"/>
    <w:uiPriority w:val="99"/>
    <w:rsid w:val="002A2342"/>
    <w:rPr>
      <w:color w:val="0000FF"/>
      <w:u w:val="single"/>
    </w:rPr>
  </w:style>
  <w:style w:type="character" w:styleId="FootnoteReference">
    <w:name w:val="footnote reference"/>
    <w:basedOn w:val="DefaultParagraphFont"/>
    <w:uiPriority w:val="99"/>
    <w:semiHidden/>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basedOn w:val="DefaultParagraphFont"/>
    <w:link w:val="BodyTextIndent3"/>
    <w:uiPriority w:val="99"/>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lang w:val="en-US"/>
    </w:rPr>
  </w:style>
  <w:style w:type="character" w:customStyle="1" w:styleId="BodyTextIndent2Char">
    <w:name w:val="Body Text Indent 2 Char"/>
    <w:basedOn w:val="DefaultParagraphFont"/>
    <w:link w:val="BodyTextIndent2"/>
    <w:uiPriority w:val="99"/>
    <w:rsid w:val="00961BAF"/>
    <w:rPr>
      <w:sz w:val="22"/>
      <w:szCs w:val="22"/>
      <w:lang w:eastAsia="en-GB"/>
    </w:rPr>
  </w:style>
  <w:style w:type="paragraph" w:customStyle="1" w:styleId="Literaturaruska">
    <w:name w:val="Literatura_ruska"/>
    <w:basedOn w:val="Literatura"/>
    <w:uiPriority w:val="99"/>
    <w:rsid w:val="002A2342"/>
  </w:style>
  <w:style w:type="paragraph" w:styleId="FootnoteText">
    <w:name w:val="footnote text"/>
    <w:basedOn w:val="Normal"/>
    <w:link w:val="FootnoteTextChar"/>
    <w:uiPriority w:val="99"/>
    <w:semiHidden/>
    <w:rsid w:val="002A2342"/>
  </w:style>
  <w:style w:type="character" w:customStyle="1" w:styleId="FootnoteTextChar">
    <w:name w:val="Footnote Text Char"/>
    <w:basedOn w:val="DefaultParagraphFont"/>
    <w:link w:val="FootnoteText"/>
    <w:uiPriority w:val="99"/>
    <w:rsid w:val="006A4EB6"/>
    <w:rPr>
      <w:lang w:val="en-GB" w:eastAsia="en-GB"/>
    </w:rPr>
  </w:style>
  <w:style w:type="character" w:customStyle="1" w:styleId="apple-converted-space">
    <w:name w:val="apple-converted-space"/>
    <w:basedOn w:val="DefaultParagraphFont"/>
    <w:uiPriority w:val="99"/>
    <w:rsid w:val="002A2342"/>
  </w:style>
  <w:style w:type="paragraph" w:styleId="BalloonText">
    <w:name w:val="Balloon Text"/>
    <w:basedOn w:val="Normal"/>
    <w:link w:val="BalloonTextChar"/>
    <w:uiPriority w:val="99"/>
    <w:semiHidden/>
    <w:rsid w:val="002A2342"/>
    <w:rPr>
      <w:rFonts w:ascii="Tahoma" w:hAnsi="Tahoma" w:cs="Tahoma"/>
      <w:sz w:val="16"/>
      <w:szCs w:val="16"/>
    </w:rPr>
  </w:style>
  <w:style w:type="character" w:customStyle="1" w:styleId="BalloonTextChar">
    <w:name w:val="Balloon Text Char"/>
    <w:basedOn w:val="DefaultParagraphFont"/>
    <w:link w:val="BalloonText"/>
    <w:uiPriority w:val="99"/>
    <w:semiHidden/>
    <w:rsid w:val="00F4019E"/>
    <w:rPr>
      <w:rFonts w:ascii="Tahoma" w:hAnsi="Tahoma" w:cs="Tahoma"/>
      <w:sz w:val="16"/>
      <w:szCs w:val="16"/>
      <w:lang w:val="en-GB" w:eastAsia="en-GB"/>
    </w:rPr>
  </w:style>
  <w:style w:type="character" w:styleId="CommentReference">
    <w:name w:val="annotation reference"/>
    <w:basedOn w:val="DefaultParagraphFont"/>
    <w:uiPriority w:val="99"/>
    <w:semiHidden/>
    <w:rsid w:val="002A2342"/>
    <w:rPr>
      <w:sz w:val="16"/>
      <w:szCs w:val="16"/>
    </w:rPr>
  </w:style>
  <w:style w:type="paragraph" w:styleId="CommentText">
    <w:name w:val="annotation text"/>
    <w:basedOn w:val="Normal"/>
    <w:link w:val="CommentTextChar"/>
    <w:uiPriority w:val="99"/>
    <w:semiHidden/>
    <w:rsid w:val="002A2342"/>
  </w:style>
  <w:style w:type="character" w:customStyle="1" w:styleId="CommentTextChar">
    <w:name w:val="Comment Text Char"/>
    <w:basedOn w:val="DefaultParagraphFont"/>
    <w:link w:val="CommentText"/>
    <w:uiPriority w:val="99"/>
    <w:rsid w:val="00E468FA"/>
    <w:rPr>
      <w:lang w:val="en-GB" w:eastAsia="en-GB"/>
    </w:rPr>
  </w:style>
  <w:style w:type="paragraph" w:styleId="CommentSubject">
    <w:name w:val="annotation subject"/>
    <w:basedOn w:val="CommentText"/>
    <w:next w:val="CommentText"/>
    <w:link w:val="CommentSubjectChar"/>
    <w:uiPriority w:val="99"/>
    <w:semiHidden/>
    <w:rsid w:val="002A2342"/>
    <w:rPr>
      <w:b/>
      <w:bCs/>
    </w:rPr>
  </w:style>
  <w:style w:type="character" w:customStyle="1" w:styleId="CommentSubjectChar">
    <w:name w:val="Comment Subject Char"/>
    <w:basedOn w:val="CommentTextChar"/>
    <w:link w:val="CommentSubject"/>
    <w:uiPriority w:val="99"/>
    <w:rsid w:val="00F4019E"/>
    <w:rPr>
      <w:b/>
      <w:bCs/>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basedOn w:val="DefaultParagraphFont"/>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basedOn w:val="DefaultParagraphFont"/>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uiPriority w:val="99"/>
    <w:rsid w:val="002E2B30"/>
  </w:style>
  <w:style w:type="character" w:styleId="Strong">
    <w:name w:val="Strong"/>
    <w:basedOn w:val="DefaultParagraphFont"/>
    <w:uiPriority w:val="99"/>
    <w:qFormat/>
    <w:rsid w:val="002E2B30"/>
    <w:rPr>
      <w:b/>
      <w:bCs/>
    </w:rPr>
  </w:style>
  <w:style w:type="character" w:customStyle="1" w:styleId="note">
    <w:name w:val="note"/>
    <w:basedOn w:val="DefaultParagraphFont"/>
    <w:uiPriority w:val="99"/>
    <w:rsid w:val="002E2B30"/>
  </w:style>
  <w:style w:type="character" w:customStyle="1" w:styleId="nickname">
    <w:name w:val="nickname"/>
    <w:basedOn w:val="DefaultParagraphFont"/>
    <w:uiPriority w:val="99"/>
    <w:rsid w:val="002E2B30"/>
  </w:style>
  <w:style w:type="character" w:customStyle="1" w:styleId="binomial">
    <w:name w:val="binomial"/>
    <w:basedOn w:val="DefaultParagraphFont"/>
    <w:uiPriority w:val="99"/>
    <w:rsid w:val="002E2B30"/>
  </w:style>
  <w:style w:type="character" w:customStyle="1" w:styleId="citation-publication-date">
    <w:name w:val="citation-publication-date"/>
    <w:basedOn w:val="DefaultParagraphFont"/>
    <w:uiPriority w:val="99"/>
    <w:rsid w:val="00B4018B"/>
  </w:style>
  <w:style w:type="paragraph" w:styleId="EndnoteText">
    <w:name w:val="endnote text"/>
    <w:basedOn w:val="Normal"/>
    <w:link w:val="EndnoteTextChar"/>
    <w:uiPriority w:val="99"/>
    <w:semiHidden/>
    <w:rsid w:val="00A37F4C"/>
  </w:style>
  <w:style w:type="character" w:customStyle="1" w:styleId="EndnoteTextChar">
    <w:name w:val="Endnote Text Char"/>
    <w:basedOn w:val="DefaultParagraphFont"/>
    <w:link w:val="EndnoteText"/>
    <w:uiPriority w:val="99"/>
    <w:rsid w:val="00A37F4C"/>
    <w:rPr>
      <w:lang w:val="en-GB" w:eastAsia="en-GB"/>
    </w:rPr>
  </w:style>
  <w:style w:type="character" w:styleId="EndnoteReference">
    <w:name w:val="endnote reference"/>
    <w:basedOn w:val="DefaultParagraphFont"/>
    <w:uiPriority w:val="99"/>
    <w:semiHidden/>
    <w:rsid w:val="00A37F4C"/>
    <w:rPr>
      <w:vertAlign w:val="superscript"/>
    </w:rPr>
  </w:style>
  <w:style w:type="character" w:customStyle="1" w:styleId="mediumtext1">
    <w:name w:val="medium_text1"/>
    <w:uiPriority w:val="99"/>
    <w:rsid w:val="006A4EB6"/>
    <w:rPr>
      <w:sz w:val="22"/>
      <w:szCs w:val="22"/>
    </w:rPr>
  </w:style>
  <w:style w:type="character" w:customStyle="1" w:styleId="longtext1">
    <w:name w:val="long_text1"/>
    <w:uiPriority w:val="99"/>
    <w:rsid w:val="006A4EB6"/>
    <w:rPr>
      <w:sz w:val="18"/>
      <w:szCs w:val="18"/>
    </w:rPr>
  </w:style>
  <w:style w:type="character" w:customStyle="1" w:styleId="shorttext1">
    <w:name w:val="short_text1"/>
    <w:uiPriority w:val="99"/>
    <w:rsid w:val="006A4EB6"/>
    <w:rPr>
      <w:sz w:val="26"/>
      <w:szCs w:val="26"/>
    </w:rPr>
  </w:style>
  <w:style w:type="paragraph" w:customStyle="1" w:styleId="Default">
    <w:name w:val="Default"/>
    <w:uiPriority w:val="99"/>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uiPriority w:val="99"/>
    <w:rsid w:val="0028466A"/>
  </w:style>
  <w:style w:type="paragraph" w:styleId="BodyText3">
    <w:name w:val="Body Text 3"/>
    <w:basedOn w:val="Normal"/>
    <w:link w:val="BodyText3Char"/>
    <w:uiPriority w:val="99"/>
    <w:rsid w:val="0028466A"/>
    <w:pPr>
      <w:spacing w:after="120"/>
    </w:pPr>
    <w:rPr>
      <w:sz w:val="16"/>
      <w:szCs w:val="16"/>
      <w:lang w:val="en-US" w:eastAsia="en-US"/>
    </w:rPr>
  </w:style>
  <w:style w:type="character" w:customStyle="1" w:styleId="BodyText3Char">
    <w:name w:val="Body Text 3 Char"/>
    <w:basedOn w:val="DefaultParagraphFont"/>
    <w:link w:val="BodyText3"/>
    <w:uiPriority w:val="99"/>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lang w:val="en-US" w:eastAsia="en-US"/>
    </w:rPr>
  </w:style>
  <w:style w:type="character" w:customStyle="1" w:styleId="BodyTextChar">
    <w:name w:val="Body Text Char"/>
    <w:aliases w:val="Body Text Char Char Char1,Body Text Char Char Char Char"/>
    <w:basedOn w:val="DefaultParagraphFont"/>
    <w:link w:val="BodyText"/>
    <w:uiPriority w:val="99"/>
    <w:rsid w:val="0028466A"/>
    <w:rPr>
      <w:sz w:val="24"/>
      <w:szCs w:val="24"/>
    </w:rPr>
  </w:style>
  <w:style w:type="table" w:styleId="TableGrid">
    <w:name w:val="Table Grid"/>
    <w:basedOn w:val="TableNormal"/>
    <w:uiPriority w:val="99"/>
    <w:rsid w:val="0028466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en-US" w:eastAsia="en-US"/>
    </w:rPr>
  </w:style>
  <w:style w:type="character" w:customStyle="1" w:styleId="HTMLPreformattedChar">
    <w:name w:val="HTML Preformatted Char"/>
    <w:basedOn w:val="DefaultParagraphFont"/>
    <w:link w:val="HTMLPreformatted"/>
    <w:uiPriority w:val="99"/>
    <w:rsid w:val="003F0E1D"/>
    <w:rPr>
      <w:rFonts w:ascii="Courier New" w:hAnsi="Courier New" w:cs="Courier New"/>
      <w:color w:val="000000"/>
    </w:rPr>
  </w:style>
  <w:style w:type="character" w:customStyle="1" w:styleId="hps">
    <w:name w:val="hps"/>
    <w:uiPriority w:val="99"/>
    <w:rsid w:val="00DC5715"/>
  </w:style>
  <w:style w:type="character" w:styleId="Emphasis">
    <w:name w:val="Emphasis"/>
    <w:basedOn w:val="DefaultParagraphFont"/>
    <w:uiPriority w:val="99"/>
    <w:qFormat/>
    <w:rsid w:val="00DC5715"/>
    <w:rPr>
      <w:i/>
      <w:iCs/>
    </w:rPr>
  </w:style>
  <w:style w:type="character" w:customStyle="1" w:styleId="atn">
    <w:name w:val="atn"/>
    <w:uiPriority w:val="99"/>
    <w:rsid w:val="00DC5715"/>
  </w:style>
  <w:style w:type="paragraph" w:styleId="Caption">
    <w:name w:val="caption"/>
    <w:basedOn w:val="Normal"/>
    <w:next w:val="Normal"/>
    <w:uiPriority w:val="99"/>
    <w:qFormat/>
    <w:rsid w:val="00A24693"/>
    <w:pPr>
      <w:spacing w:after="200"/>
      <w:ind w:firstLine="720"/>
      <w:jc w:val="both"/>
    </w:pPr>
    <w:rPr>
      <w:b/>
      <w:bCs/>
      <w:color w:val="4F81BD"/>
      <w:sz w:val="18"/>
      <w:szCs w:val="18"/>
      <w:lang w:val="hr-HR" w:eastAsia="en-US"/>
    </w:rPr>
  </w:style>
  <w:style w:type="character" w:customStyle="1" w:styleId="st">
    <w:name w:val="st"/>
    <w:basedOn w:val="DefaultParagraphFont"/>
    <w:uiPriority w:val="99"/>
    <w:rsid w:val="00E468FA"/>
  </w:style>
  <w:style w:type="character" w:styleId="BookTitle">
    <w:name w:val="Book Title"/>
    <w:basedOn w:val="DefaultParagraphFont"/>
    <w:uiPriority w:val="99"/>
    <w:qFormat/>
    <w:rsid w:val="00F4019E"/>
    <w:rPr>
      <w:b/>
      <w:bCs/>
      <w:smallCaps/>
      <w:spacing w:val="5"/>
    </w:rPr>
  </w:style>
  <w:style w:type="paragraph" w:styleId="ListParagraph">
    <w:name w:val="List Paragraph"/>
    <w:basedOn w:val="Normal"/>
    <w:uiPriority w:val="99"/>
    <w:qFormat/>
    <w:rsid w:val="00D72ADA"/>
    <w:pPr>
      <w:spacing w:after="200" w:line="276" w:lineRule="auto"/>
      <w:ind w:left="720"/>
    </w:pPr>
    <w:rPr>
      <w:rFonts w:ascii="Calibri" w:hAnsi="Calibri" w:cs="Calibri"/>
      <w:sz w:val="22"/>
      <w:szCs w:val="22"/>
      <w:lang w:eastAsia="en-US"/>
    </w:rPr>
  </w:style>
  <w:style w:type="character" w:styleId="LineNumber">
    <w:name w:val="line number"/>
    <w:basedOn w:val="DefaultParagraphFont"/>
    <w:uiPriority w:val="99"/>
    <w:rsid w:val="00D72ADA"/>
  </w:style>
  <w:style w:type="paragraph" w:customStyle="1" w:styleId="Style1">
    <w:name w:val="Style 1"/>
    <w:basedOn w:val="Normal"/>
    <w:uiPriority w:val="99"/>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uiPriority w:val="99"/>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uiPriority w:val="99"/>
    <w:rsid w:val="002603D6"/>
    <w:pPr>
      <w:pageBreakBefore/>
      <w:spacing w:after="160" w:line="360" w:lineRule="auto"/>
    </w:pPr>
    <w:rPr>
      <w:sz w:val="28"/>
      <w:szCs w:val="28"/>
      <w:lang w:val="en-US" w:eastAsia="en-US"/>
    </w:rPr>
  </w:style>
  <w:style w:type="paragraph" w:customStyle="1" w:styleId="3">
    <w:name w:val="Знак3"/>
    <w:basedOn w:val="Normal"/>
    <w:uiPriority w:val="99"/>
    <w:rsid w:val="002603D6"/>
    <w:pPr>
      <w:pageBreakBefore/>
      <w:spacing w:after="160" w:line="360" w:lineRule="auto"/>
    </w:pPr>
    <w:rPr>
      <w:sz w:val="28"/>
      <w:szCs w:val="28"/>
      <w:lang w:val="en-US" w:eastAsia="en-US"/>
    </w:rPr>
  </w:style>
  <w:style w:type="paragraph" w:styleId="NoSpacing">
    <w:name w:val="No Spacing"/>
    <w:uiPriority w:val="99"/>
    <w:qFormat/>
    <w:rsid w:val="00961BAF"/>
    <w:pPr>
      <w:ind w:left="284" w:right="284" w:hanging="284"/>
      <w:jc w:val="right"/>
    </w:pPr>
    <w:rPr>
      <w:rFonts w:ascii="Calibri" w:hAnsi="Calibri" w:cs="Calibri"/>
    </w:rPr>
  </w:style>
  <w:style w:type="paragraph" w:styleId="NormalWeb">
    <w:name w:val="Normal (Web)"/>
    <w:basedOn w:val="Normal"/>
    <w:uiPriority w:val="99"/>
    <w:rsid w:val="00961BAF"/>
    <w:pPr>
      <w:spacing w:before="100" w:beforeAutospacing="1" w:after="100" w:afterAutospacing="1"/>
      <w:jc w:val="right"/>
    </w:pPr>
    <w:rPr>
      <w:sz w:val="24"/>
      <w:szCs w:val="24"/>
      <w:lang w:val="en-US" w:eastAsia="en-US"/>
    </w:rPr>
  </w:style>
  <w:style w:type="paragraph" w:customStyle="1" w:styleId="Pa15">
    <w:name w:val="Pa15"/>
    <w:basedOn w:val="Default"/>
    <w:next w:val="Default"/>
    <w:uiPriority w:val="99"/>
    <w:rsid w:val="00961BAF"/>
    <w:pPr>
      <w:spacing w:line="201" w:lineRule="atLeast"/>
    </w:pPr>
    <w:rPr>
      <w:rFonts w:ascii="Garamond Premr Pro" w:hAnsi="Garamond Premr Pro" w:cs="Garamond Premr Pro"/>
      <w:color w:val="auto"/>
      <w:lang w:val="en-GB"/>
    </w:rPr>
  </w:style>
  <w:style w:type="character" w:customStyle="1" w:styleId="A11">
    <w:name w:val="A11"/>
    <w:uiPriority w:val="99"/>
    <w:rsid w:val="00961BAF"/>
    <w:rPr>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hAnsi="Garamond Premr Pro Smbd" w:cs="Garamond Premr Pro Smbd"/>
      <w:color w:val="auto"/>
      <w:lang w:val="en-GB"/>
    </w:rPr>
  </w:style>
  <w:style w:type="character" w:styleId="IntenseReference">
    <w:name w:val="Intense Reference"/>
    <w:basedOn w:val="DefaultParagraphFont"/>
    <w:uiPriority w:val="99"/>
    <w:qFormat/>
    <w:rsid w:val="00961BAF"/>
    <w:rPr>
      <w:b/>
      <w:bCs/>
      <w:smallCaps/>
      <w:color w:val="auto"/>
      <w:spacing w:val="5"/>
      <w:u w:val="single"/>
    </w:rPr>
  </w:style>
  <w:style w:type="character" w:customStyle="1" w:styleId="st1">
    <w:name w:val="st1"/>
    <w:basedOn w:val="DefaultParagraphFont"/>
    <w:uiPriority w:val="99"/>
    <w:rsid w:val="00961BAF"/>
  </w:style>
  <w:style w:type="paragraph" w:styleId="Quote">
    <w:name w:val="Quote"/>
    <w:basedOn w:val="Normal"/>
    <w:next w:val="Normal"/>
    <w:link w:val="QuoteChar"/>
    <w:uiPriority w:val="99"/>
    <w:qFormat/>
    <w:rsid w:val="00961BAF"/>
    <w:pPr>
      <w:spacing w:after="200" w:line="276" w:lineRule="auto"/>
    </w:pPr>
    <w:rPr>
      <w:rFonts w:ascii="Calibri" w:hAnsi="Calibri" w:cs="Calibri"/>
      <w:i/>
      <w:iCs/>
      <w:color w:val="000000"/>
      <w:sz w:val="22"/>
      <w:szCs w:val="22"/>
      <w:lang w:eastAsia="en-US"/>
    </w:rPr>
  </w:style>
  <w:style w:type="character" w:customStyle="1" w:styleId="QuoteChar">
    <w:name w:val="Quote Char"/>
    <w:basedOn w:val="DefaultParagraphFont"/>
    <w:link w:val="Quote"/>
    <w:uiPriority w:val="99"/>
    <w:rsid w:val="00961BAF"/>
    <w:rPr>
      <w:rFonts w:ascii="Calibri" w:eastAsia="Times New Roman" w:hAnsi="Calibri" w:cs="Calibri"/>
      <w:i/>
      <w:iCs/>
      <w:color w:val="000000"/>
      <w:sz w:val="22"/>
      <w:szCs w:val="22"/>
      <w:lang w:val="en-GB"/>
    </w:rPr>
  </w:style>
  <w:style w:type="paragraph" w:styleId="IntenseQuote">
    <w:name w:val="Intense Quote"/>
    <w:basedOn w:val="Normal"/>
    <w:next w:val="Normal"/>
    <w:link w:val="IntenseQuoteChar"/>
    <w:uiPriority w:val="99"/>
    <w:qFormat/>
    <w:rsid w:val="00961BAF"/>
    <w:pPr>
      <w:pBdr>
        <w:bottom w:val="single" w:sz="4" w:space="4" w:color="4F81BD"/>
      </w:pBdr>
      <w:spacing w:before="200" w:after="280" w:line="276" w:lineRule="auto"/>
      <w:ind w:left="936" w:right="936"/>
    </w:pPr>
    <w:rPr>
      <w:rFonts w:ascii="Calibri" w:hAnsi="Calibri" w:cs="Calibri"/>
      <w:b/>
      <w:bCs/>
      <w:i/>
      <w:iCs/>
      <w:color w:val="4F81BD"/>
      <w:sz w:val="22"/>
      <w:szCs w:val="22"/>
      <w:lang w:eastAsia="en-US"/>
    </w:rPr>
  </w:style>
  <w:style w:type="character" w:customStyle="1" w:styleId="IntenseQuoteChar">
    <w:name w:val="Intense Quote Char"/>
    <w:basedOn w:val="DefaultParagraphFont"/>
    <w:link w:val="IntenseQuote"/>
    <w:uiPriority w:val="99"/>
    <w:rsid w:val="00961BAF"/>
    <w:rPr>
      <w:rFonts w:ascii="Calibri" w:eastAsia="Times New Roman" w:hAnsi="Calibri" w:cs="Calibri"/>
      <w:b/>
      <w:bCs/>
      <w:i/>
      <w:iCs/>
      <w:color w:val="4F81BD"/>
      <w:sz w:val="22"/>
      <w:szCs w:val="22"/>
      <w:lang w:val="en-GB"/>
    </w:rPr>
  </w:style>
  <w:style w:type="paragraph" w:customStyle="1" w:styleId="NormalJustified">
    <w:name w:val="Normal + Justified"/>
    <w:aliases w:val="Left:  0&quot;,Hanging:  0.5&quot;"/>
    <w:basedOn w:val="Normal"/>
    <w:uiPriority w:val="99"/>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rsid w:val="00084783"/>
    <w:rPr>
      <w:rFonts w:ascii="Tahoma" w:hAnsi="Tahoma" w:cs="Tahoma"/>
      <w:sz w:val="16"/>
      <w:szCs w:val="16"/>
    </w:rPr>
  </w:style>
  <w:style w:type="character" w:customStyle="1" w:styleId="DocumentMapChar">
    <w:name w:val="Document Map Char"/>
    <w:basedOn w:val="DefaultParagraphFont"/>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99"/>
    <w:qFormat/>
    <w:rsid w:val="00FA3E3E"/>
    <w:pPr>
      <w:spacing w:line="480" w:lineRule="auto"/>
      <w:jc w:val="center"/>
    </w:pPr>
    <w:rPr>
      <w:b/>
      <w:bCs/>
      <w:sz w:val="28"/>
      <w:szCs w:val="28"/>
      <w:lang w:val="en-US" w:eastAsia="en-US"/>
    </w:rPr>
  </w:style>
  <w:style w:type="character" w:customStyle="1" w:styleId="TitleChar">
    <w:name w:val="Title Char"/>
    <w:basedOn w:val="DefaultParagraphFont"/>
    <w:link w:val="Title"/>
    <w:uiPriority w:val="99"/>
    <w:rsid w:val="00FA3E3E"/>
    <w:rPr>
      <w:b/>
      <w:bCs/>
      <w:sz w:val="28"/>
      <w:szCs w:val="28"/>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style>
  <w:style w:type="paragraph" w:customStyle="1" w:styleId="CharCharCharCharCharCharCharCharCharChar">
    <w:name w:val="Char Char Char Char Char Char Char Char Char Char"/>
    <w:basedOn w:val="Normal"/>
    <w:uiPriority w:val="99"/>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uiPriority w:val="99"/>
    <w:rsid w:val="00376847"/>
  </w:style>
  <w:style w:type="character" w:customStyle="1" w:styleId="cit-auth">
    <w:name w:val="cit-auth"/>
    <w:uiPriority w:val="99"/>
    <w:rsid w:val="008E768F"/>
  </w:style>
  <w:style w:type="character" w:customStyle="1" w:styleId="cit-name-surname">
    <w:name w:val="cit-name-surname"/>
    <w:uiPriority w:val="99"/>
    <w:rsid w:val="008E768F"/>
  </w:style>
  <w:style w:type="character" w:customStyle="1" w:styleId="cit-name-given-names">
    <w:name w:val="cit-name-given-names"/>
    <w:uiPriority w:val="99"/>
    <w:rsid w:val="008E768F"/>
  </w:style>
  <w:style w:type="character" w:customStyle="1" w:styleId="cit-pub-date">
    <w:name w:val="cit-pub-date"/>
    <w:uiPriority w:val="99"/>
    <w:rsid w:val="008E768F"/>
  </w:style>
  <w:style w:type="character" w:customStyle="1" w:styleId="cit-article-title">
    <w:name w:val="cit-article-title"/>
    <w:uiPriority w:val="99"/>
    <w:rsid w:val="008E768F"/>
  </w:style>
  <w:style w:type="character" w:customStyle="1" w:styleId="cit-vol">
    <w:name w:val="cit-vol"/>
    <w:uiPriority w:val="99"/>
    <w:rsid w:val="008E768F"/>
  </w:style>
  <w:style w:type="character" w:customStyle="1" w:styleId="cit-fpage">
    <w:name w:val="cit-fpage"/>
    <w:uiPriority w:val="99"/>
    <w:rsid w:val="008E768F"/>
  </w:style>
  <w:style w:type="character" w:customStyle="1" w:styleId="cit-lpage">
    <w:name w:val="cit-lpage"/>
    <w:uiPriority w:val="99"/>
    <w:rsid w:val="008E768F"/>
  </w:style>
  <w:style w:type="paragraph" w:customStyle="1" w:styleId="CharCharCharChar">
    <w:name w:val="Char Char Char Char"/>
    <w:basedOn w:val="Normal"/>
    <w:uiPriority w:val="99"/>
    <w:rsid w:val="008E768F"/>
    <w:pPr>
      <w:spacing w:after="160" w:line="240" w:lineRule="exact"/>
    </w:pPr>
    <w:rPr>
      <w:rFonts w:ascii="Arial" w:hAnsi="Arial" w:cs="Arial"/>
      <w:lang w:val="en-US" w:eastAsia="en-US"/>
    </w:rPr>
  </w:style>
  <w:style w:type="paragraph" w:customStyle="1" w:styleId="CharCharCharCharCharCharCharCharCharChar1">
    <w:name w:val="Char Char Char Char Char Char Char Char Char Char1"/>
    <w:basedOn w:val="Normal"/>
    <w:uiPriority w:val="99"/>
    <w:rsid w:val="008E768F"/>
    <w:pPr>
      <w:spacing w:after="160" w:line="240" w:lineRule="exact"/>
    </w:pPr>
    <w:rPr>
      <w:rFonts w:ascii="Arial" w:hAnsi="Arial" w:cs="Arial"/>
      <w:lang w:val="en-US" w:eastAsia="en-US"/>
    </w:rPr>
  </w:style>
  <w:style w:type="paragraph" w:styleId="TOCHeading">
    <w:name w:val="TOC Heading"/>
    <w:basedOn w:val="Heading1"/>
    <w:next w:val="Normal"/>
    <w:uiPriority w:val="99"/>
    <w:qFormat/>
    <w:rsid w:val="008E768F"/>
    <w:pPr>
      <w:keepLines/>
      <w:spacing w:before="480" w:line="276" w:lineRule="auto"/>
      <w:jc w:val="left"/>
      <w:outlineLvl w:val="9"/>
    </w:pPr>
    <w:rPr>
      <w:rFonts w:ascii="Cambria" w:hAnsi="Cambria" w:cs="Cambria"/>
      <w:color w:val="365F91"/>
      <w:sz w:val="28"/>
      <w:szCs w:val="28"/>
      <w:lang w:eastAsia="en-US"/>
    </w:rPr>
  </w:style>
  <w:style w:type="paragraph" w:styleId="Revision">
    <w:name w:val="Revision"/>
    <w:hidden/>
    <w:uiPriority w:val="99"/>
    <w:semiHidden/>
    <w:rsid w:val="00EC5081"/>
    <w:rPr>
      <w:sz w:val="20"/>
      <w:szCs w:val="20"/>
      <w:lang w:val="en-GB" w:eastAsia="en-GB"/>
    </w:rPr>
  </w:style>
  <w:style w:type="character" w:customStyle="1" w:styleId="sitetitle">
    <w:name w:val="sitetitle"/>
    <w:uiPriority w:val="99"/>
    <w:rsid w:val="00A5338B"/>
  </w:style>
  <w:style w:type="character" w:customStyle="1" w:styleId="text">
    <w:name w:val="text"/>
    <w:uiPriority w:val="99"/>
    <w:rsid w:val="00A5338B"/>
  </w:style>
  <w:style w:type="character" w:customStyle="1" w:styleId="author-ref">
    <w:name w:val="author-ref"/>
    <w:uiPriority w:val="99"/>
    <w:rsid w:val="00A5338B"/>
  </w:style>
  <w:style w:type="character" w:customStyle="1" w:styleId="ff2fc2fs10">
    <w:name w:val="ff2 fc2 fs10"/>
    <w:basedOn w:val="DefaultParagraphFont"/>
    <w:uiPriority w:val="99"/>
    <w:rsid w:val="006469D0"/>
  </w:style>
  <w:style w:type="character" w:customStyle="1" w:styleId="hpsalt-edited">
    <w:name w:val="hps alt-edited"/>
    <w:basedOn w:val="DefaultParagraphFont"/>
    <w:uiPriority w:val="99"/>
    <w:rsid w:val="006469D0"/>
  </w:style>
  <w:style w:type="paragraph" w:styleId="PlainText">
    <w:name w:val="Plain Text"/>
    <w:aliases w:val="Char1"/>
    <w:basedOn w:val="Normal"/>
    <w:link w:val="PlainTextChar1"/>
    <w:uiPriority w:val="99"/>
    <w:rsid w:val="00CB20B2"/>
    <w:pPr>
      <w:widowControl w:val="0"/>
      <w:overflowPunct w:val="0"/>
      <w:autoSpaceDE w:val="0"/>
      <w:autoSpaceDN w:val="0"/>
      <w:adjustRightInd w:val="0"/>
    </w:pPr>
    <w:rPr>
      <w:rFonts w:ascii="Courier New" w:hAnsi="Courier New" w:cs="Courier New"/>
      <w:lang w:val="en-US" w:eastAsia="en-US"/>
    </w:rPr>
  </w:style>
  <w:style w:type="character" w:customStyle="1" w:styleId="PlainTextChar">
    <w:name w:val="Plain Text Char"/>
    <w:aliases w:val="Char1 Char"/>
    <w:basedOn w:val="DefaultParagraphFont"/>
    <w:link w:val="PlainText"/>
    <w:uiPriority w:val="99"/>
    <w:semiHidden/>
    <w:rsid w:val="00C12C4B"/>
    <w:rPr>
      <w:rFonts w:ascii="Courier New" w:hAnsi="Courier New" w:cs="Courier New"/>
      <w:sz w:val="20"/>
      <w:szCs w:val="20"/>
      <w:lang w:val="en-GB" w:eastAsia="en-GB"/>
    </w:rPr>
  </w:style>
  <w:style w:type="character" w:customStyle="1" w:styleId="PlainTextChar1">
    <w:name w:val="Plain Text Char1"/>
    <w:aliases w:val="Char1 Char1"/>
    <w:basedOn w:val="DefaultParagraphFont"/>
    <w:link w:val="PlainText"/>
    <w:uiPriority w:val="99"/>
    <w:rsid w:val="00CB20B2"/>
    <w:rPr>
      <w:rFonts w:ascii="Courier New" w:hAnsi="Courier New" w:cs="Courier New"/>
    </w:rPr>
  </w:style>
  <w:style w:type="character" w:styleId="HTMLCite">
    <w:name w:val="HTML Cite"/>
    <w:basedOn w:val="DefaultParagraphFont"/>
    <w:uiPriority w:val="99"/>
    <w:rsid w:val="00CB20B2"/>
    <w:rPr>
      <w:i/>
      <w:iCs/>
    </w:rPr>
  </w:style>
  <w:style w:type="character" w:customStyle="1" w:styleId="value">
    <w:name w:val="value"/>
    <w:basedOn w:val="DefaultParagraphFont"/>
    <w:uiPriority w:val="99"/>
    <w:rsid w:val="00CB20B2"/>
  </w:style>
</w:styles>
</file>

<file path=word/webSettings.xml><?xml version="1.0" encoding="utf-8"?>
<w:webSettings xmlns:r="http://schemas.openxmlformats.org/officeDocument/2006/relationships" xmlns:w="http://schemas.openxmlformats.org/wordprocessingml/2006/main">
  <w:divs>
    <w:div w:id="1972324258">
      <w:marLeft w:val="0"/>
      <w:marRight w:val="0"/>
      <w:marTop w:val="0"/>
      <w:marBottom w:val="0"/>
      <w:divBdr>
        <w:top w:val="none" w:sz="0" w:space="0" w:color="auto"/>
        <w:left w:val="none" w:sz="0" w:space="0" w:color="auto"/>
        <w:bottom w:val="none" w:sz="0" w:space="0" w:color="auto"/>
        <w:right w:val="none" w:sz="0" w:space="0" w:color="auto"/>
      </w:divBdr>
    </w:div>
    <w:div w:id="1972324259">
      <w:marLeft w:val="0"/>
      <w:marRight w:val="0"/>
      <w:marTop w:val="0"/>
      <w:marBottom w:val="0"/>
      <w:divBdr>
        <w:top w:val="none" w:sz="0" w:space="0" w:color="auto"/>
        <w:left w:val="none" w:sz="0" w:space="0" w:color="auto"/>
        <w:bottom w:val="none" w:sz="0" w:space="0" w:color="auto"/>
        <w:right w:val="none" w:sz="0" w:space="0" w:color="auto"/>
      </w:divBdr>
    </w:div>
    <w:div w:id="1972324260">
      <w:marLeft w:val="0"/>
      <w:marRight w:val="0"/>
      <w:marTop w:val="0"/>
      <w:marBottom w:val="0"/>
      <w:divBdr>
        <w:top w:val="none" w:sz="0" w:space="0" w:color="auto"/>
        <w:left w:val="none" w:sz="0" w:space="0" w:color="auto"/>
        <w:bottom w:val="none" w:sz="0" w:space="0" w:color="auto"/>
        <w:right w:val="none" w:sz="0" w:space="0" w:color="auto"/>
      </w:divBdr>
    </w:div>
    <w:div w:id="1972324261">
      <w:marLeft w:val="0"/>
      <w:marRight w:val="0"/>
      <w:marTop w:val="0"/>
      <w:marBottom w:val="0"/>
      <w:divBdr>
        <w:top w:val="none" w:sz="0" w:space="0" w:color="auto"/>
        <w:left w:val="none" w:sz="0" w:space="0" w:color="auto"/>
        <w:bottom w:val="none" w:sz="0" w:space="0" w:color="auto"/>
        <w:right w:val="none" w:sz="0" w:space="0" w:color="auto"/>
      </w:divBdr>
    </w:div>
    <w:div w:id="19723242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cbi.nlm.nih.gov/pubmed/?term=Bondy%20SC%5BAuthor%5D&amp;cauthor=true&amp;cauthor_uid=15068131" TargetMode="External"/><Relationship Id="rId18" Type="http://schemas.openxmlformats.org/officeDocument/2006/relationships/image" Target="media/image6.wmf"/><Relationship Id="rId26" Type="http://schemas.openxmlformats.org/officeDocument/2006/relationships/hyperlink" Target="http://www.tehnologijahrane.com/pravilnik/pravilnik-o-kvalitetu-i-drugim-zahtevima-za-prirodnu-mineralnu-vodu-prirodnu-izvorsku-vodu-i-stonu" TargetMode="Externa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1.jpeg"/><Relationship Id="rId12" Type="http://schemas.openxmlformats.org/officeDocument/2006/relationships/hyperlink" Target="https://www.ncbi.nlm.nih.gov/pubmed/?term=Campbell%20A%5BAuthor%5D&amp;cauthor=true&amp;cauthor_uid=15068131" TargetMode="External"/><Relationship Id="rId17" Type="http://schemas.openxmlformats.org/officeDocument/2006/relationships/oleObject" Target="embeddings/oleObject2.bin"/><Relationship Id="rId25" Type="http://schemas.openxmlformats.org/officeDocument/2006/relationships/hyperlink" Target="https://www.google.com/search?client=firefox-b&amp;q=Washington,+D.C.&amp;stick=H4sIAAAAAAAAAOPgE-LQz9U3SDfIyVACs4oyzLK1tLKTrfTzi9IT8zKrEksy8_NQOFYZqYkphaWJRSWpRcUAItcENEIAAAA&amp;sa=X&amp;ved=0ahUKEwimofugtpncAhVODOwKHYFBDXkQmxMInAIoATAe&amp;biw=1280&amp;bih=90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Becaria%20A%5BAuthor%5D&amp;cauthor=true&amp;cauthor_uid=15068131" TargetMode="External"/><Relationship Id="rId24" Type="http://schemas.openxmlformats.org/officeDocument/2006/relationships/hyperlink" Target="https://www.ncbi.nlm.nih.gov/pubmed/?term=Bondy%20SC%5BAuthor%5D&amp;cauthor=true&amp;cauthor_uid=1506813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https://www.ncbi.nlm.nih.gov/pubmed/?term=Campbell%20A%5BAuthor%5D&amp;cauthor=true&amp;cauthor_uid=15068131" TargetMode="External"/><Relationship Id="rId28" Type="http://schemas.openxmlformats.org/officeDocument/2006/relationships/hyperlink" Target="https://www.google.rs/url?sa=t&amp;rct=j&amp;q=&amp;esrc=s&amp;source=web&amp;cd=1&amp;cad=rja&amp;uact=8&amp;ved=0ahUKEwiizMW-_6zPAhWFyRQKHVEXCN4QFggaMAA&amp;url=http%3A%2F%2Fwww.who.int%2F&amp;usg=AFQjCNHopouZEBn6kMI8RAzaAM8l9DUHHQ&amp;sig2=iJPiMrA5RoIs_aOCs4ezwA&amp;bvm=bv.133700528,d.bGg" TargetMode="External"/><Relationship Id="rId10" Type="http://schemas.openxmlformats.org/officeDocument/2006/relationships/hyperlink" Target="http://www.mayoclinic.com/health/hypercalcemia/DS00976" TargetMode="External"/><Relationship Id="rId19" Type="http://schemas.openxmlformats.org/officeDocument/2006/relationships/oleObject" Target="embeddings/oleObject3.bin"/><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4.wmf"/><Relationship Id="rId22" Type="http://schemas.openxmlformats.org/officeDocument/2006/relationships/hyperlink" Target="https://www.ncbi.nlm.nih.gov/pubmed/?term=Becaria%20A%5BAuthor%5D&amp;cauthor=true&amp;cauthor_uid=15068131" TargetMode="External"/><Relationship Id="rId27" Type="http://schemas.openxmlformats.org/officeDocument/2006/relationships/hyperlink" Target="https://www.google.rs/url?sa=t&amp;rct=j&amp;q=&amp;esrc=s&amp;source=web&amp;cd=1&amp;cad=rja&amp;uact=8&amp;ved=0ahUKEwiizMW-_6zPAhWFyRQKHVEXCN4QFggaMAA&amp;url=http%3A%2F%2Fwww.who.int%2F&amp;usg=AFQjCNHopouZEBn6kMI8RAzaAM8l9DUHHQ&amp;sig2=iJPiMrA5RoIs_aOCs4ezwA&amp;bvm=bv.133700528,d.bGg"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ivanavu@agrif.bg.ac.rs" TargetMode="External"/><Relationship Id="rId1" Type="http://schemas.openxmlformats.org/officeDocument/2006/relationships/hyperlink" Target="mailto:ivanavu@agrif.bg.ac.rs"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21</Pages>
  <Words>6870</Words>
  <Characters>40846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ANALIZA SADRŽAJA MAKRO I MIKROELEMENATA U VODI ZA PIĆE IZ VODOVODNE MREŽE GRADA POŽAREVCA</vt:lpstr>
    </vt:vector>
  </TitlesOfParts>
  <Company>ifvcns</Company>
  <LinksUpToDate>false</LinksUpToDate>
  <CharactersWithSpaces>47621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SADRŽAJA MAKRO I MIKROELEMENATA U VODI ZA PIĆE IZ VODOVODNE MREŽE GRADA POŽAREVCA</dc:title>
  <dc:creator>Snezana</dc:creator>
  <cp:lastModifiedBy>University of Belgrade - Faculty of Agriculture</cp:lastModifiedBy>
  <cp:revision>8</cp:revision>
  <cp:lastPrinted>2018-09-13T10:30:00Z</cp:lastPrinted>
  <dcterms:created xsi:type="dcterms:W3CDTF">2018-09-24T10:28:00Z</dcterms:created>
  <dcterms:modified xsi:type="dcterms:W3CDTF">2018-09-24T13:28:00Z</dcterms:modified>
</cp:coreProperties>
</file>