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A806E9" w:rsidRDefault="00A47BAA" w:rsidP="00A806E9">
      <w:pPr>
        <w:jc w:val="center"/>
        <w:rPr>
          <w:sz w:val="22"/>
          <w:szCs w:val="22"/>
        </w:rPr>
      </w:pPr>
    </w:p>
    <w:p w:rsidR="00A47BAA" w:rsidRPr="00A806E9" w:rsidRDefault="00A47BAA" w:rsidP="00A806E9">
      <w:pPr>
        <w:jc w:val="center"/>
        <w:rPr>
          <w:sz w:val="22"/>
          <w:szCs w:val="22"/>
        </w:rPr>
      </w:pPr>
    </w:p>
    <w:p w:rsidR="00A47BAA" w:rsidRPr="00A806E9" w:rsidRDefault="00A47BAA" w:rsidP="00A806E9">
      <w:pPr>
        <w:jc w:val="center"/>
        <w:rPr>
          <w:sz w:val="22"/>
          <w:szCs w:val="22"/>
        </w:rPr>
      </w:pPr>
    </w:p>
    <w:p w:rsidR="005E7A77" w:rsidRPr="00A806E9" w:rsidRDefault="005E7A77" w:rsidP="00A806E9">
      <w:pPr>
        <w:autoSpaceDE w:val="0"/>
        <w:autoSpaceDN w:val="0"/>
        <w:adjustRightInd w:val="0"/>
        <w:jc w:val="center"/>
        <w:rPr>
          <w:sz w:val="22"/>
          <w:szCs w:val="22"/>
        </w:rPr>
      </w:pPr>
      <w:r w:rsidRPr="00A806E9">
        <w:rPr>
          <w:sz w:val="22"/>
          <w:szCs w:val="22"/>
        </w:rPr>
        <w:t>UTICAJ SIVE PROTIVGRADNE MREŽE NA KVALITET PLODA BOROVNICE (</w:t>
      </w:r>
      <w:r w:rsidR="00625DAC" w:rsidRPr="00A806E9">
        <w:rPr>
          <w:i/>
          <w:sz w:val="22"/>
          <w:szCs w:val="22"/>
        </w:rPr>
        <w:t>VACCINIUM CORYMBOSUM</w:t>
      </w:r>
      <w:r w:rsidR="00625DAC" w:rsidRPr="00A806E9">
        <w:rPr>
          <w:sz w:val="22"/>
          <w:szCs w:val="22"/>
        </w:rPr>
        <w:t xml:space="preserve"> </w:t>
      </w:r>
      <w:r w:rsidRPr="00A806E9">
        <w:rPr>
          <w:sz w:val="22"/>
          <w:szCs w:val="22"/>
        </w:rPr>
        <w:t>L.)</w:t>
      </w:r>
      <w:r w:rsidRPr="00AF1C40">
        <w:rPr>
          <w:sz w:val="22"/>
          <w:szCs w:val="22"/>
        </w:rPr>
        <w:t xml:space="preserve"> </w:t>
      </w:r>
      <w:r w:rsidRPr="00A806E9">
        <w:rPr>
          <w:sz w:val="22"/>
          <w:szCs w:val="22"/>
        </w:rPr>
        <w:t xml:space="preserve">SORTE </w:t>
      </w:r>
      <w:r w:rsidR="00382287">
        <w:rPr>
          <w:sz w:val="22"/>
          <w:szCs w:val="22"/>
          <w:lang w:val="en-US"/>
        </w:rPr>
        <w:t>‘</w:t>
      </w:r>
      <w:r w:rsidRPr="00A806E9">
        <w:rPr>
          <w:sz w:val="22"/>
          <w:szCs w:val="22"/>
        </w:rPr>
        <w:t>BLUECROP</w:t>
      </w:r>
      <w:r w:rsidR="00382287">
        <w:rPr>
          <w:sz w:val="22"/>
          <w:szCs w:val="22"/>
        </w:rPr>
        <w:t>’</w:t>
      </w:r>
    </w:p>
    <w:p w:rsidR="005E7A77" w:rsidRPr="00A806E9" w:rsidRDefault="005E7A77" w:rsidP="00A806E9">
      <w:pPr>
        <w:autoSpaceDE w:val="0"/>
        <w:autoSpaceDN w:val="0"/>
        <w:adjustRightInd w:val="0"/>
        <w:jc w:val="center"/>
        <w:rPr>
          <w:sz w:val="22"/>
          <w:szCs w:val="22"/>
        </w:rPr>
      </w:pPr>
    </w:p>
    <w:p w:rsidR="005E7A77" w:rsidRPr="00A806E9" w:rsidRDefault="005E7A77" w:rsidP="00A806E9">
      <w:pPr>
        <w:autoSpaceDE w:val="0"/>
        <w:autoSpaceDN w:val="0"/>
        <w:adjustRightInd w:val="0"/>
        <w:jc w:val="center"/>
        <w:rPr>
          <w:b/>
          <w:sz w:val="22"/>
          <w:szCs w:val="22"/>
        </w:rPr>
      </w:pPr>
      <w:r w:rsidRPr="00A806E9">
        <w:rPr>
          <w:rFonts w:eastAsia="Calibri"/>
          <w:b/>
          <w:sz w:val="22"/>
          <w:szCs w:val="22"/>
          <w:lang w:val="sr-Latn-CS"/>
        </w:rPr>
        <w:t>Jasminka M. Milivojević</w:t>
      </w:r>
      <w:r w:rsidRPr="00A806E9">
        <w:rPr>
          <w:rFonts w:eastAsia="Calibri"/>
          <w:b/>
          <w:sz w:val="22"/>
          <w:szCs w:val="22"/>
          <w:vertAlign w:val="superscript"/>
          <w:lang w:val="sr-Latn-CS"/>
        </w:rPr>
        <w:t>1</w:t>
      </w:r>
      <w:r w:rsidRPr="00A806E9">
        <w:rPr>
          <w:rStyle w:val="FootnoteReference"/>
          <w:b/>
          <w:bCs/>
          <w:sz w:val="22"/>
          <w:szCs w:val="22"/>
        </w:rPr>
        <w:footnoteReference w:id="2"/>
      </w:r>
      <w:r w:rsidRPr="00A806E9">
        <w:rPr>
          <w:rFonts w:eastAsia="Calibri"/>
          <w:b/>
          <w:sz w:val="22"/>
          <w:szCs w:val="22"/>
          <w:lang w:val="sr-Latn-CS"/>
        </w:rPr>
        <w:t>, Dragan D. Radivojević</w:t>
      </w:r>
      <w:r w:rsidRPr="00A806E9">
        <w:rPr>
          <w:rFonts w:eastAsia="Calibri"/>
          <w:b/>
          <w:sz w:val="22"/>
          <w:szCs w:val="22"/>
          <w:vertAlign w:val="superscript"/>
          <w:lang w:val="sr-Latn-CS"/>
        </w:rPr>
        <w:t>1</w:t>
      </w:r>
      <w:r w:rsidRPr="00A806E9">
        <w:rPr>
          <w:rFonts w:eastAsia="Calibri"/>
          <w:b/>
          <w:sz w:val="22"/>
          <w:szCs w:val="22"/>
          <w:lang w:val="sr-Latn-CS"/>
        </w:rPr>
        <w:t>, Mirjana M. Ruml</w:t>
      </w:r>
      <w:r w:rsidRPr="00A806E9">
        <w:rPr>
          <w:rFonts w:eastAsia="Calibri"/>
          <w:b/>
          <w:sz w:val="22"/>
          <w:szCs w:val="22"/>
          <w:vertAlign w:val="superscript"/>
          <w:lang w:val="sr-Latn-CS"/>
        </w:rPr>
        <w:t>1</w:t>
      </w:r>
      <w:r w:rsidRPr="00A806E9">
        <w:rPr>
          <w:rFonts w:eastAsia="Calibri"/>
          <w:b/>
          <w:sz w:val="22"/>
          <w:szCs w:val="22"/>
          <w:lang w:val="sr-Latn-CS"/>
        </w:rPr>
        <w:t>, Suzana S. Urošević</w:t>
      </w:r>
      <w:r w:rsidRPr="00A806E9">
        <w:rPr>
          <w:rFonts w:eastAsia="Calibri"/>
          <w:b/>
          <w:sz w:val="22"/>
          <w:szCs w:val="22"/>
          <w:vertAlign w:val="superscript"/>
          <w:lang w:val="sr-Latn-CS"/>
        </w:rPr>
        <w:t>1</w:t>
      </w:r>
      <w:r w:rsidRPr="00A806E9">
        <w:rPr>
          <w:rFonts w:eastAsia="Calibri"/>
          <w:b/>
          <w:sz w:val="22"/>
          <w:szCs w:val="22"/>
          <w:lang w:val="sr-Latn-CS"/>
        </w:rPr>
        <w:t xml:space="preserve"> i </w:t>
      </w:r>
      <w:r w:rsidRPr="00A806E9">
        <w:rPr>
          <w:rFonts w:eastAsia="Calibri"/>
          <w:b/>
          <w:sz w:val="22"/>
          <w:szCs w:val="22"/>
          <w:vertAlign w:val="superscript"/>
          <w:lang w:val="sr-Latn-CS"/>
        </w:rPr>
        <w:t xml:space="preserve"> </w:t>
      </w:r>
      <w:r w:rsidRPr="00A806E9">
        <w:rPr>
          <w:rFonts w:eastAsia="Calibri"/>
          <w:b/>
          <w:sz w:val="22"/>
          <w:szCs w:val="22"/>
          <w:lang w:val="sr-Latn-CS"/>
        </w:rPr>
        <w:t>Jelena J. Dragišić Maksimović</w:t>
      </w:r>
      <w:r w:rsidRPr="00A806E9">
        <w:rPr>
          <w:rFonts w:eastAsia="Calibri"/>
          <w:b/>
          <w:sz w:val="22"/>
          <w:szCs w:val="22"/>
          <w:vertAlign w:val="superscript"/>
          <w:lang w:val="sr-Latn-CS"/>
        </w:rPr>
        <w:t>2</w:t>
      </w:r>
    </w:p>
    <w:p w:rsidR="005E7A77" w:rsidRPr="00A806E9" w:rsidRDefault="005E7A77" w:rsidP="00A806E9">
      <w:pPr>
        <w:autoSpaceDE w:val="0"/>
        <w:autoSpaceDN w:val="0"/>
        <w:adjustRightInd w:val="0"/>
        <w:jc w:val="center"/>
        <w:rPr>
          <w:rFonts w:ascii="AdvPSAD31" w:hAnsi="AdvPSAD31" w:cs="AdvPSAD31"/>
          <w:sz w:val="22"/>
          <w:szCs w:val="22"/>
        </w:rPr>
      </w:pPr>
    </w:p>
    <w:p w:rsidR="005E7A77" w:rsidRPr="00A806E9" w:rsidRDefault="005E7A77" w:rsidP="00A806E9">
      <w:pPr>
        <w:jc w:val="center"/>
        <w:rPr>
          <w:sz w:val="22"/>
          <w:szCs w:val="22"/>
          <w:lang w:val="pl-PL"/>
        </w:rPr>
      </w:pPr>
      <w:r w:rsidRPr="00A806E9">
        <w:rPr>
          <w:rFonts w:eastAsia="Calibri"/>
          <w:sz w:val="22"/>
          <w:szCs w:val="22"/>
          <w:vertAlign w:val="superscript"/>
          <w:lang w:val="sr-Latn-CS"/>
        </w:rPr>
        <w:t>1</w:t>
      </w:r>
      <w:r w:rsidRPr="00A806E9">
        <w:rPr>
          <w:sz w:val="22"/>
          <w:szCs w:val="22"/>
          <w:lang w:val="pl-PL"/>
        </w:rPr>
        <w:t>Univerzitet u Beogradu, Poljoprivredni fakultet,</w:t>
      </w:r>
    </w:p>
    <w:p w:rsidR="005E7A77" w:rsidRPr="00A806E9" w:rsidRDefault="005E7A77" w:rsidP="00A806E9">
      <w:pPr>
        <w:jc w:val="center"/>
        <w:rPr>
          <w:sz w:val="22"/>
          <w:szCs w:val="22"/>
          <w:lang w:val="pl-PL"/>
        </w:rPr>
      </w:pPr>
      <w:r w:rsidRPr="00A806E9">
        <w:rPr>
          <w:sz w:val="22"/>
          <w:szCs w:val="22"/>
          <w:lang w:val="pl-PL"/>
        </w:rPr>
        <w:t>Nemanjina 6, 11080 Beograd-Zemun, Srbija</w:t>
      </w:r>
    </w:p>
    <w:p w:rsidR="00A806E9" w:rsidRDefault="005E7A77" w:rsidP="00A806E9">
      <w:pPr>
        <w:jc w:val="center"/>
        <w:rPr>
          <w:rFonts w:eastAsia="Calibri"/>
          <w:sz w:val="22"/>
          <w:szCs w:val="22"/>
          <w:lang w:val="sr-Latn-CS"/>
        </w:rPr>
      </w:pPr>
      <w:r w:rsidRPr="00A806E9">
        <w:rPr>
          <w:rFonts w:eastAsia="Calibri"/>
          <w:sz w:val="22"/>
          <w:szCs w:val="22"/>
          <w:vertAlign w:val="superscript"/>
          <w:lang w:val="sr-Latn-CS"/>
        </w:rPr>
        <w:t>2</w:t>
      </w:r>
      <w:r w:rsidRPr="00A806E9">
        <w:rPr>
          <w:rFonts w:eastAsia="Calibri"/>
          <w:sz w:val="22"/>
          <w:szCs w:val="22"/>
          <w:lang w:val="sr-Latn-CS"/>
        </w:rPr>
        <w:t>Univerzitet u Beogradu</w:t>
      </w:r>
      <w:r w:rsidRPr="00A806E9">
        <w:rPr>
          <w:rFonts w:eastAsia="Calibri"/>
          <w:i/>
          <w:sz w:val="22"/>
          <w:szCs w:val="22"/>
          <w:lang w:val="sr-Latn-CS"/>
        </w:rPr>
        <w:t xml:space="preserve">, </w:t>
      </w:r>
      <w:r w:rsidRPr="00A806E9">
        <w:rPr>
          <w:rFonts w:eastAsia="Calibri"/>
          <w:sz w:val="22"/>
          <w:szCs w:val="22"/>
        </w:rPr>
        <w:t>Institut</w:t>
      </w:r>
      <w:r w:rsidRPr="00A806E9">
        <w:rPr>
          <w:rFonts w:eastAsia="Calibri"/>
          <w:sz w:val="22"/>
          <w:szCs w:val="22"/>
          <w:lang w:val="sr-Latn-CS"/>
        </w:rPr>
        <w:t xml:space="preserve"> </w:t>
      </w:r>
      <w:r w:rsidRPr="00A806E9">
        <w:rPr>
          <w:rFonts w:eastAsia="Calibri"/>
          <w:sz w:val="22"/>
          <w:szCs w:val="22"/>
        </w:rPr>
        <w:t>za</w:t>
      </w:r>
      <w:r w:rsidRPr="00A806E9">
        <w:rPr>
          <w:rFonts w:eastAsia="Calibri"/>
          <w:sz w:val="22"/>
          <w:szCs w:val="22"/>
          <w:lang w:val="sr-Latn-CS"/>
        </w:rPr>
        <w:t xml:space="preserve"> </w:t>
      </w:r>
      <w:r w:rsidRPr="00A806E9">
        <w:rPr>
          <w:rFonts w:eastAsia="Calibri"/>
          <w:sz w:val="22"/>
          <w:szCs w:val="22"/>
        </w:rPr>
        <w:t>multidisciplinarna</w:t>
      </w:r>
      <w:r w:rsidRPr="00A806E9">
        <w:rPr>
          <w:rFonts w:eastAsia="Calibri"/>
          <w:sz w:val="22"/>
          <w:szCs w:val="22"/>
          <w:lang w:val="sr-Latn-CS"/>
        </w:rPr>
        <w:t xml:space="preserve"> </w:t>
      </w:r>
      <w:r w:rsidRPr="00A806E9">
        <w:rPr>
          <w:rFonts w:eastAsia="Calibri"/>
          <w:sz w:val="22"/>
          <w:szCs w:val="22"/>
        </w:rPr>
        <w:t>istra</w:t>
      </w:r>
      <w:r w:rsidRPr="00A806E9">
        <w:rPr>
          <w:rFonts w:eastAsia="Calibri"/>
          <w:sz w:val="22"/>
          <w:szCs w:val="22"/>
          <w:lang w:val="sr-Latn-CS"/>
        </w:rPr>
        <w:t>ž</w:t>
      </w:r>
      <w:r w:rsidRPr="00A806E9">
        <w:rPr>
          <w:rFonts w:eastAsia="Calibri"/>
          <w:sz w:val="22"/>
          <w:szCs w:val="22"/>
        </w:rPr>
        <w:t>ivanja</w:t>
      </w:r>
      <w:r w:rsidRPr="00A806E9">
        <w:rPr>
          <w:rFonts w:eastAsia="Calibri"/>
          <w:sz w:val="22"/>
          <w:szCs w:val="22"/>
          <w:lang w:val="sr-Latn-CS"/>
        </w:rPr>
        <w:t xml:space="preserve">, </w:t>
      </w:r>
    </w:p>
    <w:p w:rsidR="005E7A77" w:rsidRPr="00A806E9" w:rsidRDefault="005E7A77" w:rsidP="00A806E9">
      <w:pPr>
        <w:jc w:val="center"/>
        <w:rPr>
          <w:rFonts w:eastAsia="Calibri"/>
          <w:sz w:val="22"/>
          <w:szCs w:val="22"/>
          <w:lang w:val="sr-Latn-CS"/>
        </w:rPr>
      </w:pPr>
      <w:r w:rsidRPr="007C0222">
        <w:rPr>
          <w:rFonts w:eastAsia="Calibri"/>
          <w:sz w:val="22"/>
          <w:szCs w:val="22"/>
          <w:lang w:val="sr-Latn-CS"/>
        </w:rPr>
        <w:t>Kneza</w:t>
      </w:r>
      <w:r w:rsidRPr="00A806E9">
        <w:rPr>
          <w:rFonts w:eastAsia="Calibri"/>
          <w:sz w:val="22"/>
          <w:szCs w:val="22"/>
          <w:lang w:val="sr-Latn-CS"/>
        </w:rPr>
        <w:t xml:space="preserve"> </w:t>
      </w:r>
      <w:r w:rsidRPr="007C0222">
        <w:rPr>
          <w:rFonts w:eastAsia="Calibri"/>
          <w:sz w:val="22"/>
          <w:szCs w:val="22"/>
          <w:lang w:val="sr-Latn-CS"/>
        </w:rPr>
        <w:t>Vi</w:t>
      </w:r>
      <w:r w:rsidRPr="00A806E9">
        <w:rPr>
          <w:rFonts w:eastAsia="Calibri"/>
          <w:sz w:val="22"/>
          <w:szCs w:val="22"/>
          <w:lang w:val="sr-Latn-CS"/>
        </w:rPr>
        <w:t>š</w:t>
      </w:r>
      <w:r w:rsidRPr="007C0222">
        <w:rPr>
          <w:rFonts w:eastAsia="Calibri"/>
          <w:sz w:val="22"/>
          <w:szCs w:val="22"/>
          <w:lang w:val="sr-Latn-CS"/>
        </w:rPr>
        <w:t>eslava</w:t>
      </w:r>
      <w:r w:rsidRPr="00A806E9">
        <w:rPr>
          <w:rFonts w:eastAsia="Calibri"/>
          <w:sz w:val="22"/>
          <w:szCs w:val="22"/>
          <w:lang w:val="sr-Latn-CS"/>
        </w:rPr>
        <w:t xml:space="preserve"> 1</w:t>
      </w:r>
      <w:r w:rsidRPr="007C0222">
        <w:rPr>
          <w:rFonts w:eastAsia="Calibri"/>
          <w:sz w:val="22"/>
          <w:szCs w:val="22"/>
          <w:lang w:val="sr-Latn-CS"/>
        </w:rPr>
        <w:t>a</w:t>
      </w:r>
      <w:r w:rsidRPr="00A806E9">
        <w:rPr>
          <w:rFonts w:eastAsia="Calibri"/>
          <w:sz w:val="22"/>
          <w:szCs w:val="22"/>
          <w:lang w:val="sr-Latn-CS"/>
        </w:rPr>
        <w:t xml:space="preserve">, 11030 </w:t>
      </w:r>
      <w:r w:rsidRPr="00A806E9">
        <w:rPr>
          <w:rFonts w:eastAsia="Calibri"/>
          <w:sz w:val="22"/>
          <w:szCs w:val="22"/>
          <w:lang w:val="it-IT"/>
        </w:rPr>
        <w:t>Beograd, Srbija</w:t>
      </w:r>
    </w:p>
    <w:p w:rsidR="0019645B" w:rsidRPr="00A806E9" w:rsidRDefault="0019645B" w:rsidP="00A806E9">
      <w:pPr>
        <w:jc w:val="center"/>
        <w:rPr>
          <w:sz w:val="22"/>
          <w:szCs w:val="22"/>
          <w:lang w:val="pl-PL"/>
        </w:rPr>
      </w:pPr>
    </w:p>
    <w:p w:rsidR="005E7A77" w:rsidRPr="00A806E9" w:rsidRDefault="007F61AA" w:rsidP="00A806E9">
      <w:pPr>
        <w:ind w:firstLine="425"/>
        <w:jc w:val="both"/>
        <w:rPr>
          <w:color w:val="131413"/>
          <w:sz w:val="22"/>
          <w:szCs w:val="22"/>
          <w:lang w:val="pl-PL"/>
        </w:rPr>
      </w:pPr>
      <w:r w:rsidRPr="00A806E9">
        <w:rPr>
          <w:b/>
          <w:bCs/>
          <w:sz w:val="22"/>
          <w:szCs w:val="22"/>
          <w:lang w:val="sr-Latn-CS"/>
        </w:rPr>
        <w:t>Sažetak</w:t>
      </w:r>
      <w:r w:rsidR="002F42C3" w:rsidRPr="00A806E9">
        <w:rPr>
          <w:b/>
          <w:bCs/>
          <w:sz w:val="22"/>
          <w:szCs w:val="22"/>
          <w:lang w:val="sr-Latn-CS"/>
        </w:rPr>
        <w:t>:</w:t>
      </w:r>
      <w:r w:rsidR="002F42C3" w:rsidRPr="00A806E9">
        <w:rPr>
          <w:sz w:val="22"/>
          <w:szCs w:val="22"/>
          <w:lang w:val="sr-Latn-CS"/>
        </w:rPr>
        <w:t xml:space="preserve"> </w:t>
      </w:r>
      <w:r w:rsidR="005E7A77" w:rsidRPr="00A806E9">
        <w:rPr>
          <w:sz w:val="22"/>
          <w:szCs w:val="22"/>
          <w:lang w:val="sl-SI"/>
        </w:rPr>
        <w:t>U ovom radu su ispitivani efekti izmenjene mikroklime pod sivom protivgradnom mrežom (PGM) na fizičke osobine ploda (masa ploda, indeks oblika ploda i broj semenki u plodu) i nutritivnu vrednost (sadržaj rastvorljive suve materije</w:t>
      </w:r>
      <w:r w:rsidR="005E7A77" w:rsidRPr="00A806E9">
        <w:rPr>
          <w:sz w:val="22"/>
          <w:szCs w:val="22"/>
          <w:lang w:val="sr-Latn-CS"/>
        </w:rPr>
        <w:t xml:space="preserve"> – </w:t>
      </w:r>
      <w:r w:rsidR="005E7A77" w:rsidRPr="00A806E9">
        <w:rPr>
          <w:sz w:val="22"/>
          <w:szCs w:val="22"/>
          <w:lang w:val="sl-SI"/>
        </w:rPr>
        <w:t xml:space="preserve">RSM, </w:t>
      </w:r>
      <w:r w:rsidR="005E7A77" w:rsidRPr="007C0222">
        <w:rPr>
          <w:color w:val="1B1C20"/>
          <w:sz w:val="22"/>
          <w:szCs w:val="22"/>
          <w:lang w:val="sr-Latn-CS"/>
        </w:rPr>
        <w:t>ukupnih</w:t>
      </w:r>
      <w:r w:rsidR="005E7A77" w:rsidRPr="00A806E9">
        <w:rPr>
          <w:color w:val="1B1C20"/>
          <w:sz w:val="22"/>
          <w:szCs w:val="22"/>
          <w:lang w:val="sr-Latn-CS"/>
        </w:rPr>
        <w:t xml:space="preserve"> </w:t>
      </w:r>
      <w:r w:rsidR="005E7A77" w:rsidRPr="007C0222">
        <w:rPr>
          <w:color w:val="1B1C20"/>
          <w:sz w:val="22"/>
          <w:szCs w:val="22"/>
          <w:lang w:val="sr-Latn-CS"/>
        </w:rPr>
        <w:t>kiselina</w:t>
      </w:r>
      <w:r w:rsidR="005E7A77" w:rsidRPr="00A806E9">
        <w:rPr>
          <w:color w:val="1B1C20"/>
          <w:sz w:val="22"/>
          <w:szCs w:val="22"/>
          <w:lang w:val="sr-Latn-CS"/>
        </w:rPr>
        <w:t xml:space="preserve"> </w:t>
      </w:r>
      <w:r w:rsidR="005E7A77" w:rsidRPr="00A806E9">
        <w:rPr>
          <w:sz w:val="22"/>
          <w:szCs w:val="22"/>
          <w:lang w:val="sl-SI"/>
        </w:rPr>
        <w:t xml:space="preserve">i ukupnih fenola, kao i ukupni antioksidativni kapacitet ploda) sorte borovnice </w:t>
      </w:r>
      <w:r w:rsidR="00382287">
        <w:rPr>
          <w:sz w:val="22"/>
          <w:szCs w:val="22"/>
          <w:lang w:val="sr-Latn-CS"/>
        </w:rPr>
        <w:t>‘</w:t>
      </w:r>
      <w:r w:rsidR="005E7A77" w:rsidRPr="007C0222">
        <w:rPr>
          <w:sz w:val="22"/>
          <w:szCs w:val="22"/>
          <w:lang w:val="sr-Latn-CS"/>
        </w:rPr>
        <w:t>Bluecrop</w:t>
      </w:r>
      <w:r w:rsidR="00382287">
        <w:rPr>
          <w:sz w:val="22"/>
          <w:szCs w:val="22"/>
          <w:lang w:val="sr-Latn-CS"/>
        </w:rPr>
        <w:t>’</w:t>
      </w:r>
      <w:r w:rsidR="005E7A77" w:rsidRPr="00A806E9">
        <w:rPr>
          <w:sz w:val="22"/>
          <w:szCs w:val="22"/>
          <w:lang w:val="sr-Latn-CS"/>
        </w:rPr>
        <w:t xml:space="preserve"> </w:t>
      </w:r>
      <w:r w:rsidR="005E7A77" w:rsidRPr="00A806E9">
        <w:rPr>
          <w:rFonts w:eastAsia="Calibri"/>
          <w:sz w:val="22"/>
          <w:szCs w:val="22"/>
          <w:lang w:val="sr-Latn-CS"/>
        </w:rPr>
        <w:t>(</w:t>
      </w:r>
      <w:r w:rsidR="005E7A77" w:rsidRPr="007C0222">
        <w:rPr>
          <w:rFonts w:eastAsia="Calibri"/>
          <w:i/>
          <w:sz w:val="22"/>
          <w:szCs w:val="22"/>
          <w:lang w:val="sr-Latn-CS"/>
        </w:rPr>
        <w:t>Vaccinium</w:t>
      </w:r>
      <w:r w:rsidR="005E7A77" w:rsidRPr="00A806E9">
        <w:rPr>
          <w:rFonts w:eastAsia="Calibri"/>
          <w:i/>
          <w:sz w:val="22"/>
          <w:szCs w:val="22"/>
          <w:lang w:val="sr-Latn-CS"/>
        </w:rPr>
        <w:t xml:space="preserve"> </w:t>
      </w:r>
      <w:r w:rsidR="005E7A77" w:rsidRPr="007C0222">
        <w:rPr>
          <w:rFonts w:eastAsia="Calibri"/>
          <w:i/>
          <w:sz w:val="22"/>
          <w:szCs w:val="22"/>
          <w:lang w:val="sr-Latn-CS"/>
        </w:rPr>
        <w:t>corymbosum</w:t>
      </w:r>
      <w:r w:rsidR="005E7A77" w:rsidRPr="00A806E9">
        <w:rPr>
          <w:rFonts w:eastAsia="Calibri"/>
          <w:sz w:val="22"/>
          <w:szCs w:val="22"/>
          <w:lang w:val="sr-Latn-CS"/>
        </w:rPr>
        <w:t xml:space="preserve"> </w:t>
      </w:r>
      <w:r w:rsidR="005E7A77" w:rsidRPr="007C0222">
        <w:rPr>
          <w:rFonts w:eastAsia="Calibri"/>
          <w:sz w:val="22"/>
          <w:szCs w:val="22"/>
          <w:lang w:val="sr-Latn-CS"/>
        </w:rPr>
        <w:t>L</w:t>
      </w:r>
      <w:r w:rsidR="005E7A77" w:rsidRPr="00A806E9">
        <w:rPr>
          <w:rFonts w:eastAsia="Calibri"/>
          <w:sz w:val="22"/>
          <w:szCs w:val="22"/>
          <w:lang w:val="sr-Latn-CS"/>
        </w:rPr>
        <w:t>.)</w:t>
      </w:r>
      <w:r w:rsidR="005E7A77" w:rsidRPr="00A806E9">
        <w:rPr>
          <w:sz w:val="22"/>
          <w:szCs w:val="22"/>
          <w:lang w:val="sr-Latn-CS"/>
        </w:rPr>
        <w:t xml:space="preserve">. </w:t>
      </w:r>
      <w:r w:rsidR="005E7A77" w:rsidRPr="00A806E9">
        <w:rPr>
          <w:sz w:val="22"/>
          <w:szCs w:val="22"/>
          <w:lang w:val="pl-PL"/>
        </w:rPr>
        <w:t>Ispitivanja su izvedena u periodu 2013–2014. godina, u zasadu borovnice koji se nalazi u blizini Mladenovca. Zasad je podignut u proleće 2011. godine sa trogodišnjim sadnicama i gustinom sadnje od 3.300 žbunova po ha. Primenjena je siva PGM (SILVERLUX</w:t>
      </w:r>
      <w:r w:rsidR="005E7A77" w:rsidRPr="00A806E9">
        <w:rPr>
          <w:rFonts w:eastAsia="TimesNewRomanPSMT"/>
          <w:sz w:val="22"/>
          <w:szCs w:val="22"/>
          <w:vertAlign w:val="superscript"/>
          <w:lang w:val="pl-PL"/>
        </w:rPr>
        <w:t>®</w:t>
      </w:r>
      <w:r w:rsidR="005E7A77" w:rsidRPr="00A806E9">
        <w:rPr>
          <w:rFonts w:eastAsia="TimesNewRomanPSMT"/>
          <w:sz w:val="22"/>
          <w:szCs w:val="22"/>
          <w:lang w:val="pl-PL"/>
        </w:rPr>
        <w:t>, Helios Group, Lurano, Italy), težine 48 g/m</w:t>
      </w:r>
      <w:r w:rsidR="005E7A77" w:rsidRPr="00A806E9">
        <w:rPr>
          <w:rFonts w:eastAsia="TimesNewRomanPSMT"/>
          <w:sz w:val="22"/>
          <w:szCs w:val="22"/>
          <w:vertAlign w:val="superscript"/>
          <w:lang w:val="pl-PL"/>
        </w:rPr>
        <w:t>2</w:t>
      </w:r>
      <w:r w:rsidR="005E7A77" w:rsidRPr="00A806E9">
        <w:rPr>
          <w:rFonts w:eastAsia="TimesNewRomanPSMT"/>
          <w:sz w:val="22"/>
          <w:szCs w:val="22"/>
          <w:lang w:val="pl-PL"/>
        </w:rPr>
        <w:t xml:space="preserve">, sa veličinom otvora 2,8 x 8 mm. Tokom perioda ispitivanja, intenzitet svetlosti je meren jedanput nedeljno u 12 h korišćenjem luks metra </w:t>
      </w:r>
      <w:r w:rsidR="005E7A77" w:rsidRPr="00A806E9">
        <w:rPr>
          <w:sz w:val="22"/>
          <w:szCs w:val="22"/>
          <w:lang w:val="pl-PL"/>
        </w:rPr>
        <w:t>„</w:t>
      </w:r>
      <w:r w:rsidR="005E7A77" w:rsidRPr="00A806E9">
        <w:rPr>
          <w:sz w:val="22"/>
          <w:szCs w:val="22"/>
          <w:lang w:val="sr-Latn-CS"/>
        </w:rPr>
        <w:t>Peak teck</w:t>
      </w:r>
      <w:r w:rsidR="005E7A77" w:rsidRPr="00A806E9">
        <w:rPr>
          <w:sz w:val="22"/>
          <w:szCs w:val="22"/>
          <w:lang w:val="pl-PL"/>
        </w:rPr>
        <w:t>”</w:t>
      </w:r>
      <w:r w:rsidR="005E7A77" w:rsidRPr="00A806E9">
        <w:rPr>
          <w:sz w:val="22"/>
          <w:szCs w:val="22"/>
          <w:lang w:val="sr-Latn-CS"/>
        </w:rPr>
        <w:t xml:space="preserve"> PT-5025 (Germany)</w:t>
      </w:r>
      <w:r w:rsidR="005E7A77" w:rsidRPr="00A806E9">
        <w:rPr>
          <w:sz w:val="22"/>
          <w:szCs w:val="22"/>
          <w:lang w:val="pl-PL"/>
        </w:rPr>
        <w:t xml:space="preserve">. Temperatura i relativna vlažnost vazduha su merene </w:t>
      </w:r>
      <w:r w:rsidR="00FD1B97">
        <w:rPr>
          <w:sz w:val="22"/>
          <w:szCs w:val="22"/>
          <w:lang w:val="pl-PL"/>
        </w:rPr>
        <w:t xml:space="preserve">uređajem za evidentiranje podataka (engl. </w:t>
      </w:r>
      <w:r w:rsidR="005E7A77" w:rsidRPr="00043BFB">
        <w:rPr>
          <w:i/>
          <w:sz w:val="22"/>
          <w:szCs w:val="22"/>
          <w:lang w:val="pl-PL"/>
        </w:rPr>
        <w:t>data log</w:t>
      </w:r>
      <w:r w:rsidR="00043BFB" w:rsidRPr="00043BFB">
        <w:rPr>
          <w:i/>
          <w:sz w:val="22"/>
          <w:szCs w:val="22"/>
          <w:lang w:val="pl-PL"/>
        </w:rPr>
        <w:t>g</w:t>
      </w:r>
      <w:r w:rsidR="005E7A77" w:rsidRPr="00043BFB">
        <w:rPr>
          <w:i/>
          <w:sz w:val="22"/>
          <w:szCs w:val="22"/>
          <w:lang w:val="pl-PL"/>
        </w:rPr>
        <w:t>er</w:t>
      </w:r>
      <w:r w:rsidR="00043BFB">
        <w:rPr>
          <w:sz w:val="22"/>
          <w:szCs w:val="22"/>
          <w:lang w:val="pl-PL"/>
        </w:rPr>
        <w:t xml:space="preserve">, </w:t>
      </w:r>
      <w:r w:rsidR="005E7A77" w:rsidRPr="00A806E9">
        <w:rPr>
          <w:sz w:val="22"/>
          <w:szCs w:val="22"/>
          <w:lang w:val="pl-PL"/>
        </w:rPr>
        <w:t xml:space="preserve">DT-171, </w:t>
      </w:r>
      <w:r w:rsidR="005E7A77" w:rsidRPr="00A806E9">
        <w:rPr>
          <w:bCs/>
          <w:sz w:val="22"/>
          <w:szCs w:val="22"/>
          <w:lang w:val="pl-PL"/>
        </w:rPr>
        <w:t>Shenzhen Flus Technology Co., Ltd, China</w:t>
      </w:r>
      <w:r w:rsidR="005E7A77" w:rsidRPr="00A806E9">
        <w:rPr>
          <w:sz w:val="22"/>
          <w:szCs w:val="22"/>
          <w:lang w:val="sr-Latn-CS"/>
        </w:rPr>
        <w:t>) na svaka 2 h pod PGM i na otvorenom polju (kontrolni tretman) od početka cvetanja do kraja zrenja borovnice u obe ispitivane godine. Intenzitet svetlosti pod PGM je bio u proseku smanjen za 5</w:t>
      </w:r>
      <w:r w:rsidR="005E7A77" w:rsidRPr="00A806E9">
        <w:rPr>
          <w:rFonts w:ascii="Cambria Math" w:hAnsi="Cambria Math"/>
          <w:sz w:val="22"/>
          <w:szCs w:val="22"/>
        </w:rPr>
        <w:t>‒</w:t>
      </w:r>
      <w:r w:rsidR="005E7A77" w:rsidRPr="00A806E9">
        <w:rPr>
          <w:sz w:val="22"/>
          <w:szCs w:val="22"/>
          <w:lang w:val="sr-Latn-CS"/>
        </w:rPr>
        <w:t xml:space="preserve">20% u obe eksperimentalne godine. Dnevne maksimalne temperature bile su za 2,4 </w:t>
      </w:r>
      <w:r w:rsidR="005E7A77" w:rsidRPr="00A806E9">
        <w:rPr>
          <w:sz w:val="22"/>
          <w:szCs w:val="22"/>
          <w:vertAlign w:val="superscript"/>
          <w:lang w:val="sr-Latn-CS"/>
        </w:rPr>
        <w:t>o</w:t>
      </w:r>
      <w:r w:rsidR="005E7A77" w:rsidRPr="00A806E9">
        <w:rPr>
          <w:sz w:val="22"/>
          <w:szCs w:val="22"/>
          <w:lang w:val="sr-Latn-CS"/>
        </w:rPr>
        <w:t>C niže pod PGM uslovljavajući za 4% višu minimalnu dnevnu relativnu vlažnost vazduha u poređenju sa otvorenim poljem. Z</w:t>
      </w:r>
      <w:r w:rsidR="005E7A77" w:rsidRPr="00A806E9">
        <w:rPr>
          <w:sz w:val="22"/>
          <w:szCs w:val="22"/>
          <w:lang w:val="pl-PL"/>
        </w:rPr>
        <w:t xml:space="preserve">načajno veća prosečna vrednost mase ploda kod ispitivane sorte borovnice registrovana je pod PGM u poređenju sa otvorenim poljem, i kretala se od 1,93 g (2013) do 1,86 g (2014). </w:t>
      </w:r>
      <w:r w:rsidR="005E7A77" w:rsidRPr="00A806E9">
        <w:rPr>
          <w:color w:val="131413"/>
          <w:sz w:val="22"/>
          <w:szCs w:val="22"/>
          <w:lang w:val="pl-PL"/>
        </w:rPr>
        <w:t xml:space="preserve">Sadržaj RSM se nije značajno razlikovao između tretmana u 2014. godini, dok je u 2013. godini značajno povećanje registrovano u plodovima koji su ubrani pod PGM (12,8%) u poređenju sa otvorenim poljem </w:t>
      </w:r>
      <w:r w:rsidR="005E7A77" w:rsidRPr="007C0222">
        <w:rPr>
          <w:color w:val="131413"/>
          <w:sz w:val="22"/>
          <w:szCs w:val="22"/>
          <w:lang w:val="pl-PL"/>
        </w:rPr>
        <w:t>(11,6%)</w:t>
      </w:r>
      <w:r w:rsidR="005E7A77" w:rsidRPr="00A806E9">
        <w:rPr>
          <w:color w:val="131413"/>
          <w:sz w:val="22"/>
          <w:szCs w:val="22"/>
          <w:lang w:val="pl-PL"/>
        </w:rPr>
        <w:t xml:space="preserve">. Prosečna vrednost sadržaja ukupnih kiselina je bila veća pod PGM u 2014. godini (0,57%), dok je u 2013. godini značajno veći sadržaj pronađen u plodovima ubranim na otvorenom polju (0,87%). </w:t>
      </w:r>
      <w:r w:rsidR="005E7A77" w:rsidRPr="00A806E9">
        <w:rPr>
          <w:sz w:val="22"/>
          <w:szCs w:val="22"/>
          <w:lang w:val="pl-PL"/>
        </w:rPr>
        <w:lastRenderedPageBreak/>
        <w:t>PGM</w:t>
      </w:r>
      <w:r w:rsidR="005E7A77" w:rsidRPr="00A806E9">
        <w:rPr>
          <w:color w:val="131413"/>
          <w:sz w:val="22"/>
          <w:szCs w:val="22"/>
          <w:lang w:val="pl-PL"/>
        </w:rPr>
        <w:t xml:space="preserve"> je ispoljila pozitivan efekat na sadržaj ukupnih fenola (7,12 </w:t>
      </w:r>
      <w:r w:rsidR="005E7A77" w:rsidRPr="00A806E9">
        <w:rPr>
          <w:color w:val="000000"/>
          <w:sz w:val="22"/>
          <w:szCs w:val="22"/>
          <w:lang w:val="pl-PL"/>
        </w:rPr>
        <w:t>mg GA/g sv.m.pl.)</w:t>
      </w:r>
      <w:r w:rsidR="005E7A77" w:rsidRPr="00A806E9">
        <w:rPr>
          <w:color w:val="131413"/>
          <w:sz w:val="22"/>
          <w:szCs w:val="22"/>
          <w:lang w:val="pl-PL"/>
        </w:rPr>
        <w:t>, međutim skoro dva puta viša vrednost je bila registrovana u 2013. godini. Slično sadržaju ukupnih fenola, ukupni antioksidativni kapacitet ploda je bio za 2,5 puta veći u 2013. godini, bez značajnog uticaja PGM u obe ispitivane godine.</w:t>
      </w:r>
    </w:p>
    <w:p w:rsidR="005E7A77" w:rsidRPr="00A806E9" w:rsidRDefault="005E7A77" w:rsidP="00A806E9">
      <w:pPr>
        <w:ind w:firstLine="425"/>
        <w:jc w:val="both"/>
        <w:rPr>
          <w:rFonts w:eastAsia="Calibri"/>
          <w:sz w:val="22"/>
          <w:szCs w:val="22"/>
          <w:lang w:val="sr-Latn-CS"/>
        </w:rPr>
      </w:pPr>
      <w:r w:rsidRPr="00A806E9">
        <w:rPr>
          <w:b/>
          <w:bCs/>
          <w:sz w:val="22"/>
          <w:szCs w:val="22"/>
          <w:lang w:val="sr-Latn-CS"/>
        </w:rPr>
        <w:t>Ključne reči:</w:t>
      </w:r>
      <w:r w:rsidRPr="00625DAC">
        <w:rPr>
          <w:bCs/>
          <w:sz w:val="22"/>
          <w:szCs w:val="22"/>
          <w:lang w:val="sr-Latn-CS"/>
        </w:rPr>
        <w:t xml:space="preserve"> </w:t>
      </w:r>
      <w:r w:rsidRPr="00A806E9">
        <w:rPr>
          <w:rFonts w:eastAsia="MinionPro-Capt"/>
          <w:sz w:val="22"/>
          <w:szCs w:val="22"/>
          <w:lang w:val="pl-PL"/>
        </w:rPr>
        <w:t>intenzitet svetlosti,</w:t>
      </w:r>
      <w:r w:rsidRPr="00A806E9">
        <w:rPr>
          <w:rFonts w:eastAsia="Calibri"/>
          <w:sz w:val="22"/>
          <w:szCs w:val="22"/>
          <w:lang w:val="sr-Latn-CS"/>
        </w:rPr>
        <w:t xml:space="preserve"> temperatura vazduha, relativna vlažnost vazduha, fizičke i hemijske osobine ploda.</w:t>
      </w:r>
    </w:p>
    <w:p w:rsidR="00E350CC" w:rsidRPr="00A806E9" w:rsidRDefault="00E350CC" w:rsidP="00AF1C40">
      <w:pPr>
        <w:pStyle w:val="BodyText"/>
        <w:spacing w:after="0"/>
        <w:jc w:val="center"/>
        <w:rPr>
          <w:bCs/>
          <w:sz w:val="22"/>
          <w:szCs w:val="22"/>
          <w:lang w:val="sr-Latn-CS"/>
        </w:rPr>
      </w:pPr>
    </w:p>
    <w:p w:rsidR="002F42C3" w:rsidRPr="002F42C3" w:rsidRDefault="002F42C3" w:rsidP="002F42C3">
      <w:pPr>
        <w:jc w:val="center"/>
        <w:rPr>
          <w:b/>
          <w:bCs/>
          <w:sz w:val="22"/>
          <w:szCs w:val="22"/>
          <w:lang w:val="sl-SI"/>
        </w:rPr>
      </w:pPr>
      <w:r w:rsidRPr="002F42C3">
        <w:rPr>
          <w:b/>
          <w:bCs/>
          <w:sz w:val="22"/>
          <w:szCs w:val="22"/>
          <w:lang w:val="sl-SI"/>
        </w:rPr>
        <w:t>Uvod</w:t>
      </w:r>
    </w:p>
    <w:p w:rsidR="002F42C3" w:rsidRPr="00A806E9" w:rsidRDefault="002F42C3" w:rsidP="00AF1C40">
      <w:pPr>
        <w:jc w:val="center"/>
        <w:rPr>
          <w:sz w:val="22"/>
          <w:szCs w:val="22"/>
          <w:lang w:val="sl-SI"/>
        </w:rPr>
      </w:pPr>
    </w:p>
    <w:p w:rsidR="005E7A77" w:rsidRPr="00A806E9" w:rsidRDefault="005E7A77" w:rsidP="00A806E9">
      <w:pPr>
        <w:autoSpaceDE w:val="0"/>
        <w:autoSpaceDN w:val="0"/>
        <w:adjustRightInd w:val="0"/>
        <w:ind w:firstLine="426"/>
        <w:jc w:val="both"/>
        <w:rPr>
          <w:sz w:val="22"/>
          <w:szCs w:val="22"/>
          <w:lang w:val="pl-PL"/>
        </w:rPr>
      </w:pPr>
      <w:r w:rsidRPr="00A806E9">
        <w:rPr>
          <w:color w:val="1B1C20"/>
          <w:sz w:val="22"/>
          <w:szCs w:val="22"/>
          <w:lang w:val="sl-SI"/>
        </w:rPr>
        <w:t>Usled klimatskih promena, a posebno učestale pojave grada, poslednjih godina se javlja povećana potreba za instalacijom protivgradnih sistema u voćnjacima (Gržetić et al., 2011</w:t>
      </w:r>
      <w:r w:rsidRPr="007C0222">
        <w:rPr>
          <w:color w:val="1B1C20"/>
          <w:sz w:val="22"/>
          <w:szCs w:val="22"/>
          <w:lang w:val="sr-Latn-CS"/>
        </w:rPr>
        <w:t xml:space="preserve">; </w:t>
      </w:r>
      <w:r w:rsidRPr="00A806E9">
        <w:rPr>
          <w:color w:val="1B1C20"/>
          <w:sz w:val="22"/>
          <w:szCs w:val="22"/>
          <w:lang w:val="sl-SI"/>
        </w:rPr>
        <w:t>Milivojević et al., 2016a; Milivojević et al., 2016b). Protivgradne mreže (PGM), pored svoje primarne funkcije da pružaju zaštitu od grada, značajno modifikuju mikroklimatske uslove u proizvodnom prostoru biljaka i na taj način posredno utiču na njihova biološka svojstva (Iglesias i Alegre, 2006; Solomakhin i Blanke, 2010). Gržetić et al. (2011) navode da PGM smanjuju intenzitet svetlosti do 25%, brzinu vetra (do 50%) i temperaturu (za 1</w:t>
      </w:r>
      <w:r w:rsidRPr="00A806E9">
        <w:rPr>
          <w:sz w:val="22"/>
          <w:szCs w:val="22"/>
          <w:lang w:val="sl-SI"/>
        </w:rPr>
        <w:t>–</w:t>
      </w:r>
      <w:r w:rsidRPr="00A806E9">
        <w:rPr>
          <w:color w:val="1B1C20"/>
          <w:sz w:val="22"/>
          <w:szCs w:val="22"/>
          <w:lang w:val="sl-SI"/>
        </w:rPr>
        <w:t>3</w:t>
      </w:r>
      <w:r w:rsidRPr="00A806E9">
        <w:rPr>
          <w:color w:val="1B1C20"/>
          <w:sz w:val="22"/>
          <w:szCs w:val="22"/>
          <w:vertAlign w:val="superscript"/>
          <w:lang w:val="sl-SI"/>
        </w:rPr>
        <w:t>o</w:t>
      </w:r>
      <w:r w:rsidRPr="00A806E9">
        <w:rPr>
          <w:color w:val="1B1C20"/>
          <w:sz w:val="22"/>
          <w:szCs w:val="22"/>
          <w:lang w:val="sl-SI"/>
        </w:rPr>
        <w:t>C), a ujedno za 2</w:t>
      </w:r>
      <w:r w:rsidRPr="00A806E9">
        <w:rPr>
          <w:sz w:val="22"/>
          <w:szCs w:val="22"/>
          <w:lang w:val="sl-SI"/>
        </w:rPr>
        <w:t>–</w:t>
      </w:r>
      <w:r w:rsidRPr="00A806E9">
        <w:rPr>
          <w:color w:val="1B1C20"/>
          <w:sz w:val="22"/>
          <w:szCs w:val="22"/>
          <w:lang w:val="sl-SI"/>
        </w:rPr>
        <w:t xml:space="preserve">6% povećavaju relativnu vlažnost vazduha (Bogo et al., 2012). </w:t>
      </w:r>
      <w:r w:rsidRPr="00A806E9">
        <w:rPr>
          <w:color w:val="1B1C20"/>
          <w:sz w:val="22"/>
          <w:szCs w:val="22"/>
          <w:lang w:val="pl-PL"/>
        </w:rPr>
        <w:t>U zasadima voćaka u Evropi najviše se koriste crne PGM, zatim bele, dok su od 2007. godine postale dostupne i druge različito obojene mreže (Milivojević et al., 2016a). Međutim, crne PGM značajno smanjuju intenzitet sunčeve svetlosti (20</w:t>
      </w:r>
      <w:r w:rsidRPr="00A806E9">
        <w:rPr>
          <w:sz w:val="22"/>
          <w:szCs w:val="22"/>
          <w:lang w:val="pl-PL"/>
        </w:rPr>
        <w:t>–</w:t>
      </w:r>
      <w:r w:rsidRPr="00A806E9">
        <w:rPr>
          <w:color w:val="1B1C20"/>
          <w:sz w:val="22"/>
          <w:szCs w:val="22"/>
          <w:lang w:val="pl-PL"/>
        </w:rPr>
        <w:t xml:space="preserve">25%), što može negativno uticati na vegetativni razvoj i kvalitet ploda jabuke (Blanke, 2009). Kao kompromisno rešenje pojavljuju se sive PGM, u kojima su kombinovana svojstva dugovečnosti crne sa propustljivošću za svetlost bele PGM (Blanke, 2014). Bastías i Corelli-Grappadelli (2012) navode da intenzitet svetlosti ima veliki uticaj na diferencijaciju cvetnih pupoljaka i broj i dužinu grana. Međutim, usled prejake radijacije, visoke temperature i učestalog deficita vlage na otvorenom polju, biljke visokožbunaste borovnice mogu biti izložene stresu, što posledično utiče na smanjenje rodnosti i kvaliteta ploda (Lobos et al., 2009; Milivojević et al., 2016a). Stoga, cilj ovih istraživanja bio je da se ispita uticaj modifikovane mikroklime </w:t>
      </w:r>
      <w:r w:rsidRPr="00A806E9">
        <w:rPr>
          <w:sz w:val="22"/>
          <w:szCs w:val="22"/>
          <w:lang w:val="sl-SI"/>
        </w:rPr>
        <w:t xml:space="preserve">pod sivom PGM na parametre kvaliteta ploda sorte borovnice </w:t>
      </w:r>
      <w:r w:rsidR="00382287">
        <w:rPr>
          <w:sz w:val="22"/>
          <w:szCs w:val="22"/>
          <w:lang w:val="en-US"/>
        </w:rPr>
        <w:t>‘</w:t>
      </w:r>
      <w:r w:rsidRPr="00A806E9">
        <w:rPr>
          <w:sz w:val="22"/>
          <w:szCs w:val="22"/>
        </w:rPr>
        <w:t>Bluecrop</w:t>
      </w:r>
      <w:r w:rsidR="00382287">
        <w:rPr>
          <w:sz w:val="22"/>
          <w:szCs w:val="22"/>
        </w:rPr>
        <w:t>’</w:t>
      </w:r>
      <w:r w:rsidRPr="00A806E9">
        <w:rPr>
          <w:sz w:val="22"/>
          <w:szCs w:val="22"/>
          <w:lang w:val="pl-PL"/>
        </w:rPr>
        <w:t>.</w:t>
      </w:r>
    </w:p>
    <w:p w:rsidR="002F42C3" w:rsidRPr="00A806E9" w:rsidRDefault="002F42C3" w:rsidP="00AF1C40">
      <w:pPr>
        <w:jc w:val="center"/>
        <w:rPr>
          <w:sz w:val="22"/>
          <w:szCs w:val="22"/>
          <w:lang w:val="sl-SI"/>
        </w:rPr>
      </w:pPr>
    </w:p>
    <w:p w:rsidR="00C7265C" w:rsidRPr="00C7265C" w:rsidRDefault="00C7265C" w:rsidP="002F42C3">
      <w:pPr>
        <w:pStyle w:val="BodyText"/>
        <w:spacing w:after="0"/>
        <w:jc w:val="center"/>
        <w:rPr>
          <w:b/>
          <w:bCs/>
          <w:sz w:val="22"/>
          <w:szCs w:val="22"/>
          <w:lang w:val="it-IT"/>
        </w:rPr>
      </w:pPr>
      <w:r w:rsidRPr="00C7265C">
        <w:rPr>
          <w:b/>
          <w:bCs/>
          <w:sz w:val="22"/>
          <w:szCs w:val="22"/>
          <w:lang w:val="it-IT"/>
        </w:rPr>
        <w:t>Materijal i metode</w:t>
      </w:r>
    </w:p>
    <w:p w:rsidR="00C7265C" w:rsidRPr="00A806E9" w:rsidRDefault="00C7265C" w:rsidP="00AF1C40">
      <w:pPr>
        <w:widowControl w:val="0"/>
        <w:jc w:val="center"/>
        <w:rPr>
          <w:sz w:val="22"/>
          <w:szCs w:val="22"/>
          <w:lang w:val="it-IT"/>
        </w:rPr>
      </w:pPr>
    </w:p>
    <w:p w:rsidR="005E7A77" w:rsidRPr="00A806E9" w:rsidRDefault="005E7A77" w:rsidP="00A806E9">
      <w:pPr>
        <w:autoSpaceDE w:val="0"/>
        <w:autoSpaceDN w:val="0"/>
        <w:adjustRightInd w:val="0"/>
        <w:ind w:firstLine="425"/>
        <w:jc w:val="both"/>
        <w:rPr>
          <w:rFonts w:eastAsia="Calibri"/>
          <w:sz w:val="22"/>
          <w:szCs w:val="22"/>
          <w:lang w:val="pl-PL"/>
        </w:rPr>
      </w:pPr>
      <w:r w:rsidRPr="00A806E9">
        <w:rPr>
          <w:rFonts w:eastAsia="Calibri"/>
          <w:sz w:val="22"/>
          <w:szCs w:val="22"/>
          <w:lang w:val="sl-SI"/>
        </w:rPr>
        <w:t xml:space="preserve">Ispitivanje </w:t>
      </w:r>
      <w:r w:rsidRPr="00A806E9">
        <w:rPr>
          <w:sz w:val="22"/>
          <w:szCs w:val="22"/>
          <w:lang w:val="sr-Latn-CS"/>
        </w:rPr>
        <w:t xml:space="preserve">uticaja modifikovane mikroklime pod sivom PGM na parametre kvaliteta ploda sorte visokožbunaste borovnice </w:t>
      </w:r>
      <w:r w:rsidR="00382287">
        <w:rPr>
          <w:sz w:val="22"/>
          <w:szCs w:val="22"/>
          <w:lang w:val="sl-SI"/>
        </w:rPr>
        <w:t>‘</w:t>
      </w:r>
      <w:r w:rsidRPr="00A806E9">
        <w:rPr>
          <w:sz w:val="22"/>
          <w:szCs w:val="22"/>
          <w:lang w:val="sl-SI"/>
        </w:rPr>
        <w:t>Bluecrop</w:t>
      </w:r>
      <w:r w:rsidR="00382287">
        <w:rPr>
          <w:sz w:val="22"/>
          <w:szCs w:val="22"/>
          <w:lang w:val="sl-SI"/>
        </w:rPr>
        <w:t>’</w:t>
      </w:r>
      <w:r w:rsidRPr="00A806E9">
        <w:rPr>
          <w:sz w:val="22"/>
          <w:szCs w:val="22"/>
          <w:lang w:val="sr-Latn-CS"/>
        </w:rPr>
        <w:t xml:space="preserve"> </w:t>
      </w:r>
      <w:r w:rsidRPr="00A806E9">
        <w:rPr>
          <w:rFonts w:eastAsia="Calibri"/>
          <w:sz w:val="22"/>
          <w:szCs w:val="22"/>
          <w:lang w:val="sl-SI"/>
        </w:rPr>
        <w:t xml:space="preserve">je izvedeno u periodu </w:t>
      </w:r>
      <w:r w:rsidRPr="00A806E9">
        <w:rPr>
          <w:sz w:val="22"/>
          <w:szCs w:val="22"/>
          <w:lang w:val="sl-SI"/>
        </w:rPr>
        <w:t xml:space="preserve">2013–2014. </w:t>
      </w:r>
      <w:r w:rsidRPr="00A806E9">
        <w:rPr>
          <w:rFonts w:eastAsia="Calibri"/>
          <w:sz w:val="22"/>
          <w:szCs w:val="22"/>
          <w:lang w:val="sl-SI"/>
        </w:rPr>
        <w:t>godina u zasadu koji se nalazi u blizini Mladenovca (</w:t>
      </w:r>
      <w:r w:rsidRPr="00A806E9">
        <w:rPr>
          <w:color w:val="1B1C20"/>
          <w:sz w:val="22"/>
          <w:szCs w:val="22"/>
          <w:lang w:val="sl-SI"/>
        </w:rPr>
        <w:t>44</w:t>
      </w:r>
      <w:r w:rsidRPr="007C0222">
        <w:rPr>
          <w:sz w:val="22"/>
          <w:szCs w:val="22"/>
          <w:lang w:val="sl-SI"/>
        </w:rPr>
        <w:t>°</w:t>
      </w:r>
      <w:r w:rsidRPr="00A806E9">
        <w:rPr>
          <w:color w:val="1B1C20"/>
          <w:sz w:val="22"/>
          <w:szCs w:val="22"/>
          <w:lang w:val="sl-SI"/>
        </w:rPr>
        <w:t>32</w:t>
      </w:r>
      <w:r w:rsidRPr="007C0222">
        <w:rPr>
          <w:sz w:val="22"/>
          <w:szCs w:val="22"/>
          <w:lang w:val="sl-SI"/>
        </w:rPr>
        <w:t>'</w:t>
      </w:r>
      <w:r w:rsidRPr="00A806E9">
        <w:rPr>
          <w:sz w:val="22"/>
          <w:szCs w:val="22"/>
          <w:lang w:val="sl-SI"/>
        </w:rPr>
        <w:t xml:space="preserve"> SGŠ</w:t>
      </w:r>
      <w:r w:rsidRPr="00A806E9">
        <w:rPr>
          <w:sz w:val="22"/>
          <w:szCs w:val="22"/>
          <w:lang w:val="sr-Cyrl-CS"/>
        </w:rPr>
        <w:t xml:space="preserve"> </w:t>
      </w:r>
      <w:r w:rsidRPr="00A806E9">
        <w:rPr>
          <w:sz w:val="22"/>
          <w:szCs w:val="22"/>
          <w:lang w:val="sl-SI"/>
        </w:rPr>
        <w:t>i</w:t>
      </w:r>
      <w:r w:rsidRPr="00A806E9">
        <w:rPr>
          <w:sz w:val="22"/>
          <w:szCs w:val="22"/>
          <w:lang w:val="sr-Cyrl-CS"/>
        </w:rPr>
        <w:t xml:space="preserve"> </w:t>
      </w:r>
      <w:r w:rsidRPr="00A806E9">
        <w:rPr>
          <w:sz w:val="22"/>
          <w:szCs w:val="22"/>
          <w:lang w:val="sl-SI"/>
        </w:rPr>
        <w:t>20</w:t>
      </w:r>
      <w:r w:rsidRPr="007C0222">
        <w:rPr>
          <w:sz w:val="22"/>
          <w:szCs w:val="22"/>
          <w:lang w:val="sl-SI"/>
        </w:rPr>
        <w:t>°</w:t>
      </w:r>
      <w:r w:rsidRPr="00A806E9">
        <w:rPr>
          <w:sz w:val="22"/>
          <w:szCs w:val="22"/>
          <w:lang w:val="sl-SI"/>
        </w:rPr>
        <w:t>42</w:t>
      </w:r>
      <w:r w:rsidRPr="007C0222">
        <w:rPr>
          <w:sz w:val="22"/>
          <w:szCs w:val="22"/>
          <w:lang w:val="sl-SI"/>
        </w:rPr>
        <w:t xml:space="preserve">' </w:t>
      </w:r>
      <w:r w:rsidRPr="00A806E9">
        <w:rPr>
          <w:sz w:val="22"/>
          <w:szCs w:val="22"/>
          <w:lang w:val="sl-SI"/>
        </w:rPr>
        <w:t>IGD</w:t>
      </w:r>
      <w:r w:rsidRPr="00A806E9">
        <w:rPr>
          <w:sz w:val="22"/>
          <w:szCs w:val="22"/>
          <w:lang w:val="sr-Cyrl-CS"/>
        </w:rPr>
        <w:t xml:space="preserve">, </w:t>
      </w:r>
      <w:r w:rsidRPr="00A806E9">
        <w:rPr>
          <w:sz w:val="22"/>
          <w:szCs w:val="22"/>
          <w:lang w:val="sl-SI"/>
        </w:rPr>
        <w:t>nadmorska visina</w:t>
      </w:r>
      <w:r w:rsidRPr="00A806E9">
        <w:rPr>
          <w:sz w:val="22"/>
          <w:szCs w:val="22"/>
          <w:lang w:val="sr-Cyrl-CS"/>
        </w:rPr>
        <w:t xml:space="preserve"> </w:t>
      </w:r>
      <w:r w:rsidRPr="00A806E9">
        <w:rPr>
          <w:sz w:val="22"/>
          <w:szCs w:val="22"/>
          <w:lang w:val="sl-SI"/>
        </w:rPr>
        <w:t>145</w:t>
      </w:r>
      <w:r w:rsidRPr="00A806E9">
        <w:rPr>
          <w:sz w:val="22"/>
          <w:szCs w:val="22"/>
          <w:lang w:val="sr-Cyrl-CS"/>
        </w:rPr>
        <w:t xml:space="preserve"> </w:t>
      </w:r>
      <w:r w:rsidRPr="00A806E9">
        <w:rPr>
          <w:sz w:val="22"/>
          <w:szCs w:val="22"/>
          <w:lang w:val="sl-SI"/>
        </w:rPr>
        <w:t>m</w:t>
      </w:r>
      <w:r w:rsidRPr="00A806E9">
        <w:rPr>
          <w:rFonts w:eastAsia="Calibri"/>
          <w:sz w:val="22"/>
          <w:szCs w:val="22"/>
          <w:lang w:val="sl-SI"/>
        </w:rPr>
        <w:t xml:space="preserve">). </w:t>
      </w:r>
      <w:r w:rsidRPr="00A806E9">
        <w:rPr>
          <w:rFonts w:eastAsia="Calibri"/>
          <w:sz w:val="22"/>
          <w:szCs w:val="22"/>
          <w:lang w:val="pl-PL"/>
        </w:rPr>
        <w:t xml:space="preserve">Zasad je zasnovan u proleće 2011. godine sa trogodišnjim sadnicama </w:t>
      </w:r>
      <w:r w:rsidRPr="00A806E9">
        <w:rPr>
          <w:sz w:val="22"/>
          <w:szCs w:val="22"/>
          <w:lang w:val="pl-PL"/>
        </w:rPr>
        <w:t>i gustinom sadnje od 3.300 žbunova po ha (rastojanje sadnje 3 m između redova i 1 m u redu)</w:t>
      </w:r>
      <w:r w:rsidRPr="00A806E9">
        <w:rPr>
          <w:rFonts w:eastAsia="Calibri"/>
          <w:sz w:val="22"/>
          <w:szCs w:val="22"/>
          <w:lang w:val="pl-PL"/>
        </w:rPr>
        <w:t xml:space="preserve">. PGM je postavljena pred početak fenofaze </w:t>
      </w:r>
      <w:r w:rsidRPr="00A806E9">
        <w:rPr>
          <w:rFonts w:eastAsia="Calibri"/>
          <w:sz w:val="22"/>
          <w:szCs w:val="22"/>
          <w:lang w:val="pl-PL"/>
        </w:rPr>
        <w:lastRenderedPageBreak/>
        <w:t xml:space="preserve">cvetanja, od sredine aprila u 2013. godini, odnosno od kraja marta u 2014. godini. </w:t>
      </w:r>
      <w:r w:rsidRPr="00A806E9">
        <w:rPr>
          <w:sz w:val="22"/>
          <w:szCs w:val="22"/>
          <w:lang w:val="pl-PL"/>
        </w:rPr>
        <w:t>Primenjena je siva PGM (SILVERLUX</w:t>
      </w:r>
      <w:r w:rsidRPr="00A806E9">
        <w:rPr>
          <w:rFonts w:eastAsia="TimesNewRomanPSMT"/>
          <w:sz w:val="22"/>
          <w:szCs w:val="22"/>
          <w:vertAlign w:val="superscript"/>
          <w:lang w:val="pl-PL"/>
        </w:rPr>
        <w:t>®</w:t>
      </w:r>
      <w:r w:rsidRPr="00A806E9">
        <w:rPr>
          <w:rFonts w:eastAsia="TimesNewRomanPSMT"/>
          <w:sz w:val="22"/>
          <w:szCs w:val="22"/>
          <w:lang w:val="pl-PL"/>
        </w:rPr>
        <w:t>, Helios Group, Lurano, Italy), težine 48 g/m</w:t>
      </w:r>
      <w:r w:rsidRPr="00A806E9">
        <w:rPr>
          <w:rFonts w:eastAsia="TimesNewRomanPSMT"/>
          <w:sz w:val="22"/>
          <w:szCs w:val="22"/>
          <w:vertAlign w:val="superscript"/>
          <w:lang w:val="pl-PL"/>
        </w:rPr>
        <w:t>2</w:t>
      </w:r>
      <w:r w:rsidRPr="00A806E9">
        <w:rPr>
          <w:rFonts w:eastAsia="TimesNewRomanPSMT"/>
          <w:sz w:val="22"/>
          <w:szCs w:val="22"/>
          <w:lang w:val="pl-PL"/>
        </w:rPr>
        <w:t xml:space="preserve">, sa veličinom otvora 2,8 x 8 mm. PGM je postavljena na betonske stubove visine 4 m i prečnika 8 x 7 cm, koji su postavljeni na rastojanju od 8 m u redu. </w:t>
      </w:r>
      <w:r w:rsidRPr="00A806E9">
        <w:rPr>
          <w:rFonts w:eastAsia="Calibri"/>
          <w:sz w:val="22"/>
          <w:szCs w:val="22"/>
          <w:lang w:val="pl-PL"/>
        </w:rPr>
        <w:t>Ogled je izveden po potpunom slučajnom planu u 4 ponavljanja sa 10 žbunova po ponavljanju. Svaka parcela se sastojala od žbunova pokrivenih sivom PGM i nepokrivenih žbunova na otvorenom polju (OP). Ispitivanje je vršeno na ukupno 80 žbunova (4 ponavljanja x 10 žbunova x 2 tretmana).</w:t>
      </w:r>
    </w:p>
    <w:p w:rsidR="005E7A77" w:rsidRPr="00A806E9" w:rsidRDefault="005E7A77" w:rsidP="00A806E9">
      <w:pPr>
        <w:autoSpaceDE w:val="0"/>
        <w:autoSpaceDN w:val="0"/>
        <w:adjustRightInd w:val="0"/>
        <w:ind w:firstLine="425"/>
        <w:jc w:val="both"/>
        <w:rPr>
          <w:rFonts w:eastAsia="Calibri"/>
          <w:sz w:val="22"/>
          <w:szCs w:val="22"/>
          <w:lang w:val="pl-PL"/>
        </w:rPr>
      </w:pPr>
      <w:r w:rsidRPr="00A806E9">
        <w:rPr>
          <w:rFonts w:eastAsia="TimesNewRomanPSMT"/>
          <w:sz w:val="22"/>
          <w:szCs w:val="22"/>
          <w:lang w:val="pl-PL"/>
        </w:rPr>
        <w:t xml:space="preserve">Tokom perioda ispitivanja, intenzitet svetlosti je meren jedanput nedeljno u 12 h korišćenjem luks metra </w:t>
      </w:r>
      <w:r w:rsidRPr="007C0222">
        <w:rPr>
          <w:sz w:val="22"/>
          <w:szCs w:val="22"/>
          <w:lang w:val="pl-PL"/>
        </w:rPr>
        <w:t>„</w:t>
      </w:r>
      <w:r w:rsidRPr="00A806E9">
        <w:rPr>
          <w:sz w:val="22"/>
          <w:szCs w:val="22"/>
          <w:lang w:val="sr-Latn-CS"/>
        </w:rPr>
        <w:t>Peak teck</w:t>
      </w:r>
      <w:r w:rsidRPr="00A806E9">
        <w:rPr>
          <w:sz w:val="22"/>
          <w:szCs w:val="22"/>
          <w:lang w:val="pl-PL"/>
        </w:rPr>
        <w:t>”</w:t>
      </w:r>
      <w:r w:rsidRPr="00A806E9">
        <w:rPr>
          <w:sz w:val="22"/>
          <w:szCs w:val="22"/>
          <w:lang w:val="sr-Latn-CS"/>
        </w:rPr>
        <w:t xml:space="preserve"> PT-5025 (Nemačka) na visini od 1,2 m</w:t>
      </w:r>
      <w:r w:rsidRPr="00A806E9">
        <w:rPr>
          <w:sz w:val="22"/>
          <w:szCs w:val="22"/>
          <w:lang w:val="pl-PL"/>
        </w:rPr>
        <w:t xml:space="preserve">. Temperatura i relativna vlažnost vazduha su merene </w:t>
      </w:r>
      <w:r w:rsidR="00043BFB">
        <w:rPr>
          <w:sz w:val="22"/>
          <w:szCs w:val="22"/>
          <w:lang w:val="pl-PL"/>
        </w:rPr>
        <w:t xml:space="preserve">uređajem za evidentiranje podataka (engl. </w:t>
      </w:r>
      <w:r w:rsidR="00043BFB" w:rsidRPr="00043BFB">
        <w:rPr>
          <w:i/>
          <w:sz w:val="22"/>
          <w:szCs w:val="22"/>
          <w:lang w:val="pl-PL"/>
        </w:rPr>
        <w:t>data logger</w:t>
      </w:r>
      <w:r w:rsidR="00043BFB">
        <w:rPr>
          <w:sz w:val="22"/>
          <w:szCs w:val="22"/>
          <w:lang w:val="pl-PL"/>
        </w:rPr>
        <w:t xml:space="preserve">, </w:t>
      </w:r>
      <w:r w:rsidRPr="00A806E9">
        <w:rPr>
          <w:sz w:val="22"/>
          <w:szCs w:val="22"/>
          <w:lang w:val="pl-PL"/>
        </w:rPr>
        <w:t xml:space="preserve">DT-171, </w:t>
      </w:r>
      <w:r w:rsidRPr="00A806E9">
        <w:rPr>
          <w:bCs/>
          <w:sz w:val="22"/>
          <w:szCs w:val="22"/>
          <w:lang w:val="pl-PL"/>
        </w:rPr>
        <w:t>Shenzhen Flus Technology Co., Ltd, Kina</w:t>
      </w:r>
      <w:r w:rsidRPr="00A806E9">
        <w:rPr>
          <w:sz w:val="22"/>
          <w:szCs w:val="22"/>
          <w:lang w:val="sr-Latn-CS"/>
        </w:rPr>
        <w:t>) na visini od 1,2 m pod PGM i na otvorenom polju (kontrolni tretman). Ukupno 12 merenja po tretmanu je izvedeno u intervalu od 2 h svaki dan od početka cvetanja do kraja zrenja borovnice u obe ispitivane godine.</w:t>
      </w:r>
    </w:p>
    <w:p w:rsidR="005E7A77" w:rsidRPr="00A806E9" w:rsidRDefault="005E7A77" w:rsidP="00A806E9">
      <w:pPr>
        <w:autoSpaceDE w:val="0"/>
        <w:autoSpaceDN w:val="0"/>
        <w:adjustRightInd w:val="0"/>
        <w:ind w:firstLine="425"/>
        <w:jc w:val="both"/>
        <w:rPr>
          <w:sz w:val="22"/>
          <w:szCs w:val="22"/>
          <w:lang w:val="sr-Cyrl-CS"/>
        </w:rPr>
      </w:pPr>
      <w:r w:rsidRPr="00A806E9">
        <w:rPr>
          <w:color w:val="1B1C20"/>
          <w:sz w:val="22"/>
          <w:szCs w:val="22"/>
          <w:lang w:val="pl-PL"/>
        </w:rPr>
        <w:t xml:space="preserve">U okviru parametara kvaliteta ploda, ispitivane su fizičke osobine ploda (masa ploda, indeks oblika ploda i broj semenki u plodu) i hemijske osobine ploda (sadržaj rastvorljive suve materije, ukupnih kiselina, ukupnih antocijana i ukupnih fenola, kao i ukupni antioksidativni kapacitet ploda). Masa ploda (g) je određena merenjem 30 plodova po ponavljanju (120 plodova po tretmanu). Isti uzorci plodova u okviru svakog ponavljanja su korišćeni za određivanje broja semenki u plodu i indeksa oblika ploda, koji je izračunat iz odnosa visine i širine ploda. Sadržaj rastvorljive suve materije je analiziran uz pomoć digitalnog refraktometra (Pocket PAL-1, Atago, Japan), a vrednosti su izražene u %. Sadržaj ukupnih kiselina je određen titracijom sa 0,1 M NaOH, pri čemu je </w:t>
      </w:r>
      <w:r w:rsidRPr="00A806E9">
        <w:rPr>
          <w:sz w:val="22"/>
          <w:szCs w:val="22"/>
          <w:lang w:val="pl-PL"/>
        </w:rPr>
        <w:t>kiselost izražena u procentima ekvivalenta jabučne kiseline</w:t>
      </w:r>
      <w:r w:rsidRPr="00A806E9">
        <w:rPr>
          <w:color w:val="1B1C20"/>
          <w:sz w:val="22"/>
          <w:szCs w:val="22"/>
          <w:lang w:val="pl-PL"/>
        </w:rPr>
        <w:t xml:space="preserve">. </w:t>
      </w:r>
      <w:r w:rsidRPr="00A806E9">
        <w:rPr>
          <w:sz w:val="22"/>
          <w:szCs w:val="22"/>
          <w:lang w:val="pl-PL"/>
        </w:rPr>
        <w:t xml:space="preserve">Za spektrofotometrijsko </w:t>
      </w:r>
      <w:r w:rsidRPr="00A806E9">
        <w:rPr>
          <w:sz w:val="22"/>
          <w:szCs w:val="22"/>
          <w:lang w:val="sr-Cyrl-CS"/>
        </w:rPr>
        <w:t>(</w:t>
      </w:r>
      <w:r w:rsidRPr="00A806E9">
        <w:rPr>
          <w:sz w:val="22"/>
          <w:szCs w:val="22"/>
          <w:lang w:val="pl-PL"/>
        </w:rPr>
        <w:t>Multiscan® Spectrum, Thermo electron corporation, Vantaa, Finland</w:t>
      </w:r>
      <w:r w:rsidRPr="00A806E9">
        <w:rPr>
          <w:sz w:val="22"/>
          <w:szCs w:val="22"/>
          <w:lang w:val="sr-Cyrl-CS"/>
        </w:rPr>
        <w:t>)</w:t>
      </w:r>
      <w:r w:rsidRPr="00A806E9">
        <w:rPr>
          <w:sz w:val="22"/>
          <w:szCs w:val="22"/>
          <w:lang w:val="pl-PL"/>
        </w:rPr>
        <w:t xml:space="preserve"> određivanje sadržaja ukupnih fenola i antocijana, kao i ukupnog antioksidativnog kapaciteta korišćeni su metanolni ekstrakti ploda (1:3). Sadržaj ukupnih antocijana u plodu određen je pH diferencijalnom metodom prema Cheng </w:t>
      </w:r>
      <w:r w:rsidRPr="00A806E9">
        <w:rPr>
          <w:color w:val="1B1C20"/>
          <w:sz w:val="22"/>
          <w:szCs w:val="22"/>
          <w:lang w:val="pl-PL"/>
        </w:rPr>
        <w:t>i</w:t>
      </w:r>
      <w:r w:rsidRPr="00A806E9">
        <w:rPr>
          <w:sz w:val="22"/>
          <w:szCs w:val="22"/>
          <w:lang w:val="pl-PL"/>
        </w:rPr>
        <w:t xml:space="preserve"> Breen (1991). Rezultati su izraženi u mg ekvivalenta cijanidin-3-glukozida na 100 g sveže mase ploda (mg cijanidin-3-glukozida 100 g</w:t>
      </w:r>
      <w:r w:rsidRPr="00A806E9">
        <w:rPr>
          <w:iCs/>
          <w:sz w:val="22"/>
          <w:szCs w:val="22"/>
          <w:vertAlign w:val="superscript"/>
          <w:lang w:val="sr-Cyrl-CS"/>
        </w:rPr>
        <w:t>-1</w:t>
      </w:r>
      <w:r w:rsidRPr="00A806E9">
        <w:rPr>
          <w:sz w:val="22"/>
          <w:szCs w:val="22"/>
          <w:lang w:val="pl-PL"/>
        </w:rPr>
        <w:t xml:space="preserve"> sv.m.pl.). Sadržaj ukupnih fenola određen je spektrofotometrijskom metodom sa Folin-Ciocalteu reagensom (Singleton </w:t>
      </w:r>
      <w:r w:rsidRPr="00A806E9">
        <w:rPr>
          <w:color w:val="1B1C20"/>
          <w:sz w:val="22"/>
          <w:szCs w:val="22"/>
          <w:lang w:val="pl-PL"/>
        </w:rPr>
        <w:t>i</w:t>
      </w:r>
      <w:r w:rsidRPr="00A806E9">
        <w:rPr>
          <w:sz w:val="22"/>
          <w:szCs w:val="22"/>
          <w:lang w:val="pl-PL"/>
        </w:rPr>
        <w:t xml:space="preserve"> Rossi, 1965). Rezultati su izraženi u mg ekvivalenta galne kiseline po gramu sveže mase ploda (mg ekv. galne kis. g</w:t>
      </w:r>
      <w:r w:rsidRPr="00A806E9">
        <w:rPr>
          <w:iCs/>
          <w:sz w:val="22"/>
          <w:szCs w:val="22"/>
          <w:vertAlign w:val="superscript"/>
          <w:lang w:val="sr-Cyrl-CS"/>
        </w:rPr>
        <w:t>-1</w:t>
      </w:r>
      <w:r w:rsidRPr="00A806E9">
        <w:rPr>
          <w:sz w:val="22"/>
          <w:szCs w:val="22"/>
          <w:lang w:val="pl-PL"/>
        </w:rPr>
        <w:t xml:space="preserve"> sv.m.pl.). Antioksidativni kapacitet ploda određen je </w:t>
      </w:r>
      <w:r w:rsidRPr="00A806E9">
        <w:rPr>
          <w:i/>
          <w:iCs/>
          <w:sz w:val="22"/>
          <w:szCs w:val="22"/>
          <w:lang w:val="pl-PL"/>
        </w:rPr>
        <w:t>ABTS</w:t>
      </w:r>
      <w:r w:rsidRPr="00A806E9">
        <w:rPr>
          <w:i/>
          <w:iCs/>
          <w:sz w:val="22"/>
          <w:szCs w:val="22"/>
          <w:lang w:val="sr-Cyrl-CS"/>
        </w:rPr>
        <w:t xml:space="preserve"> </w:t>
      </w:r>
      <w:r w:rsidRPr="00A806E9">
        <w:rPr>
          <w:sz w:val="22"/>
          <w:szCs w:val="22"/>
          <w:lang w:val="sr-Cyrl-CS"/>
        </w:rPr>
        <w:t>(</w:t>
      </w:r>
      <w:r w:rsidRPr="00A806E9">
        <w:rPr>
          <w:i/>
          <w:iCs/>
          <w:sz w:val="22"/>
          <w:szCs w:val="22"/>
          <w:lang w:val="sr-Cyrl-CS"/>
        </w:rPr>
        <w:t>2,2‘-</w:t>
      </w:r>
      <w:r w:rsidRPr="00A806E9">
        <w:rPr>
          <w:i/>
          <w:iCs/>
          <w:sz w:val="22"/>
          <w:szCs w:val="22"/>
          <w:lang w:val="pl-PL"/>
        </w:rPr>
        <w:t>azino</w:t>
      </w:r>
      <w:r w:rsidRPr="00A806E9">
        <w:rPr>
          <w:i/>
          <w:iCs/>
          <w:sz w:val="22"/>
          <w:szCs w:val="22"/>
          <w:lang w:val="sr-Cyrl-CS"/>
        </w:rPr>
        <w:t>-</w:t>
      </w:r>
      <w:r w:rsidRPr="00A806E9">
        <w:rPr>
          <w:i/>
          <w:iCs/>
          <w:sz w:val="22"/>
          <w:szCs w:val="22"/>
          <w:lang w:val="pl-PL"/>
        </w:rPr>
        <w:t>bis</w:t>
      </w:r>
      <w:r w:rsidRPr="00A806E9">
        <w:rPr>
          <w:i/>
          <w:iCs/>
          <w:sz w:val="22"/>
          <w:szCs w:val="22"/>
          <w:lang w:val="sr-Cyrl-CS"/>
        </w:rPr>
        <w:t xml:space="preserve"> (3-</w:t>
      </w:r>
      <w:r w:rsidRPr="00A806E9">
        <w:rPr>
          <w:i/>
          <w:iCs/>
          <w:sz w:val="22"/>
          <w:szCs w:val="22"/>
          <w:lang w:val="pl-PL"/>
        </w:rPr>
        <w:t>ethylbenzothiazoline</w:t>
      </w:r>
      <w:r w:rsidRPr="00A806E9">
        <w:rPr>
          <w:i/>
          <w:iCs/>
          <w:sz w:val="22"/>
          <w:szCs w:val="22"/>
          <w:lang w:val="sr-Cyrl-CS"/>
        </w:rPr>
        <w:t>-6-</w:t>
      </w:r>
      <w:r w:rsidRPr="00A806E9">
        <w:rPr>
          <w:i/>
          <w:iCs/>
          <w:sz w:val="22"/>
          <w:szCs w:val="22"/>
          <w:lang w:val="pl-PL"/>
        </w:rPr>
        <w:t>sulfonic</w:t>
      </w:r>
      <w:r w:rsidRPr="00A806E9">
        <w:rPr>
          <w:i/>
          <w:iCs/>
          <w:sz w:val="22"/>
          <w:szCs w:val="22"/>
          <w:lang w:val="sr-Cyrl-CS"/>
        </w:rPr>
        <w:t>-</w:t>
      </w:r>
      <w:r w:rsidRPr="00A806E9">
        <w:rPr>
          <w:i/>
          <w:iCs/>
          <w:sz w:val="22"/>
          <w:szCs w:val="22"/>
          <w:lang w:val="pl-PL"/>
        </w:rPr>
        <w:t>acid</w:t>
      </w:r>
      <w:r w:rsidRPr="00A806E9">
        <w:rPr>
          <w:i/>
          <w:iCs/>
          <w:sz w:val="22"/>
          <w:szCs w:val="22"/>
          <w:lang w:val="sr-Cyrl-CS"/>
        </w:rPr>
        <w:t>))</w:t>
      </w:r>
      <w:r w:rsidRPr="00A806E9">
        <w:rPr>
          <w:i/>
          <w:iCs/>
          <w:sz w:val="22"/>
          <w:szCs w:val="22"/>
          <w:lang w:val="pl-PL"/>
        </w:rPr>
        <w:t>diammonium</w:t>
      </w:r>
      <w:r w:rsidRPr="00A806E9">
        <w:rPr>
          <w:i/>
          <w:iCs/>
          <w:sz w:val="22"/>
          <w:szCs w:val="22"/>
          <w:lang w:val="sr-Cyrl-CS"/>
        </w:rPr>
        <w:t xml:space="preserve"> </w:t>
      </w:r>
      <w:r w:rsidRPr="00A806E9">
        <w:rPr>
          <w:i/>
          <w:iCs/>
          <w:sz w:val="22"/>
          <w:szCs w:val="22"/>
          <w:lang w:val="pl-PL"/>
        </w:rPr>
        <w:t>salt</w:t>
      </w:r>
      <w:r w:rsidRPr="00A806E9">
        <w:rPr>
          <w:sz w:val="22"/>
          <w:szCs w:val="22"/>
          <w:lang w:val="sr-Cyrl-CS"/>
        </w:rPr>
        <w:t xml:space="preserve">) </w:t>
      </w:r>
      <w:r w:rsidRPr="00A806E9">
        <w:rPr>
          <w:sz w:val="22"/>
          <w:szCs w:val="22"/>
          <w:lang w:val="pl-PL"/>
        </w:rPr>
        <w:t>testom</w:t>
      </w:r>
      <w:r w:rsidRPr="00A806E9">
        <w:rPr>
          <w:sz w:val="22"/>
          <w:szCs w:val="22"/>
          <w:lang w:val="sr-Cyrl-CS"/>
        </w:rPr>
        <w:t xml:space="preserve"> </w:t>
      </w:r>
      <w:r w:rsidRPr="00A806E9">
        <w:rPr>
          <w:sz w:val="22"/>
          <w:szCs w:val="22"/>
          <w:lang w:val="pl-PL"/>
        </w:rPr>
        <w:t>prema</w:t>
      </w:r>
      <w:r w:rsidRPr="00A806E9">
        <w:rPr>
          <w:sz w:val="22"/>
          <w:szCs w:val="22"/>
          <w:lang w:val="sr-Cyrl-CS"/>
        </w:rPr>
        <w:t xml:space="preserve"> </w:t>
      </w:r>
      <w:r w:rsidRPr="00A806E9">
        <w:rPr>
          <w:iCs/>
          <w:sz w:val="22"/>
          <w:szCs w:val="22"/>
          <w:lang w:val="pl-PL"/>
        </w:rPr>
        <w:t>Arnao</w:t>
      </w:r>
      <w:r w:rsidRPr="00A806E9">
        <w:rPr>
          <w:iCs/>
          <w:sz w:val="22"/>
          <w:szCs w:val="22"/>
          <w:lang w:val="sr-Cyrl-CS"/>
        </w:rPr>
        <w:t xml:space="preserve"> </w:t>
      </w:r>
      <w:r w:rsidRPr="00A806E9">
        <w:rPr>
          <w:iCs/>
          <w:sz w:val="22"/>
          <w:szCs w:val="22"/>
          <w:lang w:val="pl-PL"/>
        </w:rPr>
        <w:t>et</w:t>
      </w:r>
      <w:r w:rsidRPr="00A806E9">
        <w:rPr>
          <w:iCs/>
          <w:sz w:val="22"/>
          <w:szCs w:val="22"/>
          <w:lang w:val="sr-Cyrl-CS"/>
        </w:rPr>
        <w:t xml:space="preserve"> </w:t>
      </w:r>
      <w:r w:rsidRPr="00A806E9">
        <w:rPr>
          <w:iCs/>
          <w:sz w:val="22"/>
          <w:szCs w:val="22"/>
          <w:lang w:val="pl-PL"/>
        </w:rPr>
        <w:t>al</w:t>
      </w:r>
      <w:r w:rsidRPr="00A806E9">
        <w:rPr>
          <w:sz w:val="22"/>
          <w:szCs w:val="22"/>
          <w:lang w:val="sr-Cyrl-CS"/>
        </w:rPr>
        <w:t xml:space="preserve">. (1999). </w:t>
      </w:r>
      <w:r w:rsidRPr="00A806E9">
        <w:rPr>
          <w:sz w:val="22"/>
          <w:szCs w:val="22"/>
        </w:rPr>
        <w:t>Rezultati</w:t>
      </w:r>
      <w:r w:rsidRPr="00A806E9">
        <w:rPr>
          <w:sz w:val="22"/>
          <w:szCs w:val="22"/>
          <w:lang w:val="sr-Cyrl-CS"/>
        </w:rPr>
        <w:t xml:space="preserve"> </w:t>
      </w:r>
      <w:r w:rsidRPr="00A806E9">
        <w:rPr>
          <w:sz w:val="22"/>
          <w:szCs w:val="22"/>
        </w:rPr>
        <w:t>su</w:t>
      </w:r>
      <w:r w:rsidRPr="00A806E9">
        <w:rPr>
          <w:sz w:val="22"/>
          <w:szCs w:val="22"/>
          <w:lang w:val="sr-Cyrl-CS"/>
        </w:rPr>
        <w:t xml:space="preserve"> </w:t>
      </w:r>
      <w:r w:rsidRPr="00A806E9">
        <w:rPr>
          <w:sz w:val="22"/>
          <w:szCs w:val="22"/>
        </w:rPr>
        <w:t>izra</w:t>
      </w:r>
      <w:r w:rsidRPr="00A806E9">
        <w:rPr>
          <w:sz w:val="22"/>
          <w:szCs w:val="22"/>
          <w:lang w:val="sr-Cyrl-CS"/>
        </w:rPr>
        <w:t>ž</w:t>
      </w:r>
      <w:r w:rsidRPr="00A806E9">
        <w:rPr>
          <w:sz w:val="22"/>
          <w:szCs w:val="22"/>
        </w:rPr>
        <w:t>eni</w:t>
      </w:r>
      <w:r w:rsidRPr="00A806E9">
        <w:rPr>
          <w:sz w:val="22"/>
          <w:szCs w:val="22"/>
          <w:lang w:val="sr-Cyrl-CS"/>
        </w:rPr>
        <w:t xml:space="preserve"> </w:t>
      </w:r>
      <w:r w:rsidRPr="00A806E9">
        <w:rPr>
          <w:sz w:val="22"/>
          <w:szCs w:val="22"/>
        </w:rPr>
        <w:t>u</w:t>
      </w:r>
      <w:r w:rsidRPr="00A806E9">
        <w:rPr>
          <w:sz w:val="22"/>
          <w:szCs w:val="22"/>
          <w:lang w:val="sr-Cyrl-CS"/>
        </w:rPr>
        <w:t xml:space="preserve"> </w:t>
      </w:r>
      <w:r w:rsidRPr="00A806E9">
        <w:rPr>
          <w:iCs/>
          <w:sz w:val="22"/>
          <w:szCs w:val="22"/>
        </w:rPr>
        <w:t>mg</w:t>
      </w:r>
      <w:r w:rsidRPr="00A806E9">
        <w:rPr>
          <w:sz w:val="22"/>
          <w:szCs w:val="22"/>
          <w:lang w:val="sr-Cyrl-CS"/>
        </w:rPr>
        <w:t xml:space="preserve"> </w:t>
      </w:r>
      <w:r w:rsidRPr="00A806E9">
        <w:rPr>
          <w:sz w:val="22"/>
          <w:szCs w:val="22"/>
        </w:rPr>
        <w:t>ekvivalenta</w:t>
      </w:r>
      <w:r w:rsidRPr="00A806E9">
        <w:rPr>
          <w:sz w:val="22"/>
          <w:szCs w:val="22"/>
          <w:lang w:val="sr-Cyrl-CS"/>
        </w:rPr>
        <w:t xml:space="preserve"> </w:t>
      </w:r>
      <w:r w:rsidRPr="00A806E9">
        <w:rPr>
          <w:sz w:val="22"/>
          <w:szCs w:val="22"/>
        </w:rPr>
        <w:t>askorbata</w:t>
      </w:r>
      <w:r w:rsidRPr="00A806E9">
        <w:rPr>
          <w:sz w:val="22"/>
          <w:szCs w:val="22"/>
          <w:lang w:val="sr-Cyrl-CS"/>
        </w:rPr>
        <w:t xml:space="preserve"> </w:t>
      </w:r>
      <w:r w:rsidRPr="00A806E9">
        <w:rPr>
          <w:sz w:val="22"/>
          <w:szCs w:val="22"/>
        </w:rPr>
        <w:t>po</w:t>
      </w:r>
      <w:r w:rsidRPr="00A806E9">
        <w:rPr>
          <w:sz w:val="22"/>
          <w:szCs w:val="22"/>
          <w:lang w:val="sr-Cyrl-CS"/>
        </w:rPr>
        <w:t xml:space="preserve"> </w:t>
      </w:r>
      <w:r w:rsidRPr="00A806E9">
        <w:rPr>
          <w:sz w:val="22"/>
          <w:szCs w:val="22"/>
        </w:rPr>
        <w:t>gramu</w:t>
      </w:r>
      <w:r w:rsidRPr="00A806E9">
        <w:rPr>
          <w:sz w:val="22"/>
          <w:szCs w:val="22"/>
          <w:lang w:val="sr-Cyrl-CS"/>
        </w:rPr>
        <w:t xml:space="preserve"> </w:t>
      </w:r>
      <w:r w:rsidRPr="00A806E9">
        <w:rPr>
          <w:sz w:val="22"/>
          <w:szCs w:val="22"/>
        </w:rPr>
        <w:t>sve</w:t>
      </w:r>
      <w:r w:rsidRPr="00A806E9">
        <w:rPr>
          <w:sz w:val="22"/>
          <w:szCs w:val="22"/>
          <w:lang w:val="sr-Cyrl-CS"/>
        </w:rPr>
        <w:t>ž</w:t>
      </w:r>
      <w:r w:rsidRPr="00A806E9">
        <w:rPr>
          <w:sz w:val="22"/>
          <w:szCs w:val="22"/>
        </w:rPr>
        <w:t>e</w:t>
      </w:r>
      <w:r w:rsidRPr="00A806E9">
        <w:rPr>
          <w:sz w:val="22"/>
          <w:szCs w:val="22"/>
          <w:lang w:val="sr-Cyrl-CS"/>
        </w:rPr>
        <w:t xml:space="preserve"> </w:t>
      </w:r>
      <w:r w:rsidRPr="00A806E9">
        <w:rPr>
          <w:sz w:val="22"/>
          <w:szCs w:val="22"/>
        </w:rPr>
        <w:t>mase</w:t>
      </w:r>
      <w:r w:rsidRPr="00A806E9">
        <w:rPr>
          <w:sz w:val="22"/>
          <w:szCs w:val="22"/>
          <w:lang w:val="sr-Cyrl-CS"/>
        </w:rPr>
        <w:t xml:space="preserve"> </w:t>
      </w:r>
      <w:r w:rsidRPr="00A806E9">
        <w:rPr>
          <w:sz w:val="22"/>
          <w:szCs w:val="22"/>
        </w:rPr>
        <w:t>ploda</w:t>
      </w:r>
      <w:r w:rsidRPr="00A806E9">
        <w:rPr>
          <w:sz w:val="22"/>
          <w:szCs w:val="22"/>
          <w:lang w:val="sr-Cyrl-CS"/>
        </w:rPr>
        <w:t xml:space="preserve"> (</w:t>
      </w:r>
      <w:r w:rsidRPr="00A806E9">
        <w:rPr>
          <w:iCs/>
          <w:sz w:val="22"/>
          <w:szCs w:val="22"/>
        </w:rPr>
        <w:t>mg</w:t>
      </w:r>
      <w:r w:rsidRPr="00A806E9">
        <w:rPr>
          <w:iCs/>
          <w:sz w:val="22"/>
          <w:szCs w:val="22"/>
          <w:lang w:val="sr-Cyrl-CS"/>
        </w:rPr>
        <w:t xml:space="preserve"> </w:t>
      </w:r>
      <w:r w:rsidRPr="00A806E9">
        <w:rPr>
          <w:iCs/>
          <w:sz w:val="22"/>
          <w:szCs w:val="22"/>
        </w:rPr>
        <w:t>ekv</w:t>
      </w:r>
      <w:r w:rsidRPr="00A806E9">
        <w:rPr>
          <w:iCs/>
          <w:sz w:val="22"/>
          <w:szCs w:val="22"/>
          <w:lang w:val="sr-Cyrl-CS"/>
        </w:rPr>
        <w:t xml:space="preserve">. </w:t>
      </w:r>
      <w:r w:rsidRPr="00A806E9">
        <w:rPr>
          <w:iCs/>
          <w:sz w:val="22"/>
          <w:szCs w:val="22"/>
        </w:rPr>
        <w:t>ask</w:t>
      </w:r>
      <w:r w:rsidRPr="00A806E9">
        <w:rPr>
          <w:iCs/>
          <w:sz w:val="22"/>
          <w:szCs w:val="22"/>
          <w:lang w:val="sr-Cyrl-CS"/>
        </w:rPr>
        <w:t xml:space="preserve">. </w:t>
      </w:r>
      <w:r w:rsidRPr="00A806E9">
        <w:rPr>
          <w:iCs/>
          <w:sz w:val="22"/>
          <w:szCs w:val="22"/>
        </w:rPr>
        <w:t>g</w:t>
      </w:r>
      <w:r w:rsidRPr="00A806E9">
        <w:rPr>
          <w:iCs/>
          <w:sz w:val="22"/>
          <w:szCs w:val="22"/>
          <w:vertAlign w:val="superscript"/>
          <w:lang w:val="sr-Cyrl-CS"/>
        </w:rPr>
        <w:t>-1</w:t>
      </w:r>
      <w:r w:rsidRPr="00A806E9">
        <w:rPr>
          <w:i/>
          <w:iCs/>
          <w:sz w:val="22"/>
          <w:szCs w:val="22"/>
          <w:lang w:val="sr-Cyrl-CS"/>
        </w:rPr>
        <w:t xml:space="preserve"> </w:t>
      </w:r>
      <w:r w:rsidRPr="00A806E9">
        <w:rPr>
          <w:sz w:val="22"/>
          <w:szCs w:val="22"/>
        </w:rPr>
        <w:t>sve</w:t>
      </w:r>
      <w:r w:rsidRPr="00A806E9">
        <w:rPr>
          <w:sz w:val="22"/>
          <w:szCs w:val="22"/>
          <w:lang w:val="sr-Cyrl-CS"/>
        </w:rPr>
        <w:t>ž</w:t>
      </w:r>
      <w:r w:rsidRPr="00A806E9">
        <w:rPr>
          <w:sz w:val="22"/>
          <w:szCs w:val="22"/>
        </w:rPr>
        <w:t>e</w:t>
      </w:r>
      <w:r w:rsidRPr="00A806E9">
        <w:rPr>
          <w:sz w:val="22"/>
          <w:szCs w:val="22"/>
          <w:lang w:val="sr-Cyrl-CS"/>
        </w:rPr>
        <w:t xml:space="preserve"> </w:t>
      </w:r>
      <w:r w:rsidRPr="00A806E9">
        <w:rPr>
          <w:sz w:val="22"/>
          <w:szCs w:val="22"/>
        </w:rPr>
        <w:t>mase</w:t>
      </w:r>
      <w:r w:rsidRPr="00A806E9">
        <w:rPr>
          <w:sz w:val="22"/>
          <w:szCs w:val="22"/>
          <w:lang w:val="sr-Cyrl-CS"/>
        </w:rPr>
        <w:t xml:space="preserve"> </w:t>
      </w:r>
      <w:r w:rsidRPr="00A806E9">
        <w:rPr>
          <w:sz w:val="22"/>
          <w:szCs w:val="22"/>
        </w:rPr>
        <w:t>ploda</w:t>
      </w:r>
      <w:r w:rsidRPr="00A806E9">
        <w:rPr>
          <w:sz w:val="22"/>
          <w:szCs w:val="22"/>
          <w:lang w:val="sr-Cyrl-CS"/>
        </w:rPr>
        <w:t>).</w:t>
      </w:r>
    </w:p>
    <w:p w:rsidR="005E7A77" w:rsidRPr="00A806E9" w:rsidRDefault="005E7A77" w:rsidP="00A806E9">
      <w:pPr>
        <w:pStyle w:val="HTMLPreformatted"/>
        <w:ind w:firstLine="425"/>
        <w:jc w:val="both"/>
        <w:rPr>
          <w:rFonts w:ascii="Times New Roman" w:hAnsi="Times New Roman"/>
          <w:sz w:val="22"/>
          <w:szCs w:val="22"/>
          <w:lang w:val="sl-SI"/>
        </w:rPr>
      </w:pPr>
      <w:r w:rsidRPr="00A806E9">
        <w:rPr>
          <w:rFonts w:ascii="Times New Roman" w:hAnsi="Times New Roman"/>
          <w:sz w:val="22"/>
          <w:szCs w:val="22"/>
          <w:lang w:val="sl-SI"/>
        </w:rPr>
        <w:t>Statistička analiza je izvedena korišćenjem programa Statistika (verzija 8.0</w:t>
      </w:r>
      <w:r w:rsidRPr="00A806E9">
        <w:rPr>
          <w:rFonts w:ascii="Times New Roman" w:hAnsi="Times New Roman"/>
          <w:sz w:val="22"/>
          <w:szCs w:val="22"/>
          <w:lang w:val="pl-PL"/>
        </w:rPr>
        <w:t xml:space="preserve">; </w:t>
      </w:r>
      <w:r w:rsidRPr="00A806E9">
        <w:rPr>
          <w:rFonts w:ascii="Times New Roman" w:hAnsi="Times New Roman"/>
          <w:color w:val="1B1C20"/>
          <w:sz w:val="22"/>
          <w:szCs w:val="22"/>
          <w:lang w:val="pl-PL"/>
        </w:rPr>
        <w:t>StatSoft Inc., Tulsa, OK, USA</w:t>
      </w:r>
      <w:r w:rsidRPr="00A806E9">
        <w:rPr>
          <w:rFonts w:ascii="Times New Roman" w:hAnsi="Times New Roman"/>
          <w:sz w:val="22"/>
          <w:szCs w:val="22"/>
          <w:lang w:val="sl-SI"/>
        </w:rPr>
        <w:t xml:space="preserve">). Podaci dvogodišnjih istraživanja su obrađeni metodom analize varijanse (ANOVA) za svaku godinu pojedinačno. Analize su </w:t>
      </w:r>
      <w:r w:rsidRPr="00A806E9">
        <w:rPr>
          <w:rFonts w:ascii="Times New Roman" w:hAnsi="Times New Roman"/>
          <w:sz w:val="22"/>
          <w:szCs w:val="22"/>
          <w:lang w:val="sl-SI"/>
        </w:rPr>
        <w:lastRenderedPageBreak/>
        <w:t xml:space="preserve">urađene u 4 ponavljanja, a rezultati su prikazani kao srednje vrednosti </w:t>
      </w:r>
      <w:r w:rsidRPr="00A806E9">
        <w:rPr>
          <w:rFonts w:ascii="Times New Roman" w:hAnsi="Times New Roman"/>
          <w:sz w:val="22"/>
          <w:szCs w:val="22"/>
          <w:lang w:val="sr-Cyrl-CS"/>
        </w:rPr>
        <w:t>±</w:t>
      </w:r>
      <w:r w:rsidRPr="00A806E9">
        <w:rPr>
          <w:rFonts w:ascii="Times New Roman" w:hAnsi="Times New Roman"/>
          <w:sz w:val="22"/>
          <w:szCs w:val="22"/>
          <w:lang w:val="pl-PL"/>
        </w:rPr>
        <w:t xml:space="preserve"> standardna greška. </w:t>
      </w:r>
      <w:r w:rsidRPr="00A806E9">
        <w:rPr>
          <w:rFonts w:ascii="Times New Roman" w:hAnsi="Times New Roman"/>
          <w:sz w:val="22"/>
          <w:szCs w:val="22"/>
          <w:lang w:val="sl-SI"/>
        </w:rPr>
        <w:t xml:space="preserve">Značajnost razlika između srednjih vrednosti tretmana određena je LSD testom na nivou značajnosti </w:t>
      </w:r>
      <w:r w:rsidRPr="00A806E9">
        <w:rPr>
          <w:rFonts w:ascii="Times New Roman" w:hAnsi="Times New Roman"/>
          <w:i/>
          <w:iCs/>
          <w:color w:val="1B1C20"/>
          <w:sz w:val="22"/>
          <w:szCs w:val="22"/>
          <w:lang w:val="pl-PL"/>
        </w:rPr>
        <w:t xml:space="preserve">P </w:t>
      </w:r>
      <w:r w:rsidRPr="00A806E9">
        <w:rPr>
          <w:rFonts w:ascii="Times New Roman" w:hAnsi="Times New Roman"/>
          <w:color w:val="1B1C20"/>
          <w:sz w:val="22"/>
          <w:szCs w:val="22"/>
          <w:lang w:val="pl-PL"/>
        </w:rPr>
        <w:t>≤ 0,05</w:t>
      </w:r>
      <w:r w:rsidRPr="00A806E9">
        <w:rPr>
          <w:rFonts w:ascii="Times New Roman" w:hAnsi="Times New Roman"/>
          <w:sz w:val="22"/>
          <w:szCs w:val="22"/>
          <w:lang w:val="sl-SI"/>
        </w:rPr>
        <w:t>.</w:t>
      </w:r>
    </w:p>
    <w:p w:rsidR="002F42C3" w:rsidRPr="00A806E9" w:rsidRDefault="002F42C3" w:rsidP="00A806E9">
      <w:pPr>
        <w:widowControl w:val="0"/>
        <w:jc w:val="center"/>
        <w:rPr>
          <w:sz w:val="22"/>
          <w:szCs w:val="22"/>
          <w:lang w:val="sl-SI"/>
        </w:rPr>
      </w:pPr>
    </w:p>
    <w:p w:rsidR="002F42C3" w:rsidRPr="00CD7659" w:rsidRDefault="002F42C3" w:rsidP="002F42C3">
      <w:pPr>
        <w:pStyle w:val="Heading3"/>
        <w:keepNext w:val="0"/>
        <w:widowControl w:val="0"/>
        <w:spacing w:before="0" w:after="0"/>
        <w:jc w:val="center"/>
        <w:rPr>
          <w:rFonts w:ascii="Times New Roman" w:hAnsi="Times New Roman"/>
          <w:b/>
          <w:bCs/>
          <w:sz w:val="22"/>
          <w:szCs w:val="22"/>
          <w:lang w:val="pl-PL"/>
        </w:rPr>
      </w:pPr>
      <w:r w:rsidRPr="00CD7659">
        <w:rPr>
          <w:rFonts w:ascii="Times New Roman" w:hAnsi="Times New Roman"/>
          <w:b/>
          <w:bCs/>
          <w:sz w:val="22"/>
          <w:szCs w:val="22"/>
          <w:lang w:val="pl-PL"/>
        </w:rPr>
        <w:t>Rezultati i diskusija</w:t>
      </w:r>
    </w:p>
    <w:p w:rsidR="002F42C3" w:rsidRPr="00A806E9" w:rsidRDefault="002F42C3" w:rsidP="00AF1C40">
      <w:pPr>
        <w:widowControl w:val="0"/>
        <w:jc w:val="center"/>
        <w:rPr>
          <w:sz w:val="22"/>
          <w:szCs w:val="22"/>
          <w:lang w:val="sl-SI"/>
        </w:rPr>
      </w:pPr>
    </w:p>
    <w:p w:rsidR="00382287" w:rsidRDefault="005E7A77" w:rsidP="00A806E9">
      <w:pPr>
        <w:ind w:firstLine="426"/>
        <w:jc w:val="both"/>
        <w:rPr>
          <w:b/>
          <w:sz w:val="22"/>
          <w:szCs w:val="22"/>
          <w:lang w:val="sl-SI"/>
        </w:rPr>
      </w:pPr>
      <w:r w:rsidRPr="00382287">
        <w:rPr>
          <w:sz w:val="22"/>
          <w:szCs w:val="22"/>
          <w:lang w:val="sl-SI"/>
        </w:rPr>
        <w:t>Uticaj PGM na intenzitet svetlosti, temperaturu i relativnu vlažnost vazduha</w:t>
      </w:r>
    </w:p>
    <w:p w:rsidR="00382287" w:rsidRPr="00CA68CA" w:rsidRDefault="00382287" w:rsidP="00A806E9">
      <w:pPr>
        <w:ind w:firstLine="426"/>
        <w:jc w:val="both"/>
        <w:rPr>
          <w:b/>
          <w:sz w:val="12"/>
          <w:szCs w:val="12"/>
          <w:lang w:val="sl-SI"/>
        </w:rPr>
      </w:pPr>
    </w:p>
    <w:p w:rsidR="005E7A77" w:rsidRPr="00A806E9" w:rsidRDefault="005E7A77" w:rsidP="00A806E9">
      <w:pPr>
        <w:ind w:firstLine="426"/>
        <w:jc w:val="both"/>
        <w:rPr>
          <w:sz w:val="22"/>
          <w:szCs w:val="22"/>
          <w:lang w:val="sl-SI"/>
        </w:rPr>
      </w:pPr>
      <w:r w:rsidRPr="00A806E9">
        <w:rPr>
          <w:sz w:val="22"/>
          <w:szCs w:val="22"/>
          <w:lang w:val="sl-SI"/>
        </w:rPr>
        <w:t xml:space="preserve">U obe ispitivane godine intenzitet svetlosti je bio manji za 5–20% pod PGM (grafikon 1), sa znatno većom redukcijom tokom vedrih dana kada je bio i veći intenzitet svetlosti. Do sličnih rezultata su došli </w:t>
      </w:r>
      <w:r w:rsidRPr="00A806E9">
        <w:rPr>
          <w:color w:val="1B1C20"/>
          <w:sz w:val="22"/>
          <w:szCs w:val="22"/>
          <w:lang w:val="sl-SI"/>
        </w:rPr>
        <w:t>Iglesias i Alegre (2006) proučavajući propustljivost crne PGM za sunčevo zra</w:t>
      </w:r>
      <w:r w:rsidRPr="007C0222">
        <w:rPr>
          <w:color w:val="1B1C20"/>
          <w:sz w:val="22"/>
          <w:szCs w:val="22"/>
          <w:lang w:val="sl-SI"/>
        </w:rPr>
        <w:t>čenje</w:t>
      </w:r>
      <w:r w:rsidRPr="00A806E9">
        <w:rPr>
          <w:color w:val="1B1C20"/>
          <w:sz w:val="22"/>
          <w:szCs w:val="22"/>
          <w:lang w:val="sl-SI"/>
        </w:rPr>
        <w:t xml:space="preserve">, koja je bila dva puta veća nego kod kristalnih mreža </w:t>
      </w:r>
      <w:r w:rsidRPr="00A806E9">
        <w:rPr>
          <w:sz w:val="22"/>
          <w:szCs w:val="22"/>
          <w:lang w:val="sl-SI"/>
        </w:rPr>
        <w:t>tokom sunčanih dana, dok je razlika bila manja tokom oblačnih dana.</w:t>
      </w:r>
    </w:p>
    <w:p w:rsidR="005E7A77" w:rsidRPr="00A806E9" w:rsidRDefault="005E7A77" w:rsidP="00A806E9">
      <w:pPr>
        <w:ind w:firstLine="426"/>
        <w:jc w:val="both"/>
        <w:rPr>
          <w:sz w:val="22"/>
          <w:szCs w:val="22"/>
          <w:lang w:val="sl-SI"/>
        </w:rPr>
      </w:pPr>
      <w:r w:rsidRPr="00A806E9">
        <w:rPr>
          <w:sz w:val="22"/>
          <w:szCs w:val="22"/>
          <w:lang w:val="sl-SI"/>
        </w:rPr>
        <w:t>PGM je takođe uticala na temperaturu i relativnu vlažnost vazduha. Maksimalne dnevne temperature registrovane u ovom radu su bile za 2,4</w:t>
      </w:r>
      <w:r w:rsidRPr="00A806E9">
        <w:rPr>
          <w:sz w:val="22"/>
          <w:szCs w:val="22"/>
          <w:vertAlign w:val="superscript"/>
          <w:lang w:val="sl-SI"/>
        </w:rPr>
        <w:t>o</w:t>
      </w:r>
      <w:r w:rsidRPr="00A806E9">
        <w:rPr>
          <w:sz w:val="22"/>
          <w:szCs w:val="22"/>
          <w:lang w:val="sl-SI"/>
        </w:rPr>
        <w:t>C više u proizvodnom prostoru biljaka na OP u odnosu na one registrovane pod PGM, što je nesumnjiva posledica smanjenja intenziteta svetlosti pod PGM. Srednja dnevna temperatura pod PGM je bila niža u proseku za 1,5</w:t>
      </w:r>
      <w:r w:rsidRPr="00A806E9">
        <w:rPr>
          <w:sz w:val="22"/>
          <w:szCs w:val="22"/>
          <w:vertAlign w:val="superscript"/>
          <w:lang w:val="sl-SI"/>
        </w:rPr>
        <w:t>o</w:t>
      </w:r>
      <w:r w:rsidRPr="00A806E9">
        <w:rPr>
          <w:sz w:val="22"/>
          <w:szCs w:val="22"/>
          <w:lang w:val="sl-SI"/>
        </w:rPr>
        <w:t>C tokom obe eksperimentalne godine, dok se minimalna dnevna temperatura ispod PGM i na OP razlikovala samo neznatno (0,6</w:t>
      </w:r>
      <w:r w:rsidRPr="00A806E9">
        <w:rPr>
          <w:sz w:val="22"/>
          <w:szCs w:val="22"/>
          <w:vertAlign w:val="superscript"/>
          <w:lang w:val="sl-SI"/>
        </w:rPr>
        <w:t>o</w:t>
      </w:r>
      <w:r w:rsidRPr="00A806E9">
        <w:rPr>
          <w:sz w:val="22"/>
          <w:szCs w:val="22"/>
          <w:lang w:val="sl-SI"/>
        </w:rPr>
        <w:t xml:space="preserve">C). Kao posledica nižih maksimalnih dnevnih temperatura, minimalna dnevna relativna vlažnost vazduha pod PGM je bila u proseku za 4% viša nego na OP. Prosečne vrednosti maksimalne dnevne i srednje relativne vlažnosti vazduha su bile 2% niže, odnosno 1% više pod PGM u odnosu na OP (grafikon 1). </w:t>
      </w:r>
      <w:r w:rsidRPr="00A806E9">
        <w:rPr>
          <w:color w:val="1B1C20"/>
          <w:sz w:val="22"/>
          <w:szCs w:val="22"/>
          <w:lang w:val="sl-SI"/>
        </w:rPr>
        <w:t>Solomakhin i Blanke (2010) tvrde da obojene PGM povećavaju relativnu vlažnost vazduha za 2% tokom oblačnih dana, odnosno za 5% tokom sunčanih dana u poređenju sa OP.</w:t>
      </w:r>
    </w:p>
    <w:p w:rsidR="00382287" w:rsidRDefault="00382287" w:rsidP="00A806E9">
      <w:pPr>
        <w:ind w:firstLine="426"/>
        <w:jc w:val="both"/>
        <w:rPr>
          <w:sz w:val="22"/>
          <w:szCs w:val="22"/>
          <w:lang w:val="sl-SI"/>
        </w:rPr>
      </w:pPr>
    </w:p>
    <w:p w:rsidR="00382287" w:rsidRDefault="005E7A77" w:rsidP="00A806E9">
      <w:pPr>
        <w:ind w:firstLine="426"/>
        <w:jc w:val="both"/>
        <w:rPr>
          <w:sz w:val="22"/>
          <w:szCs w:val="22"/>
        </w:rPr>
      </w:pPr>
      <w:r w:rsidRPr="00382287">
        <w:rPr>
          <w:sz w:val="22"/>
          <w:szCs w:val="22"/>
          <w:lang w:val="sl-SI"/>
        </w:rPr>
        <w:t xml:space="preserve">Uticaj PGM na fizičke osobine ploda borovnice sorte </w:t>
      </w:r>
      <w:r w:rsidR="00382287" w:rsidRPr="00382287">
        <w:rPr>
          <w:sz w:val="22"/>
          <w:szCs w:val="22"/>
          <w:lang w:val="en-US"/>
        </w:rPr>
        <w:t>‘</w:t>
      </w:r>
      <w:r w:rsidRPr="00382287">
        <w:rPr>
          <w:sz w:val="22"/>
          <w:szCs w:val="22"/>
        </w:rPr>
        <w:t>Bluecrop</w:t>
      </w:r>
      <w:r w:rsidR="00382287" w:rsidRPr="00382287">
        <w:rPr>
          <w:sz w:val="22"/>
          <w:szCs w:val="22"/>
        </w:rPr>
        <w:t>’</w:t>
      </w:r>
    </w:p>
    <w:p w:rsidR="00382287" w:rsidRPr="00CA68CA" w:rsidRDefault="00382287" w:rsidP="00A806E9">
      <w:pPr>
        <w:ind w:firstLine="426"/>
        <w:jc w:val="both"/>
        <w:rPr>
          <w:sz w:val="12"/>
          <w:szCs w:val="12"/>
        </w:rPr>
      </w:pPr>
    </w:p>
    <w:p w:rsidR="005E7A77" w:rsidRPr="00A806E9" w:rsidRDefault="005E7A77" w:rsidP="00A806E9">
      <w:pPr>
        <w:ind w:firstLine="426"/>
        <w:jc w:val="both"/>
        <w:rPr>
          <w:sz w:val="22"/>
          <w:szCs w:val="22"/>
          <w:lang w:val="pl-PL"/>
        </w:rPr>
      </w:pPr>
      <w:r w:rsidRPr="00A806E9">
        <w:rPr>
          <w:sz w:val="22"/>
          <w:szCs w:val="22"/>
          <w:lang w:val="sl-SI"/>
        </w:rPr>
        <w:t xml:space="preserve">Fizičke osobine ploda borovnice predstavljaju važno pomološko obeležje, kako za determinaciju sorte, tako i za određivanje upotrebne vrednosti ploda. One zavise od naslednih osobina same sorte, klimatskih uslova tokom gajenja, kao i primenjene agrotehnike. Prema istraživanjima koja su izveli Kim et al. (2013), prosečna masa ploda sorte borovnice </w:t>
      </w:r>
      <w:r w:rsidR="00382287" w:rsidRPr="007C0222">
        <w:rPr>
          <w:sz w:val="22"/>
          <w:szCs w:val="22"/>
          <w:lang w:val="sl-SI"/>
        </w:rPr>
        <w:t>‘</w:t>
      </w:r>
      <w:r w:rsidRPr="007C0222">
        <w:rPr>
          <w:sz w:val="22"/>
          <w:szCs w:val="22"/>
          <w:lang w:val="sl-SI"/>
        </w:rPr>
        <w:t>Bluecrop</w:t>
      </w:r>
      <w:r w:rsidR="00382287" w:rsidRPr="007C0222">
        <w:rPr>
          <w:sz w:val="22"/>
          <w:szCs w:val="22"/>
          <w:lang w:val="sl-SI"/>
        </w:rPr>
        <w:t>’</w:t>
      </w:r>
      <w:r w:rsidRPr="00A806E9">
        <w:rPr>
          <w:sz w:val="22"/>
          <w:szCs w:val="22"/>
          <w:lang w:val="sr-Latn-CS"/>
        </w:rPr>
        <w:t xml:space="preserve"> </w:t>
      </w:r>
      <w:r w:rsidRPr="00A806E9">
        <w:rPr>
          <w:sz w:val="22"/>
          <w:szCs w:val="22"/>
          <w:lang w:val="sl-SI"/>
        </w:rPr>
        <w:t xml:space="preserve">gajene u Koreji bila je 1,83 g, što je malo više od vrednosti dobijene u ovom radu (1,72 g). Analizirajući uticaj PGM na masu ploda ispitivane sorte borovnice, može se primetiti značajno povećanje pri gajenju ispod PGM, ali nije registrovano postojanje značajnih razlika između ispitivanih godina (tabela 1). </w:t>
      </w:r>
      <w:r w:rsidRPr="007C0222">
        <w:rPr>
          <w:sz w:val="22"/>
          <w:szCs w:val="22"/>
          <w:lang w:val="sl-SI"/>
        </w:rPr>
        <w:t xml:space="preserve">Generalno, zasadi voćaka pokriveni PGM mnogo efikasnije koriste vodu kao rezultat smanjene transpiracije, što može uticati na povećanje mase ploda (Tanny et al., 2009). </w:t>
      </w:r>
      <w:r w:rsidRPr="00A806E9">
        <w:rPr>
          <w:sz w:val="22"/>
          <w:szCs w:val="22"/>
          <w:lang w:val="pl-PL"/>
        </w:rPr>
        <w:t xml:space="preserve">Indeks oblika ploda je varirao kako po godinama, tako i u zavisnosti od tretmana. Posmatrajući uticaj pojedinačnih </w:t>
      </w:r>
      <w:r w:rsidRPr="00A806E9">
        <w:rPr>
          <w:sz w:val="22"/>
          <w:szCs w:val="22"/>
          <w:lang w:val="pl-PL"/>
        </w:rPr>
        <w:lastRenderedPageBreak/>
        <w:t>faktora, značajno viša vrednost je registrovana u 2014. godini i na OP (0,77), a sagledavajući interakcijske efekte uočava se da je indeks oblika ploda bio najniži pod PGM u 2013. godini (0,73). Povećanje indeksa oblika ploda na OP se može objasniti izraženijim razlikama između dnevnih i noćnih temperatura, što generalno kod plodova voćaka dovodi do većeg izduživanja.</w:t>
      </w:r>
    </w:p>
    <w:p w:rsidR="005E7A77" w:rsidRPr="00A806E9" w:rsidRDefault="005E7A77" w:rsidP="00A806E9">
      <w:pPr>
        <w:ind w:firstLine="426"/>
        <w:jc w:val="both"/>
        <w:rPr>
          <w:sz w:val="22"/>
          <w:szCs w:val="22"/>
          <w:lang w:val="sl-SI"/>
        </w:rPr>
      </w:pPr>
      <w:r w:rsidRPr="00A806E9">
        <w:rPr>
          <w:sz w:val="22"/>
          <w:szCs w:val="22"/>
          <w:lang w:val="pl-PL"/>
        </w:rPr>
        <w:t xml:space="preserve">Nijedan ispitivan faktor nije značajno uticao na broj semenki u plodu sorte borovnice </w:t>
      </w:r>
      <w:r w:rsidR="00382287" w:rsidRPr="007C0222">
        <w:rPr>
          <w:sz w:val="22"/>
          <w:szCs w:val="22"/>
          <w:lang w:val="pl-PL"/>
        </w:rPr>
        <w:t>‘</w:t>
      </w:r>
      <w:r w:rsidRPr="007C0222">
        <w:rPr>
          <w:sz w:val="22"/>
          <w:szCs w:val="22"/>
          <w:lang w:val="pl-PL"/>
        </w:rPr>
        <w:t>Bluecrop</w:t>
      </w:r>
      <w:r w:rsidR="00382287" w:rsidRPr="007C0222">
        <w:rPr>
          <w:sz w:val="22"/>
          <w:szCs w:val="22"/>
          <w:lang w:val="pl-PL"/>
        </w:rPr>
        <w:t>’</w:t>
      </w:r>
      <w:r w:rsidRPr="00A806E9">
        <w:rPr>
          <w:rFonts w:eastAsia="Calibri"/>
          <w:sz w:val="22"/>
          <w:szCs w:val="22"/>
          <w:lang w:val="sr-Latn-CS"/>
        </w:rPr>
        <w:t>, što ukazuje na činjenicu da su postojali približni uslovi za oplodnju pod PGM i na OP, kao i tokom dve ispitivane godine</w:t>
      </w:r>
      <w:r w:rsidRPr="00A806E9">
        <w:rPr>
          <w:sz w:val="22"/>
          <w:szCs w:val="22"/>
          <w:lang w:val="pl-PL"/>
        </w:rPr>
        <w:t>.</w:t>
      </w:r>
    </w:p>
    <w:p w:rsidR="005E7A77" w:rsidRPr="00CA68CA" w:rsidRDefault="005E7A77" w:rsidP="00292D6B">
      <w:pPr>
        <w:ind w:firstLine="425"/>
        <w:rPr>
          <w:sz w:val="8"/>
          <w:szCs w:val="8"/>
          <w:lang w:val="pl-PL"/>
        </w:rPr>
      </w:pPr>
    </w:p>
    <w:p w:rsidR="00E85354" w:rsidRPr="00292D6B" w:rsidRDefault="005E7A77" w:rsidP="00292D6B">
      <w:pPr>
        <w:jc w:val="center"/>
        <w:rPr>
          <w:sz w:val="24"/>
          <w:szCs w:val="24"/>
          <w:lang w:val="sr-Latn-CS"/>
        </w:rPr>
      </w:pPr>
      <w:r>
        <w:rPr>
          <w:noProof/>
          <w:lang w:val="en-US" w:eastAsia="en-US"/>
        </w:rPr>
        <w:drawing>
          <wp:inline distT="0" distB="0" distL="0" distR="0">
            <wp:extent cx="4349700" cy="3719461"/>
            <wp:effectExtent l="0" t="323850" r="0" b="300089"/>
            <wp:docPr id="1" name="Picture 0" descr="Description: Description: final Slika Vocarstv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final Slika Vocarstvo.tif"/>
                    <pic:cNvPicPr>
                      <a:picLocks noChangeAspect="1" noChangeArrowheads="1"/>
                    </pic:cNvPicPr>
                  </pic:nvPicPr>
                  <pic:blipFill>
                    <a:blip r:embed="rId8" cstate="print"/>
                    <a:srcRect b="-6378"/>
                    <a:stretch>
                      <a:fillRect/>
                    </a:stretch>
                  </pic:blipFill>
                  <pic:spPr bwMode="auto">
                    <a:xfrm rot="16200000">
                      <a:off x="0" y="0"/>
                      <a:ext cx="4352054" cy="3721474"/>
                    </a:xfrm>
                    <a:prstGeom prst="rect">
                      <a:avLst/>
                    </a:prstGeom>
                    <a:noFill/>
                    <a:ln w="9525">
                      <a:noFill/>
                      <a:miter lim="800000"/>
                      <a:headEnd/>
                      <a:tailEnd/>
                    </a:ln>
                  </pic:spPr>
                </pic:pic>
              </a:graphicData>
            </a:graphic>
          </wp:inline>
        </w:drawing>
      </w:r>
    </w:p>
    <w:p w:rsidR="00A806E9" w:rsidRPr="00A91A80" w:rsidRDefault="00A806E9" w:rsidP="00A91A80">
      <w:pPr>
        <w:jc w:val="center"/>
        <w:rPr>
          <w:sz w:val="22"/>
          <w:szCs w:val="22"/>
        </w:rPr>
      </w:pPr>
      <w:r w:rsidRPr="007C0222">
        <w:rPr>
          <w:sz w:val="22"/>
          <w:szCs w:val="22"/>
          <w:lang w:val="sr-Latn-CS"/>
        </w:rPr>
        <w:t xml:space="preserve">Slika 1. Uticaj protivgradne mreže na temperaturu vazduha (T), relativnu vlažnost vazduha (RH) i intenzitet svetlosti (LI) u dve uzastopne godine. </w:t>
      </w:r>
      <w:r w:rsidRPr="00A91A80">
        <w:rPr>
          <w:sz w:val="22"/>
          <w:szCs w:val="22"/>
        </w:rPr>
        <w:t>PGM, protivgradna mreža; OP, otvoreno polje.</w:t>
      </w:r>
    </w:p>
    <w:p w:rsidR="00A806E9" w:rsidRPr="00A91A80" w:rsidRDefault="00A806E9" w:rsidP="00A91A80">
      <w:pPr>
        <w:jc w:val="center"/>
        <w:rPr>
          <w:i/>
          <w:sz w:val="22"/>
          <w:szCs w:val="22"/>
        </w:rPr>
      </w:pPr>
      <w:r w:rsidRPr="00A91A80">
        <w:rPr>
          <w:i/>
          <w:sz w:val="22"/>
          <w:szCs w:val="22"/>
        </w:rPr>
        <w:t>Figure 1. The effect of a hail protection net on air temperature (T), relative humidity (RH) and light intensity (LI) over two consecutive years. OF, open field; HPN, hail protection net.</w:t>
      </w:r>
    </w:p>
    <w:p w:rsidR="00A806E9" w:rsidRPr="00A91A80"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A91A80">
        <w:rPr>
          <w:color w:val="000000"/>
          <w:sz w:val="22"/>
          <w:szCs w:val="22"/>
        </w:rPr>
        <w:lastRenderedPageBreak/>
        <w:t xml:space="preserve">Tabela 1. Uticaj mikroklime pod sivom protivgradnom mrežom na fizičke osobine ploda sorte borovnice </w:t>
      </w:r>
      <w:r w:rsidR="00382287">
        <w:rPr>
          <w:sz w:val="22"/>
          <w:szCs w:val="22"/>
          <w:lang w:val="en-US"/>
        </w:rPr>
        <w:t>‘</w:t>
      </w:r>
      <w:r w:rsidRPr="00A91A80">
        <w:rPr>
          <w:sz w:val="22"/>
          <w:szCs w:val="22"/>
        </w:rPr>
        <w:t>Bluecrop</w:t>
      </w:r>
      <w:r w:rsidR="00382287">
        <w:rPr>
          <w:sz w:val="22"/>
          <w:szCs w:val="22"/>
        </w:rPr>
        <w:t>’</w:t>
      </w:r>
      <w:r w:rsidRPr="00A91A80">
        <w:rPr>
          <w:sz w:val="22"/>
          <w:szCs w:val="22"/>
        </w:rPr>
        <w:t>.</w:t>
      </w:r>
    </w:p>
    <w:p w:rsidR="00A806E9" w:rsidRPr="00A91A80"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sz w:val="22"/>
          <w:szCs w:val="22"/>
        </w:rPr>
      </w:pPr>
      <w:r w:rsidRPr="00A91A80">
        <w:rPr>
          <w:i/>
          <w:color w:val="000000"/>
          <w:sz w:val="22"/>
          <w:szCs w:val="22"/>
        </w:rPr>
        <w:t xml:space="preserve">Table 1. The effect of microclimate under a grey hail protection net on physical fruit traits of the </w:t>
      </w:r>
      <w:r w:rsidRPr="00A91A80">
        <w:rPr>
          <w:i/>
          <w:sz w:val="22"/>
          <w:szCs w:val="22"/>
        </w:rPr>
        <w:t xml:space="preserve">blueberry cultivar </w:t>
      </w:r>
      <w:r w:rsidRPr="00A91A80">
        <w:rPr>
          <w:i/>
          <w:sz w:val="22"/>
          <w:szCs w:val="22"/>
          <w:lang w:val="en-US"/>
        </w:rPr>
        <w:t>‘</w:t>
      </w:r>
      <w:r w:rsidRPr="00A91A80">
        <w:rPr>
          <w:i/>
          <w:sz w:val="22"/>
          <w:szCs w:val="22"/>
        </w:rPr>
        <w:t>Bluecrop’</w:t>
      </w:r>
      <w:r w:rsidRPr="00A91A80">
        <w:rPr>
          <w:sz w:val="22"/>
          <w:szCs w:val="22"/>
        </w:rPr>
        <w:t>.</w:t>
      </w:r>
    </w:p>
    <w:p w:rsidR="00A806E9" w:rsidRPr="009A784E" w:rsidRDefault="00A806E9" w:rsidP="009A784E">
      <w:pPr>
        <w:tabs>
          <w:tab w:val="left" w:pos="7328"/>
        </w:tabs>
        <w:jc w:val="both"/>
        <w:rPr>
          <w:bCs/>
          <w:sz w:val="22"/>
          <w:szCs w:val="22"/>
          <w:lang w:val="sr-Latn-C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01"/>
        <w:gridCol w:w="1843"/>
        <w:gridCol w:w="1843"/>
        <w:gridCol w:w="1984"/>
      </w:tblGrid>
      <w:tr w:rsidR="00A806E9" w:rsidRPr="00F52F3E" w:rsidTr="009A784E">
        <w:trPr>
          <w:trHeight w:val="227"/>
          <w:jc w:val="center"/>
        </w:trPr>
        <w:tc>
          <w:tcPr>
            <w:tcW w:w="1701" w:type="dxa"/>
            <w:tcBorders>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Faktor</w:t>
            </w:r>
          </w:p>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i/>
                <w:color w:val="000000"/>
                <w:sz w:val="18"/>
                <w:szCs w:val="18"/>
              </w:rPr>
              <w:t>Factor</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Masa ploda (g)</w:t>
            </w:r>
          </w:p>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sz w:val="18"/>
                <w:szCs w:val="18"/>
              </w:rPr>
            </w:pPr>
            <w:r w:rsidRPr="00B34186">
              <w:rPr>
                <w:i/>
                <w:color w:val="000000"/>
                <w:sz w:val="18"/>
                <w:szCs w:val="18"/>
              </w:rPr>
              <w:t>Fruit weight (g)</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Indeks oblika ploda</w:t>
            </w:r>
          </w:p>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sz w:val="18"/>
                <w:szCs w:val="18"/>
              </w:rPr>
            </w:pPr>
            <w:r w:rsidRPr="00B34186">
              <w:rPr>
                <w:i/>
                <w:color w:val="000000"/>
                <w:sz w:val="18"/>
                <w:szCs w:val="18"/>
              </w:rPr>
              <w:t>Index of fruit shape</w:t>
            </w:r>
          </w:p>
        </w:tc>
        <w:tc>
          <w:tcPr>
            <w:tcW w:w="1984"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Broj semenki u plodu</w:t>
            </w:r>
          </w:p>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sz w:val="18"/>
                <w:szCs w:val="18"/>
              </w:rPr>
            </w:pPr>
            <w:r w:rsidRPr="00B34186">
              <w:rPr>
                <w:i/>
                <w:color w:val="000000"/>
                <w:sz w:val="18"/>
                <w:szCs w:val="18"/>
              </w:rPr>
              <w:t>Number of seeds per fruit</w:t>
            </w: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color w:val="000000"/>
                <w:sz w:val="18"/>
                <w:szCs w:val="18"/>
              </w:rPr>
              <w:t>Godina</w:t>
            </w:r>
            <w:r w:rsidRPr="00B34186">
              <w:rPr>
                <w:i/>
                <w:color w:val="000000"/>
                <w:sz w:val="18"/>
                <w:szCs w:val="18"/>
              </w:rPr>
              <w:t>/Year</w:t>
            </w: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984"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2013</w:t>
            </w:r>
          </w:p>
        </w:tc>
        <w:tc>
          <w:tcPr>
            <w:tcW w:w="1843"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1,72±0,10</w:t>
            </w:r>
          </w:p>
        </w:tc>
        <w:tc>
          <w:tcPr>
            <w:tcW w:w="1843"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0,75±0,01b</w:t>
            </w:r>
          </w:p>
        </w:tc>
        <w:tc>
          <w:tcPr>
            <w:tcW w:w="1984"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28,1±0,63</w:t>
            </w:r>
          </w:p>
        </w:tc>
      </w:tr>
      <w:tr w:rsidR="00A806E9" w:rsidRPr="00F52F3E" w:rsidTr="009A784E">
        <w:trPr>
          <w:trHeight w:val="227"/>
          <w:jc w:val="center"/>
        </w:trPr>
        <w:tc>
          <w:tcPr>
            <w:tcW w:w="1701" w:type="dxa"/>
            <w:tcBorders>
              <w:top w:val="nil"/>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2014</w:t>
            </w:r>
          </w:p>
        </w:tc>
        <w:tc>
          <w:tcPr>
            <w:tcW w:w="1843" w:type="dxa"/>
            <w:tcBorders>
              <w:top w:val="nil"/>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1,72±0,07</w:t>
            </w:r>
          </w:p>
        </w:tc>
        <w:tc>
          <w:tcPr>
            <w:tcW w:w="1843" w:type="dxa"/>
            <w:tcBorders>
              <w:top w:val="nil"/>
              <w:left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0,77±0,00a</w:t>
            </w:r>
          </w:p>
        </w:tc>
        <w:tc>
          <w:tcPr>
            <w:tcW w:w="1984" w:type="dxa"/>
            <w:tcBorders>
              <w:top w:val="nil"/>
              <w:left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26,9±1,31</w:t>
            </w:r>
          </w:p>
        </w:tc>
      </w:tr>
      <w:tr w:rsidR="00A806E9" w:rsidRPr="00F52F3E" w:rsidTr="009A784E">
        <w:trPr>
          <w:trHeight w:val="227"/>
          <w:jc w:val="center"/>
        </w:trPr>
        <w:tc>
          <w:tcPr>
            <w:tcW w:w="1701"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i/>
                <w:color w:val="000000"/>
                <w:sz w:val="18"/>
                <w:szCs w:val="18"/>
              </w:rPr>
              <w:t>F test</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nz</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w:t>
            </w:r>
          </w:p>
        </w:tc>
        <w:tc>
          <w:tcPr>
            <w:tcW w:w="1984"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nz</w:t>
            </w:r>
          </w:p>
        </w:tc>
      </w:tr>
      <w:tr w:rsidR="00A806E9" w:rsidRPr="00F52F3E" w:rsidTr="009A784E">
        <w:trPr>
          <w:trHeight w:val="227"/>
          <w:jc w:val="center"/>
        </w:trPr>
        <w:tc>
          <w:tcPr>
            <w:tcW w:w="1701"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Tretman/</w:t>
            </w:r>
            <w:r w:rsidRPr="00B34186">
              <w:rPr>
                <w:i/>
                <w:color w:val="000000"/>
                <w:sz w:val="18"/>
                <w:szCs w:val="18"/>
              </w:rPr>
              <w:t>Treatment</w:t>
            </w: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984"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PGM/HPN</w:t>
            </w:r>
          </w:p>
        </w:tc>
        <w:tc>
          <w:tcPr>
            <w:tcW w:w="1843"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1,90±0,02a</w:t>
            </w:r>
          </w:p>
        </w:tc>
        <w:tc>
          <w:tcPr>
            <w:tcW w:w="1843"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0,75±0,01b</w:t>
            </w:r>
          </w:p>
        </w:tc>
        <w:tc>
          <w:tcPr>
            <w:tcW w:w="1984"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28,8±0,80</w:t>
            </w:r>
          </w:p>
        </w:tc>
      </w:tr>
      <w:tr w:rsidR="00A806E9" w:rsidRPr="00F52F3E" w:rsidTr="009A784E">
        <w:trPr>
          <w:trHeight w:val="227"/>
          <w:jc w:val="center"/>
        </w:trPr>
        <w:tc>
          <w:tcPr>
            <w:tcW w:w="1701" w:type="dxa"/>
            <w:tcBorders>
              <w:top w:val="nil"/>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OP/OF</w:t>
            </w:r>
          </w:p>
        </w:tc>
        <w:tc>
          <w:tcPr>
            <w:tcW w:w="1843" w:type="dxa"/>
            <w:tcBorders>
              <w:top w:val="nil"/>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1,54±0,03b</w:t>
            </w:r>
          </w:p>
        </w:tc>
        <w:tc>
          <w:tcPr>
            <w:tcW w:w="1843" w:type="dxa"/>
            <w:tcBorders>
              <w:top w:val="nil"/>
              <w:left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0,77±0,00a</w:t>
            </w:r>
          </w:p>
        </w:tc>
        <w:tc>
          <w:tcPr>
            <w:tcW w:w="1984" w:type="dxa"/>
            <w:tcBorders>
              <w:top w:val="nil"/>
              <w:left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26,3±1,01</w:t>
            </w:r>
          </w:p>
        </w:tc>
      </w:tr>
      <w:tr w:rsidR="00A806E9" w:rsidRPr="00F52F3E" w:rsidTr="009A784E">
        <w:trPr>
          <w:trHeight w:val="227"/>
          <w:jc w:val="center"/>
        </w:trPr>
        <w:tc>
          <w:tcPr>
            <w:tcW w:w="1701"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i/>
                <w:color w:val="000000"/>
                <w:sz w:val="18"/>
                <w:szCs w:val="18"/>
              </w:rPr>
              <w:t>F test</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w:t>
            </w:r>
          </w:p>
        </w:tc>
        <w:tc>
          <w:tcPr>
            <w:tcW w:w="1843"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w:t>
            </w:r>
          </w:p>
        </w:tc>
        <w:tc>
          <w:tcPr>
            <w:tcW w:w="1984" w:type="dxa"/>
            <w:tcBorders>
              <w:left w:val="nil"/>
              <w:bottom w:val="single" w:sz="4" w:space="0" w:color="auto"/>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nz</w:t>
            </w:r>
          </w:p>
        </w:tc>
      </w:tr>
      <w:tr w:rsidR="00A806E9" w:rsidRPr="00F52F3E" w:rsidTr="009A784E">
        <w:trPr>
          <w:trHeight w:val="227"/>
          <w:jc w:val="center"/>
        </w:trPr>
        <w:tc>
          <w:tcPr>
            <w:tcW w:w="1701"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Godina x Tretman</w:t>
            </w:r>
          </w:p>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i/>
                <w:color w:val="000000"/>
                <w:sz w:val="18"/>
                <w:szCs w:val="18"/>
              </w:rPr>
              <w:t>Year x Treatment</w:t>
            </w: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843"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984" w:type="dxa"/>
            <w:tcBorders>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2013 x PGM</w:t>
            </w:r>
          </w:p>
        </w:tc>
        <w:tc>
          <w:tcPr>
            <w:tcW w:w="1843"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1,93±0,02</w:t>
            </w:r>
          </w:p>
        </w:tc>
        <w:tc>
          <w:tcPr>
            <w:tcW w:w="1843"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0,73±0,00b</w:t>
            </w:r>
          </w:p>
        </w:tc>
        <w:tc>
          <w:tcPr>
            <w:tcW w:w="1984" w:type="dxa"/>
            <w:tcBorders>
              <w:top w:val="nil"/>
              <w:left w:val="nil"/>
              <w:bottom w:val="nil"/>
              <w:right w:val="nil"/>
            </w:tcBorders>
            <w:shd w:val="clear" w:color="auto" w:fill="auto"/>
            <w:vAlign w:val="center"/>
          </w:tcPr>
          <w:p w:rsidR="00A806E9" w:rsidRPr="00B34186" w:rsidRDefault="00A806E9" w:rsidP="009A784E">
            <w:pPr>
              <w:jc w:val="center"/>
              <w:rPr>
                <w:sz w:val="18"/>
                <w:szCs w:val="18"/>
              </w:rPr>
            </w:pPr>
            <w:r w:rsidRPr="00B34186">
              <w:rPr>
                <w:color w:val="000000"/>
                <w:sz w:val="18"/>
                <w:szCs w:val="18"/>
              </w:rPr>
              <w:t>29,3±0,50</w:t>
            </w: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2013 x OP</w:t>
            </w:r>
          </w:p>
        </w:tc>
        <w:tc>
          <w:tcPr>
            <w:tcW w:w="1843"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1,51±0,04</w:t>
            </w:r>
          </w:p>
        </w:tc>
        <w:tc>
          <w:tcPr>
            <w:tcW w:w="1843"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0,77±0,01a</w:t>
            </w:r>
          </w:p>
        </w:tc>
        <w:tc>
          <w:tcPr>
            <w:tcW w:w="1984"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26,9±0,50</w:t>
            </w:r>
          </w:p>
        </w:tc>
      </w:tr>
      <w:tr w:rsidR="00A806E9" w:rsidRPr="00F52F3E" w:rsidTr="009A784E">
        <w:trPr>
          <w:trHeight w:val="227"/>
          <w:jc w:val="center"/>
        </w:trPr>
        <w:tc>
          <w:tcPr>
            <w:tcW w:w="1701" w:type="dxa"/>
            <w:tcBorders>
              <w:top w:val="nil"/>
              <w:left w:val="nil"/>
              <w:bottom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2014 x PGM</w:t>
            </w:r>
          </w:p>
        </w:tc>
        <w:tc>
          <w:tcPr>
            <w:tcW w:w="1843"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1,86±0,03</w:t>
            </w:r>
          </w:p>
        </w:tc>
        <w:tc>
          <w:tcPr>
            <w:tcW w:w="1843"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0,76±0,00a</w:t>
            </w:r>
          </w:p>
        </w:tc>
        <w:tc>
          <w:tcPr>
            <w:tcW w:w="1984" w:type="dxa"/>
            <w:tcBorders>
              <w:top w:val="nil"/>
              <w:left w:val="nil"/>
              <w:bottom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28,2±1,63</w:t>
            </w:r>
          </w:p>
        </w:tc>
      </w:tr>
      <w:tr w:rsidR="00A806E9" w:rsidRPr="00F52F3E" w:rsidTr="009A784E">
        <w:trPr>
          <w:trHeight w:val="227"/>
          <w:jc w:val="center"/>
        </w:trPr>
        <w:tc>
          <w:tcPr>
            <w:tcW w:w="1701" w:type="dxa"/>
            <w:tcBorders>
              <w:top w:val="nil"/>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B34186">
              <w:rPr>
                <w:color w:val="000000"/>
                <w:sz w:val="18"/>
                <w:szCs w:val="18"/>
              </w:rPr>
              <w:t>2014 x OP</w:t>
            </w:r>
          </w:p>
        </w:tc>
        <w:tc>
          <w:tcPr>
            <w:tcW w:w="1843" w:type="dxa"/>
            <w:tcBorders>
              <w:top w:val="nil"/>
              <w:left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1,57±0,05</w:t>
            </w:r>
          </w:p>
        </w:tc>
        <w:tc>
          <w:tcPr>
            <w:tcW w:w="1843" w:type="dxa"/>
            <w:tcBorders>
              <w:top w:val="nil"/>
              <w:left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0,77±0,01a</w:t>
            </w:r>
          </w:p>
        </w:tc>
        <w:tc>
          <w:tcPr>
            <w:tcW w:w="1984" w:type="dxa"/>
            <w:tcBorders>
              <w:top w:val="nil"/>
              <w:left w:val="nil"/>
              <w:right w:val="nil"/>
            </w:tcBorders>
            <w:shd w:val="clear" w:color="auto" w:fill="auto"/>
            <w:vAlign w:val="center"/>
          </w:tcPr>
          <w:p w:rsidR="00A806E9" w:rsidRPr="00B34186" w:rsidRDefault="00A806E9" w:rsidP="00095133">
            <w:pPr>
              <w:jc w:val="center"/>
              <w:rPr>
                <w:sz w:val="18"/>
                <w:szCs w:val="18"/>
              </w:rPr>
            </w:pPr>
            <w:r w:rsidRPr="00B34186">
              <w:rPr>
                <w:color w:val="000000"/>
                <w:sz w:val="18"/>
                <w:szCs w:val="18"/>
              </w:rPr>
              <w:t>25,7±2,11</w:t>
            </w:r>
          </w:p>
        </w:tc>
      </w:tr>
      <w:tr w:rsidR="00A806E9" w:rsidRPr="00F52F3E" w:rsidTr="009A784E">
        <w:trPr>
          <w:trHeight w:val="227"/>
          <w:jc w:val="center"/>
        </w:trPr>
        <w:tc>
          <w:tcPr>
            <w:tcW w:w="1701" w:type="dxa"/>
            <w:tcBorders>
              <w:left w:val="nil"/>
              <w:right w:val="nil"/>
            </w:tcBorders>
            <w:shd w:val="clear" w:color="auto" w:fill="auto"/>
            <w:vAlign w:val="center"/>
          </w:tcPr>
          <w:p w:rsidR="00A806E9" w:rsidRPr="00B34186"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B34186">
              <w:rPr>
                <w:i/>
                <w:color w:val="000000"/>
                <w:sz w:val="18"/>
                <w:szCs w:val="18"/>
              </w:rPr>
              <w:t>F test</w:t>
            </w:r>
          </w:p>
        </w:tc>
        <w:tc>
          <w:tcPr>
            <w:tcW w:w="1843" w:type="dxa"/>
            <w:tcBorders>
              <w:left w:val="nil"/>
              <w:right w:val="nil"/>
            </w:tcBorders>
            <w:shd w:val="clear" w:color="auto" w:fill="auto"/>
          </w:tcPr>
          <w:p w:rsidR="00A806E9" w:rsidRPr="00B34186" w:rsidRDefault="00A806E9" w:rsidP="0009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nz</w:t>
            </w:r>
          </w:p>
        </w:tc>
        <w:tc>
          <w:tcPr>
            <w:tcW w:w="1843" w:type="dxa"/>
            <w:tcBorders>
              <w:left w:val="nil"/>
              <w:right w:val="nil"/>
            </w:tcBorders>
            <w:shd w:val="clear" w:color="auto" w:fill="auto"/>
          </w:tcPr>
          <w:p w:rsidR="00A806E9" w:rsidRPr="00B34186" w:rsidRDefault="00A806E9" w:rsidP="0009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w:t>
            </w:r>
          </w:p>
        </w:tc>
        <w:tc>
          <w:tcPr>
            <w:tcW w:w="1984" w:type="dxa"/>
            <w:tcBorders>
              <w:left w:val="nil"/>
              <w:right w:val="nil"/>
            </w:tcBorders>
            <w:shd w:val="clear" w:color="auto" w:fill="auto"/>
          </w:tcPr>
          <w:p w:rsidR="00A806E9" w:rsidRPr="00B34186" w:rsidRDefault="00A806E9" w:rsidP="0009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B34186">
              <w:rPr>
                <w:color w:val="000000"/>
                <w:sz w:val="18"/>
                <w:szCs w:val="18"/>
              </w:rPr>
              <w:t>nz</w:t>
            </w:r>
          </w:p>
        </w:tc>
      </w:tr>
    </w:tbl>
    <w:p w:rsidR="00A806E9" w:rsidRPr="009A784E" w:rsidRDefault="00A806E9" w:rsidP="00707B1A">
      <w:pPr>
        <w:spacing w:before="40"/>
        <w:jc w:val="both"/>
        <w:rPr>
          <w:sz w:val="18"/>
          <w:szCs w:val="18"/>
        </w:rPr>
      </w:pPr>
      <w:r w:rsidRPr="009A784E">
        <w:rPr>
          <w:sz w:val="18"/>
          <w:szCs w:val="18"/>
          <w:lang w:val="pl-PL"/>
        </w:rPr>
        <w:t xml:space="preserve">Podaci su prosečne vrednosti za 4 ponavljanja </w:t>
      </w:r>
      <w:r w:rsidRPr="009A784E">
        <w:rPr>
          <w:rFonts w:eastAsia="txsy"/>
          <w:color w:val="1B1C20"/>
          <w:sz w:val="18"/>
          <w:szCs w:val="18"/>
          <w:lang w:val="pl-PL"/>
        </w:rPr>
        <w:t>±</w:t>
      </w:r>
      <w:r w:rsidRPr="009A784E">
        <w:rPr>
          <w:rFonts w:ascii="txsy" w:eastAsia="txsy" w:cs="txsy"/>
          <w:color w:val="1B1C20"/>
          <w:sz w:val="18"/>
          <w:szCs w:val="18"/>
          <w:lang w:val="pl-PL"/>
        </w:rPr>
        <w:t xml:space="preserve"> </w:t>
      </w:r>
      <w:r w:rsidRPr="009A784E">
        <w:rPr>
          <w:rFonts w:eastAsia="txsy"/>
          <w:color w:val="1B1C20"/>
          <w:sz w:val="18"/>
          <w:szCs w:val="18"/>
          <w:lang w:val="pl-PL"/>
        </w:rPr>
        <w:t xml:space="preserve">standardna </w:t>
      </w:r>
      <w:r w:rsidRPr="009A784E">
        <w:rPr>
          <w:sz w:val="18"/>
          <w:szCs w:val="18"/>
          <w:lang w:val="pl-PL"/>
        </w:rPr>
        <w:t xml:space="preserve">greška. Vrednosti u koloni praćene istom slovnom oznakom nisu značajno različite </w:t>
      </w:r>
      <w:r w:rsidRPr="009A784E">
        <w:rPr>
          <w:color w:val="000000"/>
          <w:sz w:val="18"/>
          <w:szCs w:val="18"/>
          <w:lang w:val="pl-PL"/>
        </w:rPr>
        <w:t xml:space="preserve">na nivou </w:t>
      </w:r>
      <w:r w:rsidRPr="009A784E">
        <w:rPr>
          <w:i/>
          <w:color w:val="000000"/>
          <w:sz w:val="18"/>
          <w:szCs w:val="18"/>
          <w:lang w:val="pl-PL"/>
        </w:rPr>
        <w:t>P</w:t>
      </w:r>
      <w:r w:rsidRPr="009A784E">
        <w:rPr>
          <w:color w:val="000000"/>
          <w:sz w:val="18"/>
          <w:szCs w:val="18"/>
          <w:lang w:val="pl-PL"/>
        </w:rPr>
        <w:t xml:space="preserve"> ≤ 0,05 (LSD test). </w:t>
      </w:r>
      <w:r w:rsidRPr="009A784E">
        <w:rPr>
          <w:sz w:val="18"/>
          <w:szCs w:val="18"/>
          <w:lang w:val="pl-PL"/>
        </w:rPr>
        <w:t>nz=nije značajno; *=</w:t>
      </w:r>
      <w:r w:rsidRPr="009A784E">
        <w:rPr>
          <w:i/>
          <w:sz w:val="18"/>
          <w:szCs w:val="18"/>
          <w:lang w:val="pl-PL"/>
        </w:rPr>
        <w:t xml:space="preserve">P≤0,05. </w:t>
      </w:r>
      <w:r w:rsidRPr="009A784E">
        <w:rPr>
          <w:sz w:val="18"/>
          <w:szCs w:val="18"/>
        </w:rPr>
        <w:t>PGM, protivgradna mreža; OP, otvoreno polje.</w:t>
      </w:r>
    </w:p>
    <w:p w:rsidR="00A806E9" w:rsidRPr="009A784E" w:rsidRDefault="00A806E9" w:rsidP="009A784E">
      <w:pPr>
        <w:jc w:val="both"/>
        <w:rPr>
          <w:i/>
          <w:sz w:val="18"/>
          <w:szCs w:val="18"/>
        </w:rPr>
      </w:pPr>
      <w:r w:rsidRPr="009A784E">
        <w:rPr>
          <w:i/>
          <w:color w:val="000000"/>
          <w:sz w:val="18"/>
          <w:szCs w:val="18"/>
        </w:rPr>
        <w:t xml:space="preserve">Data are the means of 4 replications ± standard error. Values within a column followed by the same letter are not significantly different at P ≤ 0.05 (LSD test). *Significant at P ≤ 0.05; ns – not significant. </w:t>
      </w:r>
      <w:r w:rsidRPr="009A784E">
        <w:rPr>
          <w:i/>
          <w:sz w:val="18"/>
          <w:szCs w:val="18"/>
        </w:rPr>
        <w:t>HPN, hail protection net; OF, open field.</w:t>
      </w:r>
    </w:p>
    <w:p w:rsidR="00A806E9" w:rsidRPr="009A784E" w:rsidRDefault="00A806E9" w:rsidP="009A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color w:val="000000"/>
          <w:sz w:val="22"/>
          <w:szCs w:val="22"/>
        </w:rPr>
      </w:pPr>
    </w:p>
    <w:p w:rsidR="00382287" w:rsidRDefault="00A806E9" w:rsidP="00AF1C40">
      <w:pPr>
        <w:autoSpaceDE w:val="0"/>
        <w:autoSpaceDN w:val="0"/>
        <w:adjustRightInd w:val="0"/>
        <w:ind w:firstLine="425"/>
        <w:jc w:val="both"/>
        <w:rPr>
          <w:sz w:val="22"/>
          <w:szCs w:val="22"/>
        </w:rPr>
      </w:pPr>
      <w:r w:rsidRPr="00382287">
        <w:rPr>
          <w:sz w:val="22"/>
          <w:szCs w:val="22"/>
          <w:lang w:val="sl-SI"/>
        </w:rPr>
        <w:t>Uticaj PGM na</w:t>
      </w:r>
      <w:r w:rsidRPr="00382287">
        <w:rPr>
          <w:sz w:val="22"/>
          <w:szCs w:val="22"/>
        </w:rPr>
        <w:t xml:space="preserve"> hemijske osobine ploda borovnice sorte </w:t>
      </w:r>
      <w:r w:rsidR="00382287" w:rsidRPr="00382287">
        <w:rPr>
          <w:sz w:val="22"/>
          <w:szCs w:val="22"/>
          <w:lang w:val="en-US"/>
        </w:rPr>
        <w:t>‘</w:t>
      </w:r>
      <w:r w:rsidRPr="00382287">
        <w:rPr>
          <w:sz w:val="22"/>
          <w:szCs w:val="22"/>
        </w:rPr>
        <w:t>Bluecrop</w:t>
      </w:r>
      <w:r w:rsidR="00382287" w:rsidRPr="00382287">
        <w:rPr>
          <w:sz w:val="22"/>
          <w:szCs w:val="22"/>
        </w:rPr>
        <w:t>’</w:t>
      </w:r>
    </w:p>
    <w:p w:rsidR="00382287" w:rsidRPr="00CA68CA" w:rsidRDefault="00382287" w:rsidP="00AF1C40">
      <w:pPr>
        <w:autoSpaceDE w:val="0"/>
        <w:autoSpaceDN w:val="0"/>
        <w:adjustRightInd w:val="0"/>
        <w:ind w:firstLine="425"/>
        <w:jc w:val="both"/>
        <w:rPr>
          <w:sz w:val="12"/>
          <w:szCs w:val="12"/>
        </w:rPr>
      </w:pPr>
    </w:p>
    <w:p w:rsidR="00A806E9" w:rsidRPr="009A784E" w:rsidRDefault="00A806E9" w:rsidP="00AF1C40">
      <w:pPr>
        <w:autoSpaceDE w:val="0"/>
        <w:autoSpaceDN w:val="0"/>
        <w:adjustRightInd w:val="0"/>
        <w:ind w:firstLine="425"/>
        <w:jc w:val="both"/>
        <w:rPr>
          <w:color w:val="131413"/>
          <w:sz w:val="22"/>
          <w:szCs w:val="22"/>
        </w:rPr>
      </w:pPr>
      <w:r w:rsidRPr="009A784E">
        <w:rPr>
          <w:sz w:val="22"/>
          <w:szCs w:val="22"/>
        </w:rPr>
        <w:t>Plodovi borovnice su dobro poznati po svojim nutritivnim svojstvima i karakterišu se visokim sadržajem šećera, kiselina i fenolnih jedinjenja (</w:t>
      </w:r>
      <w:r w:rsidRPr="009A784E">
        <w:rPr>
          <w:sz w:val="22"/>
          <w:szCs w:val="22"/>
          <w:lang w:val="sl-SI"/>
        </w:rPr>
        <w:t>Milivojević et al., 2012; Kim et al., 2013).</w:t>
      </w:r>
      <w:r w:rsidRPr="009A784E">
        <w:rPr>
          <w:sz w:val="22"/>
          <w:szCs w:val="22"/>
        </w:rPr>
        <w:t xml:space="preserve"> Sadržaj rastvorljivih suvih materija u plodu sorte borovnice </w:t>
      </w:r>
      <w:r w:rsidR="00382287">
        <w:rPr>
          <w:sz w:val="22"/>
          <w:szCs w:val="22"/>
          <w:lang w:val="en-US"/>
        </w:rPr>
        <w:t>‘</w:t>
      </w:r>
      <w:r w:rsidRPr="009A784E">
        <w:rPr>
          <w:sz w:val="22"/>
          <w:szCs w:val="22"/>
        </w:rPr>
        <w:t>Bluecrop</w:t>
      </w:r>
      <w:r w:rsidR="00382287">
        <w:rPr>
          <w:sz w:val="22"/>
          <w:szCs w:val="22"/>
        </w:rPr>
        <w:t>’</w:t>
      </w:r>
      <w:r w:rsidRPr="009A784E">
        <w:rPr>
          <w:sz w:val="22"/>
          <w:szCs w:val="22"/>
        </w:rPr>
        <w:t xml:space="preserve"> bio je značajno veći pod PGM (11,6%) u odnosu na OP, pri čemu je značajno viša prosečna vrednost registrovana u 2013. godini (12,2%) (tabela 2). Prema istraživanjima koje je </w:t>
      </w:r>
      <w:r w:rsidRPr="009A784E">
        <w:rPr>
          <w:iCs/>
          <w:sz w:val="22"/>
          <w:szCs w:val="22"/>
        </w:rPr>
        <w:t xml:space="preserve">Skupień (2006) izveo u uslovima Poljske, sorta </w:t>
      </w:r>
      <w:r w:rsidR="00382287">
        <w:rPr>
          <w:sz w:val="22"/>
          <w:szCs w:val="22"/>
          <w:lang w:val="en-US"/>
        </w:rPr>
        <w:t>‘</w:t>
      </w:r>
      <w:r w:rsidR="00382287" w:rsidRPr="009A784E">
        <w:rPr>
          <w:sz w:val="22"/>
          <w:szCs w:val="22"/>
        </w:rPr>
        <w:t>Bluecrop</w:t>
      </w:r>
      <w:r w:rsidR="00382287">
        <w:rPr>
          <w:sz w:val="22"/>
          <w:szCs w:val="22"/>
        </w:rPr>
        <w:t>’</w:t>
      </w:r>
      <w:r w:rsidR="00382287" w:rsidRPr="009A784E">
        <w:rPr>
          <w:sz w:val="22"/>
          <w:szCs w:val="22"/>
        </w:rPr>
        <w:t xml:space="preserve"> </w:t>
      </w:r>
      <w:r w:rsidRPr="009A784E">
        <w:rPr>
          <w:sz w:val="22"/>
          <w:szCs w:val="22"/>
        </w:rPr>
        <w:t xml:space="preserve">je imala </w:t>
      </w:r>
      <w:r w:rsidRPr="009A784E">
        <w:rPr>
          <w:iCs/>
          <w:sz w:val="22"/>
          <w:szCs w:val="22"/>
        </w:rPr>
        <w:t xml:space="preserve">viši prosečni sadržaj rastvorljive suve materije za trogodišnji period ispitivanja (13,2%) u odnosu na naše rezultate. Analizirajući uticaj sive PGM po godinama ispitivanja, uočava se da je u 2013. godini PGM imala pozitivan uticaj na vrednost datog parametra, dok u </w:t>
      </w:r>
      <w:r w:rsidRPr="009A784E">
        <w:rPr>
          <w:sz w:val="22"/>
          <w:szCs w:val="22"/>
        </w:rPr>
        <w:t xml:space="preserve">2014. godini nisu postojale značajne razlike u sadržaju rastvorljive suve materije u plodu između PGM i OP. </w:t>
      </w:r>
      <w:r w:rsidRPr="009A784E">
        <w:rPr>
          <w:color w:val="1B1C20"/>
          <w:sz w:val="22"/>
          <w:szCs w:val="22"/>
          <w:lang w:val="en-US"/>
        </w:rPr>
        <w:t xml:space="preserve">Iglesias i Alegre (2006) navode da se sadržaj rastvorljive suve materije smanjuje pri primeni crne PGM, dok se približne vrednosti dobijaju kada se koriste kristalne mreže u poređenju sa OP. U našim istraživanjima, </w:t>
      </w:r>
      <w:r w:rsidRPr="009A784E">
        <w:rPr>
          <w:color w:val="131413"/>
          <w:sz w:val="22"/>
          <w:szCs w:val="22"/>
        </w:rPr>
        <w:t xml:space="preserve">prosečna vrednost </w:t>
      </w:r>
      <w:r w:rsidRPr="009A784E">
        <w:rPr>
          <w:color w:val="131413"/>
          <w:sz w:val="22"/>
          <w:szCs w:val="22"/>
        </w:rPr>
        <w:lastRenderedPageBreak/>
        <w:t>sadržaja ukupnih kiselina je bila značajno veća pod PGM u 2014. godini (0,57%), dok je u 2013. godini značajno veći sadržaj pronađen u plodovima ubranim na otvorenom polju (0,87%). Navedena odstupanja su više rezultat temperaturnih razlika između PGM i OP u svakoj od dve ispitivane eksperimentalne godine nego količine raspoloživog sunčevog zračenja. Temperatura i sunčeva svetlost tokom fenofaze zrenja mogu uticati i na sintezu i akumulaciju fenolnih jedinjenja u plodovima borovnice (Kim et al., 2013), zajedno sa drugim faktorima, kao što su: sorta, lokalitet, nadmorska visina i primena agro i pomotehničkih mera (</w:t>
      </w:r>
      <w:r w:rsidRPr="009A784E">
        <w:rPr>
          <w:color w:val="1B1C20"/>
          <w:sz w:val="22"/>
          <w:szCs w:val="22"/>
          <w:lang w:val="en-US"/>
        </w:rPr>
        <w:t>Mikulic Petkovsek et al., 2015)</w:t>
      </w:r>
      <w:r w:rsidRPr="009A784E">
        <w:rPr>
          <w:color w:val="131413"/>
          <w:sz w:val="22"/>
          <w:szCs w:val="22"/>
        </w:rPr>
        <w:t>.</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pl-PL"/>
        </w:rPr>
      </w:pPr>
      <w:r w:rsidRPr="00707B1A">
        <w:rPr>
          <w:color w:val="000000"/>
          <w:sz w:val="22"/>
          <w:szCs w:val="22"/>
          <w:lang w:val="pl-PL"/>
        </w:rPr>
        <w:t xml:space="preserve">Tabela 2. Uticaj mikroklime pod sivom protivgradnom mrežom na hemijske osobine ploda sorte borovnice </w:t>
      </w:r>
      <w:r w:rsidR="00382287">
        <w:rPr>
          <w:sz w:val="22"/>
          <w:szCs w:val="22"/>
          <w:lang w:val="en-US"/>
        </w:rPr>
        <w:t>‘</w:t>
      </w:r>
      <w:r w:rsidR="00382287" w:rsidRPr="009A784E">
        <w:rPr>
          <w:sz w:val="22"/>
          <w:szCs w:val="22"/>
        </w:rPr>
        <w:t>Bluecrop</w:t>
      </w:r>
      <w:r w:rsidR="00382287">
        <w:rPr>
          <w:sz w:val="22"/>
          <w:szCs w:val="22"/>
        </w:rPr>
        <w:t>’</w:t>
      </w:r>
      <w:r w:rsidRPr="00707B1A">
        <w:rPr>
          <w:sz w:val="22"/>
          <w:szCs w:val="22"/>
          <w:lang w:val="pl-PL"/>
        </w:rPr>
        <w:t>.</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color w:val="000000"/>
          <w:sz w:val="22"/>
          <w:szCs w:val="22"/>
        </w:rPr>
      </w:pPr>
      <w:r w:rsidRPr="00707B1A">
        <w:rPr>
          <w:i/>
          <w:color w:val="000000"/>
          <w:sz w:val="22"/>
          <w:szCs w:val="22"/>
        </w:rPr>
        <w:t xml:space="preserve">Table 2. The effect of microclimate under a grey hail protection net on chemical fruit traits of the </w:t>
      </w:r>
      <w:r w:rsidRPr="00707B1A">
        <w:rPr>
          <w:i/>
          <w:sz w:val="22"/>
          <w:szCs w:val="22"/>
        </w:rPr>
        <w:t xml:space="preserve">blueberry cultivar </w:t>
      </w:r>
      <w:r w:rsidRPr="00707B1A">
        <w:rPr>
          <w:i/>
          <w:sz w:val="22"/>
          <w:szCs w:val="22"/>
          <w:lang w:val="en-US"/>
        </w:rPr>
        <w:t>‘</w:t>
      </w:r>
      <w:r w:rsidRPr="00707B1A">
        <w:rPr>
          <w:i/>
          <w:sz w:val="22"/>
          <w:szCs w:val="22"/>
        </w:rPr>
        <w:t>Bluecrop’</w:t>
      </w:r>
      <w:r w:rsidRPr="00707B1A">
        <w:rPr>
          <w:sz w:val="22"/>
          <w:szCs w:val="22"/>
          <w:lang w:val="pl-PL"/>
        </w:rPr>
        <w:t>.</w:t>
      </w:r>
    </w:p>
    <w:p w:rsidR="00A806E9" w:rsidRPr="00707B1A" w:rsidRDefault="00A806E9" w:rsidP="00707B1A">
      <w:pPr>
        <w:jc w:val="both"/>
        <w:rPr>
          <w:bCs/>
          <w:sz w:val="22"/>
          <w:szCs w:val="22"/>
          <w:lang w:val="sr-Latn-CS"/>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456"/>
        <w:gridCol w:w="1238"/>
        <w:gridCol w:w="992"/>
        <w:gridCol w:w="1276"/>
        <w:gridCol w:w="1275"/>
        <w:gridCol w:w="1134"/>
      </w:tblGrid>
      <w:tr w:rsidR="00707B1A" w:rsidRPr="00707B1A" w:rsidTr="00707B1A">
        <w:trPr>
          <w:cantSplit/>
          <w:trHeight w:val="1757"/>
          <w:jc w:val="center"/>
        </w:trPr>
        <w:tc>
          <w:tcPr>
            <w:tcW w:w="1456"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Faktor</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i/>
                <w:color w:val="000000"/>
                <w:sz w:val="18"/>
                <w:szCs w:val="18"/>
              </w:rPr>
              <w:t>Factor</w:t>
            </w:r>
          </w:p>
        </w:tc>
        <w:tc>
          <w:tcPr>
            <w:tcW w:w="1238" w:type="dxa"/>
            <w:tcBorders>
              <w:left w:val="nil"/>
              <w:bottom w:val="single" w:sz="4" w:space="0" w:color="auto"/>
              <w:right w:val="nil"/>
            </w:tcBorders>
            <w:shd w:val="clear" w:color="auto" w:fill="auto"/>
            <w:textDirection w:val="btLr"/>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Rastvorljive suve materije</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i/>
                <w:color w:val="000000"/>
                <w:sz w:val="18"/>
                <w:szCs w:val="18"/>
              </w:rPr>
              <w:t>Soluble solids</w:t>
            </w:r>
            <w:r w:rsidRPr="00707B1A">
              <w:rPr>
                <w:color w:val="000000"/>
                <w:sz w:val="18"/>
                <w:szCs w:val="18"/>
              </w:rPr>
              <w:t xml:space="preserve"> (%)</w:t>
            </w:r>
          </w:p>
        </w:tc>
        <w:tc>
          <w:tcPr>
            <w:tcW w:w="992" w:type="dxa"/>
            <w:tcBorders>
              <w:left w:val="nil"/>
              <w:bottom w:val="single" w:sz="4" w:space="0" w:color="auto"/>
              <w:right w:val="nil"/>
            </w:tcBorders>
            <w:shd w:val="clear" w:color="auto" w:fill="auto"/>
            <w:textDirection w:val="btLr"/>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Ukupne kiseline</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i/>
                <w:color w:val="000000"/>
                <w:sz w:val="18"/>
                <w:szCs w:val="18"/>
              </w:rPr>
              <w:t xml:space="preserve">Total acids </w:t>
            </w:r>
            <w:r w:rsidRPr="00707B1A">
              <w:rPr>
                <w:color w:val="000000"/>
                <w:sz w:val="18"/>
                <w:szCs w:val="18"/>
              </w:rPr>
              <w:t>(%)</w:t>
            </w:r>
          </w:p>
        </w:tc>
        <w:tc>
          <w:tcPr>
            <w:tcW w:w="1276" w:type="dxa"/>
            <w:tcBorders>
              <w:left w:val="nil"/>
              <w:bottom w:val="single" w:sz="4" w:space="0" w:color="auto"/>
              <w:right w:val="nil"/>
            </w:tcBorders>
            <w:shd w:val="clear" w:color="auto" w:fill="auto"/>
            <w:textDirection w:val="btLr"/>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Ukupni antocijani</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i/>
                <w:color w:val="000000"/>
                <w:sz w:val="18"/>
                <w:szCs w:val="18"/>
              </w:rPr>
            </w:pPr>
            <w:r w:rsidRPr="00707B1A">
              <w:rPr>
                <w:i/>
                <w:color w:val="000000"/>
                <w:sz w:val="18"/>
                <w:szCs w:val="18"/>
              </w:rPr>
              <w:t xml:space="preserve">Total anthocyanins </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(mg cy-3-gluc/100 g sv.m.pl.)</w:t>
            </w:r>
          </w:p>
        </w:tc>
        <w:tc>
          <w:tcPr>
            <w:tcW w:w="1275" w:type="dxa"/>
            <w:tcBorders>
              <w:left w:val="nil"/>
              <w:bottom w:val="single" w:sz="4" w:space="0" w:color="auto"/>
              <w:right w:val="nil"/>
            </w:tcBorders>
            <w:shd w:val="clear" w:color="auto" w:fill="auto"/>
            <w:textDirection w:val="btLr"/>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Ukupni fenoli</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i/>
                <w:color w:val="000000"/>
                <w:sz w:val="18"/>
                <w:szCs w:val="18"/>
              </w:rPr>
            </w:pPr>
            <w:r w:rsidRPr="00707B1A">
              <w:rPr>
                <w:i/>
                <w:color w:val="000000"/>
                <w:sz w:val="18"/>
                <w:szCs w:val="18"/>
              </w:rPr>
              <w:t>Total phenolics</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(mg GA/g sv.m.pl.)</w:t>
            </w:r>
          </w:p>
        </w:tc>
        <w:tc>
          <w:tcPr>
            <w:tcW w:w="1134" w:type="dxa"/>
            <w:tcBorders>
              <w:left w:val="nil"/>
              <w:bottom w:val="single" w:sz="4" w:space="0" w:color="auto"/>
              <w:right w:val="nil"/>
            </w:tcBorders>
            <w:shd w:val="clear" w:color="auto" w:fill="auto"/>
            <w:textDirection w:val="btLr"/>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Antioksidativni kapacitet ploda</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i/>
                <w:color w:val="000000"/>
                <w:sz w:val="18"/>
                <w:szCs w:val="18"/>
              </w:rPr>
            </w:pPr>
            <w:r w:rsidRPr="00707B1A">
              <w:rPr>
                <w:i/>
                <w:color w:val="000000"/>
                <w:sz w:val="18"/>
                <w:szCs w:val="18"/>
              </w:rPr>
              <w:t>Antioxidant capacity</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color w:val="000000"/>
                <w:sz w:val="18"/>
                <w:szCs w:val="18"/>
              </w:rPr>
            </w:pPr>
            <w:r w:rsidRPr="00707B1A">
              <w:rPr>
                <w:color w:val="000000"/>
                <w:sz w:val="18"/>
                <w:szCs w:val="18"/>
              </w:rPr>
              <w:t>(mg asc/g sv.m.pl.)</w:t>
            </w:r>
          </w:p>
        </w:tc>
      </w:tr>
      <w:tr w:rsidR="00707B1A" w:rsidRPr="00707B1A" w:rsidTr="00707B1A">
        <w:trPr>
          <w:trHeight w:val="227"/>
          <w:jc w:val="center"/>
        </w:trPr>
        <w:tc>
          <w:tcPr>
            <w:tcW w:w="1456" w:type="dxa"/>
            <w:tcBorders>
              <w:top w:val="nil"/>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color w:val="000000"/>
                <w:sz w:val="18"/>
                <w:szCs w:val="18"/>
              </w:rPr>
              <w:t>Godina</w:t>
            </w:r>
            <w:r w:rsidRPr="00707B1A">
              <w:rPr>
                <w:i/>
                <w:color w:val="000000"/>
                <w:sz w:val="18"/>
                <w:szCs w:val="18"/>
              </w:rPr>
              <w:t>/Year</w:t>
            </w:r>
          </w:p>
        </w:tc>
        <w:tc>
          <w:tcPr>
            <w:tcW w:w="1238"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992"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6"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5"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134" w:type="dxa"/>
            <w:tcBorders>
              <w:left w:val="nil"/>
              <w:bottom w:val="nil"/>
              <w:right w:val="nil"/>
            </w:tcBorders>
            <w:shd w:val="clear" w:color="auto" w:fill="auto"/>
            <w:vAlign w:val="center"/>
          </w:tcPr>
          <w:p w:rsidR="00A806E9" w:rsidRPr="00707B1A" w:rsidRDefault="00A806E9" w:rsidP="00707B1A">
            <w:pPr>
              <w:jc w:val="center"/>
              <w:rPr>
                <w:sz w:val="18"/>
                <w:szCs w:val="18"/>
              </w:rPr>
            </w:pPr>
          </w:p>
        </w:tc>
      </w:tr>
      <w:tr w:rsidR="00707B1A" w:rsidRPr="00707B1A" w:rsidTr="00707B1A">
        <w:trPr>
          <w:trHeight w:val="227"/>
          <w:jc w:val="center"/>
        </w:trPr>
        <w:tc>
          <w:tcPr>
            <w:tcW w:w="1456" w:type="dxa"/>
            <w:tcBorders>
              <w:top w:val="nil"/>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2013</w:t>
            </w:r>
          </w:p>
        </w:tc>
        <w:tc>
          <w:tcPr>
            <w:tcW w:w="1238"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12,2±0,28a</w:t>
            </w:r>
          </w:p>
        </w:tc>
        <w:tc>
          <w:tcPr>
            <w:tcW w:w="992"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0,81±0,027a</w:t>
            </w:r>
          </w:p>
        </w:tc>
        <w:tc>
          <w:tcPr>
            <w:tcW w:w="1276"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33,4±2,49</w:t>
            </w:r>
          </w:p>
        </w:tc>
        <w:tc>
          <w:tcPr>
            <w:tcW w:w="1275"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9,13±0,13a</w:t>
            </w:r>
          </w:p>
        </w:tc>
        <w:tc>
          <w:tcPr>
            <w:tcW w:w="1134"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2,40±0,09a</w:t>
            </w:r>
          </w:p>
        </w:tc>
      </w:tr>
      <w:tr w:rsidR="00707B1A" w:rsidRPr="00707B1A" w:rsidTr="00707B1A">
        <w:trPr>
          <w:trHeight w:val="227"/>
          <w:jc w:val="center"/>
        </w:trPr>
        <w:tc>
          <w:tcPr>
            <w:tcW w:w="1456" w:type="dxa"/>
            <w:tcBorders>
              <w:top w:val="nil"/>
              <w:left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2014</w:t>
            </w:r>
          </w:p>
        </w:tc>
        <w:tc>
          <w:tcPr>
            <w:tcW w:w="1238"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10,2±0,11b</w:t>
            </w:r>
          </w:p>
        </w:tc>
        <w:tc>
          <w:tcPr>
            <w:tcW w:w="992"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0,54±0,016b</w:t>
            </w:r>
          </w:p>
        </w:tc>
        <w:tc>
          <w:tcPr>
            <w:tcW w:w="1276"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31,2±1,29</w:t>
            </w:r>
          </w:p>
        </w:tc>
        <w:tc>
          <w:tcPr>
            <w:tcW w:w="1275"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4,70±0,16b</w:t>
            </w:r>
          </w:p>
        </w:tc>
        <w:tc>
          <w:tcPr>
            <w:tcW w:w="1134"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0,96±0,01b</w:t>
            </w:r>
          </w:p>
        </w:tc>
      </w:tr>
      <w:tr w:rsidR="00707B1A" w:rsidRPr="00707B1A" w:rsidTr="00707B1A">
        <w:trPr>
          <w:trHeight w:val="227"/>
          <w:jc w:val="center"/>
        </w:trPr>
        <w:tc>
          <w:tcPr>
            <w:tcW w:w="1456" w:type="dxa"/>
            <w:tcBorders>
              <w:left w:val="nil"/>
              <w:bottom w:val="single" w:sz="4" w:space="0" w:color="auto"/>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i/>
                <w:color w:val="000000"/>
                <w:sz w:val="18"/>
                <w:szCs w:val="18"/>
              </w:rPr>
              <w:t>F test</w:t>
            </w:r>
          </w:p>
        </w:tc>
        <w:tc>
          <w:tcPr>
            <w:tcW w:w="1238"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992"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276"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nz</w:t>
            </w:r>
          </w:p>
        </w:tc>
        <w:tc>
          <w:tcPr>
            <w:tcW w:w="1275"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134" w:type="dxa"/>
            <w:tcBorders>
              <w:left w:val="nil"/>
              <w:bottom w:val="single" w:sz="4" w:space="0" w:color="auto"/>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w:t>
            </w:r>
          </w:p>
        </w:tc>
      </w:tr>
      <w:tr w:rsidR="00707B1A" w:rsidRPr="00707B1A" w:rsidTr="00707B1A">
        <w:trPr>
          <w:trHeight w:val="227"/>
          <w:jc w:val="center"/>
        </w:trPr>
        <w:tc>
          <w:tcPr>
            <w:tcW w:w="1456" w:type="dxa"/>
            <w:tcBorders>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color w:val="000000"/>
                <w:sz w:val="18"/>
                <w:szCs w:val="18"/>
              </w:rPr>
              <w:t>Tretman/</w:t>
            </w:r>
            <w:r w:rsidRPr="00707B1A">
              <w:rPr>
                <w:i/>
                <w:color w:val="000000"/>
                <w:sz w:val="18"/>
                <w:szCs w:val="18"/>
              </w:rPr>
              <w:t>Treatment</w:t>
            </w:r>
          </w:p>
        </w:tc>
        <w:tc>
          <w:tcPr>
            <w:tcW w:w="1238"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992"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6"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5"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134" w:type="dxa"/>
            <w:tcBorders>
              <w:left w:val="nil"/>
              <w:bottom w:val="nil"/>
              <w:right w:val="nil"/>
            </w:tcBorders>
            <w:shd w:val="clear" w:color="auto" w:fill="auto"/>
            <w:vAlign w:val="center"/>
          </w:tcPr>
          <w:p w:rsidR="00A806E9" w:rsidRPr="00707B1A" w:rsidRDefault="00A806E9" w:rsidP="00707B1A">
            <w:pPr>
              <w:jc w:val="center"/>
              <w:rPr>
                <w:sz w:val="18"/>
                <w:szCs w:val="18"/>
              </w:rPr>
            </w:pPr>
          </w:p>
        </w:tc>
      </w:tr>
      <w:tr w:rsidR="00707B1A" w:rsidRPr="00707B1A" w:rsidTr="00707B1A">
        <w:trPr>
          <w:trHeight w:val="227"/>
          <w:jc w:val="center"/>
        </w:trPr>
        <w:tc>
          <w:tcPr>
            <w:tcW w:w="1456" w:type="dxa"/>
            <w:tcBorders>
              <w:top w:val="nil"/>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PGM/HPN</w:t>
            </w:r>
          </w:p>
        </w:tc>
        <w:tc>
          <w:tcPr>
            <w:tcW w:w="1238"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11,6±0,54a</w:t>
            </w:r>
          </w:p>
        </w:tc>
        <w:tc>
          <w:tcPr>
            <w:tcW w:w="992"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0,66±0,040b</w:t>
            </w:r>
          </w:p>
        </w:tc>
        <w:tc>
          <w:tcPr>
            <w:tcW w:w="1276"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33,0±2,24</w:t>
            </w:r>
          </w:p>
        </w:tc>
        <w:tc>
          <w:tcPr>
            <w:tcW w:w="1275"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7,12±0,96a</w:t>
            </w:r>
          </w:p>
        </w:tc>
        <w:tc>
          <w:tcPr>
            <w:tcW w:w="1134"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1,76±0,36</w:t>
            </w:r>
          </w:p>
        </w:tc>
      </w:tr>
      <w:tr w:rsidR="00707B1A" w:rsidRPr="00707B1A" w:rsidTr="00707B1A">
        <w:trPr>
          <w:trHeight w:val="227"/>
          <w:jc w:val="center"/>
        </w:trPr>
        <w:tc>
          <w:tcPr>
            <w:tcW w:w="1456" w:type="dxa"/>
            <w:tcBorders>
              <w:top w:val="nil"/>
              <w:left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OP/OF</w:t>
            </w:r>
          </w:p>
        </w:tc>
        <w:tc>
          <w:tcPr>
            <w:tcW w:w="1238"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10,8±0,38b</w:t>
            </w:r>
          </w:p>
        </w:tc>
        <w:tc>
          <w:tcPr>
            <w:tcW w:w="992"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0,69±0,081a</w:t>
            </w:r>
          </w:p>
        </w:tc>
        <w:tc>
          <w:tcPr>
            <w:tcW w:w="1276"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31,6±1,77</w:t>
            </w:r>
          </w:p>
        </w:tc>
        <w:tc>
          <w:tcPr>
            <w:tcW w:w="1275"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6,71±1,03b</w:t>
            </w:r>
          </w:p>
        </w:tc>
        <w:tc>
          <w:tcPr>
            <w:tcW w:w="1134" w:type="dxa"/>
            <w:tcBorders>
              <w:top w:val="nil"/>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1,61±0,29</w:t>
            </w:r>
          </w:p>
        </w:tc>
      </w:tr>
      <w:tr w:rsidR="00707B1A" w:rsidRPr="00707B1A" w:rsidTr="00707B1A">
        <w:trPr>
          <w:trHeight w:val="227"/>
          <w:jc w:val="center"/>
        </w:trPr>
        <w:tc>
          <w:tcPr>
            <w:tcW w:w="1456" w:type="dxa"/>
            <w:tcBorders>
              <w:left w:val="nil"/>
              <w:bottom w:val="single" w:sz="4" w:space="0" w:color="auto"/>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i/>
                <w:color w:val="000000"/>
                <w:sz w:val="18"/>
                <w:szCs w:val="18"/>
              </w:rPr>
              <w:t>F test</w:t>
            </w:r>
          </w:p>
        </w:tc>
        <w:tc>
          <w:tcPr>
            <w:tcW w:w="1238"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992"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276"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nz</w:t>
            </w:r>
          </w:p>
        </w:tc>
        <w:tc>
          <w:tcPr>
            <w:tcW w:w="1275"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134" w:type="dxa"/>
            <w:tcBorders>
              <w:left w:val="nil"/>
              <w:bottom w:val="single" w:sz="4" w:space="0" w:color="auto"/>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nz</w:t>
            </w:r>
          </w:p>
        </w:tc>
      </w:tr>
      <w:tr w:rsidR="00707B1A" w:rsidRPr="00707B1A" w:rsidTr="00707B1A">
        <w:trPr>
          <w:trHeight w:val="227"/>
          <w:jc w:val="center"/>
        </w:trPr>
        <w:tc>
          <w:tcPr>
            <w:tcW w:w="1456" w:type="dxa"/>
            <w:tcBorders>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Godina x Tretman</w:t>
            </w:r>
          </w:p>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i/>
                <w:color w:val="000000"/>
                <w:sz w:val="18"/>
                <w:szCs w:val="18"/>
              </w:rPr>
              <w:t>Year x Treatment</w:t>
            </w:r>
          </w:p>
        </w:tc>
        <w:tc>
          <w:tcPr>
            <w:tcW w:w="1238"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992"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6"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275" w:type="dxa"/>
            <w:tcBorders>
              <w:left w:val="nil"/>
              <w:bottom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p>
        </w:tc>
        <w:tc>
          <w:tcPr>
            <w:tcW w:w="1134" w:type="dxa"/>
            <w:tcBorders>
              <w:left w:val="nil"/>
              <w:bottom w:val="nil"/>
              <w:right w:val="nil"/>
            </w:tcBorders>
            <w:shd w:val="clear" w:color="auto" w:fill="auto"/>
            <w:vAlign w:val="center"/>
          </w:tcPr>
          <w:p w:rsidR="00A806E9" w:rsidRPr="00707B1A" w:rsidRDefault="00A806E9" w:rsidP="00707B1A">
            <w:pPr>
              <w:jc w:val="center"/>
              <w:rPr>
                <w:sz w:val="18"/>
                <w:szCs w:val="18"/>
              </w:rPr>
            </w:pPr>
          </w:p>
        </w:tc>
      </w:tr>
      <w:tr w:rsidR="00707B1A" w:rsidRPr="00707B1A" w:rsidTr="00707B1A">
        <w:trPr>
          <w:trHeight w:val="227"/>
          <w:jc w:val="center"/>
        </w:trPr>
        <w:tc>
          <w:tcPr>
            <w:tcW w:w="1456" w:type="dxa"/>
            <w:tcBorders>
              <w:top w:val="nil"/>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2013 x PGM</w:t>
            </w:r>
          </w:p>
        </w:tc>
        <w:tc>
          <w:tcPr>
            <w:tcW w:w="1238"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12,8±0,03a</w:t>
            </w:r>
          </w:p>
        </w:tc>
        <w:tc>
          <w:tcPr>
            <w:tcW w:w="992"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0,75±0,007b</w:t>
            </w:r>
          </w:p>
        </w:tc>
        <w:tc>
          <w:tcPr>
            <w:tcW w:w="1276"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37,6±1,95a</w:t>
            </w:r>
          </w:p>
        </w:tc>
        <w:tc>
          <w:tcPr>
            <w:tcW w:w="1275"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9,25±0,15</w:t>
            </w:r>
          </w:p>
        </w:tc>
        <w:tc>
          <w:tcPr>
            <w:tcW w:w="1134"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2,55±0,12</w:t>
            </w:r>
          </w:p>
        </w:tc>
      </w:tr>
      <w:tr w:rsidR="00707B1A" w:rsidRPr="00707B1A" w:rsidTr="00707B1A">
        <w:trPr>
          <w:trHeight w:val="227"/>
          <w:jc w:val="center"/>
        </w:trPr>
        <w:tc>
          <w:tcPr>
            <w:tcW w:w="1456" w:type="dxa"/>
            <w:tcBorders>
              <w:top w:val="nil"/>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2013 x OP</w:t>
            </w:r>
          </w:p>
        </w:tc>
        <w:tc>
          <w:tcPr>
            <w:tcW w:w="1238"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11,6±0,20b</w:t>
            </w:r>
          </w:p>
        </w:tc>
        <w:tc>
          <w:tcPr>
            <w:tcW w:w="992"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0,87±0,003a</w:t>
            </w:r>
          </w:p>
        </w:tc>
        <w:tc>
          <w:tcPr>
            <w:tcW w:w="1276"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29,2±3,07b</w:t>
            </w:r>
          </w:p>
        </w:tc>
        <w:tc>
          <w:tcPr>
            <w:tcW w:w="1275"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9,01±0,22</w:t>
            </w:r>
          </w:p>
        </w:tc>
        <w:tc>
          <w:tcPr>
            <w:tcW w:w="1134"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2,25±0,07</w:t>
            </w:r>
          </w:p>
        </w:tc>
      </w:tr>
      <w:tr w:rsidR="00707B1A" w:rsidRPr="00707B1A" w:rsidTr="00707B1A">
        <w:trPr>
          <w:trHeight w:val="227"/>
          <w:jc w:val="center"/>
        </w:trPr>
        <w:tc>
          <w:tcPr>
            <w:tcW w:w="1456" w:type="dxa"/>
            <w:tcBorders>
              <w:top w:val="nil"/>
              <w:left w:val="nil"/>
              <w:bottom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2014 x PGM</w:t>
            </w:r>
          </w:p>
        </w:tc>
        <w:tc>
          <w:tcPr>
            <w:tcW w:w="1238"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10,4±0,11c</w:t>
            </w:r>
          </w:p>
        </w:tc>
        <w:tc>
          <w:tcPr>
            <w:tcW w:w="992"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0,57±0,007c</w:t>
            </w:r>
          </w:p>
        </w:tc>
        <w:tc>
          <w:tcPr>
            <w:tcW w:w="1276"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28,5±0,53b</w:t>
            </w:r>
          </w:p>
        </w:tc>
        <w:tc>
          <w:tcPr>
            <w:tcW w:w="1275"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4,99±0,12</w:t>
            </w:r>
          </w:p>
        </w:tc>
        <w:tc>
          <w:tcPr>
            <w:tcW w:w="1134" w:type="dxa"/>
            <w:tcBorders>
              <w:top w:val="nil"/>
              <w:left w:val="nil"/>
              <w:bottom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0,97±0,02</w:t>
            </w:r>
          </w:p>
        </w:tc>
      </w:tr>
      <w:tr w:rsidR="00707B1A" w:rsidRPr="00707B1A" w:rsidTr="00707B1A">
        <w:trPr>
          <w:trHeight w:val="227"/>
          <w:jc w:val="center"/>
        </w:trPr>
        <w:tc>
          <w:tcPr>
            <w:tcW w:w="1456" w:type="dxa"/>
            <w:tcBorders>
              <w:top w:val="nil"/>
              <w:left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sidRPr="00707B1A">
              <w:rPr>
                <w:color w:val="000000"/>
                <w:sz w:val="18"/>
                <w:szCs w:val="18"/>
              </w:rPr>
              <w:t>2014 x OP</w:t>
            </w:r>
          </w:p>
        </w:tc>
        <w:tc>
          <w:tcPr>
            <w:tcW w:w="1238"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10,0±0,09c</w:t>
            </w:r>
          </w:p>
        </w:tc>
        <w:tc>
          <w:tcPr>
            <w:tcW w:w="992"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0,51±0,018d</w:t>
            </w:r>
          </w:p>
        </w:tc>
        <w:tc>
          <w:tcPr>
            <w:tcW w:w="1276"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34,0±0,50ab</w:t>
            </w:r>
          </w:p>
        </w:tc>
        <w:tc>
          <w:tcPr>
            <w:tcW w:w="1275" w:type="dxa"/>
            <w:tcBorders>
              <w:top w:val="nil"/>
              <w:left w:val="nil"/>
              <w:right w:val="nil"/>
            </w:tcBorders>
            <w:shd w:val="clear" w:color="auto" w:fill="auto"/>
            <w:vAlign w:val="center"/>
          </w:tcPr>
          <w:p w:rsidR="00A806E9" w:rsidRPr="00707B1A" w:rsidRDefault="00A806E9" w:rsidP="00707B1A">
            <w:pPr>
              <w:jc w:val="center"/>
              <w:rPr>
                <w:sz w:val="18"/>
                <w:szCs w:val="18"/>
              </w:rPr>
            </w:pPr>
            <w:r w:rsidRPr="00707B1A">
              <w:rPr>
                <w:color w:val="000000"/>
                <w:sz w:val="18"/>
                <w:szCs w:val="18"/>
              </w:rPr>
              <w:t>4,42±0,17</w:t>
            </w:r>
          </w:p>
        </w:tc>
        <w:tc>
          <w:tcPr>
            <w:tcW w:w="1134" w:type="dxa"/>
            <w:tcBorders>
              <w:top w:val="nil"/>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0,96±0,02</w:t>
            </w:r>
          </w:p>
        </w:tc>
      </w:tr>
      <w:tr w:rsidR="00707B1A" w:rsidRPr="00707B1A" w:rsidTr="00707B1A">
        <w:trPr>
          <w:trHeight w:val="227"/>
          <w:jc w:val="center"/>
        </w:trPr>
        <w:tc>
          <w:tcPr>
            <w:tcW w:w="1456" w:type="dxa"/>
            <w:tcBorders>
              <w:left w:val="nil"/>
              <w:right w:val="nil"/>
            </w:tcBorders>
            <w:shd w:val="clear" w:color="auto" w:fill="auto"/>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sz w:val="18"/>
                <w:szCs w:val="18"/>
              </w:rPr>
            </w:pPr>
            <w:r w:rsidRPr="00707B1A">
              <w:rPr>
                <w:i/>
                <w:color w:val="000000"/>
                <w:sz w:val="18"/>
                <w:szCs w:val="18"/>
              </w:rPr>
              <w:t>F test</w:t>
            </w:r>
          </w:p>
        </w:tc>
        <w:tc>
          <w:tcPr>
            <w:tcW w:w="1238"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992"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276"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w:t>
            </w:r>
          </w:p>
        </w:tc>
        <w:tc>
          <w:tcPr>
            <w:tcW w:w="1275"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nz</w:t>
            </w:r>
          </w:p>
        </w:tc>
        <w:tc>
          <w:tcPr>
            <w:tcW w:w="1134" w:type="dxa"/>
            <w:tcBorders>
              <w:left w:val="nil"/>
              <w:right w:val="nil"/>
            </w:tcBorders>
            <w:shd w:val="clear" w:color="auto" w:fill="auto"/>
            <w:vAlign w:val="center"/>
          </w:tcPr>
          <w:p w:rsidR="00A806E9" w:rsidRPr="00707B1A" w:rsidRDefault="00A806E9" w:rsidP="00707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sidRPr="00707B1A">
              <w:rPr>
                <w:color w:val="000000"/>
                <w:sz w:val="18"/>
                <w:szCs w:val="18"/>
              </w:rPr>
              <w:t>nz</w:t>
            </w:r>
          </w:p>
        </w:tc>
      </w:tr>
    </w:tbl>
    <w:p w:rsidR="00A806E9" w:rsidRPr="00707B1A" w:rsidRDefault="00A806E9" w:rsidP="00707B1A">
      <w:pPr>
        <w:spacing w:before="40"/>
        <w:jc w:val="both"/>
        <w:rPr>
          <w:sz w:val="18"/>
          <w:szCs w:val="18"/>
        </w:rPr>
      </w:pPr>
      <w:r w:rsidRPr="00707B1A">
        <w:rPr>
          <w:sz w:val="18"/>
          <w:szCs w:val="18"/>
          <w:lang w:val="pl-PL"/>
        </w:rPr>
        <w:t xml:space="preserve">Podaci su prosečne vrednosti za 4 ponavljanja </w:t>
      </w:r>
      <w:r w:rsidRPr="00707B1A">
        <w:rPr>
          <w:rFonts w:eastAsia="txsy"/>
          <w:color w:val="1B1C20"/>
          <w:sz w:val="18"/>
          <w:szCs w:val="18"/>
          <w:lang w:val="pl-PL"/>
        </w:rPr>
        <w:t>±</w:t>
      </w:r>
      <w:r w:rsidRPr="00707B1A">
        <w:rPr>
          <w:rFonts w:ascii="txsy" w:eastAsia="txsy" w:cs="txsy"/>
          <w:color w:val="1B1C20"/>
          <w:sz w:val="18"/>
          <w:szCs w:val="18"/>
          <w:lang w:val="pl-PL"/>
        </w:rPr>
        <w:t xml:space="preserve"> </w:t>
      </w:r>
      <w:r w:rsidRPr="00707B1A">
        <w:rPr>
          <w:rFonts w:eastAsia="txsy"/>
          <w:color w:val="1B1C20"/>
          <w:sz w:val="18"/>
          <w:szCs w:val="18"/>
          <w:lang w:val="pl-PL"/>
        </w:rPr>
        <w:t xml:space="preserve">standardna </w:t>
      </w:r>
      <w:r w:rsidRPr="00707B1A">
        <w:rPr>
          <w:sz w:val="18"/>
          <w:szCs w:val="18"/>
          <w:lang w:val="pl-PL"/>
        </w:rPr>
        <w:t xml:space="preserve">greška. Vrednosti u koloni praćene istom slovnom oznakom nisu značajno različite </w:t>
      </w:r>
      <w:r w:rsidRPr="00707B1A">
        <w:rPr>
          <w:color w:val="000000"/>
          <w:sz w:val="18"/>
          <w:szCs w:val="18"/>
          <w:lang w:val="pl-PL"/>
        </w:rPr>
        <w:t xml:space="preserve">na nivou </w:t>
      </w:r>
      <w:r w:rsidRPr="00707B1A">
        <w:rPr>
          <w:i/>
          <w:color w:val="000000"/>
          <w:sz w:val="18"/>
          <w:szCs w:val="18"/>
          <w:lang w:val="pl-PL"/>
        </w:rPr>
        <w:t>P</w:t>
      </w:r>
      <w:r w:rsidRPr="00707B1A">
        <w:rPr>
          <w:color w:val="000000"/>
          <w:sz w:val="18"/>
          <w:szCs w:val="18"/>
          <w:lang w:val="pl-PL"/>
        </w:rPr>
        <w:t xml:space="preserve"> ≤ 0,05 (LSD test). </w:t>
      </w:r>
      <w:r w:rsidRPr="00707B1A">
        <w:rPr>
          <w:sz w:val="18"/>
          <w:szCs w:val="18"/>
          <w:lang w:val="pl-PL"/>
        </w:rPr>
        <w:t>nz=nije značajno; *=</w:t>
      </w:r>
      <w:r w:rsidRPr="00707B1A">
        <w:rPr>
          <w:i/>
          <w:sz w:val="18"/>
          <w:szCs w:val="18"/>
          <w:lang w:val="pl-PL"/>
        </w:rPr>
        <w:t xml:space="preserve">P≤0,05. </w:t>
      </w:r>
      <w:r w:rsidRPr="00707B1A">
        <w:rPr>
          <w:sz w:val="18"/>
          <w:szCs w:val="18"/>
        </w:rPr>
        <w:t>PGM, protivgradna mreža; OP, otvoreno polje.</w:t>
      </w:r>
    </w:p>
    <w:p w:rsidR="00A806E9" w:rsidRPr="00707B1A" w:rsidRDefault="00A806E9" w:rsidP="00707B1A">
      <w:pPr>
        <w:spacing w:before="40"/>
        <w:jc w:val="both"/>
        <w:rPr>
          <w:i/>
          <w:sz w:val="18"/>
          <w:szCs w:val="18"/>
        </w:rPr>
      </w:pPr>
      <w:r w:rsidRPr="00707B1A">
        <w:rPr>
          <w:i/>
          <w:color w:val="000000"/>
          <w:sz w:val="18"/>
          <w:szCs w:val="18"/>
        </w:rPr>
        <w:t xml:space="preserve">Data are the means of 4 replications ± standard error. Values within a column followed by the same letter are not significantly different at P ≤ 0.05 (LSD test). ns – not significant. </w:t>
      </w:r>
      <w:r w:rsidRPr="00707B1A">
        <w:rPr>
          <w:i/>
          <w:sz w:val="18"/>
          <w:szCs w:val="18"/>
        </w:rPr>
        <w:t>HPN, hail protection net; OF, open field.</w:t>
      </w:r>
    </w:p>
    <w:p w:rsidR="00A806E9" w:rsidRPr="00707B1A" w:rsidRDefault="00A806E9" w:rsidP="00707B1A">
      <w:pPr>
        <w:autoSpaceDE w:val="0"/>
        <w:autoSpaceDN w:val="0"/>
        <w:adjustRightInd w:val="0"/>
        <w:ind w:firstLine="426"/>
        <w:jc w:val="both"/>
        <w:rPr>
          <w:color w:val="131413"/>
          <w:sz w:val="22"/>
          <w:szCs w:val="22"/>
        </w:rPr>
      </w:pPr>
      <w:r w:rsidRPr="00707B1A">
        <w:rPr>
          <w:color w:val="131413"/>
          <w:sz w:val="22"/>
          <w:szCs w:val="22"/>
        </w:rPr>
        <w:lastRenderedPageBreak/>
        <w:t xml:space="preserve">Uticaj sive PGM i godine kao faktora posmatrano pojedinačno nije bio značajan na sadržaj ukupnih antocijana u plodu ispitivane sorte, međutim sagledavajući interakcijske efekte uočava se značajno povećanje sadržaja ukupnih antocijana pod PGM u 2013. godini. Prosečni sadržaj ukupnih fenola je takođe bio dva puta veći u 2013. godini (9,13 </w:t>
      </w:r>
      <w:r w:rsidRPr="00707B1A">
        <w:rPr>
          <w:color w:val="000000"/>
          <w:sz w:val="22"/>
          <w:szCs w:val="22"/>
        </w:rPr>
        <w:t xml:space="preserve">mg GA/g sv.m.pl.), pri čemu je dobijena vrednost tri puta veća u odnosu na vrednost koju za sortu </w:t>
      </w:r>
      <w:r w:rsidR="00382287">
        <w:rPr>
          <w:sz w:val="22"/>
          <w:szCs w:val="22"/>
          <w:lang w:val="en-US"/>
        </w:rPr>
        <w:t>‘</w:t>
      </w:r>
      <w:r w:rsidR="00382287" w:rsidRPr="009A784E">
        <w:rPr>
          <w:sz w:val="22"/>
          <w:szCs w:val="22"/>
        </w:rPr>
        <w:t>Bluecrop</w:t>
      </w:r>
      <w:r w:rsidR="00382287">
        <w:rPr>
          <w:sz w:val="22"/>
          <w:szCs w:val="22"/>
        </w:rPr>
        <w:t>’</w:t>
      </w:r>
      <w:r w:rsidRPr="00707B1A">
        <w:rPr>
          <w:sz w:val="22"/>
          <w:szCs w:val="22"/>
        </w:rPr>
        <w:t xml:space="preserve"> </w:t>
      </w:r>
      <w:r w:rsidRPr="00707B1A">
        <w:rPr>
          <w:color w:val="000000"/>
          <w:sz w:val="22"/>
          <w:szCs w:val="22"/>
        </w:rPr>
        <w:t xml:space="preserve">navodi </w:t>
      </w:r>
      <w:r w:rsidRPr="00707B1A">
        <w:rPr>
          <w:iCs/>
          <w:sz w:val="22"/>
          <w:szCs w:val="22"/>
        </w:rPr>
        <w:t>Skupień (2006).</w:t>
      </w:r>
      <w:r w:rsidRPr="00707B1A">
        <w:rPr>
          <w:color w:val="000000"/>
          <w:sz w:val="22"/>
          <w:szCs w:val="22"/>
        </w:rPr>
        <w:t xml:space="preserve"> </w:t>
      </w:r>
      <w:r w:rsidRPr="00707B1A">
        <w:rPr>
          <w:sz w:val="22"/>
          <w:szCs w:val="22"/>
        </w:rPr>
        <w:t>PGM</w:t>
      </w:r>
      <w:r w:rsidRPr="00707B1A">
        <w:rPr>
          <w:color w:val="131413"/>
          <w:sz w:val="22"/>
          <w:szCs w:val="22"/>
        </w:rPr>
        <w:t xml:space="preserve"> je ispoljila pozitivan efekat na sadržaj ukupnih fenola (7,12 </w:t>
      </w:r>
      <w:r w:rsidRPr="00707B1A">
        <w:rPr>
          <w:color w:val="000000"/>
          <w:sz w:val="22"/>
          <w:szCs w:val="22"/>
        </w:rPr>
        <w:t>mg GA/g sv.m.pl.), ukazujući na povoljan uticaj mikroklimatskih uslova na sintezu i drugih fenolnih jedinjenja, pored antocijana</w:t>
      </w:r>
      <w:r w:rsidRPr="00707B1A">
        <w:rPr>
          <w:color w:val="131413"/>
          <w:sz w:val="22"/>
          <w:szCs w:val="22"/>
        </w:rPr>
        <w:t>. Slično sadržaju ukupnih fenola, ukupni antioksidativni kapacitet ploda je bio za 2,5 puta veći u 2013. godini, bez značajnog uticaj</w:t>
      </w:r>
      <w:r w:rsidR="00CA68CA">
        <w:rPr>
          <w:color w:val="131413"/>
          <w:sz w:val="22"/>
          <w:szCs w:val="22"/>
        </w:rPr>
        <w:t>a PGM u obe ispitivane godine.</w:t>
      </w:r>
    </w:p>
    <w:p w:rsidR="00A806E9" w:rsidRPr="00707B1A" w:rsidRDefault="00A806E9" w:rsidP="00C7265C">
      <w:pPr>
        <w:jc w:val="center"/>
        <w:rPr>
          <w:bCs/>
          <w:sz w:val="22"/>
          <w:szCs w:val="22"/>
          <w:lang w:val="sr-Latn-CS"/>
        </w:rPr>
      </w:pPr>
    </w:p>
    <w:p w:rsidR="00C7265C" w:rsidRPr="009172DE" w:rsidRDefault="00C7265C" w:rsidP="00C7265C">
      <w:pPr>
        <w:jc w:val="center"/>
        <w:rPr>
          <w:b/>
          <w:bCs/>
          <w:sz w:val="22"/>
          <w:szCs w:val="22"/>
          <w:lang w:val="sr-Latn-CS"/>
        </w:rPr>
      </w:pPr>
      <w:r w:rsidRPr="009172DE">
        <w:rPr>
          <w:b/>
          <w:bCs/>
          <w:sz w:val="22"/>
          <w:szCs w:val="22"/>
          <w:lang w:val="sr-Latn-CS"/>
        </w:rPr>
        <w:t>Zaključak</w:t>
      </w:r>
    </w:p>
    <w:p w:rsidR="00C7265C" w:rsidRPr="009172DE" w:rsidRDefault="00C7265C" w:rsidP="00C7265C">
      <w:pPr>
        <w:jc w:val="center"/>
        <w:rPr>
          <w:sz w:val="22"/>
          <w:szCs w:val="22"/>
          <w:lang w:val="sr-Latn-CS"/>
        </w:rPr>
      </w:pPr>
    </w:p>
    <w:p w:rsidR="00A806E9" w:rsidRPr="00707B1A" w:rsidRDefault="00A806E9" w:rsidP="00707B1A">
      <w:pPr>
        <w:autoSpaceDE w:val="0"/>
        <w:autoSpaceDN w:val="0"/>
        <w:adjustRightInd w:val="0"/>
        <w:ind w:firstLine="426"/>
        <w:jc w:val="both"/>
        <w:rPr>
          <w:sz w:val="22"/>
          <w:szCs w:val="22"/>
          <w:lang w:val="sr-Latn-CS"/>
        </w:rPr>
      </w:pPr>
      <w:r w:rsidRPr="007C0222">
        <w:rPr>
          <w:sz w:val="22"/>
          <w:szCs w:val="22"/>
          <w:lang w:val="sr-Latn-CS"/>
        </w:rPr>
        <w:t>Sveobuhvatno</w:t>
      </w:r>
      <w:r w:rsidRPr="00707B1A">
        <w:rPr>
          <w:sz w:val="22"/>
          <w:szCs w:val="22"/>
          <w:lang w:val="sr-Latn-CS"/>
        </w:rPr>
        <w:t xml:space="preserve"> </w:t>
      </w:r>
      <w:r w:rsidRPr="007C0222">
        <w:rPr>
          <w:sz w:val="22"/>
          <w:szCs w:val="22"/>
          <w:lang w:val="sr-Latn-CS"/>
        </w:rPr>
        <w:t>ispitivanje</w:t>
      </w:r>
      <w:r w:rsidRPr="00707B1A">
        <w:rPr>
          <w:sz w:val="22"/>
          <w:szCs w:val="22"/>
          <w:lang w:val="sr-Latn-CS"/>
        </w:rPr>
        <w:t xml:space="preserve"> </w:t>
      </w:r>
      <w:r w:rsidRPr="007C0222">
        <w:rPr>
          <w:sz w:val="22"/>
          <w:szCs w:val="22"/>
          <w:lang w:val="sr-Latn-CS"/>
        </w:rPr>
        <w:t>uticaja</w:t>
      </w:r>
      <w:r w:rsidRPr="00707B1A">
        <w:rPr>
          <w:sz w:val="22"/>
          <w:szCs w:val="22"/>
          <w:lang w:val="sr-Latn-CS"/>
        </w:rPr>
        <w:t xml:space="preserve"> </w:t>
      </w:r>
      <w:r w:rsidRPr="007C0222">
        <w:rPr>
          <w:sz w:val="22"/>
          <w:szCs w:val="22"/>
          <w:lang w:val="sr-Latn-CS"/>
        </w:rPr>
        <w:t>modifikovane</w:t>
      </w:r>
      <w:r w:rsidRPr="00707B1A">
        <w:rPr>
          <w:sz w:val="22"/>
          <w:szCs w:val="22"/>
          <w:lang w:val="sr-Latn-CS"/>
        </w:rPr>
        <w:t xml:space="preserve"> </w:t>
      </w:r>
      <w:r w:rsidRPr="007C0222">
        <w:rPr>
          <w:sz w:val="22"/>
          <w:szCs w:val="22"/>
          <w:lang w:val="sr-Latn-CS"/>
        </w:rPr>
        <w:t>mikroklime</w:t>
      </w:r>
      <w:r w:rsidRPr="00707B1A">
        <w:rPr>
          <w:sz w:val="22"/>
          <w:szCs w:val="22"/>
          <w:lang w:val="sr-Latn-CS"/>
        </w:rPr>
        <w:t xml:space="preserve"> </w:t>
      </w:r>
      <w:r w:rsidRPr="007C0222">
        <w:rPr>
          <w:sz w:val="22"/>
          <w:szCs w:val="22"/>
          <w:lang w:val="sr-Latn-CS"/>
        </w:rPr>
        <w:t>pod</w:t>
      </w:r>
      <w:r w:rsidRPr="00707B1A">
        <w:rPr>
          <w:sz w:val="22"/>
          <w:szCs w:val="22"/>
          <w:lang w:val="sr-Latn-CS"/>
        </w:rPr>
        <w:t xml:space="preserve"> </w:t>
      </w:r>
      <w:r w:rsidRPr="007C0222">
        <w:rPr>
          <w:sz w:val="22"/>
          <w:szCs w:val="22"/>
          <w:lang w:val="sr-Latn-CS"/>
        </w:rPr>
        <w:t>sivom</w:t>
      </w:r>
      <w:r w:rsidRPr="00707B1A">
        <w:rPr>
          <w:sz w:val="22"/>
          <w:szCs w:val="22"/>
          <w:lang w:val="sr-Latn-CS"/>
        </w:rPr>
        <w:t xml:space="preserve"> </w:t>
      </w:r>
      <w:r w:rsidRPr="007C0222">
        <w:rPr>
          <w:sz w:val="22"/>
          <w:szCs w:val="22"/>
          <w:lang w:val="sr-Latn-CS"/>
        </w:rPr>
        <w:t>protivgradnom</w:t>
      </w:r>
      <w:r w:rsidRPr="00707B1A">
        <w:rPr>
          <w:sz w:val="22"/>
          <w:szCs w:val="22"/>
          <w:lang w:val="sr-Latn-CS"/>
        </w:rPr>
        <w:t xml:space="preserve"> </w:t>
      </w:r>
      <w:r w:rsidRPr="007C0222">
        <w:rPr>
          <w:sz w:val="22"/>
          <w:szCs w:val="22"/>
          <w:lang w:val="sr-Latn-CS"/>
        </w:rPr>
        <w:t>mre</w:t>
      </w:r>
      <w:r w:rsidRPr="00707B1A">
        <w:rPr>
          <w:sz w:val="22"/>
          <w:szCs w:val="22"/>
          <w:lang w:val="sr-Latn-CS"/>
        </w:rPr>
        <w:t>ž</w:t>
      </w:r>
      <w:r w:rsidRPr="007C0222">
        <w:rPr>
          <w:sz w:val="22"/>
          <w:szCs w:val="22"/>
          <w:lang w:val="sr-Latn-CS"/>
        </w:rPr>
        <w:t>om</w:t>
      </w:r>
      <w:r w:rsidRPr="00707B1A">
        <w:rPr>
          <w:sz w:val="22"/>
          <w:szCs w:val="22"/>
          <w:lang w:val="sr-Latn-CS"/>
        </w:rPr>
        <w:t xml:space="preserve"> </w:t>
      </w:r>
      <w:r w:rsidRPr="007C0222">
        <w:rPr>
          <w:sz w:val="22"/>
          <w:szCs w:val="22"/>
          <w:lang w:val="sr-Latn-CS"/>
        </w:rPr>
        <w:t>na</w:t>
      </w:r>
      <w:r w:rsidRPr="00707B1A">
        <w:rPr>
          <w:sz w:val="22"/>
          <w:szCs w:val="22"/>
          <w:lang w:val="sr-Latn-CS"/>
        </w:rPr>
        <w:t xml:space="preserve"> </w:t>
      </w:r>
      <w:r w:rsidRPr="007C0222">
        <w:rPr>
          <w:sz w:val="22"/>
          <w:szCs w:val="22"/>
          <w:lang w:val="sr-Latn-CS"/>
        </w:rPr>
        <w:t>kvalitet</w:t>
      </w:r>
      <w:r w:rsidRPr="00707B1A">
        <w:rPr>
          <w:sz w:val="22"/>
          <w:szCs w:val="22"/>
          <w:lang w:val="sr-Latn-CS"/>
        </w:rPr>
        <w:t xml:space="preserve"> </w:t>
      </w:r>
      <w:r w:rsidRPr="007C0222">
        <w:rPr>
          <w:sz w:val="22"/>
          <w:szCs w:val="22"/>
          <w:lang w:val="sr-Latn-CS"/>
        </w:rPr>
        <w:t>ploda</w:t>
      </w:r>
      <w:r w:rsidRPr="00707B1A">
        <w:rPr>
          <w:sz w:val="22"/>
          <w:szCs w:val="22"/>
          <w:lang w:val="sr-Latn-CS"/>
        </w:rPr>
        <w:t xml:space="preserve"> </w:t>
      </w:r>
      <w:r w:rsidRPr="007C0222">
        <w:rPr>
          <w:sz w:val="22"/>
          <w:szCs w:val="22"/>
          <w:lang w:val="sr-Latn-CS"/>
        </w:rPr>
        <w:t>sorte</w:t>
      </w:r>
      <w:r w:rsidRPr="00707B1A">
        <w:rPr>
          <w:sz w:val="22"/>
          <w:szCs w:val="22"/>
          <w:lang w:val="sr-Latn-CS"/>
        </w:rPr>
        <w:t xml:space="preserve"> </w:t>
      </w:r>
      <w:r w:rsidRPr="007C0222">
        <w:rPr>
          <w:sz w:val="22"/>
          <w:szCs w:val="22"/>
          <w:lang w:val="sr-Latn-CS"/>
        </w:rPr>
        <w:t>borovnice</w:t>
      </w:r>
      <w:r w:rsidRPr="00707B1A">
        <w:rPr>
          <w:sz w:val="22"/>
          <w:szCs w:val="22"/>
          <w:lang w:val="sr-Latn-CS"/>
        </w:rPr>
        <w:t xml:space="preserve"> </w:t>
      </w:r>
      <w:r w:rsidR="00382287" w:rsidRPr="007C0222">
        <w:rPr>
          <w:sz w:val="22"/>
          <w:szCs w:val="22"/>
          <w:lang w:val="sr-Latn-CS"/>
        </w:rPr>
        <w:t>‘Bluecrop’</w:t>
      </w:r>
      <w:r w:rsidRPr="007C0222">
        <w:rPr>
          <w:sz w:val="22"/>
          <w:szCs w:val="22"/>
          <w:lang w:val="sr-Latn-CS"/>
        </w:rPr>
        <w:t xml:space="preserve"> pokazalo</w:t>
      </w:r>
      <w:r w:rsidRPr="00707B1A">
        <w:rPr>
          <w:sz w:val="22"/>
          <w:szCs w:val="22"/>
          <w:lang w:val="sr-Latn-CS"/>
        </w:rPr>
        <w:t xml:space="preserve"> je </w:t>
      </w:r>
      <w:r w:rsidRPr="007C0222">
        <w:rPr>
          <w:sz w:val="22"/>
          <w:szCs w:val="22"/>
          <w:lang w:val="sr-Latn-CS"/>
        </w:rPr>
        <w:t>da</w:t>
      </w:r>
      <w:r w:rsidRPr="00707B1A">
        <w:rPr>
          <w:sz w:val="22"/>
          <w:szCs w:val="22"/>
          <w:lang w:val="sr-Latn-CS"/>
        </w:rPr>
        <w:t xml:space="preserve"> </w:t>
      </w:r>
      <w:r w:rsidRPr="007C0222">
        <w:rPr>
          <w:sz w:val="22"/>
          <w:szCs w:val="22"/>
          <w:lang w:val="sr-Latn-CS"/>
        </w:rPr>
        <w:t>primena</w:t>
      </w:r>
      <w:r w:rsidRPr="00707B1A">
        <w:rPr>
          <w:sz w:val="22"/>
          <w:szCs w:val="22"/>
          <w:lang w:val="sr-Latn-CS"/>
        </w:rPr>
        <w:t xml:space="preserve"> </w:t>
      </w:r>
      <w:r w:rsidRPr="007C0222">
        <w:rPr>
          <w:sz w:val="22"/>
          <w:szCs w:val="22"/>
          <w:lang w:val="sr-Latn-CS"/>
        </w:rPr>
        <w:t>mre</w:t>
      </w:r>
      <w:r w:rsidRPr="00707B1A">
        <w:rPr>
          <w:sz w:val="22"/>
          <w:szCs w:val="22"/>
          <w:lang w:val="sr-Latn-CS"/>
        </w:rPr>
        <w:t>ž</w:t>
      </w:r>
      <w:r w:rsidRPr="007C0222">
        <w:rPr>
          <w:sz w:val="22"/>
          <w:szCs w:val="22"/>
          <w:lang w:val="sr-Latn-CS"/>
        </w:rPr>
        <w:t>e</w:t>
      </w:r>
      <w:r w:rsidRPr="00707B1A">
        <w:rPr>
          <w:sz w:val="22"/>
          <w:szCs w:val="22"/>
          <w:lang w:val="sr-Latn-CS"/>
        </w:rPr>
        <w:t xml:space="preserve"> </w:t>
      </w:r>
      <w:r w:rsidRPr="007C0222">
        <w:rPr>
          <w:sz w:val="22"/>
          <w:szCs w:val="22"/>
          <w:lang w:val="sr-Latn-CS"/>
        </w:rPr>
        <w:t>uti</w:t>
      </w:r>
      <w:r w:rsidRPr="00707B1A">
        <w:rPr>
          <w:sz w:val="22"/>
          <w:szCs w:val="22"/>
          <w:lang w:val="sr-Latn-CS"/>
        </w:rPr>
        <w:t>č</w:t>
      </w:r>
      <w:r w:rsidRPr="007C0222">
        <w:rPr>
          <w:sz w:val="22"/>
          <w:szCs w:val="22"/>
          <w:lang w:val="sr-Latn-CS"/>
        </w:rPr>
        <w:t>e</w:t>
      </w:r>
      <w:r w:rsidRPr="00707B1A">
        <w:rPr>
          <w:sz w:val="22"/>
          <w:szCs w:val="22"/>
          <w:lang w:val="sr-Latn-CS"/>
        </w:rPr>
        <w:t xml:space="preserve"> </w:t>
      </w:r>
      <w:r w:rsidRPr="007C0222">
        <w:rPr>
          <w:sz w:val="22"/>
          <w:szCs w:val="22"/>
          <w:lang w:val="sr-Latn-CS"/>
        </w:rPr>
        <w:t>pozitivno</w:t>
      </w:r>
      <w:r w:rsidRPr="00707B1A">
        <w:rPr>
          <w:sz w:val="22"/>
          <w:szCs w:val="22"/>
          <w:lang w:val="sr-Latn-CS"/>
        </w:rPr>
        <w:t xml:space="preserve"> </w:t>
      </w:r>
      <w:r w:rsidRPr="007C0222">
        <w:rPr>
          <w:sz w:val="22"/>
          <w:szCs w:val="22"/>
          <w:lang w:val="sr-Latn-CS"/>
        </w:rPr>
        <w:t>na</w:t>
      </w:r>
      <w:r w:rsidRPr="00707B1A">
        <w:rPr>
          <w:sz w:val="22"/>
          <w:szCs w:val="22"/>
          <w:lang w:val="sr-Latn-CS"/>
        </w:rPr>
        <w:t xml:space="preserve"> </w:t>
      </w:r>
      <w:r w:rsidRPr="007C0222">
        <w:rPr>
          <w:sz w:val="22"/>
          <w:szCs w:val="22"/>
          <w:lang w:val="sr-Latn-CS"/>
        </w:rPr>
        <w:t>ve</w:t>
      </w:r>
      <w:r w:rsidRPr="00707B1A">
        <w:rPr>
          <w:sz w:val="22"/>
          <w:szCs w:val="22"/>
          <w:lang w:val="sr-Latn-CS"/>
        </w:rPr>
        <w:t>ć</w:t>
      </w:r>
      <w:r w:rsidRPr="007C0222">
        <w:rPr>
          <w:sz w:val="22"/>
          <w:szCs w:val="22"/>
          <w:lang w:val="sr-Latn-CS"/>
        </w:rPr>
        <w:t>inu</w:t>
      </w:r>
      <w:r w:rsidRPr="00707B1A">
        <w:rPr>
          <w:sz w:val="22"/>
          <w:szCs w:val="22"/>
          <w:lang w:val="sr-Latn-CS"/>
        </w:rPr>
        <w:t xml:space="preserve"> </w:t>
      </w:r>
      <w:r w:rsidRPr="007C0222">
        <w:rPr>
          <w:sz w:val="22"/>
          <w:szCs w:val="22"/>
          <w:lang w:val="sr-Latn-CS"/>
        </w:rPr>
        <w:t>ispitivanih</w:t>
      </w:r>
      <w:r w:rsidRPr="00707B1A">
        <w:rPr>
          <w:sz w:val="22"/>
          <w:szCs w:val="22"/>
          <w:lang w:val="sr-Latn-CS"/>
        </w:rPr>
        <w:t xml:space="preserve"> </w:t>
      </w:r>
      <w:r w:rsidRPr="007C0222">
        <w:rPr>
          <w:sz w:val="22"/>
          <w:szCs w:val="22"/>
          <w:lang w:val="sr-Latn-CS"/>
        </w:rPr>
        <w:t>fizi</w:t>
      </w:r>
      <w:r w:rsidRPr="00707B1A">
        <w:rPr>
          <w:sz w:val="22"/>
          <w:szCs w:val="22"/>
          <w:lang w:val="sr-Latn-CS"/>
        </w:rPr>
        <w:t>č</w:t>
      </w:r>
      <w:r w:rsidRPr="007C0222">
        <w:rPr>
          <w:sz w:val="22"/>
          <w:szCs w:val="22"/>
          <w:lang w:val="sr-Latn-CS"/>
        </w:rPr>
        <w:t>kih</w:t>
      </w:r>
      <w:r w:rsidRPr="00707B1A">
        <w:rPr>
          <w:sz w:val="22"/>
          <w:szCs w:val="22"/>
          <w:lang w:val="sr-Latn-CS"/>
        </w:rPr>
        <w:t xml:space="preserve"> </w:t>
      </w:r>
      <w:r w:rsidRPr="007C0222">
        <w:rPr>
          <w:sz w:val="22"/>
          <w:szCs w:val="22"/>
          <w:lang w:val="sr-Latn-CS"/>
        </w:rPr>
        <w:t>i</w:t>
      </w:r>
      <w:r w:rsidRPr="00707B1A">
        <w:rPr>
          <w:sz w:val="22"/>
          <w:szCs w:val="22"/>
          <w:lang w:val="sr-Latn-CS"/>
        </w:rPr>
        <w:t xml:space="preserve"> </w:t>
      </w:r>
      <w:r w:rsidRPr="007C0222">
        <w:rPr>
          <w:sz w:val="22"/>
          <w:szCs w:val="22"/>
          <w:lang w:val="sr-Latn-CS"/>
        </w:rPr>
        <w:t>hemijskih</w:t>
      </w:r>
      <w:r w:rsidRPr="00707B1A">
        <w:rPr>
          <w:sz w:val="22"/>
          <w:szCs w:val="22"/>
          <w:lang w:val="sr-Latn-CS"/>
        </w:rPr>
        <w:t xml:space="preserve"> </w:t>
      </w:r>
      <w:r w:rsidRPr="007C0222">
        <w:rPr>
          <w:sz w:val="22"/>
          <w:szCs w:val="22"/>
          <w:lang w:val="sr-Latn-CS"/>
        </w:rPr>
        <w:t>osobina</w:t>
      </w:r>
      <w:r w:rsidRPr="00707B1A">
        <w:rPr>
          <w:sz w:val="22"/>
          <w:szCs w:val="22"/>
          <w:lang w:val="sr-Latn-CS"/>
        </w:rPr>
        <w:t xml:space="preserve"> </w:t>
      </w:r>
      <w:r w:rsidRPr="007C0222">
        <w:rPr>
          <w:sz w:val="22"/>
          <w:szCs w:val="22"/>
          <w:lang w:val="sr-Latn-CS"/>
        </w:rPr>
        <w:t>ploda</w:t>
      </w:r>
      <w:r w:rsidRPr="00707B1A">
        <w:rPr>
          <w:sz w:val="22"/>
          <w:szCs w:val="22"/>
          <w:lang w:val="sr-Latn-CS"/>
        </w:rPr>
        <w:t xml:space="preserve">, </w:t>
      </w:r>
      <w:r w:rsidRPr="007C0222">
        <w:rPr>
          <w:sz w:val="22"/>
          <w:szCs w:val="22"/>
          <w:lang w:val="sr-Latn-CS"/>
        </w:rPr>
        <w:t>uklju</w:t>
      </w:r>
      <w:r w:rsidRPr="00707B1A">
        <w:rPr>
          <w:sz w:val="22"/>
          <w:szCs w:val="22"/>
          <w:lang w:val="sr-Latn-CS"/>
        </w:rPr>
        <w:t>č</w:t>
      </w:r>
      <w:r w:rsidRPr="007C0222">
        <w:rPr>
          <w:sz w:val="22"/>
          <w:szCs w:val="22"/>
          <w:lang w:val="sr-Latn-CS"/>
        </w:rPr>
        <w:t>uju</w:t>
      </w:r>
      <w:r w:rsidRPr="00707B1A">
        <w:rPr>
          <w:sz w:val="22"/>
          <w:szCs w:val="22"/>
          <w:lang w:val="sr-Latn-CS"/>
        </w:rPr>
        <w:t>ć</w:t>
      </w:r>
      <w:r w:rsidRPr="007C0222">
        <w:rPr>
          <w:sz w:val="22"/>
          <w:szCs w:val="22"/>
          <w:lang w:val="sr-Latn-CS"/>
        </w:rPr>
        <w:t>i</w:t>
      </w:r>
      <w:r w:rsidRPr="00707B1A">
        <w:rPr>
          <w:sz w:val="22"/>
          <w:szCs w:val="22"/>
          <w:lang w:val="sr-Latn-CS"/>
        </w:rPr>
        <w:t xml:space="preserve"> </w:t>
      </w:r>
      <w:r w:rsidRPr="007C0222">
        <w:rPr>
          <w:sz w:val="22"/>
          <w:szCs w:val="22"/>
          <w:lang w:val="sr-Latn-CS"/>
        </w:rPr>
        <w:t>masu</w:t>
      </w:r>
      <w:r w:rsidRPr="00707B1A">
        <w:rPr>
          <w:sz w:val="22"/>
          <w:szCs w:val="22"/>
          <w:lang w:val="sr-Latn-CS"/>
        </w:rPr>
        <w:t xml:space="preserve"> </w:t>
      </w:r>
      <w:r w:rsidRPr="007C0222">
        <w:rPr>
          <w:sz w:val="22"/>
          <w:szCs w:val="22"/>
          <w:lang w:val="sr-Latn-CS"/>
        </w:rPr>
        <w:t>ploda</w:t>
      </w:r>
      <w:r w:rsidRPr="00707B1A">
        <w:rPr>
          <w:sz w:val="22"/>
          <w:szCs w:val="22"/>
          <w:lang w:val="sr-Latn-CS"/>
        </w:rPr>
        <w:t xml:space="preserve">, </w:t>
      </w:r>
      <w:r w:rsidRPr="007C0222">
        <w:rPr>
          <w:sz w:val="22"/>
          <w:szCs w:val="22"/>
          <w:lang w:val="sr-Latn-CS"/>
        </w:rPr>
        <w:t>sadr</w:t>
      </w:r>
      <w:r w:rsidRPr="00707B1A">
        <w:rPr>
          <w:sz w:val="22"/>
          <w:szCs w:val="22"/>
          <w:lang w:val="sr-Latn-CS"/>
        </w:rPr>
        <w:t>ž</w:t>
      </w:r>
      <w:r w:rsidRPr="007C0222">
        <w:rPr>
          <w:sz w:val="22"/>
          <w:szCs w:val="22"/>
          <w:lang w:val="sr-Latn-CS"/>
        </w:rPr>
        <w:t>aj</w:t>
      </w:r>
      <w:r w:rsidRPr="00707B1A">
        <w:rPr>
          <w:sz w:val="22"/>
          <w:szCs w:val="22"/>
          <w:lang w:val="sr-Latn-CS"/>
        </w:rPr>
        <w:t xml:space="preserve"> </w:t>
      </w:r>
      <w:r w:rsidRPr="007C0222">
        <w:rPr>
          <w:sz w:val="22"/>
          <w:szCs w:val="22"/>
          <w:lang w:val="sr-Latn-CS"/>
        </w:rPr>
        <w:t>rastvorljive</w:t>
      </w:r>
      <w:r w:rsidRPr="00707B1A">
        <w:rPr>
          <w:sz w:val="22"/>
          <w:szCs w:val="22"/>
          <w:lang w:val="sr-Latn-CS"/>
        </w:rPr>
        <w:t xml:space="preserve"> </w:t>
      </w:r>
      <w:r w:rsidRPr="007C0222">
        <w:rPr>
          <w:sz w:val="22"/>
          <w:szCs w:val="22"/>
          <w:lang w:val="sr-Latn-CS"/>
        </w:rPr>
        <w:t>suve</w:t>
      </w:r>
      <w:r w:rsidRPr="00707B1A">
        <w:rPr>
          <w:sz w:val="22"/>
          <w:szCs w:val="22"/>
          <w:lang w:val="sr-Latn-CS"/>
        </w:rPr>
        <w:t xml:space="preserve"> </w:t>
      </w:r>
      <w:r w:rsidRPr="007C0222">
        <w:rPr>
          <w:sz w:val="22"/>
          <w:szCs w:val="22"/>
          <w:lang w:val="sr-Latn-CS"/>
        </w:rPr>
        <w:t>materije</w:t>
      </w:r>
      <w:r w:rsidRPr="00707B1A">
        <w:rPr>
          <w:sz w:val="22"/>
          <w:szCs w:val="22"/>
          <w:lang w:val="sr-Latn-CS"/>
        </w:rPr>
        <w:t xml:space="preserve">, </w:t>
      </w:r>
      <w:r w:rsidRPr="007C0222">
        <w:rPr>
          <w:sz w:val="22"/>
          <w:szCs w:val="22"/>
          <w:lang w:val="sr-Latn-CS"/>
        </w:rPr>
        <w:t>ukupnih</w:t>
      </w:r>
      <w:r w:rsidRPr="00707B1A">
        <w:rPr>
          <w:sz w:val="22"/>
          <w:szCs w:val="22"/>
          <w:lang w:val="sr-Latn-CS"/>
        </w:rPr>
        <w:t xml:space="preserve"> </w:t>
      </w:r>
      <w:r w:rsidRPr="007C0222">
        <w:rPr>
          <w:sz w:val="22"/>
          <w:szCs w:val="22"/>
          <w:lang w:val="sr-Latn-CS"/>
        </w:rPr>
        <w:t>antocijana</w:t>
      </w:r>
      <w:r w:rsidRPr="00707B1A">
        <w:rPr>
          <w:sz w:val="22"/>
          <w:szCs w:val="22"/>
          <w:lang w:val="sr-Latn-CS"/>
        </w:rPr>
        <w:t xml:space="preserve"> </w:t>
      </w:r>
      <w:r w:rsidRPr="007C0222">
        <w:rPr>
          <w:sz w:val="22"/>
          <w:szCs w:val="22"/>
          <w:lang w:val="sr-Latn-CS"/>
        </w:rPr>
        <w:t>u</w:t>
      </w:r>
      <w:r w:rsidRPr="00707B1A">
        <w:rPr>
          <w:sz w:val="22"/>
          <w:szCs w:val="22"/>
          <w:lang w:val="sr-Latn-CS"/>
        </w:rPr>
        <w:t xml:space="preserve"> 2013. </w:t>
      </w:r>
      <w:r w:rsidRPr="007C0222">
        <w:rPr>
          <w:sz w:val="22"/>
          <w:szCs w:val="22"/>
          <w:lang w:val="sr-Latn-CS"/>
        </w:rPr>
        <w:t>godini</w:t>
      </w:r>
      <w:r w:rsidRPr="00707B1A">
        <w:rPr>
          <w:sz w:val="22"/>
          <w:szCs w:val="22"/>
          <w:lang w:val="sr-Latn-CS"/>
        </w:rPr>
        <w:t xml:space="preserve"> </w:t>
      </w:r>
      <w:r w:rsidRPr="007C0222">
        <w:rPr>
          <w:sz w:val="22"/>
          <w:szCs w:val="22"/>
          <w:lang w:val="sr-Latn-CS"/>
        </w:rPr>
        <w:t>i</w:t>
      </w:r>
      <w:r w:rsidRPr="00707B1A">
        <w:rPr>
          <w:sz w:val="22"/>
          <w:szCs w:val="22"/>
          <w:lang w:val="sr-Latn-CS"/>
        </w:rPr>
        <w:t xml:space="preserve"> </w:t>
      </w:r>
      <w:r w:rsidRPr="007C0222">
        <w:rPr>
          <w:sz w:val="22"/>
          <w:szCs w:val="22"/>
          <w:lang w:val="sr-Latn-CS"/>
        </w:rPr>
        <w:t>ukupnih</w:t>
      </w:r>
      <w:r w:rsidRPr="00707B1A">
        <w:rPr>
          <w:sz w:val="22"/>
          <w:szCs w:val="22"/>
          <w:lang w:val="sr-Latn-CS"/>
        </w:rPr>
        <w:t xml:space="preserve"> </w:t>
      </w:r>
      <w:r w:rsidRPr="007C0222">
        <w:rPr>
          <w:sz w:val="22"/>
          <w:szCs w:val="22"/>
          <w:lang w:val="sr-Latn-CS"/>
        </w:rPr>
        <w:t>fenola</w:t>
      </w:r>
      <w:r w:rsidRPr="00707B1A">
        <w:rPr>
          <w:sz w:val="22"/>
          <w:szCs w:val="22"/>
          <w:lang w:val="sr-Latn-CS"/>
        </w:rPr>
        <w:t xml:space="preserve">. </w:t>
      </w:r>
      <w:r w:rsidRPr="007C0222">
        <w:rPr>
          <w:sz w:val="22"/>
          <w:szCs w:val="22"/>
          <w:lang w:val="sr-Latn-CS"/>
        </w:rPr>
        <w:t>Stoga</w:t>
      </w:r>
      <w:r w:rsidRPr="00707B1A">
        <w:rPr>
          <w:sz w:val="22"/>
          <w:szCs w:val="22"/>
          <w:lang w:val="sr-Latn-CS"/>
        </w:rPr>
        <w:t xml:space="preserve">, </w:t>
      </w:r>
      <w:r w:rsidRPr="007C0222">
        <w:rPr>
          <w:sz w:val="22"/>
          <w:szCs w:val="22"/>
          <w:lang w:val="sr-Latn-CS"/>
        </w:rPr>
        <w:t>siva</w:t>
      </w:r>
      <w:r w:rsidRPr="00707B1A">
        <w:rPr>
          <w:sz w:val="22"/>
          <w:szCs w:val="22"/>
          <w:lang w:val="sr-Latn-CS"/>
        </w:rPr>
        <w:t xml:space="preserve"> </w:t>
      </w:r>
      <w:r w:rsidRPr="007C0222">
        <w:rPr>
          <w:sz w:val="22"/>
          <w:szCs w:val="22"/>
          <w:lang w:val="sr-Latn-CS"/>
        </w:rPr>
        <w:t>protivgradna</w:t>
      </w:r>
      <w:r w:rsidRPr="00707B1A">
        <w:rPr>
          <w:sz w:val="22"/>
          <w:szCs w:val="22"/>
          <w:lang w:val="sr-Latn-CS"/>
        </w:rPr>
        <w:t xml:space="preserve"> </w:t>
      </w:r>
      <w:r w:rsidRPr="007C0222">
        <w:rPr>
          <w:sz w:val="22"/>
          <w:szCs w:val="22"/>
          <w:lang w:val="sr-Latn-CS"/>
        </w:rPr>
        <w:t>mre</w:t>
      </w:r>
      <w:r w:rsidRPr="00707B1A">
        <w:rPr>
          <w:sz w:val="22"/>
          <w:szCs w:val="22"/>
          <w:lang w:val="sr-Latn-CS"/>
        </w:rPr>
        <w:t>ž</w:t>
      </w:r>
      <w:r w:rsidRPr="007C0222">
        <w:rPr>
          <w:sz w:val="22"/>
          <w:szCs w:val="22"/>
          <w:lang w:val="sr-Latn-CS"/>
        </w:rPr>
        <w:t>a</w:t>
      </w:r>
      <w:r w:rsidRPr="00707B1A">
        <w:rPr>
          <w:sz w:val="22"/>
          <w:szCs w:val="22"/>
          <w:lang w:val="sr-Latn-CS"/>
        </w:rPr>
        <w:t xml:space="preserve"> </w:t>
      </w:r>
      <w:r w:rsidRPr="007C0222">
        <w:rPr>
          <w:sz w:val="22"/>
          <w:szCs w:val="22"/>
          <w:lang w:val="sr-Latn-CS"/>
        </w:rPr>
        <w:t>mo</w:t>
      </w:r>
      <w:r w:rsidRPr="00707B1A">
        <w:rPr>
          <w:sz w:val="22"/>
          <w:szCs w:val="22"/>
          <w:lang w:val="sr-Latn-CS"/>
        </w:rPr>
        <w:t>ž</w:t>
      </w:r>
      <w:r w:rsidRPr="007C0222">
        <w:rPr>
          <w:sz w:val="22"/>
          <w:szCs w:val="22"/>
          <w:lang w:val="sr-Latn-CS"/>
        </w:rPr>
        <w:t>e</w:t>
      </w:r>
      <w:r w:rsidRPr="00707B1A">
        <w:rPr>
          <w:sz w:val="22"/>
          <w:szCs w:val="22"/>
          <w:lang w:val="sr-Latn-CS"/>
        </w:rPr>
        <w:t xml:space="preserve"> </w:t>
      </w:r>
      <w:r w:rsidRPr="007C0222">
        <w:rPr>
          <w:sz w:val="22"/>
          <w:szCs w:val="22"/>
          <w:lang w:val="sr-Latn-CS"/>
        </w:rPr>
        <w:t>biti</w:t>
      </w:r>
      <w:r w:rsidRPr="00707B1A">
        <w:rPr>
          <w:sz w:val="22"/>
          <w:szCs w:val="22"/>
          <w:lang w:val="sr-Latn-CS"/>
        </w:rPr>
        <w:t xml:space="preserve"> </w:t>
      </w:r>
      <w:r w:rsidRPr="007C0222">
        <w:rPr>
          <w:sz w:val="22"/>
          <w:szCs w:val="22"/>
          <w:lang w:val="sr-Latn-CS"/>
        </w:rPr>
        <w:t>uspe</w:t>
      </w:r>
      <w:r w:rsidRPr="00707B1A">
        <w:rPr>
          <w:sz w:val="22"/>
          <w:szCs w:val="22"/>
          <w:lang w:val="sr-Latn-CS"/>
        </w:rPr>
        <w:t>š</w:t>
      </w:r>
      <w:r w:rsidRPr="007C0222">
        <w:rPr>
          <w:sz w:val="22"/>
          <w:szCs w:val="22"/>
          <w:lang w:val="sr-Latn-CS"/>
        </w:rPr>
        <w:t>no</w:t>
      </w:r>
      <w:r w:rsidRPr="00707B1A">
        <w:rPr>
          <w:sz w:val="22"/>
          <w:szCs w:val="22"/>
          <w:lang w:val="sr-Latn-CS"/>
        </w:rPr>
        <w:t xml:space="preserve"> </w:t>
      </w:r>
      <w:r w:rsidRPr="007C0222">
        <w:rPr>
          <w:sz w:val="22"/>
          <w:szCs w:val="22"/>
          <w:lang w:val="sr-Latn-CS"/>
        </w:rPr>
        <w:t>primenjena</w:t>
      </w:r>
      <w:r w:rsidRPr="00707B1A">
        <w:rPr>
          <w:sz w:val="22"/>
          <w:szCs w:val="22"/>
          <w:lang w:val="sr-Latn-CS"/>
        </w:rPr>
        <w:t xml:space="preserve"> </w:t>
      </w:r>
      <w:r w:rsidRPr="007C0222">
        <w:rPr>
          <w:sz w:val="22"/>
          <w:szCs w:val="22"/>
          <w:lang w:val="sr-Latn-CS"/>
        </w:rPr>
        <w:t>u</w:t>
      </w:r>
      <w:r w:rsidRPr="00707B1A">
        <w:rPr>
          <w:sz w:val="22"/>
          <w:szCs w:val="22"/>
          <w:lang w:val="sr-Latn-CS"/>
        </w:rPr>
        <w:t xml:space="preserve"> </w:t>
      </w:r>
      <w:r w:rsidRPr="007C0222">
        <w:rPr>
          <w:sz w:val="22"/>
          <w:szCs w:val="22"/>
          <w:lang w:val="sr-Latn-CS"/>
        </w:rPr>
        <w:t>zasadima</w:t>
      </w:r>
      <w:r w:rsidRPr="00707B1A">
        <w:rPr>
          <w:sz w:val="22"/>
          <w:szCs w:val="22"/>
          <w:lang w:val="sr-Latn-CS"/>
        </w:rPr>
        <w:t xml:space="preserve"> </w:t>
      </w:r>
      <w:r w:rsidRPr="007C0222">
        <w:rPr>
          <w:sz w:val="22"/>
          <w:szCs w:val="22"/>
          <w:lang w:val="sr-Latn-CS"/>
        </w:rPr>
        <w:t>sa</w:t>
      </w:r>
      <w:r w:rsidRPr="00707B1A">
        <w:rPr>
          <w:sz w:val="22"/>
          <w:szCs w:val="22"/>
          <w:lang w:val="sr-Latn-CS"/>
        </w:rPr>
        <w:t xml:space="preserve"> </w:t>
      </w:r>
      <w:r w:rsidRPr="007C0222">
        <w:rPr>
          <w:sz w:val="22"/>
          <w:szCs w:val="22"/>
          <w:lang w:val="sr-Latn-CS"/>
        </w:rPr>
        <w:t>ciljem</w:t>
      </w:r>
      <w:r w:rsidRPr="00707B1A">
        <w:rPr>
          <w:sz w:val="22"/>
          <w:szCs w:val="22"/>
          <w:lang w:val="sr-Latn-CS"/>
        </w:rPr>
        <w:t xml:space="preserve"> </w:t>
      </w:r>
      <w:r w:rsidRPr="007C0222">
        <w:rPr>
          <w:sz w:val="22"/>
          <w:szCs w:val="22"/>
          <w:lang w:val="sr-Latn-CS"/>
        </w:rPr>
        <w:t>optimizacije</w:t>
      </w:r>
      <w:r w:rsidRPr="00707B1A">
        <w:rPr>
          <w:sz w:val="22"/>
          <w:szCs w:val="22"/>
          <w:lang w:val="sr-Latn-CS"/>
        </w:rPr>
        <w:t xml:space="preserve"> </w:t>
      </w:r>
      <w:r w:rsidRPr="007C0222">
        <w:rPr>
          <w:sz w:val="22"/>
          <w:szCs w:val="22"/>
          <w:lang w:val="sr-Latn-CS"/>
        </w:rPr>
        <w:t>tehnologije</w:t>
      </w:r>
      <w:r w:rsidRPr="00707B1A">
        <w:rPr>
          <w:sz w:val="22"/>
          <w:szCs w:val="22"/>
          <w:lang w:val="sr-Latn-CS"/>
        </w:rPr>
        <w:t xml:space="preserve"> </w:t>
      </w:r>
      <w:r w:rsidRPr="007C0222">
        <w:rPr>
          <w:sz w:val="22"/>
          <w:szCs w:val="22"/>
          <w:lang w:val="sr-Latn-CS"/>
        </w:rPr>
        <w:t>gajenja</w:t>
      </w:r>
      <w:r w:rsidRPr="00707B1A">
        <w:rPr>
          <w:sz w:val="22"/>
          <w:szCs w:val="22"/>
          <w:lang w:val="sr-Latn-CS"/>
        </w:rPr>
        <w:t xml:space="preserve"> </w:t>
      </w:r>
      <w:r w:rsidRPr="007C0222">
        <w:rPr>
          <w:sz w:val="22"/>
          <w:szCs w:val="22"/>
          <w:lang w:val="sr-Latn-CS"/>
        </w:rPr>
        <w:t>borovnice</w:t>
      </w:r>
      <w:r w:rsidRPr="00707B1A">
        <w:rPr>
          <w:sz w:val="22"/>
          <w:szCs w:val="22"/>
          <w:lang w:val="sr-Latn-CS"/>
        </w:rPr>
        <w:t xml:space="preserve"> </w:t>
      </w:r>
      <w:r w:rsidRPr="007C0222">
        <w:rPr>
          <w:sz w:val="22"/>
          <w:szCs w:val="22"/>
          <w:lang w:val="sr-Latn-CS"/>
        </w:rPr>
        <w:t>bez</w:t>
      </w:r>
      <w:r w:rsidRPr="00707B1A">
        <w:rPr>
          <w:sz w:val="22"/>
          <w:szCs w:val="22"/>
          <w:lang w:val="sr-Latn-CS"/>
        </w:rPr>
        <w:t xml:space="preserve"> </w:t>
      </w:r>
      <w:r w:rsidRPr="007C0222">
        <w:rPr>
          <w:sz w:val="22"/>
          <w:szCs w:val="22"/>
          <w:lang w:val="sr-Latn-CS"/>
        </w:rPr>
        <w:t>negativnog</w:t>
      </w:r>
      <w:r w:rsidRPr="00707B1A">
        <w:rPr>
          <w:sz w:val="22"/>
          <w:szCs w:val="22"/>
          <w:lang w:val="sr-Latn-CS"/>
        </w:rPr>
        <w:t xml:space="preserve"> </w:t>
      </w:r>
      <w:r w:rsidRPr="007C0222">
        <w:rPr>
          <w:sz w:val="22"/>
          <w:szCs w:val="22"/>
          <w:lang w:val="sr-Latn-CS"/>
        </w:rPr>
        <w:t>uticaja</w:t>
      </w:r>
      <w:r w:rsidRPr="00707B1A">
        <w:rPr>
          <w:sz w:val="22"/>
          <w:szCs w:val="22"/>
          <w:lang w:val="sr-Latn-CS"/>
        </w:rPr>
        <w:t xml:space="preserve"> </w:t>
      </w:r>
      <w:r w:rsidRPr="007C0222">
        <w:rPr>
          <w:sz w:val="22"/>
          <w:szCs w:val="22"/>
          <w:lang w:val="sr-Latn-CS"/>
        </w:rPr>
        <w:t>na</w:t>
      </w:r>
      <w:r w:rsidRPr="00707B1A">
        <w:rPr>
          <w:sz w:val="22"/>
          <w:szCs w:val="22"/>
          <w:lang w:val="sr-Latn-CS"/>
        </w:rPr>
        <w:t xml:space="preserve"> </w:t>
      </w:r>
      <w:r w:rsidRPr="007C0222">
        <w:rPr>
          <w:sz w:val="22"/>
          <w:szCs w:val="22"/>
          <w:lang w:val="sr-Latn-CS"/>
        </w:rPr>
        <w:t>kvalitet</w:t>
      </w:r>
      <w:r w:rsidRPr="00707B1A">
        <w:rPr>
          <w:sz w:val="22"/>
          <w:szCs w:val="22"/>
          <w:lang w:val="sr-Latn-CS"/>
        </w:rPr>
        <w:t xml:space="preserve"> </w:t>
      </w:r>
      <w:r w:rsidRPr="007C0222">
        <w:rPr>
          <w:sz w:val="22"/>
          <w:szCs w:val="22"/>
          <w:lang w:val="sr-Latn-CS"/>
        </w:rPr>
        <w:t>ploda</w:t>
      </w:r>
      <w:r w:rsidR="00AF1C40">
        <w:rPr>
          <w:sz w:val="22"/>
          <w:szCs w:val="22"/>
          <w:lang w:val="sr-Latn-CS"/>
        </w:rPr>
        <w:t>.</w:t>
      </w:r>
    </w:p>
    <w:p w:rsidR="00A806E9" w:rsidRPr="00707B1A" w:rsidRDefault="00A806E9" w:rsidP="00707B1A">
      <w:pPr>
        <w:autoSpaceDE w:val="0"/>
        <w:autoSpaceDN w:val="0"/>
        <w:adjustRightInd w:val="0"/>
        <w:ind w:firstLine="426"/>
        <w:rPr>
          <w:rFonts w:ascii="TimesNewRoman" w:hAnsi="TimesNewRoman" w:cs="TimesNewRoman"/>
          <w:sz w:val="22"/>
          <w:szCs w:val="22"/>
          <w:lang w:val="sr-Latn-CS"/>
        </w:rPr>
      </w:pPr>
    </w:p>
    <w:p w:rsidR="002F42C3" w:rsidRPr="00855B50" w:rsidRDefault="002F42C3" w:rsidP="00855B50">
      <w:pPr>
        <w:rPr>
          <w:b/>
          <w:sz w:val="22"/>
          <w:szCs w:val="22"/>
          <w:lang w:val="sr-Latn-CS"/>
        </w:rPr>
      </w:pPr>
      <w:r w:rsidRPr="00855B50">
        <w:rPr>
          <w:b/>
          <w:sz w:val="22"/>
          <w:szCs w:val="22"/>
          <w:lang w:val="sr-Latn-CS"/>
        </w:rPr>
        <w:t>Zahvalnica</w:t>
      </w:r>
    </w:p>
    <w:p w:rsidR="002F42C3" w:rsidRPr="00E350CC" w:rsidRDefault="002F42C3" w:rsidP="00E350CC">
      <w:pPr>
        <w:ind w:firstLine="426"/>
        <w:jc w:val="both"/>
        <w:rPr>
          <w:sz w:val="22"/>
          <w:szCs w:val="22"/>
          <w:lang w:val="sr-Latn-CS"/>
        </w:rPr>
      </w:pPr>
    </w:p>
    <w:p w:rsidR="00A806E9" w:rsidRPr="00707B1A" w:rsidRDefault="00A806E9" w:rsidP="00707B1A">
      <w:pPr>
        <w:ind w:firstLine="426"/>
        <w:jc w:val="both"/>
        <w:rPr>
          <w:sz w:val="22"/>
          <w:szCs w:val="22"/>
          <w:lang w:val="sl-SI"/>
        </w:rPr>
      </w:pPr>
      <w:r w:rsidRPr="00AF1C40">
        <w:rPr>
          <w:sz w:val="22"/>
          <w:szCs w:val="22"/>
          <w:lang w:val="sl-SI"/>
        </w:rPr>
        <w:t xml:space="preserve">Istraživanja u ovom radu su finansijski podržana od strane Ministarstva za </w:t>
      </w:r>
      <w:r w:rsidRPr="00AF1C40">
        <w:rPr>
          <w:rStyle w:val="st"/>
          <w:color w:val="222222"/>
          <w:sz w:val="22"/>
          <w:szCs w:val="22"/>
          <w:lang w:val="sl-SI"/>
        </w:rPr>
        <w:t xml:space="preserve">prosvetu, </w:t>
      </w:r>
      <w:r w:rsidRPr="00AF1C40">
        <w:rPr>
          <w:rStyle w:val="Emphasis"/>
          <w:i w:val="0"/>
          <w:color w:val="222222"/>
          <w:sz w:val="22"/>
          <w:szCs w:val="22"/>
          <w:lang w:val="sl-SI"/>
        </w:rPr>
        <w:t>nauku</w:t>
      </w:r>
      <w:r w:rsidRPr="00AF1C40">
        <w:rPr>
          <w:rStyle w:val="st"/>
          <w:i/>
          <w:color w:val="222222"/>
          <w:sz w:val="22"/>
          <w:szCs w:val="22"/>
          <w:lang w:val="sl-SI"/>
        </w:rPr>
        <w:t xml:space="preserve"> </w:t>
      </w:r>
      <w:r w:rsidRPr="00AF1C40">
        <w:rPr>
          <w:rStyle w:val="st"/>
          <w:color w:val="222222"/>
          <w:sz w:val="22"/>
          <w:szCs w:val="22"/>
          <w:lang w:val="sl-SI"/>
        </w:rPr>
        <w:t>i tehnološki razvoj</w:t>
      </w:r>
      <w:r w:rsidRPr="00707B1A">
        <w:rPr>
          <w:rStyle w:val="st"/>
          <w:color w:val="222222"/>
          <w:sz w:val="22"/>
          <w:szCs w:val="22"/>
          <w:lang w:val="sl-SI"/>
        </w:rPr>
        <w:t xml:space="preserve"> </w:t>
      </w:r>
      <w:r w:rsidRPr="00707B1A">
        <w:rPr>
          <w:sz w:val="22"/>
          <w:szCs w:val="22"/>
          <w:lang w:val="sl-SI"/>
        </w:rPr>
        <w:t xml:space="preserve">Republike Srbije (projekti III46008, </w:t>
      </w:r>
      <w:r w:rsidRPr="00707B1A">
        <w:rPr>
          <w:color w:val="1B1C20"/>
          <w:sz w:val="22"/>
          <w:szCs w:val="22"/>
          <w:lang w:val="pl-PL"/>
        </w:rPr>
        <w:t>III43007 i 173040</w:t>
      </w:r>
      <w:r w:rsidRPr="00707B1A">
        <w:rPr>
          <w:sz w:val="22"/>
          <w:szCs w:val="22"/>
          <w:lang w:val="sl-SI"/>
        </w:rPr>
        <w:t>).</w:t>
      </w:r>
    </w:p>
    <w:p w:rsidR="00B205A9" w:rsidRPr="00707B1A" w:rsidRDefault="00B205A9" w:rsidP="00E350CC">
      <w:pPr>
        <w:pStyle w:val="Heading1"/>
        <w:keepNext w:val="0"/>
        <w:widowControl w:val="0"/>
        <w:rPr>
          <w:b w:val="0"/>
          <w:bCs/>
          <w:lang w:val="sr-Latn-CS"/>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707B1A" w:rsidRDefault="002F42C3" w:rsidP="00855B50">
      <w:pPr>
        <w:pStyle w:val="Heading1"/>
        <w:keepNext w:val="0"/>
        <w:widowControl w:val="0"/>
        <w:rPr>
          <w:b w:val="0"/>
          <w:lang w:val="sr-Latn-CS"/>
        </w:rPr>
      </w:pP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Bastías, R.M., &amp; Corelli-Grappadelli, L. (2012). Light quality management in fruit orchards: physiological and technological aspects. </w:t>
      </w:r>
      <w:r w:rsidRPr="00707B1A">
        <w:rPr>
          <w:i/>
          <w:color w:val="1B1C20"/>
          <w:sz w:val="18"/>
          <w:szCs w:val="18"/>
          <w:lang w:val="en-US"/>
        </w:rPr>
        <w:t>Chilean Journal of Agricultural Research,</w:t>
      </w:r>
      <w:r w:rsidR="007F4E51">
        <w:rPr>
          <w:i/>
          <w:color w:val="1B1C20"/>
          <w:sz w:val="18"/>
          <w:szCs w:val="18"/>
          <w:lang w:val="en-US"/>
        </w:rPr>
        <w:br/>
      </w:r>
      <w:r w:rsidRPr="00707B1A">
        <w:rPr>
          <w:color w:val="1B1C20"/>
          <w:sz w:val="18"/>
          <w:szCs w:val="18"/>
          <w:lang w:val="en-US"/>
        </w:rPr>
        <w:t>72, 574</w:t>
      </w:r>
      <w:r w:rsidR="00707B1A">
        <w:rPr>
          <w:rFonts w:eastAsia="txsy"/>
          <w:color w:val="1B1C20"/>
          <w:sz w:val="18"/>
          <w:szCs w:val="18"/>
          <w:lang w:val="en-US"/>
        </w:rPr>
        <w:t>-</w:t>
      </w:r>
      <w:r w:rsidRPr="00707B1A">
        <w:rPr>
          <w:color w:val="1B1C20"/>
          <w:sz w:val="18"/>
          <w:szCs w:val="18"/>
          <w:lang w:val="en-US"/>
        </w:rPr>
        <w:t>581.</w:t>
      </w: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Blanke, M.M. (2014). Zebra net, titanium net, transparent net and new grey hail net </w:t>
      </w:r>
      <w:r w:rsidRPr="00707B1A">
        <w:rPr>
          <w:rFonts w:eastAsia="txsy"/>
          <w:color w:val="1B1C20"/>
          <w:sz w:val="18"/>
          <w:szCs w:val="18"/>
          <w:lang w:val="en-US"/>
        </w:rPr>
        <w:t xml:space="preserve">− </w:t>
      </w:r>
      <w:r w:rsidRPr="00707B1A">
        <w:rPr>
          <w:color w:val="1B1C20"/>
          <w:sz w:val="18"/>
          <w:szCs w:val="18"/>
          <w:lang w:val="en-US"/>
        </w:rPr>
        <w:t xml:space="preserve">the new generation of hail nets: large mesh size, stronger fibers and large portion of crystalline translucent fibers improve light transmission and durability. </w:t>
      </w:r>
      <w:r w:rsidRPr="00707B1A">
        <w:rPr>
          <w:i/>
          <w:color w:val="1B1C20"/>
          <w:sz w:val="18"/>
          <w:szCs w:val="18"/>
          <w:lang w:val="en-US"/>
        </w:rPr>
        <w:t xml:space="preserve">Acta Horticulturae, </w:t>
      </w:r>
      <w:r w:rsidRPr="00707B1A">
        <w:rPr>
          <w:color w:val="1B1C20"/>
          <w:sz w:val="18"/>
          <w:szCs w:val="18"/>
          <w:lang w:val="en-US"/>
        </w:rPr>
        <w:t>1058, 321</w:t>
      </w:r>
      <w:r w:rsidR="00707B1A">
        <w:rPr>
          <w:rFonts w:eastAsia="txsy"/>
          <w:color w:val="1B1C20"/>
          <w:sz w:val="18"/>
          <w:szCs w:val="18"/>
          <w:lang w:val="en-US"/>
        </w:rPr>
        <w:t>-</w:t>
      </w:r>
      <w:r w:rsidRPr="00707B1A">
        <w:rPr>
          <w:color w:val="1B1C20"/>
          <w:sz w:val="18"/>
          <w:szCs w:val="18"/>
          <w:lang w:val="en-US"/>
        </w:rPr>
        <w:t>326.</w:t>
      </w: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Blanke, M.M. (2009). The structure of coloured hail nets affects light transmission, light spectrum, phytochrome and apple fruit colouration. </w:t>
      </w:r>
      <w:r w:rsidRPr="00707B1A">
        <w:rPr>
          <w:i/>
          <w:color w:val="1B1C20"/>
          <w:sz w:val="18"/>
          <w:szCs w:val="18"/>
          <w:lang w:val="en-US"/>
        </w:rPr>
        <w:t xml:space="preserve">Acta Horticulturae, </w:t>
      </w:r>
      <w:r w:rsidRPr="00707B1A">
        <w:rPr>
          <w:color w:val="1B1C20"/>
          <w:sz w:val="18"/>
          <w:szCs w:val="18"/>
          <w:lang w:val="en-US"/>
        </w:rPr>
        <w:t>817, 177</w:t>
      </w:r>
      <w:r w:rsidR="00707B1A">
        <w:rPr>
          <w:rFonts w:eastAsia="txsy"/>
          <w:color w:val="1B1C20"/>
          <w:sz w:val="18"/>
          <w:szCs w:val="18"/>
          <w:lang w:val="en-US"/>
        </w:rPr>
        <w:t>-</w:t>
      </w:r>
      <w:r w:rsidRPr="00707B1A">
        <w:rPr>
          <w:color w:val="1B1C20"/>
          <w:sz w:val="18"/>
          <w:szCs w:val="18"/>
          <w:lang w:val="en-US"/>
        </w:rPr>
        <w:t>184.</w:t>
      </w: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Bogo, A., Casa, R.T., Agostineto, L., Gonçalves, M.J., &amp; Rufato, L. (2012). Effect of hail protection nets on apple scab in ‘Royal Gala’ and ‘Fuji’ apple cultivars. </w:t>
      </w:r>
      <w:r w:rsidRPr="00707B1A">
        <w:rPr>
          <w:i/>
          <w:color w:val="1B1C20"/>
          <w:sz w:val="18"/>
          <w:szCs w:val="18"/>
          <w:lang w:val="en-US"/>
        </w:rPr>
        <w:t xml:space="preserve">Crop Protection, </w:t>
      </w:r>
      <w:r w:rsidRPr="00707B1A">
        <w:rPr>
          <w:color w:val="1B1C20"/>
          <w:sz w:val="18"/>
          <w:szCs w:val="18"/>
          <w:lang w:val="en-US"/>
        </w:rPr>
        <w:t>38, 49</w:t>
      </w:r>
      <w:r w:rsidR="00707B1A">
        <w:rPr>
          <w:rFonts w:eastAsia="txsy"/>
          <w:color w:val="1B1C20"/>
          <w:sz w:val="18"/>
          <w:szCs w:val="18"/>
          <w:lang w:val="en-US"/>
        </w:rPr>
        <w:t>-</w:t>
      </w:r>
      <w:r w:rsidRPr="00707B1A">
        <w:rPr>
          <w:color w:val="1B1C20"/>
          <w:sz w:val="18"/>
          <w:szCs w:val="18"/>
          <w:lang w:val="en-US"/>
        </w:rPr>
        <w:t>52.</w:t>
      </w:r>
    </w:p>
    <w:p w:rsidR="00A806E9" w:rsidRPr="00707B1A" w:rsidRDefault="00A806E9" w:rsidP="00E85354">
      <w:pPr>
        <w:autoSpaceDE w:val="0"/>
        <w:autoSpaceDN w:val="0"/>
        <w:adjustRightInd w:val="0"/>
        <w:ind w:left="463" w:hangingChars="257" w:hanging="463"/>
        <w:jc w:val="both"/>
        <w:rPr>
          <w:color w:val="1B1C20"/>
          <w:sz w:val="18"/>
          <w:szCs w:val="18"/>
          <w:lang w:val="en-US"/>
        </w:rPr>
      </w:pPr>
      <w:r w:rsidRPr="00707B1A">
        <w:rPr>
          <w:color w:val="1B1C20"/>
          <w:sz w:val="18"/>
          <w:szCs w:val="18"/>
          <w:lang w:val="en-US"/>
        </w:rPr>
        <w:t xml:space="preserve">Gržetić, I., Cvetković, O., Vukelić, G., Lazić, L., &amp; Radivojević, D. (2011). </w:t>
      </w:r>
      <w:r w:rsidRPr="00707B1A">
        <w:rPr>
          <w:i/>
          <w:color w:val="1B1C20"/>
          <w:sz w:val="18"/>
          <w:szCs w:val="18"/>
          <w:lang w:val="en-US"/>
        </w:rPr>
        <w:t xml:space="preserve">The impact of weather conditions on agriculture in Serbia and modalities of anti-hail protection. </w:t>
      </w:r>
      <w:r w:rsidRPr="00707B1A">
        <w:rPr>
          <w:color w:val="1B1C20"/>
          <w:sz w:val="18"/>
          <w:szCs w:val="18"/>
          <w:lang w:val="en-US"/>
        </w:rPr>
        <w:t>DAI-USAID-Serbia Agribusiness Project.</w:t>
      </w:r>
    </w:p>
    <w:p w:rsidR="00A806E9" w:rsidRPr="00707B1A" w:rsidRDefault="00A806E9" w:rsidP="00707B1A">
      <w:pPr>
        <w:autoSpaceDE w:val="0"/>
        <w:autoSpaceDN w:val="0"/>
        <w:adjustRightInd w:val="0"/>
        <w:ind w:left="463" w:hangingChars="257" w:hanging="463"/>
        <w:jc w:val="both"/>
        <w:rPr>
          <w:color w:val="1B1C20"/>
          <w:sz w:val="18"/>
          <w:szCs w:val="18"/>
          <w:lang w:val="en-US"/>
        </w:rPr>
      </w:pPr>
      <w:r w:rsidRPr="00707B1A">
        <w:rPr>
          <w:color w:val="1B1C20"/>
          <w:sz w:val="18"/>
          <w:szCs w:val="18"/>
          <w:lang w:val="en-US"/>
        </w:rPr>
        <w:lastRenderedPageBreak/>
        <w:t>Iglesias</w:t>
      </w:r>
      <w:r w:rsidR="00CD5B5F">
        <w:rPr>
          <w:color w:val="1B1C20"/>
          <w:sz w:val="18"/>
          <w:szCs w:val="18"/>
          <w:lang w:val="en-US"/>
        </w:rPr>
        <w:t>,</w:t>
      </w:r>
      <w:r w:rsidRPr="00707B1A">
        <w:rPr>
          <w:color w:val="1B1C20"/>
          <w:sz w:val="18"/>
          <w:szCs w:val="18"/>
          <w:lang w:val="en-US"/>
        </w:rPr>
        <w:t xml:space="preserve"> I., &amp; Alegre</w:t>
      </w:r>
      <w:r w:rsidR="00707B1A">
        <w:rPr>
          <w:color w:val="1B1C20"/>
          <w:sz w:val="18"/>
          <w:szCs w:val="18"/>
          <w:lang w:val="en-US"/>
        </w:rPr>
        <w:t>,</w:t>
      </w:r>
      <w:r w:rsidRPr="00707B1A">
        <w:rPr>
          <w:color w:val="1B1C20"/>
          <w:sz w:val="18"/>
          <w:szCs w:val="18"/>
          <w:lang w:val="en-US"/>
        </w:rPr>
        <w:t xml:space="preserve"> S. (2006). The effect of anti-hail nets on fruit protection, radiation, temperature, quality and profitability of ‘Mondial Gala’ apples. </w:t>
      </w:r>
      <w:r w:rsidRPr="00707B1A">
        <w:rPr>
          <w:i/>
          <w:color w:val="1B1C20"/>
          <w:sz w:val="18"/>
          <w:szCs w:val="18"/>
          <w:lang w:val="en-US"/>
        </w:rPr>
        <w:t xml:space="preserve">Journal of Applied Horticulture, </w:t>
      </w:r>
      <w:r w:rsidRPr="00707B1A">
        <w:rPr>
          <w:color w:val="1B1C20"/>
          <w:sz w:val="18"/>
          <w:szCs w:val="18"/>
          <w:lang w:val="en-US"/>
        </w:rPr>
        <w:t>8, 91</w:t>
      </w:r>
      <w:r w:rsidR="007F4E51">
        <w:rPr>
          <w:rFonts w:eastAsia="txsy"/>
          <w:color w:val="1B1C20"/>
          <w:sz w:val="18"/>
          <w:szCs w:val="18"/>
          <w:lang w:val="en-US"/>
        </w:rPr>
        <w:t>-</w:t>
      </w:r>
      <w:r w:rsidRPr="00707B1A">
        <w:rPr>
          <w:color w:val="1B1C20"/>
          <w:sz w:val="18"/>
          <w:szCs w:val="18"/>
          <w:lang w:val="en-US"/>
        </w:rPr>
        <w:t>100.</w:t>
      </w:r>
    </w:p>
    <w:p w:rsidR="00A806E9" w:rsidRPr="00707B1A" w:rsidRDefault="00A806E9" w:rsidP="00707B1A">
      <w:pPr>
        <w:autoSpaceDE w:val="0"/>
        <w:autoSpaceDN w:val="0"/>
        <w:adjustRightInd w:val="0"/>
        <w:ind w:left="426" w:hanging="426"/>
        <w:jc w:val="both"/>
        <w:rPr>
          <w:sz w:val="18"/>
          <w:szCs w:val="18"/>
        </w:rPr>
      </w:pPr>
      <w:r w:rsidRPr="00707B1A">
        <w:rPr>
          <w:sz w:val="18"/>
          <w:szCs w:val="18"/>
        </w:rPr>
        <w:t xml:space="preserve">Kim, J.G., Kim, H.L., Kim, S.J., </w:t>
      </w:r>
      <w:r w:rsidRPr="00707B1A">
        <w:rPr>
          <w:color w:val="1B1C20"/>
          <w:sz w:val="18"/>
          <w:szCs w:val="18"/>
          <w:lang w:val="en-US"/>
        </w:rPr>
        <w:t xml:space="preserve">&amp; </w:t>
      </w:r>
      <w:r w:rsidRPr="00707B1A">
        <w:rPr>
          <w:sz w:val="18"/>
          <w:szCs w:val="18"/>
        </w:rPr>
        <w:t xml:space="preserve">Park, K.S. (2013). </w:t>
      </w:r>
      <w:r w:rsidRPr="00707B1A">
        <w:rPr>
          <w:bCs/>
          <w:sz w:val="18"/>
          <w:szCs w:val="18"/>
        </w:rPr>
        <w:t xml:space="preserve">Fruit quality, anthocyanin and total phenolic contents, and antioxidant activities of 45 blueberry cultivars grown in Suwon, Korea. </w:t>
      </w:r>
      <w:r w:rsidRPr="00707B1A">
        <w:rPr>
          <w:i/>
          <w:iCs/>
          <w:sz w:val="18"/>
          <w:szCs w:val="18"/>
        </w:rPr>
        <w:t>Zhejiang Univ-Sci B (Biomed &amp; Biotechnol),</w:t>
      </w:r>
      <w:r w:rsidRPr="00707B1A">
        <w:rPr>
          <w:iCs/>
          <w:sz w:val="18"/>
          <w:szCs w:val="18"/>
        </w:rPr>
        <w:t xml:space="preserve"> 14(9), 793-799.</w:t>
      </w: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Lobos, G.A., Retamales, J.B., Pozo, A.d., Hancock, J.F., &amp; Flore, J.A. (2009). Physiological response of </w:t>
      </w:r>
      <w:r w:rsidRPr="00B32520">
        <w:rPr>
          <w:iCs/>
          <w:color w:val="1B1C20"/>
          <w:sz w:val="18"/>
          <w:szCs w:val="18"/>
          <w:lang w:val="en-US"/>
        </w:rPr>
        <w:t>Vaccinium corymbosum</w:t>
      </w:r>
      <w:r w:rsidRPr="00707B1A">
        <w:rPr>
          <w:i/>
          <w:iCs/>
          <w:color w:val="1B1C20"/>
          <w:sz w:val="18"/>
          <w:szCs w:val="18"/>
          <w:lang w:val="en-US"/>
        </w:rPr>
        <w:t xml:space="preserve"> </w:t>
      </w:r>
      <w:r w:rsidRPr="00707B1A">
        <w:rPr>
          <w:color w:val="1B1C20"/>
          <w:sz w:val="18"/>
          <w:szCs w:val="18"/>
          <w:lang w:val="en-US"/>
        </w:rPr>
        <w:t xml:space="preserve">‘Elliott’ to shading nets in Michigan. </w:t>
      </w:r>
      <w:r w:rsidRPr="00707B1A">
        <w:rPr>
          <w:i/>
          <w:color w:val="1B1C20"/>
          <w:sz w:val="18"/>
          <w:szCs w:val="18"/>
          <w:lang w:val="en-US"/>
        </w:rPr>
        <w:t xml:space="preserve">Acta Horticulturae, </w:t>
      </w:r>
      <w:r w:rsidRPr="00707B1A">
        <w:rPr>
          <w:color w:val="1B1C20"/>
          <w:sz w:val="18"/>
          <w:szCs w:val="18"/>
          <w:lang w:val="en-US"/>
        </w:rPr>
        <w:t>810, 465</w:t>
      </w:r>
      <w:r w:rsidR="00707B1A">
        <w:rPr>
          <w:rFonts w:eastAsia="txsy"/>
          <w:color w:val="1B1C20"/>
          <w:sz w:val="18"/>
          <w:szCs w:val="18"/>
          <w:lang w:val="en-US"/>
        </w:rPr>
        <w:t>-</w:t>
      </w:r>
      <w:r w:rsidRPr="00707B1A">
        <w:rPr>
          <w:color w:val="1B1C20"/>
          <w:sz w:val="18"/>
          <w:szCs w:val="18"/>
          <w:lang w:val="en-US"/>
        </w:rPr>
        <w:t>470.</w:t>
      </w:r>
    </w:p>
    <w:p w:rsidR="00A806E9" w:rsidRPr="00707B1A" w:rsidRDefault="00A806E9" w:rsidP="00707B1A">
      <w:pPr>
        <w:autoSpaceDE w:val="0"/>
        <w:autoSpaceDN w:val="0"/>
        <w:adjustRightInd w:val="0"/>
        <w:ind w:left="426" w:hanging="426"/>
        <w:jc w:val="both"/>
        <w:rPr>
          <w:sz w:val="18"/>
          <w:szCs w:val="18"/>
        </w:rPr>
      </w:pPr>
      <w:r w:rsidRPr="00707B1A">
        <w:rPr>
          <w:sz w:val="18"/>
          <w:szCs w:val="18"/>
        </w:rPr>
        <w:t xml:space="preserve">Milivojević, J., Radivojević, D., Ruml, M., Dimitrijević, M., </w:t>
      </w:r>
      <w:r w:rsidRPr="00707B1A">
        <w:rPr>
          <w:color w:val="1B1C20"/>
          <w:sz w:val="18"/>
          <w:szCs w:val="18"/>
          <w:lang w:val="en-US"/>
        </w:rPr>
        <w:t xml:space="preserve">&amp; </w:t>
      </w:r>
      <w:r w:rsidRPr="00707B1A">
        <w:rPr>
          <w:sz w:val="18"/>
          <w:szCs w:val="18"/>
        </w:rPr>
        <w:t xml:space="preserve">Dragišić Maksimović, J. (2016a). Does microclimate under grey colored hail protection net affect biological and nutritional properties of </w:t>
      </w:r>
      <w:r w:rsidRPr="00707B1A">
        <w:rPr>
          <w:color w:val="1B1C20"/>
          <w:sz w:val="18"/>
          <w:szCs w:val="18"/>
          <w:lang w:val="en-US"/>
        </w:rPr>
        <w:t>‘</w:t>
      </w:r>
      <w:r w:rsidRPr="00707B1A">
        <w:rPr>
          <w:sz w:val="18"/>
          <w:szCs w:val="18"/>
        </w:rPr>
        <w:t>Duke</w:t>
      </w:r>
      <w:r w:rsidRPr="00707B1A">
        <w:rPr>
          <w:color w:val="1B1C20"/>
          <w:sz w:val="18"/>
          <w:szCs w:val="18"/>
          <w:lang w:val="en-US"/>
        </w:rPr>
        <w:t>’</w:t>
      </w:r>
      <w:r w:rsidRPr="00707B1A">
        <w:rPr>
          <w:sz w:val="18"/>
          <w:szCs w:val="18"/>
        </w:rPr>
        <w:t xml:space="preserve"> highbush blueberry (</w:t>
      </w:r>
      <w:r w:rsidRPr="007C0222">
        <w:rPr>
          <w:i/>
          <w:sz w:val="18"/>
          <w:szCs w:val="18"/>
          <w:rPrChange w:id="0" w:author="SnO" w:date="2017-12-01T12:30:00Z">
            <w:rPr>
              <w:sz w:val="18"/>
              <w:szCs w:val="18"/>
            </w:rPr>
          </w:rPrChange>
        </w:rPr>
        <w:t>V. corymbosum</w:t>
      </w:r>
      <w:r w:rsidRPr="00707B1A">
        <w:rPr>
          <w:sz w:val="18"/>
          <w:szCs w:val="18"/>
        </w:rPr>
        <w:t xml:space="preserve"> L.)? </w:t>
      </w:r>
      <w:r w:rsidRPr="00707B1A">
        <w:rPr>
          <w:i/>
          <w:sz w:val="18"/>
          <w:szCs w:val="18"/>
        </w:rPr>
        <w:t xml:space="preserve">Fruits, </w:t>
      </w:r>
      <w:r w:rsidRPr="00707B1A">
        <w:rPr>
          <w:sz w:val="18"/>
          <w:szCs w:val="18"/>
        </w:rPr>
        <w:t>71(3), 161-170.</w:t>
      </w:r>
    </w:p>
    <w:p w:rsidR="00A806E9" w:rsidRPr="00707B1A" w:rsidRDefault="00A806E9" w:rsidP="00707B1A">
      <w:pPr>
        <w:pStyle w:val="HTMLPreformatted"/>
        <w:ind w:left="426" w:hanging="426"/>
        <w:jc w:val="both"/>
        <w:rPr>
          <w:rFonts w:ascii="Times New Roman" w:hAnsi="Times New Roman"/>
          <w:color w:val="auto"/>
          <w:sz w:val="18"/>
          <w:szCs w:val="18"/>
          <w:lang w:val="en-US"/>
        </w:rPr>
      </w:pPr>
      <w:r w:rsidRPr="00707B1A">
        <w:rPr>
          <w:rFonts w:ascii="Times New Roman" w:hAnsi="Times New Roman"/>
          <w:sz w:val="18"/>
          <w:szCs w:val="18"/>
        </w:rPr>
        <w:t>Milivojević, J., Radivojević, D., Ruml, M.,</w:t>
      </w:r>
      <w:r w:rsidRPr="00707B1A">
        <w:rPr>
          <w:rFonts w:ascii="Times New Roman" w:hAnsi="Times New Roman"/>
          <w:color w:val="auto"/>
          <w:sz w:val="18"/>
          <w:szCs w:val="18"/>
          <w:lang w:val="en-US"/>
        </w:rPr>
        <w:t xml:space="preserve"> </w:t>
      </w:r>
      <w:r w:rsidRPr="00707B1A">
        <w:rPr>
          <w:rFonts w:ascii="Times New Roman" w:eastAsia="Calibri" w:hAnsi="Times New Roman"/>
          <w:bCs/>
          <w:sz w:val="18"/>
          <w:szCs w:val="18"/>
          <w:lang w:val="sr-Cyrl-CS"/>
        </w:rPr>
        <w:t>Nikolić</w:t>
      </w:r>
      <w:r w:rsidRPr="00707B1A">
        <w:rPr>
          <w:rFonts w:ascii="Times New Roman" w:eastAsia="Calibri" w:hAnsi="Times New Roman"/>
          <w:bCs/>
          <w:sz w:val="18"/>
          <w:szCs w:val="18"/>
        </w:rPr>
        <w:t>,</w:t>
      </w:r>
      <w:r w:rsidRPr="00707B1A">
        <w:rPr>
          <w:rFonts w:ascii="Times New Roman" w:eastAsia="Calibri" w:hAnsi="Times New Roman"/>
          <w:bCs/>
          <w:sz w:val="18"/>
          <w:szCs w:val="18"/>
          <w:lang w:val="sr-Cyrl-CS"/>
        </w:rPr>
        <w:t xml:space="preserve"> M.,</w:t>
      </w:r>
      <w:r w:rsidRPr="00707B1A">
        <w:rPr>
          <w:rFonts w:ascii="Times New Roman" w:eastAsia="Calibri" w:hAnsi="Times New Roman"/>
          <w:bCs/>
          <w:sz w:val="18"/>
          <w:szCs w:val="18"/>
        </w:rPr>
        <w:t xml:space="preserve"> </w:t>
      </w:r>
      <w:r w:rsidRPr="00707B1A">
        <w:rPr>
          <w:rFonts w:ascii="Times New Roman" w:hAnsi="Times New Roman"/>
          <w:color w:val="1B1C20"/>
          <w:sz w:val="18"/>
          <w:szCs w:val="18"/>
          <w:lang w:val="en-US"/>
        </w:rPr>
        <w:t>&amp;</w:t>
      </w:r>
      <w:r w:rsidRPr="00707B1A">
        <w:rPr>
          <w:rFonts w:ascii="Times New Roman" w:eastAsia="Calibri" w:hAnsi="Times New Roman"/>
          <w:bCs/>
          <w:sz w:val="18"/>
          <w:szCs w:val="18"/>
        </w:rPr>
        <w:t xml:space="preserve"> </w:t>
      </w:r>
      <w:r w:rsidRPr="00707B1A">
        <w:rPr>
          <w:rFonts w:ascii="Times New Roman" w:hAnsi="Times New Roman"/>
          <w:color w:val="auto"/>
          <w:sz w:val="18"/>
          <w:szCs w:val="18"/>
          <w:lang w:val="en-US"/>
        </w:rPr>
        <w:t>Urošević, S. (2016b). Uticaj sive protivgradne mreže na vegetativni i generativni potencijal borovnice (</w:t>
      </w:r>
      <w:r w:rsidRPr="007C0222">
        <w:rPr>
          <w:rFonts w:ascii="Times New Roman" w:hAnsi="Times New Roman"/>
          <w:i/>
          <w:color w:val="auto"/>
          <w:sz w:val="18"/>
          <w:szCs w:val="18"/>
          <w:lang w:val="en-US"/>
          <w:rPrChange w:id="1" w:author="SnO" w:date="2017-12-01T12:30:00Z">
            <w:rPr>
              <w:rFonts w:ascii="Times New Roman" w:hAnsi="Times New Roman"/>
              <w:color w:val="auto"/>
              <w:sz w:val="18"/>
              <w:szCs w:val="18"/>
              <w:lang w:val="en-US"/>
            </w:rPr>
          </w:rPrChange>
        </w:rPr>
        <w:t>Vaccinium corymbosum</w:t>
      </w:r>
      <w:r w:rsidRPr="00707B1A">
        <w:rPr>
          <w:rFonts w:ascii="Times New Roman" w:hAnsi="Times New Roman"/>
          <w:color w:val="auto"/>
          <w:sz w:val="18"/>
          <w:szCs w:val="18"/>
          <w:lang w:val="en-US"/>
        </w:rPr>
        <w:t xml:space="preserve"> L.) sorte ‘Bluecrop’. </w:t>
      </w:r>
      <w:r w:rsidRPr="00707B1A">
        <w:rPr>
          <w:rFonts w:ascii="Times New Roman" w:hAnsi="Times New Roman"/>
          <w:i/>
          <w:color w:val="auto"/>
          <w:sz w:val="18"/>
          <w:szCs w:val="18"/>
          <w:lang w:val="en-US"/>
        </w:rPr>
        <w:t xml:space="preserve">Voćarstvo, </w:t>
      </w:r>
      <w:r w:rsidRPr="00707B1A">
        <w:rPr>
          <w:rFonts w:ascii="Times New Roman" w:hAnsi="Times New Roman"/>
          <w:color w:val="auto"/>
          <w:sz w:val="18"/>
          <w:szCs w:val="18"/>
          <w:lang w:val="en-US"/>
        </w:rPr>
        <w:t>50 (195-196), 111-117.</w:t>
      </w:r>
    </w:p>
    <w:p w:rsidR="00A806E9" w:rsidRPr="00707B1A" w:rsidRDefault="00A806E9" w:rsidP="00707B1A">
      <w:pPr>
        <w:autoSpaceDE w:val="0"/>
        <w:autoSpaceDN w:val="0"/>
        <w:adjustRightInd w:val="0"/>
        <w:ind w:left="426" w:hanging="426"/>
        <w:jc w:val="both"/>
        <w:rPr>
          <w:sz w:val="18"/>
          <w:szCs w:val="18"/>
        </w:rPr>
      </w:pPr>
      <w:r w:rsidRPr="00707B1A">
        <w:rPr>
          <w:sz w:val="18"/>
          <w:szCs w:val="18"/>
          <w:lang w:val="sr-Latn-CS"/>
        </w:rPr>
        <w:t xml:space="preserve">Milivojević, J., Maksimović, V., Dragišić Maksimović, J., Radivojević, D., Poledica, M., </w:t>
      </w:r>
      <w:r w:rsidRPr="00707B1A">
        <w:rPr>
          <w:color w:val="1B1C20"/>
          <w:sz w:val="18"/>
          <w:szCs w:val="18"/>
          <w:lang w:val="en-US"/>
        </w:rPr>
        <w:t xml:space="preserve">&amp; </w:t>
      </w:r>
      <w:r w:rsidRPr="00707B1A">
        <w:rPr>
          <w:sz w:val="18"/>
          <w:szCs w:val="18"/>
          <w:lang w:val="sr-Latn-CS"/>
        </w:rPr>
        <w:t xml:space="preserve">Ercişli, S. (2012). </w:t>
      </w:r>
      <w:r w:rsidRPr="00707B1A">
        <w:rPr>
          <w:bCs/>
          <w:sz w:val="18"/>
          <w:szCs w:val="18"/>
        </w:rPr>
        <w:t xml:space="preserve">A comparison of major taste- and health-related compounds of </w:t>
      </w:r>
      <w:r w:rsidRPr="00707B1A">
        <w:rPr>
          <w:bCs/>
          <w:i/>
          <w:iCs/>
          <w:sz w:val="18"/>
          <w:szCs w:val="18"/>
        </w:rPr>
        <w:t xml:space="preserve">Vaccinium </w:t>
      </w:r>
      <w:r w:rsidRPr="00707B1A">
        <w:rPr>
          <w:bCs/>
          <w:sz w:val="18"/>
          <w:szCs w:val="18"/>
        </w:rPr>
        <w:t xml:space="preserve">berries. </w:t>
      </w:r>
      <w:r w:rsidRPr="00707B1A">
        <w:rPr>
          <w:i/>
          <w:sz w:val="18"/>
          <w:szCs w:val="18"/>
        </w:rPr>
        <w:t>Turkish Journal of Biology,</w:t>
      </w:r>
      <w:r w:rsidRPr="00707B1A">
        <w:rPr>
          <w:bCs/>
          <w:i/>
          <w:sz w:val="18"/>
          <w:szCs w:val="18"/>
        </w:rPr>
        <w:t xml:space="preserve"> </w:t>
      </w:r>
      <w:r w:rsidRPr="00707B1A">
        <w:rPr>
          <w:bCs/>
          <w:sz w:val="18"/>
          <w:szCs w:val="18"/>
        </w:rPr>
        <w:t>36,</w:t>
      </w:r>
      <w:r w:rsidRPr="00707B1A">
        <w:rPr>
          <w:bCs/>
          <w:i/>
          <w:sz w:val="18"/>
          <w:szCs w:val="18"/>
        </w:rPr>
        <w:t xml:space="preserve"> </w:t>
      </w:r>
      <w:r w:rsidRPr="00707B1A">
        <w:rPr>
          <w:bCs/>
          <w:sz w:val="18"/>
          <w:szCs w:val="18"/>
        </w:rPr>
        <w:t>738-745.</w:t>
      </w:r>
    </w:p>
    <w:p w:rsidR="00A806E9" w:rsidRPr="00707B1A" w:rsidRDefault="00A806E9" w:rsidP="00707B1A">
      <w:pPr>
        <w:autoSpaceDE w:val="0"/>
        <w:autoSpaceDN w:val="0"/>
        <w:adjustRightInd w:val="0"/>
        <w:ind w:left="426" w:hanging="426"/>
        <w:jc w:val="both"/>
        <w:rPr>
          <w:rFonts w:eastAsia="Calibri"/>
          <w:bCs/>
          <w:sz w:val="18"/>
          <w:szCs w:val="18"/>
          <w:lang w:val="sr-Latn-CS"/>
        </w:rPr>
      </w:pPr>
      <w:r w:rsidRPr="00707B1A">
        <w:rPr>
          <w:color w:val="1B1C20"/>
          <w:sz w:val="18"/>
          <w:szCs w:val="18"/>
          <w:lang w:val="en-US"/>
        </w:rPr>
        <w:t>Mikulic</w:t>
      </w:r>
      <w:r w:rsidR="00CD5B5F">
        <w:rPr>
          <w:color w:val="1B1C20"/>
          <w:sz w:val="18"/>
          <w:szCs w:val="18"/>
          <w:lang w:val="en-US"/>
        </w:rPr>
        <w:t>-</w:t>
      </w:r>
      <w:r w:rsidRPr="00707B1A">
        <w:rPr>
          <w:color w:val="1B1C20"/>
          <w:sz w:val="18"/>
          <w:szCs w:val="18"/>
          <w:lang w:val="en-US"/>
        </w:rPr>
        <w:t>Petkovsek, M., Schmitzer, V., Slatnar, A., Stampar, F., &amp; Veberic, R. (2015). A comparison of fruit quality parameters of wild bilberry (</w:t>
      </w:r>
      <w:r w:rsidRPr="007C0222">
        <w:rPr>
          <w:i/>
          <w:iCs/>
          <w:color w:val="1B1C20"/>
          <w:sz w:val="18"/>
          <w:szCs w:val="18"/>
          <w:lang w:val="en-US"/>
          <w:rPrChange w:id="2" w:author="SnO" w:date="2017-12-01T12:31:00Z">
            <w:rPr>
              <w:iCs/>
              <w:color w:val="1B1C20"/>
              <w:sz w:val="18"/>
              <w:szCs w:val="18"/>
              <w:lang w:val="en-US"/>
            </w:rPr>
          </w:rPrChange>
        </w:rPr>
        <w:t>Vaccinium myrtillus</w:t>
      </w:r>
      <w:r w:rsidRPr="00707B1A">
        <w:rPr>
          <w:i/>
          <w:iCs/>
          <w:color w:val="1B1C20"/>
          <w:sz w:val="18"/>
          <w:szCs w:val="18"/>
          <w:lang w:val="en-US"/>
        </w:rPr>
        <w:t xml:space="preserve"> </w:t>
      </w:r>
      <w:r w:rsidRPr="00707B1A">
        <w:rPr>
          <w:color w:val="1B1C20"/>
          <w:sz w:val="18"/>
          <w:szCs w:val="18"/>
          <w:lang w:val="en-US"/>
        </w:rPr>
        <w:t xml:space="preserve">L.) growing at different locations. </w:t>
      </w:r>
      <w:r w:rsidRPr="00707B1A">
        <w:rPr>
          <w:i/>
          <w:color w:val="1B1C20"/>
          <w:sz w:val="18"/>
          <w:szCs w:val="18"/>
          <w:lang w:val="en-US"/>
        </w:rPr>
        <w:t xml:space="preserve">Journal of the Science of Food and Agriculture, </w:t>
      </w:r>
      <w:r w:rsidRPr="00707B1A">
        <w:rPr>
          <w:color w:val="1B1C20"/>
          <w:sz w:val="18"/>
          <w:szCs w:val="18"/>
          <w:lang w:val="en-US"/>
        </w:rPr>
        <w:t>95,</w:t>
      </w:r>
      <w:r w:rsidRPr="00707B1A">
        <w:rPr>
          <w:i/>
          <w:color w:val="1B1C20"/>
          <w:sz w:val="18"/>
          <w:szCs w:val="18"/>
          <w:lang w:val="en-US"/>
        </w:rPr>
        <w:t xml:space="preserve"> </w:t>
      </w:r>
      <w:r w:rsidRPr="00707B1A">
        <w:rPr>
          <w:color w:val="1B1C20"/>
          <w:sz w:val="18"/>
          <w:szCs w:val="18"/>
          <w:lang w:val="en-US"/>
        </w:rPr>
        <w:t>776</w:t>
      </w:r>
      <w:r w:rsidR="00707B1A">
        <w:rPr>
          <w:rFonts w:eastAsia="txsy"/>
          <w:color w:val="1B1C20"/>
          <w:sz w:val="18"/>
          <w:szCs w:val="18"/>
          <w:lang w:val="en-US"/>
        </w:rPr>
        <w:t>-</w:t>
      </w:r>
      <w:r w:rsidRPr="00707B1A">
        <w:rPr>
          <w:color w:val="1B1C20"/>
          <w:sz w:val="18"/>
          <w:szCs w:val="18"/>
          <w:lang w:val="en-US"/>
        </w:rPr>
        <w:t>785.</w:t>
      </w:r>
    </w:p>
    <w:p w:rsidR="00A806E9" w:rsidRPr="00707B1A" w:rsidRDefault="00A806E9" w:rsidP="00707B1A">
      <w:pPr>
        <w:autoSpaceDE w:val="0"/>
        <w:autoSpaceDN w:val="0"/>
        <w:adjustRightInd w:val="0"/>
        <w:ind w:left="426" w:hanging="426"/>
        <w:jc w:val="both"/>
        <w:rPr>
          <w:color w:val="1B1C20"/>
          <w:sz w:val="18"/>
          <w:szCs w:val="18"/>
          <w:lang w:val="en-US"/>
        </w:rPr>
      </w:pPr>
      <w:r w:rsidRPr="00707B1A">
        <w:rPr>
          <w:color w:val="1B1C20"/>
          <w:sz w:val="18"/>
          <w:szCs w:val="18"/>
          <w:lang w:val="en-US"/>
        </w:rPr>
        <w:t xml:space="preserve">Solomakhin, A., &amp; Blanke, M. (2010). The microclimate under coloured hailnets affects leaf and fruit temperature, leaf anatomy, vegetative and reproductive growth as well as fruit colouration in apple. </w:t>
      </w:r>
      <w:r w:rsidRPr="00707B1A">
        <w:rPr>
          <w:i/>
          <w:color w:val="1B1C20"/>
          <w:sz w:val="18"/>
          <w:szCs w:val="18"/>
          <w:lang w:val="en-US"/>
        </w:rPr>
        <w:t xml:space="preserve">Annals of Applied Biology, </w:t>
      </w:r>
      <w:r w:rsidRPr="00707B1A">
        <w:rPr>
          <w:color w:val="1B1C20"/>
          <w:sz w:val="18"/>
          <w:szCs w:val="18"/>
          <w:lang w:val="en-US"/>
        </w:rPr>
        <w:t>156, 121</w:t>
      </w:r>
      <w:r w:rsidR="00707B1A">
        <w:rPr>
          <w:rFonts w:eastAsia="txsy"/>
          <w:color w:val="1B1C20"/>
          <w:sz w:val="18"/>
          <w:szCs w:val="18"/>
          <w:lang w:val="en-US"/>
        </w:rPr>
        <w:t>-</w:t>
      </w:r>
      <w:r w:rsidRPr="00707B1A">
        <w:rPr>
          <w:color w:val="1B1C20"/>
          <w:sz w:val="18"/>
          <w:szCs w:val="18"/>
          <w:lang w:val="en-US"/>
        </w:rPr>
        <w:t>136.</w:t>
      </w:r>
    </w:p>
    <w:p w:rsidR="00A806E9" w:rsidRPr="00707B1A" w:rsidRDefault="00A806E9" w:rsidP="00707B1A">
      <w:pPr>
        <w:autoSpaceDE w:val="0"/>
        <w:autoSpaceDN w:val="0"/>
        <w:adjustRightInd w:val="0"/>
        <w:ind w:left="426" w:hanging="426"/>
        <w:jc w:val="both"/>
        <w:rPr>
          <w:sz w:val="18"/>
          <w:szCs w:val="18"/>
          <w:highlight w:val="yellow"/>
        </w:rPr>
      </w:pPr>
      <w:r w:rsidRPr="00707B1A">
        <w:rPr>
          <w:iCs/>
          <w:sz w:val="18"/>
          <w:szCs w:val="18"/>
        </w:rPr>
        <w:t xml:space="preserve">Skupień, K. (2006). </w:t>
      </w:r>
      <w:r w:rsidRPr="00707B1A">
        <w:rPr>
          <w:bCs/>
          <w:sz w:val="18"/>
          <w:szCs w:val="18"/>
        </w:rPr>
        <w:t>Chemical composition of selected cultivars of highbush blueberry fruit (</w:t>
      </w:r>
      <w:r w:rsidRPr="00B32520">
        <w:rPr>
          <w:bCs/>
          <w:iCs/>
          <w:sz w:val="18"/>
          <w:szCs w:val="18"/>
        </w:rPr>
        <w:t>Vaccinium corymbosum</w:t>
      </w:r>
      <w:r w:rsidRPr="00707B1A">
        <w:rPr>
          <w:bCs/>
          <w:i/>
          <w:iCs/>
          <w:sz w:val="18"/>
          <w:szCs w:val="18"/>
        </w:rPr>
        <w:t xml:space="preserve"> </w:t>
      </w:r>
      <w:r w:rsidRPr="00707B1A">
        <w:rPr>
          <w:bCs/>
          <w:sz w:val="18"/>
          <w:szCs w:val="18"/>
        </w:rPr>
        <w:t xml:space="preserve">L.). </w:t>
      </w:r>
      <w:r w:rsidRPr="00707B1A">
        <w:rPr>
          <w:bCs/>
          <w:i/>
          <w:sz w:val="18"/>
          <w:szCs w:val="18"/>
        </w:rPr>
        <w:t xml:space="preserve">Folia Horticulturae, </w:t>
      </w:r>
      <w:r w:rsidRPr="00707B1A">
        <w:rPr>
          <w:sz w:val="18"/>
          <w:szCs w:val="18"/>
        </w:rPr>
        <w:t>18/2, 47-56.</w:t>
      </w:r>
    </w:p>
    <w:p w:rsidR="00A806E9" w:rsidRPr="00707B1A" w:rsidRDefault="00A806E9" w:rsidP="00707B1A">
      <w:pPr>
        <w:autoSpaceDE w:val="0"/>
        <w:autoSpaceDN w:val="0"/>
        <w:adjustRightInd w:val="0"/>
        <w:ind w:left="426" w:hanging="426"/>
        <w:jc w:val="both"/>
        <w:rPr>
          <w:b/>
          <w:sz w:val="18"/>
          <w:szCs w:val="18"/>
          <w:lang w:val="sr-Latn-CS"/>
        </w:rPr>
      </w:pPr>
      <w:r w:rsidRPr="00707B1A">
        <w:rPr>
          <w:color w:val="1B1C20"/>
          <w:sz w:val="18"/>
          <w:szCs w:val="18"/>
          <w:lang w:val="en-US"/>
        </w:rPr>
        <w:t xml:space="preserve">Tanny, J., Cohen, S., Grava, A., Naor, A., &amp; Lukyanov, V. (2009). The effect of shading screens on microclimate of apple orchards. </w:t>
      </w:r>
      <w:r w:rsidRPr="00707B1A">
        <w:rPr>
          <w:i/>
          <w:color w:val="1B1C20"/>
          <w:sz w:val="18"/>
          <w:szCs w:val="18"/>
          <w:lang w:val="en-US"/>
        </w:rPr>
        <w:t xml:space="preserve">Acta Horticulturae, </w:t>
      </w:r>
      <w:r w:rsidRPr="00707B1A">
        <w:rPr>
          <w:color w:val="1B1C20"/>
          <w:sz w:val="18"/>
          <w:szCs w:val="18"/>
          <w:lang w:val="en-US"/>
        </w:rPr>
        <w:t>807, 103</w:t>
      </w:r>
      <w:r w:rsidR="00707B1A">
        <w:rPr>
          <w:rFonts w:eastAsia="txsy"/>
          <w:color w:val="1B1C20"/>
          <w:sz w:val="18"/>
          <w:szCs w:val="18"/>
          <w:lang w:val="en-US"/>
        </w:rPr>
        <w:t>-</w:t>
      </w:r>
      <w:r w:rsidRPr="00707B1A">
        <w:rPr>
          <w:color w:val="1B1C20"/>
          <w:sz w:val="18"/>
          <w:szCs w:val="18"/>
          <w:lang w:val="en-US"/>
        </w:rPr>
        <w:t>108.</w:t>
      </w:r>
    </w:p>
    <w:p w:rsidR="00A806E9" w:rsidRPr="00707B1A" w:rsidRDefault="00A806E9" w:rsidP="00A806E9">
      <w:pPr>
        <w:autoSpaceDE w:val="0"/>
        <w:autoSpaceDN w:val="0"/>
        <w:adjustRightInd w:val="0"/>
        <w:rPr>
          <w:bCs/>
          <w:sz w:val="22"/>
          <w:szCs w:val="22"/>
          <w:lang w:val="sl-SI"/>
        </w:rPr>
      </w:pPr>
    </w:p>
    <w:p w:rsidR="007A4B8C" w:rsidRPr="00707B1A" w:rsidRDefault="007A4B8C" w:rsidP="00E350CC">
      <w:pPr>
        <w:ind w:left="426" w:hanging="426"/>
        <w:jc w:val="both"/>
        <w:rPr>
          <w:sz w:val="22"/>
          <w:szCs w:val="22"/>
        </w:rPr>
      </w:pPr>
    </w:p>
    <w:p w:rsidR="00755B82" w:rsidRPr="00707B1A" w:rsidRDefault="00755B82" w:rsidP="00E350CC">
      <w:pPr>
        <w:ind w:left="426" w:hanging="426"/>
        <w:jc w:val="both"/>
        <w:rPr>
          <w:sz w:val="22"/>
          <w:szCs w:val="22"/>
        </w:rPr>
      </w:pPr>
    </w:p>
    <w:p w:rsidR="00755B82" w:rsidRPr="00707B1A" w:rsidRDefault="00755B82" w:rsidP="00E350CC">
      <w:pPr>
        <w:ind w:left="426" w:hanging="426"/>
        <w:jc w:val="both"/>
        <w:rPr>
          <w:sz w:val="22"/>
          <w:szCs w:val="22"/>
        </w:rPr>
      </w:pPr>
    </w:p>
    <w:p w:rsidR="007A4B8C" w:rsidRPr="007C0222" w:rsidRDefault="00C7265C" w:rsidP="007A4B8C">
      <w:pPr>
        <w:autoSpaceDE w:val="0"/>
        <w:autoSpaceDN w:val="0"/>
        <w:adjustRightInd w:val="0"/>
        <w:ind w:left="709" w:hanging="709"/>
        <w:jc w:val="right"/>
        <w:rPr>
          <w:sz w:val="18"/>
          <w:szCs w:val="18"/>
        </w:rPr>
      </w:pPr>
      <w:r w:rsidRPr="007C0222">
        <w:rPr>
          <w:sz w:val="18"/>
          <w:szCs w:val="18"/>
        </w:rPr>
        <w:t xml:space="preserve">Primljeno: </w:t>
      </w:r>
      <w:r w:rsidR="007C0222" w:rsidRPr="007C0222">
        <w:rPr>
          <w:sz w:val="18"/>
          <w:szCs w:val="18"/>
        </w:rPr>
        <w:t>13</w:t>
      </w:r>
      <w:r w:rsidR="007A4B8C" w:rsidRPr="007C0222">
        <w:rPr>
          <w:sz w:val="18"/>
          <w:szCs w:val="18"/>
        </w:rPr>
        <w:t xml:space="preserve">. </w:t>
      </w:r>
      <w:r w:rsidR="007C0222" w:rsidRPr="007C0222">
        <w:rPr>
          <w:sz w:val="18"/>
          <w:szCs w:val="18"/>
        </w:rPr>
        <w:t>marta</w:t>
      </w:r>
      <w:r w:rsidR="008916EF" w:rsidRPr="007C0222">
        <w:rPr>
          <w:sz w:val="18"/>
          <w:szCs w:val="18"/>
        </w:rPr>
        <w:t xml:space="preserve"> </w:t>
      </w:r>
      <w:r w:rsidR="002F42C3" w:rsidRPr="007C0222">
        <w:rPr>
          <w:sz w:val="18"/>
          <w:szCs w:val="18"/>
        </w:rPr>
        <w:t>201</w:t>
      </w:r>
      <w:r w:rsidR="00EB7469" w:rsidRPr="007C0222">
        <w:rPr>
          <w:sz w:val="18"/>
          <w:szCs w:val="18"/>
        </w:rPr>
        <w:t>7</w:t>
      </w:r>
      <w:r w:rsidR="007A4B8C" w:rsidRPr="007C0222">
        <w:rPr>
          <w:sz w:val="18"/>
          <w:szCs w:val="18"/>
        </w:rPr>
        <w:t>.</w:t>
      </w:r>
    </w:p>
    <w:p w:rsidR="007A4B8C" w:rsidRDefault="007A4B8C" w:rsidP="007A4B8C">
      <w:pPr>
        <w:autoSpaceDE w:val="0"/>
        <w:autoSpaceDN w:val="0"/>
        <w:adjustRightInd w:val="0"/>
        <w:ind w:left="709" w:hanging="709"/>
        <w:jc w:val="right"/>
        <w:rPr>
          <w:sz w:val="18"/>
          <w:szCs w:val="18"/>
        </w:rPr>
      </w:pPr>
      <w:r w:rsidRPr="007C0222">
        <w:rPr>
          <w:sz w:val="18"/>
          <w:szCs w:val="18"/>
        </w:rPr>
        <w:t xml:space="preserve">Odobreno: </w:t>
      </w:r>
      <w:r w:rsidR="007C0222" w:rsidRPr="007C0222">
        <w:rPr>
          <w:sz w:val="18"/>
          <w:szCs w:val="18"/>
        </w:rPr>
        <w:t>7</w:t>
      </w:r>
      <w:r w:rsidRPr="007C0222">
        <w:rPr>
          <w:sz w:val="18"/>
          <w:szCs w:val="18"/>
        </w:rPr>
        <w:t>.</w:t>
      </w:r>
      <w:r w:rsidR="008916EF" w:rsidRPr="007C0222">
        <w:rPr>
          <w:sz w:val="18"/>
          <w:szCs w:val="18"/>
        </w:rPr>
        <w:t xml:space="preserve"> </w:t>
      </w:r>
      <w:r w:rsidR="007C0222" w:rsidRPr="007C0222">
        <w:rPr>
          <w:sz w:val="18"/>
          <w:szCs w:val="18"/>
        </w:rPr>
        <w:t>septembra</w:t>
      </w:r>
      <w:r w:rsidR="008916EF" w:rsidRPr="007C0222">
        <w:rPr>
          <w:sz w:val="18"/>
          <w:szCs w:val="18"/>
        </w:rPr>
        <w:t xml:space="preserve"> </w:t>
      </w:r>
      <w:r w:rsidR="00C7265C" w:rsidRPr="007C0222">
        <w:rPr>
          <w:sz w:val="18"/>
          <w:szCs w:val="18"/>
        </w:rPr>
        <w:t>201</w:t>
      </w:r>
      <w:r w:rsidR="002F42C3" w:rsidRPr="007C0222">
        <w:rPr>
          <w:sz w:val="18"/>
          <w:szCs w:val="18"/>
        </w:rPr>
        <w:t>7</w:t>
      </w:r>
      <w:r w:rsidRPr="007C0222">
        <w:rPr>
          <w:sz w:val="18"/>
          <w:szCs w:val="18"/>
        </w:rPr>
        <w:t>.</w:t>
      </w:r>
    </w:p>
    <w:p w:rsidR="007A4B8C" w:rsidRPr="00707B1A" w:rsidRDefault="007A4B8C" w:rsidP="0019645B">
      <w:pPr>
        <w:ind w:left="720" w:hanging="720"/>
        <w:jc w:val="both"/>
        <w:rPr>
          <w:sz w:val="22"/>
          <w:szCs w:val="22"/>
        </w:rPr>
      </w:pPr>
    </w:p>
    <w:p w:rsidR="00C7265C" w:rsidRPr="00707B1A" w:rsidRDefault="00C7265C" w:rsidP="0019645B">
      <w:pPr>
        <w:ind w:left="720" w:hanging="720"/>
        <w:jc w:val="both"/>
        <w:rPr>
          <w:sz w:val="22"/>
          <w:szCs w:val="22"/>
        </w:rPr>
      </w:pPr>
    </w:p>
    <w:p w:rsidR="00C7265C" w:rsidRDefault="00C7265C"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AF1C40" w:rsidRDefault="00AF1C40" w:rsidP="0019645B">
      <w:pPr>
        <w:ind w:left="720" w:hanging="720"/>
        <w:jc w:val="both"/>
        <w:rPr>
          <w:sz w:val="22"/>
          <w:szCs w:val="22"/>
        </w:rPr>
      </w:pPr>
    </w:p>
    <w:p w:rsidR="00625DAC" w:rsidRDefault="00A806E9" w:rsidP="00707B1A">
      <w:pPr>
        <w:autoSpaceDE w:val="0"/>
        <w:autoSpaceDN w:val="0"/>
        <w:adjustRightInd w:val="0"/>
        <w:jc w:val="center"/>
        <w:rPr>
          <w:sz w:val="22"/>
          <w:szCs w:val="22"/>
        </w:rPr>
      </w:pPr>
      <w:r w:rsidRPr="00707B1A">
        <w:rPr>
          <w:bCs/>
          <w:sz w:val="22"/>
          <w:szCs w:val="22"/>
          <w:lang w:val="sl-SI"/>
        </w:rPr>
        <w:lastRenderedPageBreak/>
        <w:t xml:space="preserve">EFFECT OF A GREY HAIL PROTECTION NET </w:t>
      </w:r>
      <w:r w:rsidRPr="00707B1A">
        <w:rPr>
          <w:sz w:val="22"/>
          <w:szCs w:val="22"/>
        </w:rPr>
        <w:t xml:space="preserve">ON THE FRUIT </w:t>
      </w:r>
    </w:p>
    <w:p w:rsidR="00625DAC" w:rsidRDefault="00A806E9" w:rsidP="00707B1A">
      <w:pPr>
        <w:autoSpaceDE w:val="0"/>
        <w:autoSpaceDN w:val="0"/>
        <w:adjustRightInd w:val="0"/>
        <w:jc w:val="center"/>
        <w:rPr>
          <w:sz w:val="22"/>
          <w:szCs w:val="22"/>
        </w:rPr>
      </w:pPr>
      <w:r w:rsidRPr="00707B1A">
        <w:rPr>
          <w:sz w:val="22"/>
          <w:szCs w:val="22"/>
        </w:rPr>
        <w:t xml:space="preserve">QUALITY OF THE </w:t>
      </w:r>
      <w:r w:rsidRPr="00707B1A">
        <w:rPr>
          <w:sz w:val="22"/>
          <w:szCs w:val="22"/>
          <w:lang w:val="en-US"/>
        </w:rPr>
        <w:t>‘</w:t>
      </w:r>
      <w:r w:rsidRPr="00707B1A">
        <w:rPr>
          <w:sz w:val="22"/>
          <w:szCs w:val="22"/>
        </w:rPr>
        <w:t xml:space="preserve">BLUECROP’ HIGHBUSH </w:t>
      </w:r>
      <w:r w:rsidRPr="00292D6B">
        <w:rPr>
          <w:sz w:val="22"/>
          <w:szCs w:val="22"/>
        </w:rPr>
        <w:t xml:space="preserve">BLUEBERRY </w:t>
      </w:r>
    </w:p>
    <w:p w:rsidR="00A806E9" w:rsidRPr="00292D6B" w:rsidRDefault="00A806E9" w:rsidP="00707B1A">
      <w:pPr>
        <w:autoSpaceDE w:val="0"/>
        <w:autoSpaceDN w:val="0"/>
        <w:adjustRightInd w:val="0"/>
        <w:jc w:val="center"/>
        <w:rPr>
          <w:b/>
          <w:sz w:val="22"/>
          <w:szCs w:val="22"/>
        </w:rPr>
      </w:pPr>
      <w:r w:rsidRPr="00292D6B">
        <w:rPr>
          <w:sz w:val="22"/>
          <w:szCs w:val="22"/>
        </w:rPr>
        <w:t>(</w:t>
      </w:r>
      <w:r w:rsidR="00625DAC" w:rsidRPr="00292D6B">
        <w:rPr>
          <w:i/>
          <w:sz w:val="22"/>
          <w:szCs w:val="22"/>
        </w:rPr>
        <w:t>VACCINIUM CORYMBOSUM</w:t>
      </w:r>
      <w:r w:rsidR="00625DAC" w:rsidRPr="00292D6B">
        <w:rPr>
          <w:sz w:val="22"/>
          <w:szCs w:val="22"/>
        </w:rPr>
        <w:t xml:space="preserve"> </w:t>
      </w:r>
      <w:r w:rsidRPr="00292D6B">
        <w:rPr>
          <w:sz w:val="22"/>
          <w:szCs w:val="22"/>
        </w:rPr>
        <w:t>L.)</w:t>
      </w:r>
    </w:p>
    <w:p w:rsidR="00A806E9" w:rsidRPr="00292D6B" w:rsidRDefault="00A806E9" w:rsidP="00707B1A">
      <w:pPr>
        <w:autoSpaceDE w:val="0"/>
        <w:autoSpaceDN w:val="0"/>
        <w:adjustRightInd w:val="0"/>
        <w:jc w:val="center"/>
        <w:rPr>
          <w:bCs/>
          <w:sz w:val="22"/>
          <w:szCs w:val="22"/>
          <w:lang w:val="sl-SI"/>
        </w:rPr>
      </w:pPr>
    </w:p>
    <w:p w:rsidR="00A806E9" w:rsidRPr="00292D6B" w:rsidRDefault="00A806E9" w:rsidP="00707B1A">
      <w:pPr>
        <w:autoSpaceDE w:val="0"/>
        <w:autoSpaceDN w:val="0"/>
        <w:adjustRightInd w:val="0"/>
        <w:jc w:val="center"/>
        <w:rPr>
          <w:b/>
          <w:sz w:val="22"/>
          <w:szCs w:val="22"/>
          <w:lang w:val="sl-SI"/>
        </w:rPr>
      </w:pPr>
      <w:r w:rsidRPr="00292D6B">
        <w:rPr>
          <w:b/>
          <w:bCs/>
          <w:sz w:val="22"/>
          <w:szCs w:val="22"/>
          <w:lang w:val="sl-SI"/>
        </w:rPr>
        <w:t>Jasminka M. Milivojević</w:t>
      </w:r>
      <w:r w:rsidRPr="00292D6B">
        <w:rPr>
          <w:b/>
          <w:bCs/>
          <w:sz w:val="22"/>
          <w:szCs w:val="22"/>
          <w:vertAlign w:val="superscript"/>
        </w:rPr>
        <w:t>1</w:t>
      </w:r>
      <w:r w:rsidRPr="00292D6B">
        <w:rPr>
          <w:rStyle w:val="FootnoteReference"/>
          <w:b/>
          <w:bCs/>
          <w:sz w:val="22"/>
          <w:szCs w:val="22"/>
        </w:rPr>
        <w:footnoteReference w:customMarkFollows="1" w:id="3"/>
        <w:t>*</w:t>
      </w:r>
      <w:r w:rsidRPr="00292D6B">
        <w:rPr>
          <w:b/>
          <w:bCs/>
          <w:sz w:val="22"/>
          <w:szCs w:val="22"/>
          <w:lang w:val="sl-SI"/>
        </w:rPr>
        <w:t>, Dragan D. Radivojević</w:t>
      </w:r>
      <w:r w:rsidRPr="00292D6B">
        <w:rPr>
          <w:b/>
          <w:bCs/>
          <w:sz w:val="22"/>
          <w:szCs w:val="22"/>
          <w:vertAlign w:val="superscript"/>
          <w:lang w:val="sl-SI"/>
        </w:rPr>
        <w:t>1</w:t>
      </w:r>
      <w:r w:rsidRPr="00292D6B">
        <w:rPr>
          <w:b/>
          <w:bCs/>
          <w:sz w:val="22"/>
          <w:szCs w:val="22"/>
          <w:lang w:val="sl-SI"/>
        </w:rPr>
        <w:t>, Mirjana M. Ruml</w:t>
      </w:r>
      <w:r w:rsidRPr="00292D6B">
        <w:rPr>
          <w:b/>
          <w:bCs/>
          <w:sz w:val="22"/>
          <w:szCs w:val="22"/>
          <w:vertAlign w:val="superscript"/>
          <w:lang w:val="sl-SI"/>
        </w:rPr>
        <w:t>1</w:t>
      </w:r>
      <w:r w:rsidRPr="00292D6B">
        <w:rPr>
          <w:b/>
          <w:bCs/>
          <w:sz w:val="22"/>
          <w:szCs w:val="22"/>
          <w:lang w:val="sl-SI"/>
        </w:rPr>
        <w:t xml:space="preserve">, </w:t>
      </w:r>
      <w:r w:rsidRPr="00292D6B">
        <w:rPr>
          <w:rFonts w:eastAsia="Calibri"/>
          <w:b/>
          <w:sz w:val="22"/>
          <w:szCs w:val="22"/>
          <w:lang w:val="sr-Latn-CS"/>
        </w:rPr>
        <w:t>Suzana S. Urošević</w:t>
      </w:r>
      <w:r w:rsidRPr="00292D6B">
        <w:rPr>
          <w:rFonts w:eastAsia="Calibri"/>
          <w:b/>
          <w:sz w:val="22"/>
          <w:szCs w:val="22"/>
          <w:vertAlign w:val="superscript"/>
          <w:lang w:val="sr-Latn-CS"/>
        </w:rPr>
        <w:t>1</w:t>
      </w:r>
      <w:r w:rsidRPr="00292D6B">
        <w:rPr>
          <w:rFonts w:eastAsia="Calibri"/>
          <w:b/>
          <w:sz w:val="22"/>
          <w:szCs w:val="22"/>
          <w:lang w:val="sr-Latn-CS"/>
        </w:rPr>
        <w:t xml:space="preserve"> and </w:t>
      </w:r>
      <w:r w:rsidRPr="00292D6B">
        <w:rPr>
          <w:rFonts w:eastAsia="Calibri"/>
          <w:b/>
          <w:sz w:val="22"/>
          <w:szCs w:val="22"/>
          <w:vertAlign w:val="superscript"/>
          <w:lang w:val="sr-Latn-CS"/>
        </w:rPr>
        <w:t xml:space="preserve"> </w:t>
      </w:r>
      <w:r w:rsidRPr="00292D6B">
        <w:rPr>
          <w:rFonts w:eastAsia="Calibri"/>
          <w:b/>
          <w:sz w:val="22"/>
          <w:szCs w:val="22"/>
          <w:lang w:val="sr-Latn-CS"/>
        </w:rPr>
        <w:t>Jelena J. Dragišić Maksimović</w:t>
      </w:r>
      <w:r w:rsidRPr="00292D6B">
        <w:rPr>
          <w:rFonts w:eastAsia="Calibri"/>
          <w:b/>
          <w:sz w:val="22"/>
          <w:szCs w:val="22"/>
          <w:vertAlign w:val="superscript"/>
          <w:lang w:val="sr-Latn-CS"/>
        </w:rPr>
        <w:t>2</w:t>
      </w:r>
    </w:p>
    <w:p w:rsidR="00A806E9" w:rsidRPr="00292D6B" w:rsidRDefault="00A806E9" w:rsidP="00707B1A">
      <w:pPr>
        <w:jc w:val="center"/>
        <w:rPr>
          <w:bCs/>
          <w:sz w:val="22"/>
          <w:szCs w:val="22"/>
          <w:lang w:val="sl-SI"/>
        </w:rPr>
      </w:pPr>
    </w:p>
    <w:p w:rsidR="00A806E9" w:rsidRPr="00292D6B" w:rsidRDefault="00A806E9" w:rsidP="00707B1A">
      <w:pPr>
        <w:jc w:val="center"/>
        <w:rPr>
          <w:sz w:val="22"/>
          <w:szCs w:val="22"/>
        </w:rPr>
      </w:pPr>
      <w:r w:rsidRPr="00292D6B">
        <w:rPr>
          <w:sz w:val="22"/>
          <w:szCs w:val="22"/>
          <w:vertAlign w:val="superscript"/>
        </w:rPr>
        <w:t>1</w:t>
      </w:r>
      <w:r w:rsidRPr="00292D6B">
        <w:rPr>
          <w:sz w:val="22"/>
          <w:szCs w:val="22"/>
        </w:rPr>
        <w:t>University of Belgrade, Faculty of Agriculture,</w:t>
      </w:r>
    </w:p>
    <w:p w:rsidR="00A806E9" w:rsidRPr="00292D6B" w:rsidRDefault="00A806E9" w:rsidP="00707B1A">
      <w:pPr>
        <w:jc w:val="center"/>
        <w:rPr>
          <w:sz w:val="22"/>
          <w:szCs w:val="22"/>
        </w:rPr>
      </w:pPr>
      <w:r w:rsidRPr="00292D6B">
        <w:rPr>
          <w:sz w:val="22"/>
          <w:szCs w:val="22"/>
        </w:rPr>
        <w:t>Nemanjina 6, 11080 Belgrade-Zemun, Serbia</w:t>
      </w:r>
    </w:p>
    <w:p w:rsidR="00707B1A" w:rsidRPr="00292D6B" w:rsidRDefault="00A806E9" w:rsidP="00707B1A">
      <w:pPr>
        <w:jc w:val="center"/>
        <w:rPr>
          <w:sz w:val="22"/>
          <w:szCs w:val="22"/>
        </w:rPr>
      </w:pPr>
      <w:r w:rsidRPr="00292D6B">
        <w:rPr>
          <w:sz w:val="22"/>
          <w:szCs w:val="22"/>
          <w:vertAlign w:val="superscript"/>
        </w:rPr>
        <w:t>2</w:t>
      </w:r>
      <w:r w:rsidRPr="00292D6B">
        <w:rPr>
          <w:sz w:val="22"/>
          <w:szCs w:val="22"/>
        </w:rPr>
        <w:t xml:space="preserve">University of Belgrade, Institute for Multidisciplinary Research, </w:t>
      </w:r>
    </w:p>
    <w:p w:rsidR="00A806E9" w:rsidRPr="00292D6B" w:rsidRDefault="00A806E9" w:rsidP="00707B1A">
      <w:pPr>
        <w:jc w:val="center"/>
        <w:rPr>
          <w:sz w:val="22"/>
          <w:szCs w:val="22"/>
        </w:rPr>
      </w:pPr>
      <w:r w:rsidRPr="00292D6B">
        <w:rPr>
          <w:sz w:val="22"/>
          <w:szCs w:val="22"/>
        </w:rPr>
        <w:t xml:space="preserve">Kneza Višeslava </w:t>
      </w:r>
      <w:r w:rsidRPr="00292D6B">
        <w:rPr>
          <w:rFonts w:eastAsia="Calibri"/>
          <w:sz w:val="22"/>
          <w:szCs w:val="22"/>
        </w:rPr>
        <w:t xml:space="preserve">1a, 11030 </w:t>
      </w:r>
      <w:r w:rsidRPr="00292D6B">
        <w:rPr>
          <w:rFonts w:eastAsia="Calibri"/>
          <w:sz w:val="22"/>
          <w:szCs w:val="22"/>
          <w:lang w:val="it-IT"/>
        </w:rPr>
        <w:t xml:space="preserve">Belgrade, </w:t>
      </w:r>
      <w:r w:rsidRPr="00292D6B">
        <w:rPr>
          <w:sz w:val="22"/>
          <w:szCs w:val="22"/>
        </w:rPr>
        <w:t>Serbia</w:t>
      </w:r>
    </w:p>
    <w:p w:rsidR="0019645B" w:rsidRPr="00292D6B" w:rsidRDefault="0019645B" w:rsidP="00AF1C40">
      <w:pPr>
        <w:jc w:val="center"/>
        <w:rPr>
          <w:sz w:val="22"/>
          <w:szCs w:val="22"/>
        </w:rPr>
      </w:pPr>
    </w:p>
    <w:p w:rsidR="002F42C3" w:rsidRPr="00292D6B" w:rsidRDefault="002F42C3" w:rsidP="00AF1C40">
      <w:pPr>
        <w:jc w:val="center"/>
        <w:rPr>
          <w:bCs/>
          <w:sz w:val="22"/>
          <w:szCs w:val="22"/>
          <w:lang w:val="sr-Latn-CS"/>
        </w:rPr>
      </w:pPr>
      <w:r w:rsidRPr="00292D6B">
        <w:rPr>
          <w:bCs/>
          <w:sz w:val="22"/>
          <w:szCs w:val="22"/>
          <w:lang w:val="sr-Latn-CS"/>
        </w:rPr>
        <w:t>A</w:t>
      </w:r>
      <w:r w:rsidR="003A07F7" w:rsidRPr="00292D6B">
        <w:rPr>
          <w:bCs/>
          <w:sz w:val="22"/>
          <w:szCs w:val="22"/>
          <w:lang w:val="sr-Latn-CS"/>
        </w:rPr>
        <w:t xml:space="preserve"> </w:t>
      </w:r>
      <w:r w:rsidRPr="00292D6B">
        <w:rPr>
          <w:bCs/>
          <w:sz w:val="22"/>
          <w:szCs w:val="22"/>
          <w:lang w:val="sr-Latn-CS"/>
        </w:rPr>
        <w:t>b</w:t>
      </w:r>
      <w:r w:rsidR="003A07F7" w:rsidRPr="00292D6B">
        <w:rPr>
          <w:bCs/>
          <w:sz w:val="22"/>
          <w:szCs w:val="22"/>
          <w:lang w:val="sr-Latn-CS"/>
        </w:rPr>
        <w:t xml:space="preserve"> </w:t>
      </w:r>
      <w:r w:rsidRPr="00292D6B">
        <w:rPr>
          <w:bCs/>
          <w:sz w:val="22"/>
          <w:szCs w:val="22"/>
          <w:lang w:val="sr-Latn-CS"/>
        </w:rPr>
        <w:t>s</w:t>
      </w:r>
      <w:r w:rsidR="003A07F7" w:rsidRPr="00292D6B">
        <w:rPr>
          <w:bCs/>
          <w:sz w:val="22"/>
          <w:szCs w:val="22"/>
          <w:lang w:val="sr-Latn-CS"/>
        </w:rPr>
        <w:t xml:space="preserve"> </w:t>
      </w:r>
      <w:r w:rsidRPr="00292D6B">
        <w:rPr>
          <w:bCs/>
          <w:sz w:val="22"/>
          <w:szCs w:val="22"/>
          <w:lang w:val="sr-Latn-CS"/>
        </w:rPr>
        <w:t>t</w:t>
      </w:r>
      <w:r w:rsidR="003A07F7" w:rsidRPr="00292D6B">
        <w:rPr>
          <w:bCs/>
          <w:sz w:val="22"/>
          <w:szCs w:val="22"/>
          <w:lang w:val="sr-Latn-CS"/>
        </w:rPr>
        <w:t xml:space="preserve"> </w:t>
      </w:r>
      <w:r w:rsidRPr="00292D6B">
        <w:rPr>
          <w:bCs/>
          <w:sz w:val="22"/>
          <w:szCs w:val="22"/>
          <w:lang w:val="sr-Latn-CS"/>
        </w:rPr>
        <w:t>r</w:t>
      </w:r>
      <w:r w:rsidR="003A07F7" w:rsidRPr="00292D6B">
        <w:rPr>
          <w:bCs/>
          <w:sz w:val="22"/>
          <w:szCs w:val="22"/>
          <w:lang w:val="sr-Latn-CS"/>
        </w:rPr>
        <w:t xml:space="preserve"> </w:t>
      </w:r>
      <w:r w:rsidRPr="00292D6B">
        <w:rPr>
          <w:bCs/>
          <w:sz w:val="22"/>
          <w:szCs w:val="22"/>
          <w:lang w:val="sr-Latn-CS"/>
        </w:rPr>
        <w:t>a</w:t>
      </w:r>
      <w:r w:rsidR="003A07F7" w:rsidRPr="00292D6B">
        <w:rPr>
          <w:bCs/>
          <w:sz w:val="22"/>
          <w:szCs w:val="22"/>
          <w:lang w:val="sr-Latn-CS"/>
        </w:rPr>
        <w:t xml:space="preserve"> </w:t>
      </w:r>
      <w:r w:rsidRPr="00292D6B">
        <w:rPr>
          <w:bCs/>
          <w:sz w:val="22"/>
          <w:szCs w:val="22"/>
          <w:lang w:val="sr-Latn-CS"/>
        </w:rPr>
        <w:t>c</w:t>
      </w:r>
      <w:r w:rsidR="003A07F7" w:rsidRPr="00292D6B">
        <w:rPr>
          <w:bCs/>
          <w:sz w:val="22"/>
          <w:szCs w:val="22"/>
          <w:lang w:val="sr-Latn-CS"/>
        </w:rPr>
        <w:t xml:space="preserve"> </w:t>
      </w:r>
      <w:r w:rsidRPr="00292D6B">
        <w:rPr>
          <w:bCs/>
          <w:sz w:val="22"/>
          <w:szCs w:val="22"/>
          <w:lang w:val="sr-Latn-CS"/>
        </w:rPr>
        <w:t>t</w:t>
      </w:r>
    </w:p>
    <w:p w:rsidR="002F42C3" w:rsidRPr="00292D6B" w:rsidRDefault="002F42C3" w:rsidP="00AF1C40">
      <w:pPr>
        <w:jc w:val="center"/>
        <w:rPr>
          <w:sz w:val="22"/>
          <w:szCs w:val="22"/>
        </w:rPr>
      </w:pPr>
    </w:p>
    <w:p w:rsidR="00A806E9" w:rsidRPr="00292D6B" w:rsidRDefault="00A806E9" w:rsidP="00707B1A">
      <w:pPr>
        <w:ind w:firstLine="426"/>
        <w:jc w:val="both"/>
        <w:rPr>
          <w:color w:val="131413"/>
          <w:sz w:val="22"/>
          <w:szCs w:val="22"/>
        </w:rPr>
      </w:pPr>
      <w:r w:rsidRPr="00292D6B">
        <w:rPr>
          <w:rFonts w:eastAsia="Calibri"/>
          <w:sz w:val="22"/>
          <w:szCs w:val="22"/>
          <w:lang w:val="sr-Latn-CS"/>
        </w:rPr>
        <w:t>The main</w:t>
      </w:r>
      <w:r w:rsidRPr="00292D6B">
        <w:rPr>
          <w:rFonts w:eastAsia="Calibri"/>
          <w:sz w:val="22"/>
          <w:szCs w:val="22"/>
        </w:rPr>
        <w:t xml:space="preserve"> focus of </w:t>
      </w:r>
      <w:r w:rsidRPr="00292D6B">
        <w:rPr>
          <w:sz w:val="22"/>
          <w:szCs w:val="22"/>
        </w:rPr>
        <w:t xml:space="preserve">our study </w:t>
      </w:r>
      <w:r w:rsidRPr="00292D6B">
        <w:rPr>
          <w:rFonts w:eastAsia="Calibri"/>
          <w:sz w:val="22"/>
          <w:szCs w:val="22"/>
        </w:rPr>
        <w:t xml:space="preserve">was </w:t>
      </w:r>
      <w:r w:rsidRPr="00292D6B">
        <w:rPr>
          <w:sz w:val="22"/>
          <w:szCs w:val="22"/>
        </w:rPr>
        <w:t xml:space="preserve">to investigate effects of the modified microclimate under a grey hail protection net </w:t>
      </w:r>
      <w:r w:rsidRPr="00292D6B">
        <w:rPr>
          <w:sz w:val="22"/>
          <w:szCs w:val="22"/>
          <w:lang w:val="sr-Latn-CS"/>
        </w:rPr>
        <w:t xml:space="preserve">(HPN) </w:t>
      </w:r>
      <w:r w:rsidRPr="00292D6B">
        <w:rPr>
          <w:sz w:val="22"/>
          <w:szCs w:val="22"/>
        </w:rPr>
        <w:t xml:space="preserve">on </w:t>
      </w:r>
      <w:r w:rsidRPr="00292D6B">
        <w:rPr>
          <w:rFonts w:eastAsia="Calibri"/>
          <w:sz w:val="22"/>
          <w:szCs w:val="22"/>
        </w:rPr>
        <w:t xml:space="preserve">biometrical fruit characteristics (fruit weight, index of fruit shape, and seed number per fruit) and nutritional value (soluble solid content </w:t>
      </w:r>
      <w:r w:rsidRPr="00292D6B">
        <w:rPr>
          <w:rFonts w:eastAsia="Calibri" w:hAnsi="Cambria Math"/>
          <w:sz w:val="22"/>
          <w:szCs w:val="22"/>
        </w:rPr>
        <w:t>‒</w:t>
      </w:r>
      <w:r w:rsidRPr="00292D6B">
        <w:rPr>
          <w:rFonts w:eastAsia="Calibri"/>
          <w:sz w:val="22"/>
          <w:szCs w:val="22"/>
        </w:rPr>
        <w:t xml:space="preserve"> </w:t>
      </w:r>
      <w:r w:rsidRPr="00292D6B">
        <w:rPr>
          <w:color w:val="131413"/>
          <w:sz w:val="22"/>
          <w:szCs w:val="22"/>
        </w:rPr>
        <w:t>SSC</w:t>
      </w:r>
      <w:r w:rsidRPr="00292D6B">
        <w:rPr>
          <w:rFonts w:eastAsia="Calibri"/>
          <w:sz w:val="22"/>
          <w:szCs w:val="22"/>
        </w:rPr>
        <w:t xml:space="preserve">, titratable acidity </w:t>
      </w:r>
      <w:r w:rsidRPr="00292D6B">
        <w:rPr>
          <w:rFonts w:eastAsia="Calibri" w:hAnsi="Cambria Math"/>
          <w:sz w:val="22"/>
          <w:szCs w:val="22"/>
        </w:rPr>
        <w:t>‒</w:t>
      </w:r>
      <w:r w:rsidRPr="00292D6B">
        <w:rPr>
          <w:rFonts w:eastAsia="Calibri"/>
          <w:sz w:val="22"/>
          <w:szCs w:val="22"/>
        </w:rPr>
        <w:t xml:space="preserve"> TA, total anthocyanins </w:t>
      </w:r>
      <w:r w:rsidRPr="00292D6B">
        <w:rPr>
          <w:rFonts w:eastAsia="Calibri" w:hAnsi="Cambria Math"/>
          <w:sz w:val="22"/>
          <w:szCs w:val="22"/>
        </w:rPr>
        <w:t>‒</w:t>
      </w:r>
      <w:r w:rsidRPr="00292D6B">
        <w:rPr>
          <w:rFonts w:eastAsia="Calibri"/>
          <w:sz w:val="22"/>
          <w:szCs w:val="22"/>
        </w:rPr>
        <w:t xml:space="preserve"> TACY, total phenolics </w:t>
      </w:r>
      <w:r w:rsidRPr="00292D6B">
        <w:rPr>
          <w:rFonts w:eastAsia="Calibri" w:hAnsi="Cambria Math"/>
          <w:sz w:val="22"/>
          <w:szCs w:val="22"/>
        </w:rPr>
        <w:t>‒</w:t>
      </w:r>
      <w:r w:rsidRPr="00292D6B">
        <w:rPr>
          <w:rFonts w:eastAsia="Calibri"/>
          <w:sz w:val="22"/>
          <w:szCs w:val="22"/>
        </w:rPr>
        <w:t xml:space="preserve"> TPH and total antioxidant capacity </w:t>
      </w:r>
      <w:r w:rsidRPr="00292D6B">
        <w:rPr>
          <w:rFonts w:eastAsia="Calibri" w:hAnsi="Cambria Math"/>
          <w:sz w:val="22"/>
          <w:szCs w:val="22"/>
        </w:rPr>
        <w:t>‒</w:t>
      </w:r>
      <w:r w:rsidRPr="00292D6B">
        <w:rPr>
          <w:rFonts w:eastAsia="Calibri"/>
          <w:sz w:val="22"/>
          <w:szCs w:val="22"/>
        </w:rPr>
        <w:t xml:space="preserve"> TAC) of the </w:t>
      </w:r>
      <w:r w:rsidRPr="00292D6B">
        <w:rPr>
          <w:sz w:val="22"/>
          <w:szCs w:val="22"/>
          <w:lang w:val="en-US"/>
        </w:rPr>
        <w:t>‘</w:t>
      </w:r>
      <w:r w:rsidRPr="00292D6B">
        <w:rPr>
          <w:sz w:val="22"/>
          <w:szCs w:val="22"/>
        </w:rPr>
        <w:t>Bluecrop’</w:t>
      </w:r>
      <w:r w:rsidRPr="00292D6B">
        <w:rPr>
          <w:rFonts w:eastAsia="Calibri"/>
          <w:sz w:val="22"/>
          <w:szCs w:val="22"/>
        </w:rPr>
        <w:t xml:space="preserve"> highbush blueberry (</w:t>
      </w:r>
      <w:r w:rsidRPr="00292D6B">
        <w:rPr>
          <w:rFonts w:eastAsia="Calibri"/>
          <w:i/>
          <w:sz w:val="22"/>
          <w:szCs w:val="22"/>
        </w:rPr>
        <w:t>Vaccinium corymbosum</w:t>
      </w:r>
      <w:r w:rsidRPr="00292D6B">
        <w:rPr>
          <w:rFonts w:eastAsia="Calibri"/>
          <w:sz w:val="22"/>
          <w:szCs w:val="22"/>
        </w:rPr>
        <w:t xml:space="preserve"> L.). </w:t>
      </w:r>
      <w:r w:rsidRPr="00292D6B">
        <w:rPr>
          <w:rFonts w:eastAsia="TimesNewRomanPSMT"/>
          <w:sz w:val="22"/>
          <w:szCs w:val="22"/>
        </w:rPr>
        <w:t xml:space="preserve">The study was conducted in the </w:t>
      </w:r>
      <w:r w:rsidRPr="00292D6B">
        <w:rPr>
          <w:sz w:val="22"/>
          <w:szCs w:val="22"/>
          <w:lang w:val="en-US"/>
        </w:rPr>
        <w:t>‘</w:t>
      </w:r>
      <w:r w:rsidRPr="00292D6B">
        <w:rPr>
          <w:sz w:val="22"/>
          <w:szCs w:val="22"/>
        </w:rPr>
        <w:t>Bluecrop’</w:t>
      </w:r>
      <w:r w:rsidRPr="00292D6B">
        <w:rPr>
          <w:rFonts w:eastAsia="TimesNewRomanPSMT"/>
          <w:sz w:val="22"/>
          <w:szCs w:val="22"/>
        </w:rPr>
        <w:t xml:space="preserve"> highbush blueberry plantation located in Mladenovac (Serbia) during </w:t>
      </w:r>
      <w:r w:rsidRPr="00292D6B">
        <w:rPr>
          <w:sz w:val="22"/>
          <w:szCs w:val="22"/>
        </w:rPr>
        <w:t>two consecutive years (2013, 2014)</w:t>
      </w:r>
      <w:r w:rsidRPr="00292D6B">
        <w:rPr>
          <w:rFonts w:eastAsia="Calibri"/>
          <w:sz w:val="22"/>
          <w:szCs w:val="22"/>
        </w:rPr>
        <w:t xml:space="preserve">. The orchard was established </w:t>
      </w:r>
      <w:r w:rsidRPr="00292D6B">
        <w:rPr>
          <w:sz w:val="22"/>
          <w:szCs w:val="22"/>
        </w:rPr>
        <w:t>using</w:t>
      </w:r>
      <w:r w:rsidRPr="00292D6B">
        <w:rPr>
          <w:rFonts w:eastAsia="Calibri"/>
          <w:sz w:val="22"/>
          <w:szCs w:val="22"/>
        </w:rPr>
        <w:t xml:space="preserve"> </w:t>
      </w:r>
      <w:r w:rsidRPr="00292D6B">
        <w:rPr>
          <w:sz w:val="22"/>
          <w:szCs w:val="22"/>
        </w:rPr>
        <w:t>two-year-old nursery trees</w:t>
      </w:r>
      <w:r w:rsidRPr="00292D6B">
        <w:rPr>
          <w:rFonts w:eastAsia="Calibri"/>
          <w:sz w:val="22"/>
          <w:szCs w:val="22"/>
        </w:rPr>
        <w:t xml:space="preserve"> in spring 2011, </w:t>
      </w:r>
      <w:r w:rsidRPr="00292D6B">
        <w:rPr>
          <w:sz w:val="22"/>
          <w:szCs w:val="22"/>
        </w:rPr>
        <w:t>at a planting density of 3,300 bushes per ha.</w:t>
      </w:r>
      <w:r w:rsidRPr="00292D6B">
        <w:rPr>
          <w:rFonts w:eastAsia="Calibri"/>
          <w:sz w:val="22"/>
          <w:szCs w:val="22"/>
          <w:lang w:val="sr-Latn-CS"/>
        </w:rPr>
        <w:t xml:space="preserve"> </w:t>
      </w:r>
      <w:r w:rsidRPr="00292D6B">
        <w:rPr>
          <w:rFonts w:eastAsia="TimesNewRomanPSMT"/>
          <w:sz w:val="22"/>
          <w:szCs w:val="22"/>
        </w:rPr>
        <w:t>The grey polyethylene net</w:t>
      </w:r>
      <w:r w:rsidRPr="00292D6B">
        <w:rPr>
          <w:rFonts w:eastAsia="TimesNewRomanPSMT"/>
          <w:i/>
          <w:sz w:val="22"/>
          <w:szCs w:val="22"/>
        </w:rPr>
        <w:t xml:space="preserve"> </w:t>
      </w:r>
      <w:r w:rsidRPr="00292D6B">
        <w:rPr>
          <w:rFonts w:eastAsia="TimesNewRomanPSMT"/>
          <w:sz w:val="22"/>
          <w:szCs w:val="22"/>
        </w:rPr>
        <w:t>(SILVERLUX</w:t>
      </w:r>
      <w:r w:rsidRPr="00292D6B">
        <w:rPr>
          <w:rFonts w:eastAsia="TimesNewRomanPSMT"/>
          <w:sz w:val="22"/>
          <w:szCs w:val="22"/>
          <w:vertAlign w:val="superscript"/>
        </w:rPr>
        <w:t>®</w:t>
      </w:r>
      <w:r w:rsidRPr="00292D6B">
        <w:rPr>
          <w:rFonts w:eastAsia="TimesNewRomanPSMT"/>
          <w:sz w:val="22"/>
          <w:szCs w:val="22"/>
        </w:rPr>
        <w:t xml:space="preserve">, Helios Group, Lurano, Italy) with a Leno wave structure and a mesh size of 2.8 x 8 mm was used. </w:t>
      </w:r>
      <w:r w:rsidRPr="00292D6B">
        <w:rPr>
          <w:sz w:val="22"/>
          <w:szCs w:val="22"/>
        </w:rPr>
        <w:t xml:space="preserve">During the research period, </w:t>
      </w:r>
      <w:r w:rsidRPr="00292D6B">
        <w:rPr>
          <w:rFonts w:eastAsia="TimesNewRomanPSMT"/>
          <w:sz w:val="22"/>
          <w:szCs w:val="22"/>
        </w:rPr>
        <w:t xml:space="preserve">light intensity </w:t>
      </w:r>
      <w:r w:rsidRPr="00292D6B">
        <w:rPr>
          <w:sz w:val="22"/>
          <w:szCs w:val="22"/>
        </w:rPr>
        <w:t xml:space="preserve">was measured weekly at 12.00 hr using a </w:t>
      </w:r>
      <w:r w:rsidRPr="00292D6B">
        <w:rPr>
          <w:sz w:val="22"/>
          <w:szCs w:val="22"/>
          <w:lang w:val="sr-Latn-CS"/>
        </w:rPr>
        <w:t xml:space="preserve">digital lux-meter </w:t>
      </w:r>
      <w:r w:rsidRPr="00292D6B">
        <w:rPr>
          <w:sz w:val="22"/>
          <w:szCs w:val="22"/>
          <w:lang w:val="en-US"/>
        </w:rPr>
        <w:t>‘</w:t>
      </w:r>
      <w:r w:rsidRPr="00292D6B">
        <w:rPr>
          <w:sz w:val="22"/>
          <w:szCs w:val="22"/>
          <w:lang w:val="sr-Latn-CS"/>
        </w:rPr>
        <w:t>Peak teck</w:t>
      </w:r>
      <w:r w:rsidRPr="00292D6B">
        <w:rPr>
          <w:sz w:val="22"/>
          <w:szCs w:val="22"/>
        </w:rPr>
        <w:t>’</w:t>
      </w:r>
      <w:r w:rsidRPr="00292D6B">
        <w:rPr>
          <w:sz w:val="22"/>
          <w:szCs w:val="22"/>
          <w:lang w:val="sr-Latn-CS"/>
        </w:rPr>
        <w:t xml:space="preserve"> PT-5025 (Germany)</w:t>
      </w:r>
      <w:r w:rsidRPr="00292D6B">
        <w:rPr>
          <w:sz w:val="22"/>
          <w:szCs w:val="22"/>
        </w:rPr>
        <w:t xml:space="preserve">. </w:t>
      </w:r>
      <w:r w:rsidRPr="00292D6B">
        <w:rPr>
          <w:rFonts w:eastAsia="TimesNewRomanPSMT"/>
          <w:sz w:val="22"/>
          <w:szCs w:val="22"/>
        </w:rPr>
        <w:t xml:space="preserve">Air temperature and relative humidity within the canopy were recorded using </w:t>
      </w:r>
      <w:r w:rsidRPr="00292D6B">
        <w:rPr>
          <w:sz w:val="22"/>
          <w:szCs w:val="22"/>
          <w:lang w:val="sr-Latn-CS"/>
        </w:rPr>
        <w:t>climate dataloggers (type DT-171,</w:t>
      </w:r>
      <w:r w:rsidRPr="00292D6B">
        <w:rPr>
          <w:b/>
          <w:bCs/>
          <w:sz w:val="22"/>
          <w:szCs w:val="22"/>
        </w:rPr>
        <w:t xml:space="preserve"> </w:t>
      </w:r>
      <w:r w:rsidRPr="00292D6B">
        <w:rPr>
          <w:bCs/>
          <w:sz w:val="22"/>
          <w:szCs w:val="22"/>
        </w:rPr>
        <w:t>Shenzhen Flus Technology Co., Ltd, China</w:t>
      </w:r>
      <w:r w:rsidRPr="00292D6B">
        <w:rPr>
          <w:sz w:val="22"/>
          <w:szCs w:val="22"/>
          <w:lang w:val="sr-Latn-CS"/>
        </w:rPr>
        <w:t>) both under</w:t>
      </w:r>
      <w:r w:rsidRPr="00292D6B">
        <w:rPr>
          <w:rFonts w:eastAsia="TimesNewRomanPSMT"/>
          <w:sz w:val="22"/>
          <w:szCs w:val="22"/>
        </w:rPr>
        <w:t xml:space="preserve"> HPN and in the open field (OF). Twelve readings per treatment were taken at 2-hour intervals every day in each season. </w:t>
      </w:r>
      <w:r w:rsidRPr="00292D6B">
        <w:rPr>
          <w:color w:val="231F20"/>
          <w:sz w:val="22"/>
          <w:szCs w:val="22"/>
        </w:rPr>
        <w:t>In both years of observation,</w:t>
      </w:r>
      <w:r w:rsidRPr="00292D6B">
        <w:rPr>
          <w:rFonts w:eastAsia="GulliverRM"/>
          <w:sz w:val="22"/>
          <w:szCs w:val="22"/>
        </w:rPr>
        <w:t xml:space="preserve"> light was reduced by 5</w:t>
      </w:r>
      <w:r w:rsidRPr="00292D6B">
        <w:rPr>
          <w:rFonts w:eastAsia="TimesNewRomanPSMT"/>
          <w:color w:val="050505"/>
          <w:sz w:val="22"/>
          <w:szCs w:val="22"/>
        </w:rPr>
        <w:t>–</w:t>
      </w:r>
      <w:r w:rsidRPr="00292D6B">
        <w:rPr>
          <w:rFonts w:eastAsia="GulliverRM"/>
          <w:sz w:val="22"/>
          <w:szCs w:val="22"/>
        </w:rPr>
        <w:t>20% under HPN, whereby daily maximum temperature was 2.4</w:t>
      </w:r>
      <w:r w:rsidRPr="00292D6B">
        <w:rPr>
          <w:sz w:val="22"/>
          <w:szCs w:val="22"/>
        </w:rPr>
        <w:t>°C</w:t>
      </w:r>
      <w:r w:rsidRPr="00292D6B">
        <w:rPr>
          <w:rFonts w:eastAsia="GulliverRM"/>
          <w:sz w:val="22"/>
          <w:szCs w:val="22"/>
        </w:rPr>
        <w:t xml:space="preserve"> lower </w:t>
      </w:r>
      <w:r w:rsidRPr="00292D6B">
        <w:rPr>
          <w:rFonts w:eastAsia="GulliverRM"/>
          <w:color w:val="000000"/>
          <w:sz w:val="22"/>
          <w:szCs w:val="22"/>
        </w:rPr>
        <w:t xml:space="preserve">causing 4% higher daily minimum relative air humidity than in OF. </w:t>
      </w:r>
      <w:r w:rsidRPr="00292D6B">
        <w:rPr>
          <w:sz w:val="22"/>
          <w:szCs w:val="22"/>
          <w:lang w:val="en-US"/>
        </w:rPr>
        <w:t>‘</w:t>
      </w:r>
      <w:r w:rsidRPr="00292D6B">
        <w:rPr>
          <w:sz w:val="22"/>
          <w:szCs w:val="22"/>
        </w:rPr>
        <w:t xml:space="preserve">Bluecrop’ had significantly higher average fruit weights under HPN ranging from 1.93 g (2013) to 1.86 g (2014) in comparison to those observed in OF. </w:t>
      </w:r>
      <w:r w:rsidRPr="00292D6B">
        <w:rPr>
          <w:color w:val="131413"/>
          <w:sz w:val="22"/>
          <w:szCs w:val="22"/>
        </w:rPr>
        <w:t xml:space="preserve">The SSC did not differ between the treatments in 2014, whereas a significantly higher mean value was registered in the fruits harvested under HPN (12.8%) compared to those from OF in 2013. The mean TA was higher under HPN in 2014 (0.57%), whereas in 2013 a significantly higher TA content was found in OF (0.87%). </w:t>
      </w:r>
      <w:r w:rsidRPr="00292D6B">
        <w:rPr>
          <w:sz w:val="22"/>
          <w:szCs w:val="22"/>
        </w:rPr>
        <w:t>HPN</w:t>
      </w:r>
      <w:r w:rsidRPr="00292D6B">
        <w:rPr>
          <w:color w:val="131413"/>
          <w:sz w:val="22"/>
          <w:szCs w:val="22"/>
        </w:rPr>
        <w:t xml:space="preserve"> showed a positive effect on the TPH content (7.12 </w:t>
      </w:r>
      <w:r w:rsidRPr="00292D6B">
        <w:rPr>
          <w:color w:val="000000"/>
          <w:sz w:val="22"/>
          <w:szCs w:val="22"/>
        </w:rPr>
        <w:t>mg GA/g FW)</w:t>
      </w:r>
      <w:r w:rsidRPr="00292D6B">
        <w:rPr>
          <w:color w:val="131413"/>
          <w:sz w:val="22"/>
          <w:szCs w:val="22"/>
        </w:rPr>
        <w:t xml:space="preserve">, but an almost 2-fold higher value was registered </w:t>
      </w:r>
      <w:r w:rsidRPr="00292D6B">
        <w:rPr>
          <w:color w:val="131413"/>
          <w:sz w:val="22"/>
          <w:szCs w:val="22"/>
        </w:rPr>
        <w:lastRenderedPageBreak/>
        <w:t>in 2013. Similar to this, TAC was 2.5-fold higher in 2013, without a significant effect of HPN in both experimental years.</w:t>
      </w:r>
    </w:p>
    <w:p w:rsidR="00A806E9" w:rsidRPr="00707B1A" w:rsidRDefault="00A806E9" w:rsidP="00707B1A">
      <w:pPr>
        <w:ind w:firstLine="426"/>
        <w:jc w:val="both"/>
        <w:rPr>
          <w:rFonts w:eastAsia="Calibri"/>
          <w:sz w:val="22"/>
          <w:szCs w:val="22"/>
          <w:lang w:val="sr-Latn-CS"/>
        </w:rPr>
      </w:pPr>
      <w:r w:rsidRPr="00707B1A">
        <w:rPr>
          <w:rFonts w:eastAsia="Calibri"/>
          <w:b/>
          <w:sz w:val="22"/>
          <w:szCs w:val="22"/>
          <w:lang w:val="sr-Latn-CS"/>
        </w:rPr>
        <w:t>Key words:</w:t>
      </w:r>
      <w:r w:rsidRPr="00707B1A">
        <w:rPr>
          <w:rFonts w:eastAsia="Calibri"/>
          <w:sz w:val="22"/>
          <w:szCs w:val="22"/>
          <w:lang w:val="sr-Latn-CS"/>
        </w:rPr>
        <w:t xml:space="preserve"> </w:t>
      </w:r>
      <w:r w:rsidRPr="00707B1A">
        <w:rPr>
          <w:rFonts w:eastAsia="MinionPro-Capt"/>
          <w:sz w:val="22"/>
          <w:szCs w:val="22"/>
        </w:rPr>
        <w:t xml:space="preserve">light </w:t>
      </w:r>
      <w:r w:rsidRPr="00707B1A">
        <w:rPr>
          <w:rFonts w:eastAsia="TimesNewRomanPSMT"/>
          <w:sz w:val="22"/>
          <w:szCs w:val="22"/>
        </w:rPr>
        <w:t>intensity</w:t>
      </w:r>
      <w:r w:rsidRPr="00707B1A">
        <w:rPr>
          <w:rFonts w:eastAsia="MinionPro-Capt"/>
          <w:sz w:val="22"/>
          <w:szCs w:val="22"/>
        </w:rPr>
        <w:t>,</w:t>
      </w:r>
      <w:r w:rsidRPr="00707B1A">
        <w:rPr>
          <w:rFonts w:eastAsia="Calibri"/>
          <w:sz w:val="22"/>
          <w:szCs w:val="22"/>
          <w:lang w:val="sr-Latn-CS"/>
        </w:rPr>
        <w:t xml:space="preserve"> air temperature, relative humidity, biometrical and chemical fruit characteristics.</w:t>
      </w:r>
    </w:p>
    <w:p w:rsidR="00A806E9" w:rsidRPr="00707B1A" w:rsidRDefault="00A806E9" w:rsidP="00707B1A">
      <w:pPr>
        <w:ind w:firstLine="426"/>
        <w:jc w:val="both"/>
        <w:rPr>
          <w:sz w:val="22"/>
          <w:szCs w:val="22"/>
          <w:lang w:val="sl-SI"/>
        </w:rPr>
      </w:pPr>
    </w:p>
    <w:p w:rsidR="00A806E9" w:rsidRPr="00707B1A" w:rsidRDefault="00A806E9" w:rsidP="00707B1A">
      <w:pPr>
        <w:ind w:firstLine="426"/>
        <w:jc w:val="both"/>
        <w:rPr>
          <w:sz w:val="22"/>
          <w:szCs w:val="22"/>
          <w:lang w:val="sl-SI"/>
        </w:rPr>
      </w:pPr>
    </w:p>
    <w:p w:rsidR="00B205A9" w:rsidRPr="00780327" w:rsidRDefault="00B205A9" w:rsidP="00780327">
      <w:pPr>
        <w:widowControl w:val="0"/>
        <w:ind w:firstLine="426"/>
        <w:jc w:val="both"/>
        <w:rPr>
          <w:sz w:val="22"/>
          <w:szCs w:val="22"/>
          <w:lang w:val="sr-Latn-CS"/>
        </w:rPr>
      </w:pPr>
    </w:p>
    <w:p w:rsidR="00C7265C" w:rsidRPr="00780327" w:rsidRDefault="00C7265C" w:rsidP="00780327">
      <w:pPr>
        <w:widowControl w:val="0"/>
        <w:ind w:firstLine="426"/>
        <w:jc w:val="both"/>
        <w:rPr>
          <w:sz w:val="22"/>
          <w:szCs w:val="22"/>
          <w:lang w:val="sr-Latn-CS"/>
        </w:rPr>
      </w:pPr>
    </w:p>
    <w:p w:rsidR="007A4B8C" w:rsidRPr="007C0222" w:rsidRDefault="007A4B8C" w:rsidP="007A4B8C">
      <w:pPr>
        <w:autoSpaceDE w:val="0"/>
        <w:autoSpaceDN w:val="0"/>
        <w:adjustRightInd w:val="0"/>
        <w:ind w:left="709" w:hanging="709"/>
        <w:jc w:val="right"/>
        <w:rPr>
          <w:sz w:val="18"/>
          <w:szCs w:val="18"/>
        </w:rPr>
      </w:pPr>
      <w:r w:rsidRPr="007C0222">
        <w:rPr>
          <w:sz w:val="18"/>
          <w:szCs w:val="18"/>
        </w:rPr>
        <w:t xml:space="preserve">Received: </w:t>
      </w:r>
      <w:r w:rsidR="007C0222" w:rsidRPr="007C0222">
        <w:rPr>
          <w:sz w:val="18"/>
          <w:szCs w:val="18"/>
        </w:rPr>
        <w:t>March 13</w:t>
      </w:r>
      <w:r w:rsidR="00C7265C" w:rsidRPr="007C0222">
        <w:rPr>
          <w:sz w:val="18"/>
          <w:szCs w:val="18"/>
        </w:rPr>
        <w:t>, 201</w:t>
      </w:r>
      <w:r w:rsidR="00EB7469" w:rsidRPr="007C0222">
        <w:rPr>
          <w:sz w:val="18"/>
          <w:szCs w:val="18"/>
        </w:rPr>
        <w:t>7</w:t>
      </w:r>
    </w:p>
    <w:p w:rsidR="00A47BAA" w:rsidRPr="007A4B8C" w:rsidRDefault="007A4B8C" w:rsidP="007A4B8C">
      <w:pPr>
        <w:autoSpaceDE w:val="0"/>
        <w:autoSpaceDN w:val="0"/>
        <w:adjustRightInd w:val="0"/>
        <w:ind w:left="709" w:hanging="709"/>
        <w:jc w:val="right"/>
        <w:rPr>
          <w:sz w:val="18"/>
          <w:szCs w:val="18"/>
        </w:rPr>
      </w:pPr>
      <w:r w:rsidRPr="007C0222">
        <w:rPr>
          <w:sz w:val="18"/>
          <w:szCs w:val="18"/>
        </w:rPr>
        <w:t xml:space="preserve">Accepted: </w:t>
      </w:r>
      <w:r w:rsidR="007C0222" w:rsidRPr="007C0222">
        <w:rPr>
          <w:sz w:val="18"/>
          <w:szCs w:val="18"/>
        </w:rPr>
        <w:t>September 7</w:t>
      </w:r>
      <w:r w:rsidR="00C7265C" w:rsidRPr="007C0222">
        <w:rPr>
          <w:sz w:val="18"/>
          <w:szCs w:val="18"/>
        </w:rPr>
        <w:t>, 201</w:t>
      </w:r>
      <w:r w:rsidR="002F42C3" w:rsidRPr="007C0222">
        <w:rPr>
          <w:sz w:val="18"/>
          <w:szCs w:val="18"/>
        </w:rPr>
        <w:t>7</w:t>
      </w:r>
    </w:p>
    <w:p w:rsidR="00A47BAA" w:rsidRDefault="00A47BAA" w:rsidP="00A47BAA">
      <w:pPr>
        <w:ind w:firstLine="425"/>
        <w:jc w:val="both"/>
        <w:rPr>
          <w:sz w:val="22"/>
          <w:szCs w:val="22"/>
          <w:lang w:val="sr-Latn-CS"/>
        </w:rPr>
      </w:pPr>
    </w:p>
    <w:p w:rsidR="00177B58" w:rsidRDefault="00177B58" w:rsidP="00A47BAA">
      <w:pPr>
        <w:ind w:firstLine="425"/>
        <w:jc w:val="both"/>
        <w:rPr>
          <w:sz w:val="22"/>
          <w:szCs w:val="22"/>
          <w:lang w:val="sr-Latn-CS"/>
        </w:rPr>
      </w:pPr>
    </w:p>
    <w:p w:rsidR="00C42917" w:rsidRPr="00A47BAA" w:rsidRDefault="00C42917" w:rsidP="00A47BAA">
      <w:pPr>
        <w:ind w:firstLine="425"/>
        <w:jc w:val="both"/>
        <w:rPr>
          <w:sz w:val="22"/>
          <w:szCs w:val="22"/>
          <w:lang w:val="sr-Latn-CS"/>
        </w:rPr>
      </w:pPr>
    </w:p>
    <w:sectPr w:rsidR="00C42917" w:rsidRPr="00A47BAA" w:rsidSect="00292D6B">
      <w:headerReference w:type="even" r:id="rId9"/>
      <w:headerReference w:type="default" r:id="rId10"/>
      <w:headerReference w:type="first" r:id="rId11"/>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F8C" w:rsidRDefault="00802F8C">
      <w:r>
        <w:separator/>
      </w:r>
    </w:p>
  </w:endnote>
  <w:endnote w:type="continuationSeparator" w:id="1">
    <w:p w:rsidR="00802F8C" w:rsidRDefault="00802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AdvPSAD31">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7" w:usb1="08070000" w:usb2="00000010" w:usb3="00000000" w:csb0="00020003" w:csb1="00000000"/>
  </w:font>
  <w:font w:name="Cambria Math">
    <w:panose1 w:val="02040503050406030204"/>
    <w:charset w:val="00"/>
    <w:family w:val="roman"/>
    <w:pitch w:val="variable"/>
    <w:sig w:usb0="A00002EF" w:usb1="420020EB" w:usb2="00000000" w:usb3="00000000" w:csb0="0000019F" w:csb1="00000000"/>
  </w:font>
  <w:font w:name="MinionPro-Capt">
    <w:altName w:val="MS Mincho"/>
    <w:panose1 w:val="00000000000000000000"/>
    <w:charset w:val="80"/>
    <w:family w:val="auto"/>
    <w:notTrueType/>
    <w:pitch w:val="default"/>
    <w:sig w:usb0="00000000" w:usb1="08070000" w:usb2="00000010" w:usb3="00000000" w:csb0="00020000" w:csb1="00000000"/>
  </w:font>
  <w:font w:name="txsy">
    <w:altName w:val="Arial Unicode MS"/>
    <w:panose1 w:val="00000000000000000000"/>
    <w:charset w:val="81"/>
    <w:family w:val="auto"/>
    <w:notTrueType/>
    <w:pitch w:val="default"/>
    <w:sig w:usb0="00000001" w:usb1="09060000" w:usb2="00000010" w:usb3="00000000" w:csb0="00080000" w:csb1="00000000"/>
  </w:font>
  <w:font w:name="TimesNewRoman">
    <w:altName w:val="MS Mincho"/>
    <w:panose1 w:val="00000000000000000000"/>
    <w:charset w:val="80"/>
    <w:family w:val="auto"/>
    <w:notTrueType/>
    <w:pitch w:val="default"/>
    <w:sig w:usb0="00000001" w:usb1="08070000" w:usb2="00000010" w:usb3="00000000" w:csb0="00020000" w:csb1="00000000"/>
  </w:font>
  <w:font w:name="GulliverRM">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F8C" w:rsidRDefault="00802F8C">
      <w:r>
        <w:separator/>
      </w:r>
    </w:p>
  </w:footnote>
  <w:footnote w:type="continuationSeparator" w:id="1">
    <w:p w:rsidR="00802F8C" w:rsidRDefault="00802F8C">
      <w:r>
        <w:continuationSeparator/>
      </w:r>
    </w:p>
  </w:footnote>
  <w:footnote w:id="2">
    <w:p w:rsidR="005E7A77" w:rsidRPr="00BF4127" w:rsidRDefault="005E7A77" w:rsidP="005E7A77">
      <w:pPr>
        <w:pStyle w:val="FootnoteText"/>
        <w:rPr>
          <w:sz w:val="18"/>
          <w:szCs w:val="18"/>
          <w:lang w:val="pl-PL"/>
        </w:rPr>
      </w:pPr>
      <w:r w:rsidRPr="00A47BAA">
        <w:rPr>
          <w:rStyle w:val="FootnoteReference"/>
          <w:sz w:val="18"/>
          <w:szCs w:val="18"/>
        </w:rPr>
        <w:footnoteRef/>
      </w:r>
      <w:r w:rsidRPr="00A47BAA">
        <w:rPr>
          <w:sz w:val="18"/>
          <w:szCs w:val="18"/>
          <w:lang w:val="sr-Latn-CS"/>
        </w:rPr>
        <w:t xml:space="preserve">Autor za kontakt: e-mail: </w:t>
      </w:r>
      <w:r>
        <w:rPr>
          <w:sz w:val="18"/>
          <w:szCs w:val="18"/>
          <w:lang w:val="sr-Latn-CS"/>
        </w:rPr>
        <w:t>jasminka</w:t>
      </w:r>
      <w:r w:rsidRPr="00A47BAA">
        <w:rPr>
          <w:sz w:val="18"/>
          <w:szCs w:val="18"/>
          <w:lang w:val="sr-Latn-CS"/>
        </w:rPr>
        <w:t>@agrif.bg.ac.rs</w:t>
      </w:r>
    </w:p>
  </w:footnote>
  <w:footnote w:id="3">
    <w:p w:rsidR="00A806E9" w:rsidRPr="00852E7F" w:rsidRDefault="00A806E9" w:rsidP="00A806E9">
      <w:pPr>
        <w:jc w:val="both"/>
        <w:rPr>
          <w:sz w:val="18"/>
          <w:szCs w:val="18"/>
          <w:lang w:val="sr-Latn-CS"/>
        </w:rPr>
      </w:pPr>
      <w:r w:rsidRPr="00852E7F">
        <w:rPr>
          <w:rStyle w:val="FootnoteReference"/>
          <w:sz w:val="18"/>
          <w:szCs w:val="18"/>
        </w:rPr>
        <w:t>*</w:t>
      </w:r>
      <w:r w:rsidRPr="00852E7F">
        <w:rPr>
          <w:sz w:val="18"/>
          <w:szCs w:val="18"/>
          <w:lang w:val="sr-Latn-CS"/>
        </w:rPr>
        <w:t xml:space="preserve">Corresponding author: e-mail: </w:t>
      </w:r>
      <w:r>
        <w:rPr>
          <w:sz w:val="18"/>
          <w:szCs w:val="18"/>
          <w:lang w:val="sr-Latn-CS"/>
        </w:rPr>
        <w:t>jasminka</w:t>
      </w:r>
      <w:r w:rsidRPr="00852E7F">
        <w:rPr>
          <w:sz w:val="18"/>
          <w:szCs w:val="18"/>
          <w:lang w:val="sr-Latn-CS"/>
        </w:rPr>
        <w:t>@agrif.bg.ac.rs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BD" w:rsidRPr="00292D6B" w:rsidRDefault="00623C50" w:rsidP="003E2BC8">
    <w:pPr>
      <w:pStyle w:val="Header"/>
      <w:framePr w:wrap="around" w:vAnchor="text" w:hAnchor="page" w:x="2264" w:y="24"/>
      <w:rPr>
        <w:rStyle w:val="PageNumber"/>
        <w:sz w:val="18"/>
      </w:rPr>
    </w:pPr>
    <w:r w:rsidRPr="00292D6B">
      <w:rPr>
        <w:rStyle w:val="PageNumber"/>
        <w:sz w:val="18"/>
      </w:rPr>
      <w:fldChar w:fldCharType="begin"/>
    </w:r>
    <w:r w:rsidR="004035BD" w:rsidRPr="00292D6B">
      <w:rPr>
        <w:rStyle w:val="PageNumber"/>
        <w:sz w:val="18"/>
      </w:rPr>
      <w:instrText xml:space="preserve">PAGE  </w:instrText>
    </w:r>
    <w:r w:rsidRPr="00292D6B">
      <w:rPr>
        <w:rStyle w:val="PageNumber"/>
        <w:sz w:val="18"/>
      </w:rPr>
      <w:fldChar w:fldCharType="separate"/>
    </w:r>
    <w:r w:rsidR="007C0222">
      <w:rPr>
        <w:rStyle w:val="PageNumber"/>
        <w:noProof/>
        <w:sz w:val="18"/>
      </w:rPr>
      <w:t>10</w:t>
    </w:r>
    <w:r w:rsidRPr="00292D6B">
      <w:rPr>
        <w:rStyle w:val="PageNumber"/>
        <w:sz w:val="18"/>
      </w:rPr>
      <w:fldChar w:fldCharType="end"/>
    </w:r>
  </w:p>
  <w:p w:rsidR="004035BD" w:rsidRPr="00E85354" w:rsidRDefault="005E7A77" w:rsidP="007873B0">
    <w:pPr>
      <w:pStyle w:val="Header"/>
      <w:pBdr>
        <w:bottom w:val="single" w:sz="4" w:space="1" w:color="auto"/>
      </w:pBdr>
      <w:jc w:val="center"/>
      <w:rPr>
        <w:sz w:val="18"/>
        <w:szCs w:val="18"/>
        <w:lang w:val="en-US"/>
      </w:rPr>
    </w:pPr>
    <w:r w:rsidRPr="00E85354">
      <w:rPr>
        <w:rFonts w:eastAsia="Calibri"/>
        <w:sz w:val="18"/>
        <w:szCs w:val="18"/>
        <w:lang w:val="sr-Latn-CS"/>
      </w:rPr>
      <w:t>Jasminka M. Milivojević</w:t>
    </w:r>
    <w:r w:rsidR="004035BD" w:rsidRPr="00E85354">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BD" w:rsidRPr="009C09D1" w:rsidRDefault="00623C50">
    <w:pPr>
      <w:pStyle w:val="Header"/>
      <w:framePr w:wrap="around" w:vAnchor="text" w:hAnchor="margin" w:xAlign="outside" w:y="1"/>
      <w:rPr>
        <w:rStyle w:val="PageNumber"/>
        <w:color w:val="FF0000"/>
        <w:sz w:val="18"/>
      </w:rPr>
    </w:pPr>
    <w:r w:rsidRPr="004D3E6C">
      <w:rPr>
        <w:rStyle w:val="PageNumber"/>
        <w:sz w:val="18"/>
      </w:rPr>
      <w:fldChar w:fldCharType="begin"/>
    </w:r>
    <w:r w:rsidR="004035BD" w:rsidRPr="004D3E6C">
      <w:rPr>
        <w:rStyle w:val="PageNumber"/>
        <w:sz w:val="18"/>
      </w:rPr>
      <w:instrText xml:space="preserve">PAGE  </w:instrText>
    </w:r>
    <w:r w:rsidRPr="004D3E6C">
      <w:rPr>
        <w:rStyle w:val="PageNumber"/>
        <w:sz w:val="18"/>
      </w:rPr>
      <w:fldChar w:fldCharType="separate"/>
    </w:r>
    <w:r w:rsidR="007C0222">
      <w:rPr>
        <w:rStyle w:val="PageNumber"/>
        <w:noProof/>
        <w:sz w:val="18"/>
      </w:rPr>
      <w:t>11</w:t>
    </w:r>
    <w:r w:rsidRPr="004D3E6C">
      <w:rPr>
        <w:rStyle w:val="PageNumber"/>
        <w:sz w:val="18"/>
      </w:rPr>
      <w:fldChar w:fldCharType="end"/>
    </w:r>
  </w:p>
  <w:p w:rsidR="004035BD" w:rsidRPr="007C0222" w:rsidRDefault="005E7A77" w:rsidP="005E7A77">
    <w:pPr>
      <w:pStyle w:val="Header"/>
      <w:pBdr>
        <w:bottom w:val="single" w:sz="4" w:space="1" w:color="auto"/>
      </w:pBdr>
      <w:tabs>
        <w:tab w:val="clear" w:pos="4320"/>
        <w:tab w:val="center" w:pos="3686"/>
      </w:tabs>
      <w:jc w:val="center"/>
      <w:rPr>
        <w:color w:val="FF0000"/>
        <w:sz w:val="16"/>
        <w:szCs w:val="16"/>
        <w:lang w:val="sr-Latn-CS"/>
      </w:rPr>
    </w:pPr>
    <w:r w:rsidRPr="007C0222">
      <w:rPr>
        <w:color w:val="FF0000"/>
        <w:sz w:val="16"/>
        <w:szCs w:val="16"/>
      </w:rPr>
      <w:t>Uticaj sive protivgradne mreže na kvalitet ploda borovnice (</w:t>
    </w:r>
    <w:r w:rsidRPr="007C0222">
      <w:rPr>
        <w:i/>
        <w:color w:val="FF0000"/>
        <w:sz w:val="16"/>
        <w:szCs w:val="16"/>
      </w:rPr>
      <w:t>Vaccinium corymbosum</w:t>
    </w:r>
    <w:r w:rsidRPr="007C0222">
      <w:rPr>
        <w:color w:val="FF0000"/>
        <w:sz w:val="16"/>
        <w:szCs w:val="16"/>
      </w:rPr>
      <w:t xml:space="preserve"> L.) sorte </w:t>
    </w:r>
    <w:r w:rsidRPr="007C0222">
      <w:rPr>
        <w:color w:val="FF0000"/>
        <w:sz w:val="16"/>
        <w:szCs w:val="16"/>
        <w:lang w:val="en-US"/>
      </w:rPr>
      <w:t>„</w:t>
    </w:r>
    <w:r w:rsidRPr="007C0222">
      <w:rPr>
        <w:color w:val="FF0000"/>
        <w:sz w:val="16"/>
        <w:szCs w:val="16"/>
      </w:rPr>
      <w:t>Bluecrop”</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4035BD" w:rsidRPr="00897BE7" w:rsidTr="008A1EFB">
      <w:tc>
        <w:tcPr>
          <w:tcW w:w="3686" w:type="dxa"/>
        </w:tcPr>
        <w:p w:rsidR="004035BD" w:rsidRPr="004D3E6C" w:rsidRDefault="004035BD">
          <w:pPr>
            <w:rPr>
              <w:sz w:val="18"/>
              <w:szCs w:val="18"/>
              <w:lang w:val="en-US"/>
            </w:rPr>
          </w:pPr>
          <w:r w:rsidRPr="004D3E6C">
            <w:rPr>
              <w:sz w:val="18"/>
              <w:szCs w:val="18"/>
              <w:lang w:val="en-US"/>
            </w:rPr>
            <w:t>Journal of Agricultural Sciences</w:t>
          </w:r>
        </w:p>
        <w:p w:rsidR="004035BD" w:rsidRPr="004D3E6C" w:rsidRDefault="004035BD" w:rsidP="006211A0">
          <w:pPr>
            <w:rPr>
              <w:sz w:val="18"/>
              <w:szCs w:val="18"/>
              <w:lang w:val="en-US"/>
            </w:rPr>
          </w:pPr>
          <w:r>
            <w:rPr>
              <w:sz w:val="18"/>
              <w:szCs w:val="18"/>
              <w:lang w:val="en-US"/>
            </w:rPr>
            <w:t>Vol. 62</w:t>
          </w:r>
          <w:r w:rsidRPr="004D3E6C">
            <w:rPr>
              <w:sz w:val="18"/>
              <w:szCs w:val="18"/>
              <w:lang w:val="en-US"/>
            </w:rPr>
            <w:t xml:space="preserve">, No. </w:t>
          </w:r>
          <w:r w:rsidR="005E7A77">
            <w:rPr>
              <w:sz w:val="18"/>
              <w:szCs w:val="18"/>
              <w:lang w:val="en-US"/>
            </w:rPr>
            <w:t>4</w:t>
          </w:r>
          <w:r w:rsidRPr="004D3E6C">
            <w:rPr>
              <w:sz w:val="18"/>
              <w:szCs w:val="18"/>
              <w:lang w:val="en-US"/>
            </w:rPr>
            <w:t>, 201</w:t>
          </w:r>
          <w:r>
            <w:rPr>
              <w:sz w:val="18"/>
              <w:szCs w:val="18"/>
              <w:lang w:val="en-US"/>
            </w:rPr>
            <w:t>7</w:t>
          </w:r>
        </w:p>
        <w:p w:rsidR="004035BD" w:rsidRPr="00621E03" w:rsidRDefault="004035BD" w:rsidP="005E7A77">
          <w:pPr>
            <w:tabs>
              <w:tab w:val="left" w:pos="1377"/>
            </w:tabs>
            <w:rPr>
              <w:sz w:val="18"/>
              <w:szCs w:val="18"/>
            </w:rPr>
          </w:pPr>
          <w:r w:rsidRPr="004D3E6C">
            <w:rPr>
              <w:sz w:val="18"/>
              <w:szCs w:val="18"/>
              <w:lang w:val="en-US"/>
            </w:rPr>
            <w:t xml:space="preserve">Pages </w:t>
          </w:r>
          <w:r w:rsidR="005E7A77">
            <w:rPr>
              <w:sz w:val="18"/>
              <w:szCs w:val="18"/>
              <w:lang w:val="en-US"/>
            </w:rPr>
            <w:t>XXX-XXX</w:t>
          </w:r>
        </w:p>
      </w:tc>
      <w:tc>
        <w:tcPr>
          <w:tcW w:w="3685" w:type="dxa"/>
          <w:vAlign w:val="center"/>
        </w:tcPr>
        <w:p w:rsidR="00DE2892" w:rsidRPr="00DE2892" w:rsidRDefault="00623C50" w:rsidP="008A1EFB">
          <w:pPr>
            <w:pStyle w:val="BodyText"/>
            <w:tabs>
              <w:tab w:val="right" w:leader="dot" w:pos="7371"/>
            </w:tabs>
            <w:spacing w:after="0"/>
            <w:jc w:val="right"/>
            <w:rPr>
              <w:sz w:val="18"/>
              <w:szCs w:val="18"/>
            </w:rPr>
          </w:pPr>
          <w:hyperlink r:id="rId1" w:history="1">
            <w:r w:rsidR="00DE2892" w:rsidRPr="00DE2892">
              <w:rPr>
                <w:rStyle w:val="Hyperlink"/>
                <w:color w:val="auto"/>
                <w:sz w:val="18"/>
                <w:szCs w:val="18"/>
                <w:u w:val="none"/>
              </w:rPr>
              <w:t>https://doi.org/</w:t>
            </w:r>
          </w:hyperlink>
        </w:p>
        <w:p w:rsidR="004035BD" w:rsidRPr="00DE2892" w:rsidRDefault="004035B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4035BD" w:rsidRPr="00897BE7" w:rsidRDefault="004035B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4035BD" w:rsidRPr="00621E03" w:rsidRDefault="004035BD">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24578"/>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2712"/>
    <w:rsid w:val="00043BFB"/>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1E5C"/>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938"/>
    <w:rsid w:val="00361020"/>
    <w:rsid w:val="00364F8E"/>
    <w:rsid w:val="003672C1"/>
    <w:rsid w:val="003714DF"/>
    <w:rsid w:val="003720F5"/>
    <w:rsid w:val="003729A7"/>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6C6B"/>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3C50"/>
    <w:rsid w:val="00625DAC"/>
    <w:rsid w:val="00630109"/>
    <w:rsid w:val="0063062C"/>
    <w:rsid w:val="00634E04"/>
    <w:rsid w:val="006353FE"/>
    <w:rsid w:val="0063688B"/>
    <w:rsid w:val="00636F1B"/>
    <w:rsid w:val="0063701B"/>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222"/>
    <w:rsid w:val="007C0719"/>
    <w:rsid w:val="007C0BF5"/>
    <w:rsid w:val="007C1539"/>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4E51"/>
    <w:rsid w:val="007F5C1A"/>
    <w:rsid w:val="007F5ED9"/>
    <w:rsid w:val="007F61AA"/>
    <w:rsid w:val="007F7A49"/>
    <w:rsid w:val="00802F8C"/>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1C43"/>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1E64"/>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61B4"/>
    <w:rsid w:val="00D36DE9"/>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6C2A"/>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1073-434A-40F0-8163-53A40AE9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24335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9</cp:revision>
  <cp:lastPrinted>2017-11-13T12:13:00Z</cp:lastPrinted>
  <dcterms:created xsi:type="dcterms:W3CDTF">2017-11-13T12:41:00Z</dcterms:created>
  <dcterms:modified xsi:type="dcterms:W3CDTF">2017-12-01T11:33:00Z</dcterms:modified>
</cp:coreProperties>
</file>