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drawings/drawing2.xml" ContentType="application/vnd.openxmlformats-officedocument.drawingml.chartshapes+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BAA" w:rsidRPr="000F5631" w:rsidRDefault="00A47BAA" w:rsidP="000F5631">
      <w:pPr>
        <w:jc w:val="center"/>
        <w:rPr>
          <w:sz w:val="22"/>
          <w:szCs w:val="22"/>
          <w:lang w:val="en-US" w:bidi="fa-IR"/>
        </w:rPr>
      </w:pPr>
    </w:p>
    <w:p w:rsidR="00A47BAA" w:rsidRPr="000F5631" w:rsidRDefault="00A47BAA" w:rsidP="000F5631">
      <w:pPr>
        <w:jc w:val="center"/>
        <w:rPr>
          <w:sz w:val="22"/>
          <w:szCs w:val="22"/>
        </w:rPr>
      </w:pPr>
    </w:p>
    <w:p w:rsidR="001362C8" w:rsidRPr="000F5631" w:rsidRDefault="001362C8" w:rsidP="0054325E">
      <w:pPr>
        <w:jc w:val="center"/>
        <w:rPr>
          <w:sz w:val="22"/>
          <w:szCs w:val="22"/>
        </w:rPr>
      </w:pPr>
    </w:p>
    <w:p w:rsidR="0013693B" w:rsidRDefault="0013693B" w:rsidP="0013693B">
      <w:pPr>
        <w:jc w:val="center"/>
        <w:rPr>
          <w:sz w:val="22"/>
          <w:szCs w:val="22"/>
        </w:rPr>
      </w:pPr>
      <w:r w:rsidRPr="0013693B">
        <w:rPr>
          <w:sz w:val="22"/>
          <w:szCs w:val="22"/>
          <w:lang w:val="sr-Latn-CS"/>
        </w:rPr>
        <w:t>CONTENT</w:t>
      </w:r>
      <w:r w:rsidRPr="0013693B">
        <w:rPr>
          <w:sz w:val="22"/>
          <w:szCs w:val="22"/>
        </w:rPr>
        <w:t xml:space="preserve"> OF SOME ANTIOXIDANTS IN INTERCROPPED </w:t>
      </w:r>
    </w:p>
    <w:p w:rsidR="0013693B" w:rsidRPr="0013693B" w:rsidRDefault="0013693B" w:rsidP="0013693B">
      <w:pPr>
        <w:jc w:val="center"/>
        <w:rPr>
          <w:sz w:val="22"/>
          <w:szCs w:val="22"/>
        </w:rPr>
      </w:pPr>
      <w:r w:rsidRPr="0013693B">
        <w:rPr>
          <w:sz w:val="22"/>
          <w:szCs w:val="22"/>
        </w:rPr>
        <w:t>MAIZE AND SOYBEAN GRAIN</w:t>
      </w:r>
    </w:p>
    <w:p w:rsidR="0013693B" w:rsidRDefault="0013693B" w:rsidP="00F8479B">
      <w:pPr>
        <w:jc w:val="center"/>
        <w:rPr>
          <w:sz w:val="24"/>
          <w:szCs w:val="24"/>
        </w:rPr>
      </w:pPr>
    </w:p>
    <w:p w:rsidR="0013693B" w:rsidRPr="00807164" w:rsidRDefault="0013693B" w:rsidP="0013693B">
      <w:pPr>
        <w:jc w:val="center"/>
        <w:rPr>
          <w:b/>
          <w:sz w:val="22"/>
          <w:szCs w:val="22"/>
          <w:shd w:val="clear" w:color="auto" w:fill="FFFFFF"/>
        </w:rPr>
      </w:pPr>
      <w:proofErr w:type="spellStart"/>
      <w:r w:rsidRPr="0013693B">
        <w:rPr>
          <w:b/>
          <w:sz w:val="22"/>
          <w:szCs w:val="22"/>
          <w:shd w:val="clear" w:color="auto" w:fill="FFFFFF"/>
        </w:rPr>
        <w:t>Vesna</w:t>
      </w:r>
      <w:proofErr w:type="spellEnd"/>
      <w:r w:rsidRPr="0013693B">
        <w:rPr>
          <w:b/>
          <w:sz w:val="22"/>
          <w:szCs w:val="22"/>
          <w:shd w:val="clear" w:color="auto" w:fill="FFFFFF"/>
        </w:rPr>
        <w:t xml:space="preserve"> D. Dragičević</w:t>
      </w:r>
      <w:r w:rsidR="00F8479B" w:rsidRPr="00F8479B">
        <w:rPr>
          <w:b/>
          <w:sz w:val="22"/>
          <w:szCs w:val="22"/>
          <w:shd w:val="clear" w:color="auto" w:fill="FFFFFF"/>
          <w:vertAlign w:val="superscript"/>
        </w:rPr>
        <w:t>1</w:t>
      </w:r>
      <w:r w:rsidR="00F8479B">
        <w:rPr>
          <w:rStyle w:val="FootnoteReference"/>
          <w:b/>
          <w:sz w:val="22"/>
          <w:szCs w:val="22"/>
          <w:shd w:val="clear" w:color="auto" w:fill="FFFFFF"/>
        </w:rPr>
        <w:footnoteReference w:id="1"/>
      </w:r>
      <w:r w:rsidRPr="0013693B">
        <w:rPr>
          <w:b/>
          <w:sz w:val="22"/>
          <w:szCs w:val="22"/>
          <w:shd w:val="clear" w:color="auto" w:fill="FFFFFF"/>
        </w:rPr>
        <w:t xml:space="preserve">, </w:t>
      </w:r>
      <w:proofErr w:type="spellStart"/>
      <w:r w:rsidRPr="00807164">
        <w:rPr>
          <w:b/>
          <w:sz w:val="22"/>
          <w:szCs w:val="22"/>
          <w:shd w:val="clear" w:color="auto" w:fill="FFFFFF"/>
        </w:rPr>
        <w:t>Snežana</w:t>
      </w:r>
      <w:proofErr w:type="spellEnd"/>
      <w:r w:rsidR="00711A35" w:rsidRPr="00807164">
        <w:rPr>
          <w:b/>
          <w:sz w:val="22"/>
          <w:szCs w:val="22"/>
          <w:shd w:val="clear" w:color="auto" w:fill="FFFFFF"/>
        </w:rPr>
        <w:t xml:space="preserve"> </w:t>
      </w:r>
      <w:r w:rsidR="00FC35E6" w:rsidRPr="00807164">
        <w:rPr>
          <w:b/>
          <w:sz w:val="22"/>
          <w:szCs w:val="22"/>
          <w:shd w:val="clear" w:color="auto" w:fill="FFFFFF"/>
        </w:rPr>
        <w:t>I.</w:t>
      </w:r>
      <w:r w:rsidR="00807164">
        <w:rPr>
          <w:b/>
          <w:sz w:val="22"/>
          <w:szCs w:val="22"/>
          <w:shd w:val="clear" w:color="auto" w:fill="FFFFFF"/>
        </w:rPr>
        <w:t xml:space="preserve"> </w:t>
      </w:r>
      <w:r w:rsidRPr="00807164">
        <w:rPr>
          <w:b/>
          <w:sz w:val="22"/>
          <w:szCs w:val="22"/>
          <w:shd w:val="clear" w:color="auto" w:fill="FFFFFF"/>
        </w:rPr>
        <w:t>Oljača</w:t>
      </w:r>
      <w:r w:rsidR="00F8479B" w:rsidRPr="00807164">
        <w:rPr>
          <w:b/>
          <w:sz w:val="22"/>
          <w:szCs w:val="22"/>
          <w:shd w:val="clear" w:color="auto" w:fill="FFFFFF"/>
          <w:vertAlign w:val="superscript"/>
        </w:rPr>
        <w:t>2</w:t>
      </w:r>
      <w:r w:rsidRPr="00807164">
        <w:rPr>
          <w:b/>
          <w:sz w:val="22"/>
          <w:szCs w:val="22"/>
          <w:shd w:val="clear" w:color="auto" w:fill="FFFFFF"/>
        </w:rPr>
        <w:t xml:space="preserve">, Milena </w:t>
      </w:r>
      <w:r w:rsidR="00E47B49" w:rsidRPr="00807164">
        <w:rPr>
          <w:b/>
          <w:sz w:val="22"/>
          <w:szCs w:val="22"/>
          <w:shd w:val="clear" w:color="auto" w:fill="FFFFFF"/>
        </w:rPr>
        <w:t xml:space="preserve">S. </w:t>
      </w:r>
      <w:r w:rsidRPr="00807164">
        <w:rPr>
          <w:b/>
          <w:sz w:val="22"/>
          <w:szCs w:val="22"/>
          <w:shd w:val="clear" w:color="auto" w:fill="FFFFFF"/>
        </w:rPr>
        <w:t>Simić</w:t>
      </w:r>
      <w:r w:rsidR="00F8479B" w:rsidRPr="00807164">
        <w:rPr>
          <w:b/>
          <w:sz w:val="22"/>
          <w:szCs w:val="22"/>
          <w:shd w:val="clear" w:color="auto" w:fill="FFFFFF"/>
          <w:vertAlign w:val="superscript"/>
        </w:rPr>
        <w:t>1</w:t>
      </w:r>
      <w:r w:rsidRPr="00807164">
        <w:rPr>
          <w:b/>
          <w:sz w:val="22"/>
          <w:szCs w:val="22"/>
          <w:shd w:val="clear" w:color="auto" w:fill="FFFFFF"/>
        </w:rPr>
        <w:t xml:space="preserve">, </w:t>
      </w:r>
    </w:p>
    <w:p w:rsidR="0013693B" w:rsidRPr="0013693B" w:rsidRDefault="0013693B" w:rsidP="0013693B">
      <w:pPr>
        <w:jc w:val="center"/>
        <w:rPr>
          <w:b/>
          <w:sz w:val="22"/>
          <w:szCs w:val="22"/>
          <w:shd w:val="clear" w:color="auto" w:fill="FFFFFF"/>
        </w:rPr>
      </w:pPr>
      <w:r w:rsidRPr="00807164">
        <w:rPr>
          <w:b/>
          <w:sz w:val="22"/>
          <w:szCs w:val="22"/>
          <w:shd w:val="clear" w:color="auto" w:fill="FFFFFF"/>
        </w:rPr>
        <w:t>Željko</w:t>
      </w:r>
      <w:r w:rsidR="002E5157">
        <w:rPr>
          <w:b/>
          <w:sz w:val="22"/>
          <w:szCs w:val="22"/>
          <w:shd w:val="clear" w:color="auto" w:fill="FFFFFF"/>
        </w:rPr>
        <w:t xml:space="preserve"> </w:t>
      </w:r>
      <w:r w:rsidR="00A844DC" w:rsidRPr="00807164">
        <w:rPr>
          <w:b/>
          <w:sz w:val="22"/>
          <w:szCs w:val="22"/>
          <w:shd w:val="clear" w:color="auto" w:fill="FFFFFF"/>
        </w:rPr>
        <w:t xml:space="preserve">K. </w:t>
      </w:r>
      <w:r w:rsidRPr="00807164">
        <w:rPr>
          <w:b/>
          <w:sz w:val="22"/>
          <w:szCs w:val="22"/>
          <w:shd w:val="clear" w:color="auto" w:fill="FFFFFF"/>
        </w:rPr>
        <w:t>Dolijanović</w:t>
      </w:r>
      <w:r w:rsidR="00F8479B" w:rsidRPr="00807164">
        <w:rPr>
          <w:b/>
          <w:sz w:val="22"/>
          <w:szCs w:val="22"/>
          <w:shd w:val="clear" w:color="auto" w:fill="FFFFFF"/>
          <w:vertAlign w:val="superscript"/>
        </w:rPr>
        <w:t>2</w:t>
      </w:r>
      <w:r w:rsidRPr="00807164">
        <w:rPr>
          <w:b/>
          <w:sz w:val="22"/>
          <w:szCs w:val="22"/>
          <w:shd w:val="clear" w:color="auto" w:fill="FFFFFF"/>
        </w:rPr>
        <w:t xml:space="preserve">, </w:t>
      </w:r>
      <w:proofErr w:type="spellStart"/>
      <w:r w:rsidRPr="00807164">
        <w:rPr>
          <w:b/>
          <w:sz w:val="22"/>
          <w:szCs w:val="22"/>
          <w:shd w:val="clear" w:color="auto" w:fill="FFFFFF"/>
        </w:rPr>
        <w:t>Branka</w:t>
      </w:r>
      <w:proofErr w:type="spellEnd"/>
      <w:r w:rsidR="00807164" w:rsidRPr="00807164">
        <w:rPr>
          <w:b/>
          <w:sz w:val="22"/>
          <w:szCs w:val="22"/>
          <w:shd w:val="clear" w:color="auto" w:fill="FFFFFF"/>
        </w:rPr>
        <w:t xml:space="preserve"> J. </w:t>
      </w:r>
      <w:r w:rsidRPr="00807164">
        <w:rPr>
          <w:b/>
          <w:sz w:val="22"/>
          <w:szCs w:val="22"/>
          <w:shd w:val="clear" w:color="auto" w:fill="FFFFFF"/>
        </w:rPr>
        <w:t>Kresović</w:t>
      </w:r>
      <w:r w:rsidR="00F8479B" w:rsidRPr="00807164">
        <w:rPr>
          <w:b/>
          <w:sz w:val="22"/>
          <w:szCs w:val="22"/>
          <w:shd w:val="clear" w:color="auto" w:fill="FFFFFF"/>
          <w:vertAlign w:val="superscript"/>
        </w:rPr>
        <w:t>1</w:t>
      </w:r>
      <w:r w:rsidRPr="00807164">
        <w:rPr>
          <w:b/>
          <w:sz w:val="22"/>
          <w:szCs w:val="22"/>
          <w:shd w:val="clear" w:color="auto" w:fill="FFFFFF"/>
        </w:rPr>
        <w:t xml:space="preserve"> and Milan</w:t>
      </w:r>
      <w:r w:rsidRPr="0013693B">
        <w:rPr>
          <w:b/>
          <w:sz w:val="22"/>
          <w:szCs w:val="22"/>
          <w:shd w:val="clear" w:color="auto" w:fill="FFFFFF"/>
        </w:rPr>
        <w:t xml:space="preserve"> </w:t>
      </w:r>
      <w:r w:rsidR="00807164">
        <w:rPr>
          <w:b/>
          <w:sz w:val="22"/>
          <w:szCs w:val="22"/>
          <w:shd w:val="clear" w:color="auto" w:fill="FFFFFF"/>
        </w:rPr>
        <w:t>Z.</w:t>
      </w:r>
      <w:r w:rsidR="00807164">
        <w:rPr>
          <w:b/>
          <w:color w:val="FF0000"/>
          <w:sz w:val="22"/>
          <w:szCs w:val="22"/>
          <w:shd w:val="clear" w:color="auto" w:fill="FFFFFF"/>
        </w:rPr>
        <w:t xml:space="preserve"> </w:t>
      </w:r>
      <w:r w:rsidRPr="0013693B">
        <w:rPr>
          <w:b/>
          <w:sz w:val="22"/>
          <w:szCs w:val="22"/>
          <w:shd w:val="clear" w:color="auto" w:fill="FFFFFF"/>
        </w:rPr>
        <w:t>Brankov</w:t>
      </w:r>
      <w:r w:rsidR="00F8479B" w:rsidRPr="00F8479B">
        <w:rPr>
          <w:b/>
          <w:sz w:val="22"/>
          <w:szCs w:val="22"/>
          <w:shd w:val="clear" w:color="auto" w:fill="FFFFFF"/>
          <w:vertAlign w:val="superscript"/>
        </w:rPr>
        <w:t>1</w:t>
      </w:r>
    </w:p>
    <w:p w:rsidR="0013693B" w:rsidRPr="0013693B" w:rsidRDefault="0013693B" w:rsidP="0013693B">
      <w:pPr>
        <w:jc w:val="center"/>
        <w:rPr>
          <w:sz w:val="22"/>
          <w:szCs w:val="22"/>
          <w:shd w:val="clear" w:color="auto" w:fill="FFFFFF"/>
        </w:rPr>
      </w:pPr>
    </w:p>
    <w:p w:rsidR="00F8479B" w:rsidRDefault="0013693B" w:rsidP="0013693B">
      <w:pPr>
        <w:jc w:val="center"/>
        <w:rPr>
          <w:sz w:val="22"/>
          <w:szCs w:val="22"/>
        </w:rPr>
      </w:pPr>
      <w:r w:rsidRPr="0013693B">
        <w:rPr>
          <w:sz w:val="22"/>
          <w:szCs w:val="22"/>
          <w:vertAlign w:val="superscript"/>
        </w:rPr>
        <w:t>1</w:t>
      </w:r>
      <w:r w:rsidRPr="0013693B">
        <w:rPr>
          <w:sz w:val="22"/>
          <w:szCs w:val="22"/>
        </w:rPr>
        <w:t>Maize Research Institute “</w:t>
      </w:r>
      <w:proofErr w:type="spellStart"/>
      <w:r w:rsidRPr="0013693B">
        <w:rPr>
          <w:sz w:val="22"/>
          <w:szCs w:val="22"/>
        </w:rPr>
        <w:t>Zemun</w:t>
      </w:r>
      <w:proofErr w:type="spellEnd"/>
      <w:r w:rsidR="00A844DC">
        <w:rPr>
          <w:sz w:val="22"/>
          <w:szCs w:val="22"/>
        </w:rPr>
        <w:t xml:space="preserve"> </w:t>
      </w:r>
      <w:proofErr w:type="spellStart"/>
      <w:r w:rsidRPr="0013693B">
        <w:rPr>
          <w:sz w:val="22"/>
          <w:szCs w:val="22"/>
        </w:rPr>
        <w:t>Polje</w:t>
      </w:r>
      <w:proofErr w:type="spellEnd"/>
      <w:r w:rsidRPr="0013693B">
        <w:rPr>
          <w:sz w:val="22"/>
          <w:szCs w:val="22"/>
        </w:rPr>
        <w:t xml:space="preserve">”, </w:t>
      </w:r>
    </w:p>
    <w:p w:rsidR="0013693B" w:rsidRPr="0013693B" w:rsidRDefault="0013693B" w:rsidP="0013693B">
      <w:pPr>
        <w:jc w:val="center"/>
        <w:rPr>
          <w:sz w:val="22"/>
          <w:szCs w:val="22"/>
        </w:rPr>
      </w:pPr>
      <w:proofErr w:type="spellStart"/>
      <w:r w:rsidRPr="0013693B">
        <w:rPr>
          <w:sz w:val="22"/>
          <w:szCs w:val="22"/>
        </w:rPr>
        <w:t>Slobodana</w:t>
      </w:r>
      <w:proofErr w:type="spellEnd"/>
      <w:r w:rsidR="00711A35">
        <w:rPr>
          <w:sz w:val="22"/>
          <w:szCs w:val="22"/>
        </w:rPr>
        <w:t xml:space="preserve"> </w:t>
      </w:r>
      <w:proofErr w:type="spellStart"/>
      <w:r w:rsidRPr="0013693B">
        <w:rPr>
          <w:sz w:val="22"/>
          <w:szCs w:val="22"/>
        </w:rPr>
        <w:t>Bajića</w:t>
      </w:r>
      <w:proofErr w:type="spellEnd"/>
      <w:r w:rsidRPr="0013693B">
        <w:rPr>
          <w:sz w:val="22"/>
          <w:szCs w:val="22"/>
        </w:rPr>
        <w:t xml:space="preserve"> 1, 11185 </w:t>
      </w:r>
      <w:proofErr w:type="spellStart"/>
      <w:r w:rsidRPr="0013693B">
        <w:rPr>
          <w:sz w:val="22"/>
          <w:szCs w:val="22"/>
        </w:rPr>
        <w:t>Zemun</w:t>
      </w:r>
      <w:proofErr w:type="spellEnd"/>
      <w:r w:rsidR="00A844DC">
        <w:rPr>
          <w:sz w:val="22"/>
          <w:szCs w:val="22"/>
        </w:rPr>
        <w:t xml:space="preserve"> </w:t>
      </w:r>
      <w:proofErr w:type="spellStart"/>
      <w:r w:rsidRPr="0013693B">
        <w:rPr>
          <w:sz w:val="22"/>
          <w:szCs w:val="22"/>
        </w:rPr>
        <w:t>Polje</w:t>
      </w:r>
      <w:proofErr w:type="spellEnd"/>
      <w:r w:rsidRPr="0013693B">
        <w:rPr>
          <w:sz w:val="22"/>
          <w:szCs w:val="22"/>
        </w:rPr>
        <w:t>, Serbia</w:t>
      </w:r>
    </w:p>
    <w:p w:rsidR="00F8479B" w:rsidRDefault="00F8479B" w:rsidP="0013693B">
      <w:pPr>
        <w:jc w:val="center"/>
        <w:rPr>
          <w:sz w:val="22"/>
          <w:szCs w:val="22"/>
        </w:rPr>
      </w:pPr>
      <w:r w:rsidRPr="0013693B">
        <w:rPr>
          <w:sz w:val="22"/>
          <w:szCs w:val="22"/>
          <w:vertAlign w:val="superscript"/>
        </w:rPr>
        <w:t>2</w:t>
      </w:r>
      <w:r w:rsidRPr="0013693B">
        <w:rPr>
          <w:sz w:val="22"/>
          <w:szCs w:val="22"/>
        </w:rPr>
        <w:t>University of Belgrade</w:t>
      </w:r>
      <w:r>
        <w:rPr>
          <w:sz w:val="22"/>
          <w:szCs w:val="22"/>
        </w:rPr>
        <w:t>,</w:t>
      </w:r>
      <w:r w:rsidR="00A844DC">
        <w:rPr>
          <w:sz w:val="22"/>
          <w:szCs w:val="22"/>
        </w:rPr>
        <w:t xml:space="preserve"> </w:t>
      </w:r>
      <w:r w:rsidR="0013693B" w:rsidRPr="0013693B">
        <w:rPr>
          <w:sz w:val="22"/>
          <w:szCs w:val="22"/>
        </w:rPr>
        <w:t>Faculty of Agriculture,</w:t>
      </w:r>
    </w:p>
    <w:p w:rsidR="0013693B" w:rsidRPr="0013693B" w:rsidRDefault="0013693B" w:rsidP="0013693B">
      <w:pPr>
        <w:jc w:val="center"/>
        <w:rPr>
          <w:sz w:val="22"/>
          <w:szCs w:val="22"/>
        </w:rPr>
      </w:pPr>
      <w:proofErr w:type="spellStart"/>
      <w:r w:rsidRPr="0013693B">
        <w:rPr>
          <w:sz w:val="22"/>
          <w:szCs w:val="22"/>
        </w:rPr>
        <w:t>Nemanjina</w:t>
      </w:r>
      <w:proofErr w:type="spellEnd"/>
      <w:r w:rsidRPr="0013693B">
        <w:rPr>
          <w:sz w:val="22"/>
          <w:szCs w:val="22"/>
        </w:rPr>
        <w:t xml:space="preserve"> 6, 11080 </w:t>
      </w:r>
      <w:r w:rsidR="00F8479B">
        <w:rPr>
          <w:sz w:val="22"/>
          <w:szCs w:val="22"/>
        </w:rPr>
        <w:t>Belgrade-</w:t>
      </w:r>
      <w:proofErr w:type="spellStart"/>
      <w:r w:rsidRPr="0013693B">
        <w:rPr>
          <w:sz w:val="22"/>
          <w:szCs w:val="22"/>
        </w:rPr>
        <w:t>Zemun</w:t>
      </w:r>
      <w:proofErr w:type="spellEnd"/>
      <w:r w:rsidRPr="0013693B">
        <w:rPr>
          <w:sz w:val="22"/>
          <w:szCs w:val="22"/>
        </w:rPr>
        <w:t>, Serbia</w:t>
      </w:r>
    </w:p>
    <w:p w:rsidR="00F8479B" w:rsidRDefault="00F8479B" w:rsidP="00F8479B">
      <w:pPr>
        <w:jc w:val="center"/>
        <w:rPr>
          <w:sz w:val="22"/>
          <w:szCs w:val="22"/>
          <w:lang w:val="sr-Latn-CS"/>
        </w:rPr>
      </w:pPr>
    </w:p>
    <w:p w:rsidR="0013693B" w:rsidRPr="00F8479B" w:rsidRDefault="000F5631" w:rsidP="00F8479B">
      <w:pPr>
        <w:ind w:firstLine="426"/>
        <w:jc w:val="both"/>
        <w:rPr>
          <w:sz w:val="22"/>
          <w:szCs w:val="22"/>
        </w:rPr>
      </w:pPr>
      <w:r w:rsidRPr="00F8479B">
        <w:rPr>
          <w:b/>
          <w:noProof/>
          <w:sz w:val="22"/>
          <w:szCs w:val="22"/>
        </w:rPr>
        <w:t>Abstract:</w:t>
      </w:r>
      <w:r w:rsidR="0013693B" w:rsidRPr="00F8479B">
        <w:rPr>
          <w:sz w:val="22"/>
          <w:szCs w:val="22"/>
        </w:rPr>
        <w:t xml:space="preserve">Intercropping, as a combination of different crops at the same time and the same field enables interaction of their roots, improving plant growth and stress tolerance, thus improving nutritional quality of produced grains. The investigation was aimed to examine the effect of different cropping systems: intercropping in combination with alternating rows and alternating strips of maize and soybean, as well as single cropping, combined with different fertilization regimes (conventional, application of organic fertilizer, bio-fertilizer and control) on the antioxidant content (glutathione [GSH], </w:t>
      </w:r>
      <w:proofErr w:type="spellStart"/>
      <w:r w:rsidR="0013693B" w:rsidRPr="00F8479B">
        <w:rPr>
          <w:sz w:val="22"/>
          <w:szCs w:val="22"/>
        </w:rPr>
        <w:t>phenolics</w:t>
      </w:r>
      <w:proofErr w:type="spellEnd"/>
      <w:r w:rsidR="0013693B" w:rsidRPr="00F8479B">
        <w:rPr>
          <w:sz w:val="22"/>
          <w:szCs w:val="22"/>
        </w:rPr>
        <w:t xml:space="preserve"> and yellow pigment [YP] in red maize and black soybean grain. Black soybean is richer in antioxidants than red maize. Season expressed the highest influence on the level of GSH, </w:t>
      </w:r>
      <w:proofErr w:type="spellStart"/>
      <w:r w:rsidR="0013693B" w:rsidRPr="00F8479B">
        <w:rPr>
          <w:sz w:val="22"/>
          <w:szCs w:val="22"/>
        </w:rPr>
        <w:t>phenolics</w:t>
      </w:r>
      <w:proofErr w:type="spellEnd"/>
      <w:r w:rsidR="0013693B" w:rsidRPr="00F8479B">
        <w:rPr>
          <w:sz w:val="22"/>
          <w:szCs w:val="22"/>
        </w:rPr>
        <w:t xml:space="preserve"> and YP in maize and soybean, while cropping system and fertilization regime influenced GSH and </w:t>
      </w:r>
      <w:proofErr w:type="spellStart"/>
      <w:r w:rsidR="0013693B" w:rsidRPr="00F8479B">
        <w:rPr>
          <w:sz w:val="22"/>
          <w:szCs w:val="22"/>
        </w:rPr>
        <w:t>phenolics</w:t>
      </w:r>
      <w:proofErr w:type="spellEnd"/>
      <w:r w:rsidR="0013693B" w:rsidRPr="00F8479B">
        <w:rPr>
          <w:sz w:val="22"/>
          <w:szCs w:val="22"/>
        </w:rPr>
        <w:t xml:space="preserve">. The antioxidant level in grains with greater weight corresponded with an increased GSH level for maize, as well as an increased GSH and phenolic level for soybean, while smaller grains were characterised with the increased YP content. Generally, antioxidant content was increased mainly by alternating strips in maize grain and by alternating rows in soybean grain. Bio-fertilizer had the highest impact on an increase in GSH in maize grain and YP in soybean grain, while organic fertilizer was important for acquiring of GSH and </w:t>
      </w:r>
      <w:proofErr w:type="spellStart"/>
      <w:r w:rsidR="0013693B" w:rsidRPr="00F8479B">
        <w:rPr>
          <w:sz w:val="22"/>
          <w:szCs w:val="22"/>
        </w:rPr>
        <w:t>phenolics</w:t>
      </w:r>
      <w:proofErr w:type="spellEnd"/>
      <w:r w:rsidR="0013693B" w:rsidRPr="00F8479B">
        <w:rPr>
          <w:sz w:val="22"/>
          <w:szCs w:val="22"/>
        </w:rPr>
        <w:t xml:space="preserve"> in soybean grain</w:t>
      </w:r>
      <w:r w:rsidR="00F8479B">
        <w:rPr>
          <w:sz w:val="22"/>
          <w:szCs w:val="22"/>
        </w:rPr>
        <w:t>.</w:t>
      </w:r>
    </w:p>
    <w:p w:rsidR="0013693B" w:rsidRPr="00F8479B" w:rsidRDefault="0013693B" w:rsidP="00F8479B">
      <w:pPr>
        <w:ind w:firstLine="426"/>
        <w:jc w:val="both"/>
        <w:rPr>
          <w:sz w:val="22"/>
          <w:szCs w:val="22"/>
        </w:rPr>
      </w:pPr>
      <w:r w:rsidRPr="00F8479B">
        <w:rPr>
          <w:b/>
          <w:sz w:val="22"/>
          <w:szCs w:val="22"/>
        </w:rPr>
        <w:t>Key words:</w:t>
      </w:r>
      <w:r w:rsidRPr="00F8479B">
        <w:rPr>
          <w:sz w:val="22"/>
          <w:szCs w:val="22"/>
        </w:rPr>
        <w:t xml:space="preserve"> antioxidant content, intercropping, red maize, black soybean.</w:t>
      </w:r>
    </w:p>
    <w:p w:rsidR="00D540A1" w:rsidRPr="008F7F36" w:rsidRDefault="00D540A1" w:rsidP="0013693B">
      <w:pPr>
        <w:autoSpaceDE w:val="0"/>
        <w:autoSpaceDN w:val="0"/>
        <w:adjustRightInd w:val="0"/>
        <w:ind w:firstLine="426"/>
        <w:jc w:val="both"/>
        <w:rPr>
          <w:sz w:val="18"/>
          <w:szCs w:val="18"/>
        </w:rPr>
      </w:pPr>
    </w:p>
    <w:p w:rsidR="001E5955" w:rsidRDefault="001E5955" w:rsidP="001566F5">
      <w:pPr>
        <w:jc w:val="center"/>
        <w:rPr>
          <w:b/>
          <w:sz w:val="22"/>
          <w:szCs w:val="22"/>
        </w:rPr>
      </w:pPr>
      <w:r w:rsidRPr="00A219EB">
        <w:rPr>
          <w:b/>
          <w:sz w:val="22"/>
          <w:szCs w:val="22"/>
        </w:rPr>
        <w:t>Introduction</w:t>
      </w:r>
    </w:p>
    <w:p w:rsidR="00987177" w:rsidRPr="008F7F36" w:rsidRDefault="00987177" w:rsidP="00F8479B">
      <w:pPr>
        <w:ind w:firstLine="425"/>
        <w:jc w:val="both"/>
      </w:pPr>
    </w:p>
    <w:p w:rsidR="0013693B" w:rsidRPr="00F8479B" w:rsidRDefault="0013693B" w:rsidP="00F8479B">
      <w:pPr>
        <w:ind w:firstLine="425"/>
        <w:jc w:val="both"/>
        <w:rPr>
          <w:sz w:val="22"/>
          <w:szCs w:val="22"/>
        </w:rPr>
      </w:pPr>
      <w:r w:rsidRPr="00F8479B">
        <w:rPr>
          <w:sz w:val="22"/>
          <w:szCs w:val="22"/>
        </w:rPr>
        <w:t xml:space="preserve">Sustainable agriculture combines various measures aimed to produce high quality and healthy crops, together with preservation of an agro-ecosystem. Produced crop yields are more nutritious and free from agrochemicals and their </w:t>
      </w:r>
      <w:r w:rsidRPr="00F8479B">
        <w:rPr>
          <w:sz w:val="22"/>
          <w:szCs w:val="22"/>
        </w:rPr>
        <w:lastRenderedPageBreak/>
        <w:t>residues. This type of agriculture includes a combination of different crops at the same field, application of organic fertilizers and bio-fertilizers, facilitating better utilization of time, space and nutrients, i.e. soil potential, with minimal inputs.</w:t>
      </w:r>
    </w:p>
    <w:p w:rsidR="0013693B" w:rsidRPr="00F8479B" w:rsidRDefault="0013693B" w:rsidP="00F8479B">
      <w:pPr>
        <w:ind w:firstLine="425"/>
        <w:jc w:val="both"/>
        <w:rPr>
          <w:sz w:val="22"/>
          <w:szCs w:val="22"/>
        </w:rPr>
      </w:pPr>
      <w:r w:rsidRPr="00F8479B">
        <w:rPr>
          <w:sz w:val="22"/>
          <w:szCs w:val="22"/>
        </w:rPr>
        <w:t xml:space="preserve">Intercropping, as a combination of different crops at the same time and the same field enables interaction of their roots, by the root exudates, and interaction with soil micro-organisms (Zhang </w:t>
      </w:r>
      <w:r w:rsidRPr="00F8479B">
        <w:rPr>
          <w:iCs/>
          <w:sz w:val="22"/>
          <w:szCs w:val="22"/>
        </w:rPr>
        <w:t>et al</w:t>
      </w:r>
      <w:r w:rsidRPr="00F8479B">
        <w:rPr>
          <w:sz w:val="22"/>
          <w:szCs w:val="22"/>
        </w:rPr>
        <w:t xml:space="preserve">. 2013).  Roots of intercrops have greater root development, going deeper than roots of sole crops (Yang et al., 2010). Also, intercropping enables increased resistance to various diseases and pests. For instance, in soybean intercropped with maize, resistance to red crown rot was increased, by enhancing of phenolic acid concentration in root exudates, which constrain </w:t>
      </w:r>
      <w:r w:rsidRPr="00F8479B">
        <w:rPr>
          <w:rStyle w:val="Emphasis"/>
          <w:sz w:val="22"/>
          <w:szCs w:val="22"/>
        </w:rPr>
        <w:t xml:space="preserve">C. </w:t>
      </w:r>
      <w:proofErr w:type="spellStart"/>
      <w:r w:rsidRPr="00F8479B">
        <w:rPr>
          <w:rStyle w:val="Emphasis"/>
          <w:sz w:val="22"/>
          <w:szCs w:val="22"/>
        </w:rPr>
        <w:t>parasiticum</w:t>
      </w:r>
      <w:proofErr w:type="spellEnd"/>
      <w:r w:rsidRPr="00F8479B">
        <w:rPr>
          <w:sz w:val="22"/>
          <w:szCs w:val="22"/>
        </w:rPr>
        <w:t xml:space="preserve"> growth (</w:t>
      </w:r>
      <w:proofErr w:type="gramStart"/>
      <w:r w:rsidRPr="00F8479B">
        <w:rPr>
          <w:sz w:val="22"/>
          <w:szCs w:val="22"/>
        </w:rPr>
        <w:t>Gao et al</w:t>
      </w:r>
      <w:proofErr w:type="gramEnd"/>
      <w:r w:rsidRPr="00F8479B">
        <w:rPr>
          <w:sz w:val="22"/>
          <w:szCs w:val="22"/>
        </w:rPr>
        <w:t xml:space="preserve">., 2014). Root exudates create a specific environment for development of soil microorganisms, improving soil chemical and microbial properties. Thus, when pepper was intercropped with green garlic, growth of </w:t>
      </w:r>
      <w:proofErr w:type="spellStart"/>
      <w:r w:rsidRPr="00F8479B">
        <w:rPr>
          <w:sz w:val="22"/>
          <w:szCs w:val="22"/>
        </w:rPr>
        <w:t>actinomycetes</w:t>
      </w:r>
      <w:proofErr w:type="spellEnd"/>
      <w:r w:rsidRPr="00F8479B">
        <w:rPr>
          <w:sz w:val="22"/>
          <w:szCs w:val="22"/>
        </w:rPr>
        <w:t xml:space="preserve"> was improved, with inhibition of fungi growth, together with increased activity of </w:t>
      </w:r>
      <w:proofErr w:type="spellStart"/>
      <w:r w:rsidRPr="00F8479B">
        <w:rPr>
          <w:sz w:val="22"/>
          <w:szCs w:val="22"/>
        </w:rPr>
        <w:t>invertase</w:t>
      </w:r>
      <w:proofErr w:type="spellEnd"/>
      <w:r w:rsidRPr="00F8479B">
        <w:rPr>
          <w:sz w:val="22"/>
          <w:szCs w:val="22"/>
        </w:rPr>
        <w:t xml:space="preserve">, alkaline phosphatase and catalase (Ahmad et al., 2013). Moreover, some biochemical pathways of intercrops could be altered, like </w:t>
      </w:r>
      <w:proofErr w:type="spellStart"/>
      <w:r w:rsidRPr="00F8479B">
        <w:rPr>
          <w:sz w:val="22"/>
          <w:szCs w:val="22"/>
        </w:rPr>
        <w:t>phenylpropanoid</w:t>
      </w:r>
      <w:proofErr w:type="spellEnd"/>
      <w:r w:rsidRPr="00F8479B">
        <w:rPr>
          <w:sz w:val="22"/>
          <w:szCs w:val="22"/>
        </w:rPr>
        <w:t xml:space="preserve"> and organosulfur biosynthesis in Chinese onion, when it is intercropped wit</w:t>
      </w:r>
      <w:r w:rsidR="00F8479B">
        <w:rPr>
          <w:sz w:val="22"/>
          <w:szCs w:val="22"/>
        </w:rPr>
        <w:t>h cucumber (Yang et al., 2013).</w:t>
      </w:r>
    </w:p>
    <w:p w:rsidR="0013693B" w:rsidRPr="00F8479B" w:rsidRDefault="0013693B" w:rsidP="00F8479B">
      <w:pPr>
        <w:ind w:firstLine="425"/>
        <w:jc w:val="both"/>
        <w:rPr>
          <w:sz w:val="22"/>
          <w:szCs w:val="22"/>
        </w:rPr>
      </w:pPr>
      <w:r w:rsidRPr="00F8479B">
        <w:rPr>
          <w:sz w:val="22"/>
          <w:szCs w:val="22"/>
        </w:rPr>
        <w:t xml:space="preserve">Application of bio-fertilizers which contain promoting microorganisms could enhance crop growth and stress tolerance. </w:t>
      </w:r>
      <w:proofErr w:type="spellStart"/>
      <w:r w:rsidRPr="00F8479B">
        <w:rPr>
          <w:sz w:val="22"/>
          <w:szCs w:val="22"/>
        </w:rPr>
        <w:t>Aroca</w:t>
      </w:r>
      <w:proofErr w:type="spellEnd"/>
      <w:r w:rsidRPr="00F8479B">
        <w:rPr>
          <w:sz w:val="22"/>
          <w:szCs w:val="22"/>
        </w:rPr>
        <w:t xml:space="preserve"> and</w:t>
      </w:r>
      <w:r w:rsidR="001B0A89">
        <w:rPr>
          <w:sz w:val="22"/>
          <w:szCs w:val="22"/>
        </w:rPr>
        <w:t xml:space="preserve"> </w:t>
      </w:r>
      <w:r w:rsidRPr="00F8479B">
        <w:rPr>
          <w:sz w:val="22"/>
          <w:szCs w:val="22"/>
        </w:rPr>
        <w:t xml:space="preserve">Ruiz-Lozano (2009) found that pulses, inoculated with </w:t>
      </w:r>
      <w:proofErr w:type="spellStart"/>
      <w:r w:rsidRPr="00F8479B">
        <w:rPr>
          <w:sz w:val="22"/>
          <w:szCs w:val="22"/>
        </w:rPr>
        <w:t>rhizobial</w:t>
      </w:r>
      <w:proofErr w:type="spellEnd"/>
      <w:r w:rsidRPr="00F8479B">
        <w:rPr>
          <w:sz w:val="22"/>
          <w:szCs w:val="22"/>
        </w:rPr>
        <w:t xml:space="preserve"> bacteria had improved growth during drought conditions, due to the bacteria induced regulation of plant hormones, like abscisic acid and ethylene. </w:t>
      </w:r>
      <w:r w:rsidRPr="00F8479B">
        <w:rPr>
          <w:bCs/>
          <w:sz w:val="22"/>
          <w:szCs w:val="22"/>
        </w:rPr>
        <w:t xml:space="preserve">Pandey et al. (2016) also confirmed a positive impact of </w:t>
      </w:r>
      <w:proofErr w:type="spellStart"/>
      <w:r w:rsidRPr="00F8479B">
        <w:rPr>
          <w:bCs/>
          <w:sz w:val="22"/>
          <w:szCs w:val="22"/>
        </w:rPr>
        <w:t>rhizobacteria</w:t>
      </w:r>
      <w:proofErr w:type="spellEnd"/>
      <w:r w:rsidRPr="00F8479B">
        <w:rPr>
          <w:bCs/>
          <w:sz w:val="22"/>
          <w:szCs w:val="22"/>
        </w:rPr>
        <w:t xml:space="preserve"> on crop growth and stress tolerance, </w:t>
      </w:r>
      <w:r w:rsidRPr="00F8479B">
        <w:rPr>
          <w:sz w:val="22"/>
          <w:szCs w:val="22"/>
        </w:rPr>
        <w:t>by increasing of the antioxidant defence and nutrient absorption.</w:t>
      </w:r>
    </w:p>
    <w:p w:rsidR="0013693B" w:rsidRPr="00F8479B" w:rsidRDefault="0013693B" w:rsidP="00F8479B">
      <w:pPr>
        <w:tabs>
          <w:tab w:val="left" w:pos="426"/>
        </w:tabs>
        <w:ind w:firstLine="425"/>
        <w:jc w:val="both"/>
        <w:rPr>
          <w:sz w:val="22"/>
          <w:szCs w:val="22"/>
        </w:rPr>
      </w:pPr>
      <w:r w:rsidRPr="00F8479B">
        <w:rPr>
          <w:sz w:val="22"/>
          <w:szCs w:val="22"/>
        </w:rPr>
        <w:tab/>
        <w:t>The additional health effect on humans could be achieved by consumption of food produced from specific genotypes, such as red grain maize or black soybean. Red maize is characterised by about 20% higher protein content than white or yellow genotypes, with an increased anthocyanin and flavonoid level (</w:t>
      </w:r>
      <w:proofErr w:type="spellStart"/>
      <w:r w:rsidRPr="00F8479B">
        <w:rPr>
          <w:sz w:val="22"/>
          <w:szCs w:val="22"/>
        </w:rPr>
        <w:t>Žilić</w:t>
      </w:r>
      <w:proofErr w:type="spellEnd"/>
      <w:r w:rsidRPr="00F8479B">
        <w:rPr>
          <w:sz w:val="22"/>
          <w:szCs w:val="22"/>
        </w:rPr>
        <w:t xml:space="preserve"> et al., 2011a), while black soybean contains two times higher phenolic level in grain than yellow grain genotypes (</w:t>
      </w:r>
      <w:proofErr w:type="spellStart"/>
      <w:r w:rsidRPr="00F8479B">
        <w:rPr>
          <w:sz w:val="22"/>
          <w:szCs w:val="22"/>
        </w:rPr>
        <w:t>Žilić</w:t>
      </w:r>
      <w:proofErr w:type="spellEnd"/>
      <w:r w:rsidRPr="00F8479B">
        <w:rPr>
          <w:sz w:val="22"/>
          <w:szCs w:val="22"/>
        </w:rPr>
        <w:t xml:space="preserve"> et al., 2011b). Some other important antioxidants for plants and human health include glutathione and yellow pigments (mainly β-carotene), which play an important role in the </w:t>
      </w:r>
      <w:proofErr w:type="spellStart"/>
      <w:r w:rsidRPr="00F8479B">
        <w:rPr>
          <w:sz w:val="22"/>
          <w:szCs w:val="22"/>
        </w:rPr>
        <w:t>antioxidative</w:t>
      </w:r>
      <w:proofErr w:type="spellEnd"/>
      <w:r w:rsidRPr="00F8479B">
        <w:rPr>
          <w:sz w:val="22"/>
          <w:szCs w:val="22"/>
        </w:rPr>
        <w:t xml:space="preserve"> defence and stress signalling (Foyer and </w:t>
      </w:r>
      <w:proofErr w:type="spellStart"/>
      <w:r w:rsidRPr="00F8479B">
        <w:rPr>
          <w:sz w:val="22"/>
          <w:szCs w:val="22"/>
        </w:rPr>
        <w:t>Noctor</w:t>
      </w:r>
      <w:proofErr w:type="spellEnd"/>
      <w:r w:rsidRPr="00F8479B">
        <w:rPr>
          <w:sz w:val="22"/>
          <w:szCs w:val="22"/>
        </w:rPr>
        <w:t xml:space="preserve">, 2005; </w:t>
      </w:r>
      <w:proofErr w:type="spellStart"/>
      <w:r w:rsidRPr="00F8479B">
        <w:rPr>
          <w:sz w:val="22"/>
          <w:szCs w:val="22"/>
        </w:rPr>
        <w:t>Grodstein</w:t>
      </w:r>
      <w:proofErr w:type="spellEnd"/>
      <w:r w:rsidRPr="00F8479B">
        <w:rPr>
          <w:sz w:val="22"/>
          <w:szCs w:val="22"/>
        </w:rPr>
        <w:t xml:space="preserve"> et al., 2007).</w:t>
      </w:r>
    </w:p>
    <w:p w:rsidR="0013693B" w:rsidRPr="00F8479B" w:rsidRDefault="0013693B" w:rsidP="00F8479B">
      <w:pPr>
        <w:tabs>
          <w:tab w:val="left" w:pos="426"/>
        </w:tabs>
        <w:ind w:firstLine="425"/>
        <w:jc w:val="both"/>
        <w:rPr>
          <w:sz w:val="22"/>
          <w:szCs w:val="22"/>
        </w:rPr>
      </w:pPr>
      <w:r w:rsidRPr="00F8479B">
        <w:rPr>
          <w:sz w:val="22"/>
          <w:szCs w:val="22"/>
        </w:rPr>
        <w:tab/>
        <w:t xml:space="preserve">The aim of experiment was to examine effects of different cropping systems: intercropping and single cropping and fertilization regimes (conventional, application of organic and bio-fertilizer) on the antioxidant content (glutathione, </w:t>
      </w:r>
      <w:proofErr w:type="spellStart"/>
      <w:r w:rsidRPr="00F8479B">
        <w:rPr>
          <w:sz w:val="22"/>
          <w:szCs w:val="22"/>
        </w:rPr>
        <w:t>phenolics</w:t>
      </w:r>
      <w:proofErr w:type="spellEnd"/>
      <w:r w:rsidRPr="00F8479B">
        <w:rPr>
          <w:sz w:val="22"/>
          <w:szCs w:val="22"/>
        </w:rPr>
        <w:t xml:space="preserve"> and yellow pigment) in maize and soybean grain.</w:t>
      </w:r>
    </w:p>
    <w:p w:rsidR="00F8479B" w:rsidRDefault="00F8479B" w:rsidP="00F8479B">
      <w:pPr>
        <w:jc w:val="both"/>
        <w:rPr>
          <w:sz w:val="22"/>
          <w:szCs w:val="22"/>
        </w:rPr>
      </w:pPr>
    </w:p>
    <w:p w:rsidR="0048091D" w:rsidRDefault="0048091D" w:rsidP="00F8479B">
      <w:pPr>
        <w:jc w:val="both"/>
        <w:rPr>
          <w:sz w:val="22"/>
          <w:szCs w:val="22"/>
        </w:rPr>
      </w:pPr>
    </w:p>
    <w:p w:rsidR="0048091D" w:rsidRPr="00F8479B" w:rsidRDefault="0048091D" w:rsidP="00F8479B">
      <w:pPr>
        <w:jc w:val="both"/>
        <w:rPr>
          <w:sz w:val="22"/>
          <w:szCs w:val="22"/>
        </w:rPr>
      </w:pPr>
    </w:p>
    <w:p w:rsidR="0013693B" w:rsidRPr="00F8479B" w:rsidRDefault="0013693B" w:rsidP="0013693B">
      <w:pPr>
        <w:jc w:val="center"/>
        <w:rPr>
          <w:b/>
          <w:sz w:val="22"/>
          <w:szCs w:val="22"/>
        </w:rPr>
      </w:pPr>
      <w:r w:rsidRPr="00F8479B">
        <w:rPr>
          <w:b/>
          <w:sz w:val="22"/>
          <w:szCs w:val="22"/>
        </w:rPr>
        <w:lastRenderedPageBreak/>
        <w:t>Materials and Methods</w:t>
      </w:r>
    </w:p>
    <w:p w:rsidR="00F8479B" w:rsidRDefault="00F8479B" w:rsidP="00F8479B">
      <w:pPr>
        <w:pStyle w:val="BodyTextIndent2"/>
        <w:tabs>
          <w:tab w:val="left" w:pos="426"/>
        </w:tabs>
      </w:pPr>
    </w:p>
    <w:p w:rsidR="0013693B" w:rsidRPr="00F8479B" w:rsidRDefault="0013693B" w:rsidP="00F8479B">
      <w:pPr>
        <w:pStyle w:val="BodyTextIndent2"/>
        <w:tabs>
          <w:tab w:val="left" w:pos="426"/>
        </w:tabs>
      </w:pPr>
      <w:r w:rsidRPr="00F8479B">
        <w:t xml:space="preserve">The experiment was conducted during the 2011 and 2012 vegetative period, at </w:t>
      </w:r>
      <w:proofErr w:type="spellStart"/>
      <w:r w:rsidRPr="00F8479B">
        <w:t>Zemun</w:t>
      </w:r>
      <w:proofErr w:type="spellEnd"/>
      <w:r w:rsidR="00711A35">
        <w:t xml:space="preserve"> </w:t>
      </w:r>
      <w:proofErr w:type="spellStart"/>
      <w:r w:rsidRPr="00F8479B">
        <w:t>Polje</w:t>
      </w:r>
      <w:proofErr w:type="spellEnd"/>
      <w:r w:rsidRPr="00F8479B">
        <w:t xml:space="preserve"> (44°52'N 20°20'E), on a slightly </w:t>
      </w:r>
      <w:r w:rsidR="00F8479B">
        <w:t xml:space="preserve">calcareous </w:t>
      </w:r>
      <w:proofErr w:type="spellStart"/>
      <w:r w:rsidR="00F8479B">
        <w:t>chernozem</w:t>
      </w:r>
      <w:proofErr w:type="spellEnd"/>
      <w:r w:rsidR="00F8479B">
        <w:t>, with 53.0% sand, 30.0% silt, 17.0 % clay, 3.3</w:t>
      </w:r>
      <w:r w:rsidRPr="00F8479B">
        <w:t xml:space="preserve">% organic matter, 7.0 pH </w:t>
      </w:r>
      <w:proofErr w:type="spellStart"/>
      <w:r w:rsidRPr="00F8479B">
        <w:t>KCl</w:t>
      </w:r>
      <w:proofErr w:type="spellEnd"/>
      <w:r w:rsidRPr="00F8479B">
        <w:t xml:space="preserve"> and 7.17 pH H2O. Chemical analysis showed that soil contained 37.45 ppm N, 10.70 ppm P, 107.40 ppm K, 327.95 ppm Mg, 0.65 ppm Fe and &lt; 0.02 ppm Zn in the 0–30 cm layer.</w:t>
      </w:r>
      <w:r w:rsidR="001B0A89">
        <w:t xml:space="preserve"> </w:t>
      </w:r>
      <w:r w:rsidRPr="00F8479B">
        <w:t xml:space="preserve">Red grain maize (variety </w:t>
      </w:r>
      <w:proofErr w:type="spellStart"/>
      <w:r w:rsidRPr="00F8479B">
        <w:t>Rumenka</w:t>
      </w:r>
      <w:proofErr w:type="spellEnd"/>
      <w:r w:rsidRPr="00F8479B">
        <w:t xml:space="preserve">) and black grain soybean (variety </w:t>
      </w:r>
      <w:proofErr w:type="spellStart"/>
      <w:r w:rsidRPr="00F8479B">
        <w:t>Dukat</w:t>
      </w:r>
      <w:proofErr w:type="spellEnd"/>
      <w:r w:rsidRPr="00F8479B">
        <w:t xml:space="preserve">) were grown in three different cropping systems: as a single crop (SC), in alternating rows of both crops (AR) and in alternating strips (3 rows of each species – AS), with a 70-cm inter-row distance, as well as with a 22- and 4-cm intra-row distance for maize and soybean, respectively. The crops were sown on the 11th May 2011 and 2012. The elementary plot encompassed 4 × 4.2 m in a completely randomized block design with 4 replications. The effect of fertilization regimes included the incorporation of bio-fertilizer </w:t>
      </w:r>
      <w:proofErr w:type="spellStart"/>
      <w:r w:rsidRPr="00F8479B">
        <w:t>Uniker</w:t>
      </w:r>
      <w:proofErr w:type="spellEnd"/>
      <w:r w:rsidRPr="00F8479B">
        <w:t xml:space="preserve"> (11 </w:t>
      </w:r>
      <w:r w:rsidR="001B0A89">
        <w:t>l</w:t>
      </w:r>
      <w:r w:rsidRPr="00F8479B">
        <w:t xml:space="preserve"> ha</w:t>
      </w:r>
      <w:r w:rsidRPr="001B0A89">
        <w:rPr>
          <w:vertAlign w:val="superscript"/>
        </w:rPr>
        <w:t>–1</w:t>
      </w:r>
      <w:r w:rsidRPr="00F8479B">
        <w:t xml:space="preserve">), organic fertilizer </w:t>
      </w:r>
      <w:proofErr w:type="spellStart"/>
      <w:r w:rsidRPr="00F8479B">
        <w:t>Ofert</w:t>
      </w:r>
      <w:proofErr w:type="spellEnd"/>
      <w:r w:rsidRPr="00F8479B">
        <w:t xml:space="preserve"> (3 t ha</w:t>
      </w:r>
      <w:r w:rsidRPr="001B0A89">
        <w:rPr>
          <w:vertAlign w:val="superscript"/>
        </w:rPr>
        <w:t>–1</w:t>
      </w:r>
      <w:r w:rsidRPr="00F8479B">
        <w:t>), urea (163 kg ha</w:t>
      </w:r>
      <w:r w:rsidRPr="001B0A89">
        <w:rPr>
          <w:vertAlign w:val="superscript"/>
        </w:rPr>
        <w:t>–1</w:t>
      </w:r>
      <w:r w:rsidRPr="00F8479B">
        <w:t xml:space="preserve">) and control – without fertilization. Bio-fertilizer </w:t>
      </w:r>
      <w:proofErr w:type="spellStart"/>
      <w:r w:rsidRPr="00F8479B">
        <w:t>Uniker</w:t>
      </w:r>
      <w:proofErr w:type="spellEnd"/>
      <w:r w:rsidRPr="00F8479B">
        <w:t xml:space="preserve"> contains the following bacteria: </w:t>
      </w:r>
      <w:r w:rsidR="00E9671B" w:rsidRPr="00E9671B">
        <w:rPr>
          <w:i/>
        </w:rPr>
        <w:t xml:space="preserve">Bacillus </w:t>
      </w:r>
      <w:proofErr w:type="spellStart"/>
      <w:r w:rsidR="00E9671B" w:rsidRPr="00E9671B">
        <w:rPr>
          <w:i/>
        </w:rPr>
        <w:t>megaterium</w:t>
      </w:r>
      <w:proofErr w:type="spellEnd"/>
      <w:r w:rsidRPr="00F8479B">
        <w:t xml:space="preserve">, </w:t>
      </w:r>
      <w:r w:rsidR="00E9671B" w:rsidRPr="00E9671B">
        <w:rPr>
          <w:i/>
        </w:rPr>
        <w:t xml:space="preserve">B. </w:t>
      </w:r>
      <w:proofErr w:type="spellStart"/>
      <w:r w:rsidR="00E9671B" w:rsidRPr="00E9671B">
        <w:rPr>
          <w:i/>
        </w:rPr>
        <w:t>lichenoirmis</w:t>
      </w:r>
      <w:proofErr w:type="spellEnd"/>
      <w:r w:rsidRPr="00F8479B">
        <w:t xml:space="preserve"> and </w:t>
      </w:r>
      <w:r w:rsidR="00E9671B" w:rsidRPr="00E9671B">
        <w:rPr>
          <w:i/>
        </w:rPr>
        <w:t xml:space="preserve">B. </w:t>
      </w:r>
      <w:proofErr w:type="spellStart"/>
      <w:r w:rsidR="00E9671B" w:rsidRPr="00E9671B">
        <w:rPr>
          <w:i/>
        </w:rPr>
        <w:t>suptilis</w:t>
      </w:r>
      <w:proofErr w:type="spellEnd"/>
      <w:r w:rsidRPr="00F8479B">
        <w:t xml:space="preserve">. </w:t>
      </w:r>
      <w:proofErr w:type="spellStart"/>
      <w:r w:rsidRPr="00F8479B">
        <w:t>Ofert</w:t>
      </w:r>
      <w:proofErr w:type="spellEnd"/>
      <w:r w:rsidR="001B0A89">
        <w:t xml:space="preserve"> </w:t>
      </w:r>
      <w:r w:rsidR="00F8479B">
        <w:t>contains a minimum of 2.2% N, 4.8</w:t>
      </w:r>
      <w:r w:rsidRPr="00F8479B">
        <w:t>% P</w:t>
      </w:r>
      <w:r w:rsidRPr="001B0A89">
        <w:rPr>
          <w:vertAlign w:val="subscript"/>
        </w:rPr>
        <w:t>2</w:t>
      </w:r>
      <w:r w:rsidRPr="00F8479B">
        <w:t>O</w:t>
      </w:r>
      <w:r w:rsidRPr="001B0A89">
        <w:rPr>
          <w:vertAlign w:val="subscript"/>
        </w:rPr>
        <w:t>5</w:t>
      </w:r>
      <w:r w:rsidRPr="00F8479B">
        <w:t>, 2.8 % K</w:t>
      </w:r>
      <w:r w:rsidRPr="001B0A89">
        <w:rPr>
          <w:vertAlign w:val="subscript"/>
        </w:rPr>
        <w:t>2</w:t>
      </w:r>
      <w:r w:rsidR="00F8479B">
        <w:t>O, 60</w:t>
      </w:r>
      <w:r w:rsidRPr="00F8479B">
        <w:t xml:space="preserve">% organic matter, C/N 12.17, and </w:t>
      </w:r>
      <w:r w:rsidR="00F8479B">
        <w:t>Mg 1.08%.</w:t>
      </w:r>
    </w:p>
    <w:p w:rsidR="0013693B" w:rsidRPr="00F8479B" w:rsidRDefault="0013693B" w:rsidP="00F8479B">
      <w:pPr>
        <w:tabs>
          <w:tab w:val="left" w:pos="426"/>
        </w:tabs>
        <w:ind w:firstLine="426"/>
        <w:jc w:val="both"/>
        <w:rPr>
          <w:sz w:val="22"/>
          <w:szCs w:val="22"/>
        </w:rPr>
      </w:pPr>
      <w:r w:rsidRPr="00F8479B">
        <w:rPr>
          <w:sz w:val="22"/>
          <w:szCs w:val="22"/>
        </w:rPr>
        <w:t xml:space="preserve">After harvesting, grain weight was measured from 4x10 grains and expressed in g per grain. Then grains were milled and the content of total glutathione (GSH) was determined by the method of Sari Gorla et al. (1993), water soluble </w:t>
      </w:r>
      <w:proofErr w:type="spellStart"/>
      <w:r w:rsidRPr="00F8479B">
        <w:rPr>
          <w:sz w:val="22"/>
          <w:szCs w:val="22"/>
        </w:rPr>
        <w:t>phenolics</w:t>
      </w:r>
      <w:proofErr w:type="spellEnd"/>
      <w:r w:rsidRPr="00F8479B">
        <w:rPr>
          <w:sz w:val="22"/>
          <w:szCs w:val="22"/>
        </w:rPr>
        <w:t xml:space="preserve"> were determined by the method of </w:t>
      </w:r>
      <w:proofErr w:type="spellStart"/>
      <w:r w:rsidRPr="00F8479B">
        <w:rPr>
          <w:sz w:val="22"/>
          <w:szCs w:val="22"/>
        </w:rPr>
        <w:t>Simić</w:t>
      </w:r>
      <w:proofErr w:type="spellEnd"/>
      <w:r w:rsidRPr="00F8479B">
        <w:rPr>
          <w:sz w:val="22"/>
          <w:szCs w:val="22"/>
        </w:rPr>
        <w:t xml:space="preserve"> et al. (2004) and expressed in </w:t>
      </w:r>
      <w:proofErr w:type="spellStart"/>
      <w:r w:rsidRPr="00F8479B">
        <w:rPr>
          <w:sz w:val="22"/>
          <w:szCs w:val="22"/>
        </w:rPr>
        <w:t>μg</w:t>
      </w:r>
      <w:proofErr w:type="spellEnd"/>
      <w:r w:rsidRPr="00F8479B">
        <w:rPr>
          <w:sz w:val="22"/>
          <w:szCs w:val="22"/>
        </w:rPr>
        <w:t xml:space="preserve"> of </w:t>
      </w:r>
      <w:r w:rsidRPr="00F8479B">
        <w:rPr>
          <w:rStyle w:val="Emphasis"/>
          <w:sz w:val="22"/>
          <w:szCs w:val="22"/>
        </w:rPr>
        <w:t>3</w:t>
      </w:r>
      <w:r w:rsidRPr="00F8479B">
        <w:rPr>
          <w:sz w:val="22"/>
          <w:szCs w:val="22"/>
        </w:rPr>
        <w:t>-</w:t>
      </w:r>
      <w:r w:rsidRPr="00F8479B">
        <w:rPr>
          <w:rStyle w:val="Emphasis"/>
          <w:sz w:val="22"/>
          <w:szCs w:val="22"/>
        </w:rPr>
        <w:t>hydroxy</w:t>
      </w:r>
      <w:r w:rsidRPr="00F8479B">
        <w:rPr>
          <w:sz w:val="22"/>
          <w:szCs w:val="22"/>
        </w:rPr>
        <w:t>-</w:t>
      </w:r>
      <w:r w:rsidRPr="00F8479B">
        <w:rPr>
          <w:rStyle w:val="Emphasis"/>
          <w:sz w:val="22"/>
          <w:szCs w:val="22"/>
        </w:rPr>
        <w:t>4</w:t>
      </w:r>
      <w:r w:rsidRPr="00F8479B">
        <w:rPr>
          <w:sz w:val="22"/>
          <w:szCs w:val="22"/>
        </w:rPr>
        <w:t>-</w:t>
      </w:r>
      <w:r w:rsidRPr="00F8479B">
        <w:rPr>
          <w:rStyle w:val="Emphasis"/>
          <w:sz w:val="22"/>
          <w:szCs w:val="22"/>
        </w:rPr>
        <w:t xml:space="preserve">methoxycinnamic acid </w:t>
      </w:r>
      <w:r w:rsidRPr="00F8479B">
        <w:rPr>
          <w:sz w:val="22"/>
          <w:szCs w:val="22"/>
        </w:rPr>
        <w:t xml:space="preserve">g-1 and yellow pigment (YP) was determined by the American Association of Cereal Chemists Method (AACC, 1995) and expressed in </w:t>
      </w:r>
      <w:proofErr w:type="spellStart"/>
      <w:r w:rsidRPr="00F8479B">
        <w:rPr>
          <w:sz w:val="22"/>
          <w:szCs w:val="22"/>
        </w:rPr>
        <w:t>μg</w:t>
      </w:r>
      <w:proofErr w:type="spellEnd"/>
      <w:r w:rsidRPr="00F8479B">
        <w:rPr>
          <w:sz w:val="22"/>
          <w:szCs w:val="22"/>
        </w:rPr>
        <w:t xml:space="preserve"> of β-carotene g</w:t>
      </w:r>
      <w:r w:rsidRPr="00711A35">
        <w:rPr>
          <w:sz w:val="22"/>
          <w:szCs w:val="22"/>
          <w:vertAlign w:val="superscript"/>
        </w:rPr>
        <w:t>-1</w:t>
      </w:r>
      <w:r w:rsidRPr="00F8479B">
        <w:rPr>
          <w:sz w:val="22"/>
          <w:szCs w:val="22"/>
        </w:rPr>
        <w:t>.</w:t>
      </w:r>
    </w:p>
    <w:p w:rsidR="0013693B" w:rsidRPr="00F8479B" w:rsidRDefault="0013693B" w:rsidP="00F8479B">
      <w:pPr>
        <w:tabs>
          <w:tab w:val="left" w:pos="426"/>
        </w:tabs>
        <w:autoSpaceDE w:val="0"/>
        <w:autoSpaceDN w:val="0"/>
        <w:adjustRightInd w:val="0"/>
        <w:ind w:firstLine="426"/>
        <w:jc w:val="both"/>
        <w:rPr>
          <w:sz w:val="22"/>
          <w:szCs w:val="22"/>
        </w:rPr>
      </w:pPr>
      <w:r w:rsidRPr="00F8479B">
        <w:rPr>
          <w:sz w:val="22"/>
          <w:szCs w:val="22"/>
        </w:rPr>
        <w:t>Significant differences between treatment means were determined by the Fisher’s least significant difference (LSD) test at the 0.05 probability level, after the analysis of variance (ANOVA) using a two-factorial RCB design. Differences with p&lt;0.05 were considered as significant. The interdependences between the grain weight of maize and soybean and examined antioxidants were processed by regression analysis.</w:t>
      </w:r>
    </w:p>
    <w:p w:rsidR="0013693B" w:rsidRDefault="0013693B" w:rsidP="00F8479B">
      <w:pPr>
        <w:tabs>
          <w:tab w:val="left" w:pos="426"/>
        </w:tabs>
        <w:ind w:firstLine="426"/>
        <w:jc w:val="both"/>
        <w:rPr>
          <w:sz w:val="22"/>
          <w:szCs w:val="22"/>
        </w:rPr>
      </w:pPr>
      <w:r w:rsidRPr="00F8479B">
        <w:rPr>
          <w:sz w:val="22"/>
          <w:szCs w:val="22"/>
        </w:rPr>
        <w:t>Meteorological conditions: The vegetative period of 2012 could be considered as unfavourable with an unequal distribution of precipitation (the lowest value was observed in August), followed by the high average temperatures in July and August (Table 1), indicating drought stress during the grain filling period. Oppositely, 2011 could be considered as a relatively moderate year, with lower average temperatures and higher amounts of monthly precipitation.</w:t>
      </w:r>
    </w:p>
    <w:p w:rsidR="00F8479B" w:rsidRDefault="00F8479B" w:rsidP="00F8479B">
      <w:pPr>
        <w:tabs>
          <w:tab w:val="left" w:pos="426"/>
        </w:tabs>
        <w:ind w:firstLine="426"/>
        <w:jc w:val="both"/>
        <w:rPr>
          <w:sz w:val="22"/>
          <w:szCs w:val="22"/>
        </w:rPr>
      </w:pPr>
    </w:p>
    <w:p w:rsidR="00F8479B" w:rsidRPr="00F8479B" w:rsidRDefault="00F8479B" w:rsidP="00F8479B">
      <w:pPr>
        <w:tabs>
          <w:tab w:val="left" w:pos="426"/>
        </w:tabs>
        <w:ind w:firstLine="426"/>
        <w:jc w:val="both"/>
        <w:rPr>
          <w:sz w:val="22"/>
          <w:szCs w:val="22"/>
        </w:rPr>
      </w:pPr>
    </w:p>
    <w:p w:rsidR="0013693B" w:rsidRPr="00F8479B" w:rsidRDefault="0013693B" w:rsidP="00F8479B">
      <w:pPr>
        <w:tabs>
          <w:tab w:val="left" w:pos="426"/>
        </w:tabs>
        <w:ind w:firstLine="426"/>
        <w:jc w:val="both"/>
        <w:rPr>
          <w:sz w:val="22"/>
          <w:szCs w:val="22"/>
        </w:rPr>
      </w:pPr>
    </w:p>
    <w:p w:rsidR="0013693B" w:rsidRDefault="0013693B" w:rsidP="00F8479B">
      <w:pPr>
        <w:jc w:val="both"/>
        <w:rPr>
          <w:spacing w:val="-4"/>
          <w:sz w:val="22"/>
          <w:szCs w:val="22"/>
        </w:rPr>
      </w:pPr>
      <w:proofErr w:type="gramStart"/>
      <w:r w:rsidRPr="00F8479B">
        <w:rPr>
          <w:sz w:val="22"/>
          <w:szCs w:val="22"/>
        </w:rPr>
        <w:lastRenderedPageBreak/>
        <w:t>Table 1.</w:t>
      </w:r>
      <w:proofErr w:type="gramEnd"/>
      <w:r w:rsidR="00711A35">
        <w:rPr>
          <w:sz w:val="22"/>
          <w:szCs w:val="22"/>
        </w:rPr>
        <w:t xml:space="preserve"> </w:t>
      </w:r>
      <w:r w:rsidRPr="00F8479B">
        <w:rPr>
          <w:spacing w:val="-4"/>
          <w:sz w:val="22"/>
          <w:szCs w:val="22"/>
        </w:rPr>
        <w:t xml:space="preserve">Average monthly air temperatures and precipitation sums for the vegetative period (April–September) of 2011 and 2012 at </w:t>
      </w:r>
      <w:proofErr w:type="spellStart"/>
      <w:r w:rsidRPr="00F8479B">
        <w:rPr>
          <w:spacing w:val="-4"/>
          <w:sz w:val="22"/>
          <w:szCs w:val="22"/>
        </w:rPr>
        <w:t>Zemun</w:t>
      </w:r>
      <w:proofErr w:type="spellEnd"/>
      <w:r w:rsidR="001B0A89">
        <w:rPr>
          <w:spacing w:val="-4"/>
          <w:sz w:val="22"/>
          <w:szCs w:val="22"/>
        </w:rPr>
        <w:t xml:space="preserve"> </w:t>
      </w:r>
      <w:proofErr w:type="spellStart"/>
      <w:r w:rsidRPr="00F8479B">
        <w:rPr>
          <w:spacing w:val="-4"/>
          <w:sz w:val="22"/>
          <w:szCs w:val="22"/>
        </w:rPr>
        <w:t>Polje</w:t>
      </w:r>
      <w:proofErr w:type="spellEnd"/>
      <w:r w:rsidRPr="00F8479B">
        <w:rPr>
          <w:spacing w:val="-4"/>
          <w:sz w:val="22"/>
          <w:szCs w:val="22"/>
        </w:rPr>
        <w:t>.</w:t>
      </w:r>
    </w:p>
    <w:p w:rsidR="008F7F36" w:rsidRPr="0048091D" w:rsidRDefault="008F7F36" w:rsidP="00F8479B">
      <w:pPr>
        <w:jc w:val="both"/>
        <w:rPr>
          <w:sz w:val="18"/>
          <w:szCs w:val="18"/>
        </w:rPr>
      </w:pPr>
    </w:p>
    <w:tbl>
      <w:tblPr>
        <w:tblW w:w="7371" w:type="dxa"/>
        <w:jc w:val="center"/>
        <w:tblLayout w:type="fixed"/>
        <w:tblCellMar>
          <w:left w:w="28" w:type="dxa"/>
          <w:right w:w="28" w:type="dxa"/>
        </w:tblCellMar>
        <w:tblLook w:val="04A0" w:firstRow="1" w:lastRow="0" w:firstColumn="1" w:lastColumn="0" w:noHBand="0" w:noVBand="1"/>
      </w:tblPr>
      <w:tblGrid>
        <w:gridCol w:w="896"/>
        <w:gridCol w:w="674"/>
        <w:gridCol w:w="828"/>
        <w:gridCol w:w="828"/>
        <w:gridCol w:w="829"/>
        <w:gridCol w:w="829"/>
        <w:gridCol w:w="829"/>
        <w:gridCol w:w="829"/>
        <w:gridCol w:w="829"/>
      </w:tblGrid>
      <w:tr w:rsidR="0013693B" w:rsidRPr="008F7F36" w:rsidTr="0048091D">
        <w:trPr>
          <w:trHeight w:val="170"/>
          <w:jc w:val="center"/>
        </w:trPr>
        <w:tc>
          <w:tcPr>
            <w:tcW w:w="1147" w:type="dxa"/>
            <w:tcBorders>
              <w:top w:val="single" w:sz="4" w:space="0" w:color="auto"/>
              <w:left w:val="nil"/>
              <w:bottom w:val="single" w:sz="4" w:space="0" w:color="auto"/>
              <w:right w:val="nil"/>
            </w:tcBorders>
            <w:shd w:val="clear" w:color="auto" w:fill="auto"/>
            <w:noWrap/>
            <w:vAlign w:val="center"/>
            <w:hideMark/>
          </w:tcPr>
          <w:p w:rsidR="0013693B" w:rsidRPr="008F7F36" w:rsidRDefault="0013693B" w:rsidP="004C42B7">
            <w:pPr>
              <w:jc w:val="center"/>
              <w:rPr>
                <w:sz w:val="18"/>
                <w:szCs w:val="18"/>
              </w:rPr>
            </w:pPr>
          </w:p>
        </w:tc>
        <w:tc>
          <w:tcPr>
            <w:tcW w:w="857" w:type="dxa"/>
            <w:tcBorders>
              <w:top w:val="single" w:sz="4" w:space="0" w:color="auto"/>
              <w:left w:val="nil"/>
              <w:bottom w:val="single" w:sz="4" w:space="0" w:color="auto"/>
              <w:right w:val="nil"/>
            </w:tcBorders>
            <w:shd w:val="clear" w:color="auto" w:fill="auto"/>
            <w:noWrap/>
            <w:vAlign w:val="center"/>
            <w:hideMark/>
          </w:tcPr>
          <w:p w:rsidR="0013693B" w:rsidRPr="008F7F36" w:rsidRDefault="0013693B" w:rsidP="004C42B7">
            <w:pPr>
              <w:jc w:val="center"/>
              <w:rPr>
                <w:sz w:val="18"/>
                <w:szCs w:val="18"/>
              </w:rPr>
            </w:pPr>
            <w:r w:rsidRPr="008F7F36">
              <w:rPr>
                <w:sz w:val="18"/>
                <w:szCs w:val="18"/>
              </w:rPr>
              <w:t>Month</w:t>
            </w:r>
          </w:p>
        </w:tc>
        <w:tc>
          <w:tcPr>
            <w:tcW w:w="1058" w:type="dxa"/>
            <w:tcBorders>
              <w:top w:val="single" w:sz="4" w:space="0" w:color="auto"/>
              <w:left w:val="nil"/>
              <w:bottom w:val="single" w:sz="4" w:space="0" w:color="auto"/>
              <w:right w:val="nil"/>
            </w:tcBorders>
            <w:shd w:val="clear" w:color="auto" w:fill="auto"/>
            <w:noWrap/>
            <w:vAlign w:val="center"/>
            <w:hideMark/>
          </w:tcPr>
          <w:p w:rsidR="0013693B" w:rsidRPr="008F7F36" w:rsidRDefault="0013693B" w:rsidP="004C42B7">
            <w:pPr>
              <w:jc w:val="center"/>
              <w:rPr>
                <w:sz w:val="18"/>
                <w:szCs w:val="18"/>
              </w:rPr>
            </w:pPr>
            <w:r w:rsidRPr="008F7F36">
              <w:rPr>
                <w:sz w:val="18"/>
                <w:szCs w:val="18"/>
              </w:rPr>
              <w:t>IV</w:t>
            </w:r>
          </w:p>
        </w:tc>
        <w:tc>
          <w:tcPr>
            <w:tcW w:w="1058" w:type="dxa"/>
            <w:tcBorders>
              <w:top w:val="single" w:sz="4" w:space="0" w:color="auto"/>
              <w:left w:val="nil"/>
              <w:bottom w:val="single" w:sz="4" w:space="0" w:color="auto"/>
              <w:right w:val="nil"/>
            </w:tcBorders>
            <w:shd w:val="clear" w:color="auto" w:fill="auto"/>
            <w:noWrap/>
            <w:vAlign w:val="center"/>
            <w:hideMark/>
          </w:tcPr>
          <w:p w:rsidR="0013693B" w:rsidRPr="008F7F36" w:rsidRDefault="0013693B" w:rsidP="004C42B7">
            <w:pPr>
              <w:jc w:val="center"/>
              <w:rPr>
                <w:sz w:val="18"/>
                <w:szCs w:val="18"/>
              </w:rPr>
            </w:pPr>
            <w:r w:rsidRPr="008F7F36">
              <w:rPr>
                <w:sz w:val="18"/>
                <w:szCs w:val="18"/>
              </w:rPr>
              <w:t>V</w:t>
            </w:r>
          </w:p>
        </w:tc>
        <w:tc>
          <w:tcPr>
            <w:tcW w:w="1058" w:type="dxa"/>
            <w:tcBorders>
              <w:top w:val="single" w:sz="4" w:space="0" w:color="auto"/>
              <w:left w:val="nil"/>
              <w:bottom w:val="single" w:sz="4" w:space="0" w:color="auto"/>
              <w:right w:val="nil"/>
            </w:tcBorders>
            <w:shd w:val="clear" w:color="auto" w:fill="auto"/>
            <w:noWrap/>
            <w:vAlign w:val="center"/>
            <w:hideMark/>
          </w:tcPr>
          <w:p w:rsidR="0013693B" w:rsidRPr="008F7F36" w:rsidRDefault="0013693B" w:rsidP="004C42B7">
            <w:pPr>
              <w:jc w:val="center"/>
              <w:rPr>
                <w:sz w:val="18"/>
                <w:szCs w:val="18"/>
              </w:rPr>
            </w:pPr>
            <w:r w:rsidRPr="008F7F36">
              <w:rPr>
                <w:sz w:val="18"/>
                <w:szCs w:val="18"/>
              </w:rPr>
              <w:t>VI</w:t>
            </w:r>
          </w:p>
        </w:tc>
        <w:tc>
          <w:tcPr>
            <w:tcW w:w="1058" w:type="dxa"/>
            <w:tcBorders>
              <w:top w:val="single" w:sz="4" w:space="0" w:color="auto"/>
              <w:left w:val="nil"/>
              <w:bottom w:val="single" w:sz="4" w:space="0" w:color="auto"/>
              <w:right w:val="nil"/>
            </w:tcBorders>
            <w:shd w:val="clear" w:color="auto" w:fill="auto"/>
            <w:noWrap/>
            <w:vAlign w:val="center"/>
            <w:hideMark/>
          </w:tcPr>
          <w:p w:rsidR="0013693B" w:rsidRPr="008F7F36" w:rsidRDefault="0013693B" w:rsidP="004C42B7">
            <w:pPr>
              <w:jc w:val="center"/>
              <w:rPr>
                <w:sz w:val="18"/>
                <w:szCs w:val="18"/>
              </w:rPr>
            </w:pPr>
            <w:r w:rsidRPr="008F7F36">
              <w:rPr>
                <w:sz w:val="18"/>
                <w:szCs w:val="18"/>
              </w:rPr>
              <w:t>VII</w:t>
            </w:r>
          </w:p>
        </w:tc>
        <w:tc>
          <w:tcPr>
            <w:tcW w:w="1058" w:type="dxa"/>
            <w:tcBorders>
              <w:top w:val="single" w:sz="4" w:space="0" w:color="auto"/>
              <w:left w:val="nil"/>
              <w:bottom w:val="single" w:sz="4" w:space="0" w:color="auto"/>
              <w:right w:val="nil"/>
            </w:tcBorders>
            <w:shd w:val="clear" w:color="auto" w:fill="auto"/>
            <w:noWrap/>
            <w:vAlign w:val="center"/>
            <w:hideMark/>
          </w:tcPr>
          <w:p w:rsidR="0013693B" w:rsidRPr="008F7F36" w:rsidRDefault="0013693B" w:rsidP="004C42B7">
            <w:pPr>
              <w:jc w:val="center"/>
              <w:rPr>
                <w:sz w:val="18"/>
                <w:szCs w:val="18"/>
              </w:rPr>
            </w:pPr>
            <w:r w:rsidRPr="008F7F36">
              <w:rPr>
                <w:sz w:val="18"/>
                <w:szCs w:val="18"/>
              </w:rPr>
              <w:t>VIII</w:t>
            </w:r>
          </w:p>
        </w:tc>
        <w:tc>
          <w:tcPr>
            <w:tcW w:w="1058" w:type="dxa"/>
            <w:tcBorders>
              <w:top w:val="single" w:sz="4" w:space="0" w:color="auto"/>
              <w:left w:val="nil"/>
              <w:bottom w:val="single" w:sz="4" w:space="0" w:color="auto"/>
              <w:right w:val="nil"/>
            </w:tcBorders>
            <w:shd w:val="clear" w:color="auto" w:fill="auto"/>
            <w:noWrap/>
            <w:vAlign w:val="center"/>
            <w:hideMark/>
          </w:tcPr>
          <w:p w:rsidR="0013693B" w:rsidRPr="008F7F36" w:rsidRDefault="0013693B" w:rsidP="004C42B7">
            <w:pPr>
              <w:jc w:val="center"/>
              <w:rPr>
                <w:sz w:val="18"/>
                <w:szCs w:val="18"/>
              </w:rPr>
            </w:pPr>
            <w:r w:rsidRPr="008F7F36">
              <w:rPr>
                <w:sz w:val="18"/>
                <w:szCs w:val="18"/>
              </w:rPr>
              <w:t>IX</w:t>
            </w:r>
          </w:p>
        </w:tc>
        <w:tc>
          <w:tcPr>
            <w:tcW w:w="1058" w:type="dxa"/>
            <w:tcBorders>
              <w:top w:val="single" w:sz="4" w:space="0" w:color="auto"/>
              <w:left w:val="nil"/>
              <w:bottom w:val="single" w:sz="4" w:space="0" w:color="auto"/>
              <w:right w:val="nil"/>
            </w:tcBorders>
            <w:shd w:val="clear" w:color="auto" w:fill="auto"/>
            <w:noWrap/>
            <w:vAlign w:val="center"/>
            <w:hideMark/>
          </w:tcPr>
          <w:p w:rsidR="0013693B" w:rsidRPr="008F7F36" w:rsidRDefault="0013693B" w:rsidP="004C42B7">
            <w:pPr>
              <w:jc w:val="center"/>
              <w:rPr>
                <w:sz w:val="18"/>
                <w:szCs w:val="18"/>
              </w:rPr>
            </w:pPr>
            <w:r w:rsidRPr="008F7F36">
              <w:rPr>
                <w:sz w:val="18"/>
                <w:szCs w:val="18"/>
              </w:rPr>
              <w:t>Aver./Σ</w:t>
            </w:r>
          </w:p>
        </w:tc>
      </w:tr>
      <w:tr w:rsidR="0013693B" w:rsidRPr="008F7F36" w:rsidTr="0048091D">
        <w:trPr>
          <w:trHeight w:val="170"/>
          <w:jc w:val="center"/>
        </w:trPr>
        <w:tc>
          <w:tcPr>
            <w:tcW w:w="1147" w:type="dxa"/>
            <w:vMerge w:val="restart"/>
            <w:tcBorders>
              <w:top w:val="single" w:sz="4" w:space="0" w:color="auto"/>
              <w:left w:val="nil"/>
              <w:right w:val="nil"/>
            </w:tcBorders>
            <w:shd w:val="clear" w:color="auto" w:fill="auto"/>
            <w:noWrap/>
            <w:vAlign w:val="center"/>
            <w:hideMark/>
          </w:tcPr>
          <w:p w:rsidR="0013693B" w:rsidRPr="008F7F36" w:rsidRDefault="0013693B" w:rsidP="004C42B7">
            <w:pPr>
              <w:jc w:val="center"/>
              <w:rPr>
                <w:sz w:val="18"/>
                <w:szCs w:val="18"/>
              </w:rPr>
            </w:pPr>
            <w:r w:rsidRPr="008F7F36">
              <w:rPr>
                <w:sz w:val="18"/>
                <w:szCs w:val="18"/>
              </w:rPr>
              <w:t xml:space="preserve">T </w:t>
            </w:r>
            <w:proofErr w:type="gramStart"/>
            <w:r w:rsidRPr="008F7F36">
              <w:rPr>
                <w:sz w:val="18"/>
                <w:szCs w:val="18"/>
              </w:rPr>
              <w:t>aver</w:t>
            </w:r>
            <w:proofErr w:type="gramEnd"/>
            <w:r w:rsidRPr="008F7F36">
              <w:rPr>
                <w:sz w:val="18"/>
                <w:szCs w:val="18"/>
              </w:rPr>
              <w:t>.</w:t>
            </w:r>
          </w:p>
        </w:tc>
        <w:tc>
          <w:tcPr>
            <w:tcW w:w="857" w:type="dxa"/>
            <w:tcBorders>
              <w:top w:val="single" w:sz="4" w:space="0" w:color="auto"/>
              <w:left w:val="nil"/>
              <w:bottom w:val="nil"/>
              <w:right w:val="nil"/>
            </w:tcBorders>
            <w:shd w:val="clear" w:color="auto" w:fill="auto"/>
            <w:noWrap/>
            <w:vAlign w:val="center"/>
            <w:hideMark/>
          </w:tcPr>
          <w:p w:rsidR="0013693B" w:rsidRPr="008F7F36" w:rsidRDefault="0013693B" w:rsidP="004C42B7">
            <w:pPr>
              <w:jc w:val="center"/>
              <w:rPr>
                <w:sz w:val="18"/>
                <w:szCs w:val="18"/>
              </w:rPr>
            </w:pPr>
            <w:r w:rsidRPr="008F7F36">
              <w:rPr>
                <w:sz w:val="18"/>
                <w:szCs w:val="18"/>
              </w:rPr>
              <w:t>2011</w:t>
            </w:r>
          </w:p>
        </w:tc>
        <w:tc>
          <w:tcPr>
            <w:tcW w:w="1058" w:type="dxa"/>
            <w:tcBorders>
              <w:top w:val="single" w:sz="4" w:space="0" w:color="auto"/>
              <w:left w:val="nil"/>
              <w:bottom w:val="nil"/>
              <w:right w:val="nil"/>
            </w:tcBorders>
            <w:shd w:val="clear" w:color="auto" w:fill="auto"/>
            <w:noWrap/>
            <w:vAlign w:val="center"/>
            <w:hideMark/>
          </w:tcPr>
          <w:p w:rsidR="0013693B" w:rsidRPr="008F7F36" w:rsidRDefault="0013693B" w:rsidP="004C42B7">
            <w:pPr>
              <w:jc w:val="center"/>
              <w:rPr>
                <w:sz w:val="18"/>
                <w:szCs w:val="18"/>
              </w:rPr>
            </w:pPr>
            <w:r w:rsidRPr="008F7F36">
              <w:rPr>
                <w:sz w:val="18"/>
                <w:szCs w:val="18"/>
              </w:rPr>
              <w:t>13.4</w:t>
            </w:r>
          </w:p>
        </w:tc>
        <w:tc>
          <w:tcPr>
            <w:tcW w:w="1058" w:type="dxa"/>
            <w:tcBorders>
              <w:top w:val="single" w:sz="4" w:space="0" w:color="auto"/>
              <w:left w:val="nil"/>
              <w:bottom w:val="nil"/>
              <w:right w:val="nil"/>
            </w:tcBorders>
            <w:shd w:val="clear" w:color="auto" w:fill="auto"/>
            <w:noWrap/>
            <w:vAlign w:val="center"/>
            <w:hideMark/>
          </w:tcPr>
          <w:p w:rsidR="0013693B" w:rsidRPr="008F7F36" w:rsidRDefault="0013693B" w:rsidP="004C42B7">
            <w:pPr>
              <w:jc w:val="center"/>
              <w:rPr>
                <w:sz w:val="18"/>
                <w:szCs w:val="18"/>
              </w:rPr>
            </w:pPr>
            <w:r w:rsidRPr="008F7F36">
              <w:rPr>
                <w:sz w:val="18"/>
                <w:szCs w:val="18"/>
              </w:rPr>
              <w:t>16.8</w:t>
            </w:r>
          </w:p>
        </w:tc>
        <w:tc>
          <w:tcPr>
            <w:tcW w:w="1058" w:type="dxa"/>
            <w:tcBorders>
              <w:top w:val="single" w:sz="4" w:space="0" w:color="auto"/>
              <w:left w:val="nil"/>
              <w:bottom w:val="nil"/>
              <w:right w:val="nil"/>
            </w:tcBorders>
            <w:shd w:val="clear" w:color="auto" w:fill="auto"/>
            <w:noWrap/>
            <w:vAlign w:val="center"/>
            <w:hideMark/>
          </w:tcPr>
          <w:p w:rsidR="0013693B" w:rsidRPr="008F7F36" w:rsidRDefault="0013693B" w:rsidP="004C42B7">
            <w:pPr>
              <w:jc w:val="center"/>
              <w:rPr>
                <w:sz w:val="18"/>
                <w:szCs w:val="18"/>
              </w:rPr>
            </w:pPr>
            <w:r w:rsidRPr="008F7F36">
              <w:rPr>
                <w:sz w:val="18"/>
                <w:szCs w:val="18"/>
              </w:rPr>
              <w:t>21.5</w:t>
            </w:r>
          </w:p>
        </w:tc>
        <w:tc>
          <w:tcPr>
            <w:tcW w:w="1058" w:type="dxa"/>
            <w:tcBorders>
              <w:top w:val="single" w:sz="4" w:space="0" w:color="auto"/>
              <w:left w:val="nil"/>
              <w:bottom w:val="nil"/>
              <w:right w:val="nil"/>
            </w:tcBorders>
            <w:shd w:val="clear" w:color="auto" w:fill="auto"/>
            <w:noWrap/>
            <w:vAlign w:val="center"/>
            <w:hideMark/>
          </w:tcPr>
          <w:p w:rsidR="0013693B" w:rsidRPr="008F7F36" w:rsidRDefault="0013693B" w:rsidP="004C42B7">
            <w:pPr>
              <w:jc w:val="center"/>
              <w:rPr>
                <w:sz w:val="18"/>
                <w:szCs w:val="18"/>
              </w:rPr>
            </w:pPr>
            <w:r w:rsidRPr="008F7F36">
              <w:rPr>
                <w:sz w:val="18"/>
                <w:szCs w:val="18"/>
              </w:rPr>
              <w:t>23.3</w:t>
            </w:r>
          </w:p>
        </w:tc>
        <w:tc>
          <w:tcPr>
            <w:tcW w:w="1058" w:type="dxa"/>
            <w:tcBorders>
              <w:top w:val="single" w:sz="4" w:space="0" w:color="auto"/>
              <w:left w:val="nil"/>
              <w:bottom w:val="nil"/>
              <w:right w:val="nil"/>
            </w:tcBorders>
            <w:shd w:val="clear" w:color="auto" w:fill="auto"/>
            <w:noWrap/>
            <w:vAlign w:val="center"/>
            <w:hideMark/>
          </w:tcPr>
          <w:p w:rsidR="0013693B" w:rsidRPr="008F7F36" w:rsidRDefault="0013693B" w:rsidP="004C42B7">
            <w:pPr>
              <w:jc w:val="center"/>
              <w:rPr>
                <w:sz w:val="18"/>
                <w:szCs w:val="18"/>
              </w:rPr>
            </w:pPr>
            <w:r w:rsidRPr="008F7F36">
              <w:rPr>
                <w:sz w:val="18"/>
                <w:szCs w:val="18"/>
              </w:rPr>
              <w:t>23.9</w:t>
            </w:r>
          </w:p>
        </w:tc>
        <w:tc>
          <w:tcPr>
            <w:tcW w:w="1058" w:type="dxa"/>
            <w:tcBorders>
              <w:top w:val="single" w:sz="4" w:space="0" w:color="auto"/>
              <w:left w:val="nil"/>
              <w:bottom w:val="nil"/>
              <w:right w:val="nil"/>
            </w:tcBorders>
            <w:shd w:val="clear" w:color="auto" w:fill="auto"/>
            <w:noWrap/>
            <w:vAlign w:val="center"/>
            <w:hideMark/>
          </w:tcPr>
          <w:p w:rsidR="0013693B" w:rsidRPr="008F7F36" w:rsidRDefault="0013693B" w:rsidP="004C42B7">
            <w:pPr>
              <w:jc w:val="center"/>
              <w:rPr>
                <w:sz w:val="18"/>
                <w:szCs w:val="18"/>
              </w:rPr>
            </w:pPr>
            <w:r w:rsidRPr="008F7F36">
              <w:rPr>
                <w:sz w:val="18"/>
                <w:szCs w:val="18"/>
              </w:rPr>
              <w:t>21.6</w:t>
            </w:r>
          </w:p>
        </w:tc>
        <w:tc>
          <w:tcPr>
            <w:tcW w:w="1058" w:type="dxa"/>
            <w:tcBorders>
              <w:top w:val="single" w:sz="4" w:space="0" w:color="auto"/>
              <w:left w:val="nil"/>
              <w:bottom w:val="nil"/>
              <w:right w:val="nil"/>
            </w:tcBorders>
            <w:shd w:val="clear" w:color="auto" w:fill="auto"/>
            <w:noWrap/>
            <w:vAlign w:val="center"/>
            <w:hideMark/>
          </w:tcPr>
          <w:p w:rsidR="0013693B" w:rsidRPr="008F7F36" w:rsidRDefault="0013693B" w:rsidP="004C42B7">
            <w:pPr>
              <w:jc w:val="center"/>
              <w:rPr>
                <w:sz w:val="18"/>
                <w:szCs w:val="18"/>
              </w:rPr>
            </w:pPr>
            <w:r w:rsidRPr="008F7F36">
              <w:rPr>
                <w:sz w:val="18"/>
                <w:szCs w:val="18"/>
              </w:rPr>
              <w:t>20.1</w:t>
            </w:r>
          </w:p>
        </w:tc>
      </w:tr>
      <w:tr w:rsidR="0013693B" w:rsidRPr="008F7F36" w:rsidTr="0048091D">
        <w:trPr>
          <w:trHeight w:val="170"/>
          <w:jc w:val="center"/>
        </w:trPr>
        <w:tc>
          <w:tcPr>
            <w:tcW w:w="1147" w:type="dxa"/>
            <w:vMerge/>
            <w:tcBorders>
              <w:left w:val="nil"/>
              <w:bottom w:val="single" w:sz="4" w:space="0" w:color="auto"/>
              <w:right w:val="nil"/>
            </w:tcBorders>
            <w:shd w:val="clear" w:color="auto" w:fill="auto"/>
            <w:noWrap/>
            <w:vAlign w:val="center"/>
            <w:hideMark/>
          </w:tcPr>
          <w:p w:rsidR="0013693B" w:rsidRPr="008F7F36" w:rsidRDefault="0013693B" w:rsidP="004C42B7">
            <w:pPr>
              <w:jc w:val="center"/>
              <w:rPr>
                <w:sz w:val="18"/>
                <w:szCs w:val="18"/>
              </w:rPr>
            </w:pPr>
          </w:p>
        </w:tc>
        <w:tc>
          <w:tcPr>
            <w:tcW w:w="857" w:type="dxa"/>
            <w:tcBorders>
              <w:top w:val="nil"/>
              <w:left w:val="nil"/>
              <w:bottom w:val="single" w:sz="4" w:space="0" w:color="auto"/>
              <w:right w:val="nil"/>
            </w:tcBorders>
            <w:shd w:val="clear" w:color="auto" w:fill="auto"/>
            <w:noWrap/>
            <w:vAlign w:val="center"/>
            <w:hideMark/>
          </w:tcPr>
          <w:p w:rsidR="0013693B" w:rsidRPr="008F7F36" w:rsidRDefault="0013693B" w:rsidP="004C42B7">
            <w:pPr>
              <w:jc w:val="center"/>
              <w:rPr>
                <w:sz w:val="18"/>
                <w:szCs w:val="18"/>
              </w:rPr>
            </w:pPr>
            <w:r w:rsidRPr="008F7F36">
              <w:rPr>
                <w:sz w:val="18"/>
                <w:szCs w:val="18"/>
              </w:rPr>
              <w:t>2012</w:t>
            </w:r>
          </w:p>
        </w:tc>
        <w:tc>
          <w:tcPr>
            <w:tcW w:w="1058" w:type="dxa"/>
            <w:tcBorders>
              <w:top w:val="nil"/>
              <w:left w:val="nil"/>
              <w:bottom w:val="single" w:sz="4" w:space="0" w:color="auto"/>
              <w:right w:val="nil"/>
            </w:tcBorders>
            <w:shd w:val="clear" w:color="auto" w:fill="auto"/>
            <w:noWrap/>
            <w:vAlign w:val="center"/>
            <w:hideMark/>
          </w:tcPr>
          <w:p w:rsidR="0013693B" w:rsidRPr="008F7F36" w:rsidRDefault="0013693B" w:rsidP="004C42B7">
            <w:pPr>
              <w:jc w:val="center"/>
              <w:rPr>
                <w:sz w:val="18"/>
                <w:szCs w:val="18"/>
              </w:rPr>
            </w:pPr>
            <w:r w:rsidRPr="008F7F36">
              <w:rPr>
                <w:sz w:val="18"/>
                <w:szCs w:val="18"/>
              </w:rPr>
              <w:t>14.5</w:t>
            </w:r>
          </w:p>
        </w:tc>
        <w:tc>
          <w:tcPr>
            <w:tcW w:w="1058" w:type="dxa"/>
            <w:tcBorders>
              <w:top w:val="nil"/>
              <w:left w:val="nil"/>
              <w:bottom w:val="single" w:sz="4" w:space="0" w:color="auto"/>
              <w:right w:val="nil"/>
            </w:tcBorders>
            <w:shd w:val="clear" w:color="auto" w:fill="auto"/>
            <w:noWrap/>
            <w:vAlign w:val="center"/>
            <w:hideMark/>
          </w:tcPr>
          <w:p w:rsidR="0013693B" w:rsidRPr="008F7F36" w:rsidRDefault="0013693B" w:rsidP="004C42B7">
            <w:pPr>
              <w:jc w:val="center"/>
              <w:rPr>
                <w:sz w:val="18"/>
                <w:szCs w:val="18"/>
              </w:rPr>
            </w:pPr>
            <w:r w:rsidRPr="008F7F36">
              <w:rPr>
                <w:sz w:val="18"/>
                <w:szCs w:val="18"/>
              </w:rPr>
              <w:t>17.9</w:t>
            </w:r>
          </w:p>
        </w:tc>
        <w:tc>
          <w:tcPr>
            <w:tcW w:w="1058" w:type="dxa"/>
            <w:tcBorders>
              <w:top w:val="nil"/>
              <w:left w:val="nil"/>
              <w:bottom w:val="single" w:sz="4" w:space="0" w:color="auto"/>
              <w:right w:val="nil"/>
            </w:tcBorders>
            <w:shd w:val="clear" w:color="auto" w:fill="auto"/>
            <w:noWrap/>
            <w:vAlign w:val="center"/>
            <w:hideMark/>
          </w:tcPr>
          <w:p w:rsidR="0013693B" w:rsidRPr="008F7F36" w:rsidRDefault="0013693B" w:rsidP="004C42B7">
            <w:pPr>
              <w:jc w:val="center"/>
              <w:rPr>
                <w:sz w:val="18"/>
                <w:szCs w:val="18"/>
              </w:rPr>
            </w:pPr>
            <w:r w:rsidRPr="008F7F36">
              <w:rPr>
                <w:sz w:val="18"/>
                <w:szCs w:val="18"/>
              </w:rPr>
              <w:t>24.6</w:t>
            </w:r>
          </w:p>
        </w:tc>
        <w:tc>
          <w:tcPr>
            <w:tcW w:w="1058" w:type="dxa"/>
            <w:tcBorders>
              <w:top w:val="nil"/>
              <w:left w:val="nil"/>
              <w:bottom w:val="single" w:sz="4" w:space="0" w:color="auto"/>
              <w:right w:val="nil"/>
            </w:tcBorders>
            <w:shd w:val="clear" w:color="auto" w:fill="auto"/>
            <w:noWrap/>
            <w:vAlign w:val="center"/>
            <w:hideMark/>
          </w:tcPr>
          <w:p w:rsidR="0013693B" w:rsidRPr="008F7F36" w:rsidRDefault="0013693B" w:rsidP="004C42B7">
            <w:pPr>
              <w:jc w:val="center"/>
              <w:rPr>
                <w:sz w:val="18"/>
                <w:szCs w:val="18"/>
              </w:rPr>
            </w:pPr>
            <w:r w:rsidRPr="008F7F36">
              <w:rPr>
                <w:sz w:val="18"/>
                <w:szCs w:val="18"/>
              </w:rPr>
              <w:t>27.1</w:t>
            </w:r>
          </w:p>
        </w:tc>
        <w:tc>
          <w:tcPr>
            <w:tcW w:w="1058" w:type="dxa"/>
            <w:tcBorders>
              <w:top w:val="nil"/>
              <w:left w:val="nil"/>
              <w:bottom w:val="single" w:sz="4" w:space="0" w:color="auto"/>
              <w:right w:val="nil"/>
            </w:tcBorders>
            <w:shd w:val="clear" w:color="auto" w:fill="auto"/>
            <w:noWrap/>
            <w:vAlign w:val="center"/>
            <w:hideMark/>
          </w:tcPr>
          <w:p w:rsidR="0013693B" w:rsidRPr="008F7F36" w:rsidRDefault="0013693B" w:rsidP="004C42B7">
            <w:pPr>
              <w:jc w:val="center"/>
              <w:rPr>
                <w:sz w:val="18"/>
                <w:szCs w:val="18"/>
              </w:rPr>
            </w:pPr>
            <w:r w:rsidRPr="008F7F36">
              <w:rPr>
                <w:sz w:val="18"/>
                <w:szCs w:val="18"/>
              </w:rPr>
              <w:t>26.2</w:t>
            </w:r>
          </w:p>
        </w:tc>
        <w:tc>
          <w:tcPr>
            <w:tcW w:w="1058" w:type="dxa"/>
            <w:tcBorders>
              <w:top w:val="nil"/>
              <w:left w:val="nil"/>
              <w:bottom w:val="single" w:sz="4" w:space="0" w:color="auto"/>
              <w:right w:val="nil"/>
            </w:tcBorders>
            <w:shd w:val="clear" w:color="auto" w:fill="auto"/>
            <w:noWrap/>
            <w:vAlign w:val="center"/>
            <w:hideMark/>
          </w:tcPr>
          <w:p w:rsidR="0013693B" w:rsidRPr="008F7F36" w:rsidRDefault="0013693B" w:rsidP="004C42B7">
            <w:pPr>
              <w:jc w:val="center"/>
              <w:rPr>
                <w:sz w:val="18"/>
                <w:szCs w:val="18"/>
              </w:rPr>
            </w:pPr>
            <w:r w:rsidRPr="008F7F36">
              <w:rPr>
                <w:sz w:val="18"/>
                <w:szCs w:val="18"/>
              </w:rPr>
              <w:t>22.1</w:t>
            </w:r>
          </w:p>
        </w:tc>
        <w:tc>
          <w:tcPr>
            <w:tcW w:w="1058" w:type="dxa"/>
            <w:tcBorders>
              <w:top w:val="nil"/>
              <w:left w:val="nil"/>
              <w:bottom w:val="single" w:sz="4" w:space="0" w:color="auto"/>
              <w:right w:val="nil"/>
            </w:tcBorders>
            <w:shd w:val="clear" w:color="auto" w:fill="auto"/>
            <w:noWrap/>
            <w:vAlign w:val="center"/>
            <w:hideMark/>
          </w:tcPr>
          <w:p w:rsidR="0013693B" w:rsidRPr="008F7F36" w:rsidRDefault="0013693B" w:rsidP="004C42B7">
            <w:pPr>
              <w:jc w:val="center"/>
              <w:rPr>
                <w:sz w:val="18"/>
                <w:szCs w:val="18"/>
              </w:rPr>
            </w:pPr>
            <w:r w:rsidRPr="008F7F36">
              <w:rPr>
                <w:sz w:val="18"/>
                <w:szCs w:val="18"/>
              </w:rPr>
              <w:t>22.1</w:t>
            </w:r>
          </w:p>
        </w:tc>
      </w:tr>
      <w:tr w:rsidR="0013693B" w:rsidRPr="008F7F36" w:rsidTr="0048091D">
        <w:trPr>
          <w:trHeight w:val="170"/>
          <w:jc w:val="center"/>
        </w:trPr>
        <w:tc>
          <w:tcPr>
            <w:tcW w:w="1147" w:type="dxa"/>
            <w:vMerge w:val="restart"/>
            <w:tcBorders>
              <w:top w:val="single" w:sz="4" w:space="0" w:color="auto"/>
              <w:left w:val="nil"/>
              <w:right w:val="nil"/>
            </w:tcBorders>
            <w:shd w:val="clear" w:color="auto" w:fill="auto"/>
            <w:noWrap/>
            <w:vAlign w:val="center"/>
            <w:hideMark/>
          </w:tcPr>
          <w:p w:rsidR="0013693B" w:rsidRPr="008F7F36" w:rsidRDefault="0013693B" w:rsidP="004C42B7">
            <w:pPr>
              <w:jc w:val="center"/>
              <w:rPr>
                <w:sz w:val="18"/>
                <w:szCs w:val="18"/>
              </w:rPr>
            </w:pPr>
            <w:r w:rsidRPr="008F7F36">
              <w:rPr>
                <w:sz w:val="18"/>
                <w:szCs w:val="18"/>
              </w:rPr>
              <w:t xml:space="preserve">Σ </w:t>
            </w:r>
            <w:proofErr w:type="spellStart"/>
            <w:r w:rsidRPr="008F7F36">
              <w:rPr>
                <w:sz w:val="18"/>
                <w:szCs w:val="18"/>
              </w:rPr>
              <w:t>precip</w:t>
            </w:r>
            <w:proofErr w:type="spellEnd"/>
            <w:r w:rsidRPr="008F7F36">
              <w:rPr>
                <w:sz w:val="18"/>
                <w:szCs w:val="18"/>
              </w:rPr>
              <w:t>.</w:t>
            </w:r>
          </w:p>
        </w:tc>
        <w:tc>
          <w:tcPr>
            <w:tcW w:w="857" w:type="dxa"/>
            <w:tcBorders>
              <w:top w:val="single" w:sz="4" w:space="0" w:color="auto"/>
              <w:left w:val="nil"/>
              <w:bottom w:val="nil"/>
              <w:right w:val="nil"/>
            </w:tcBorders>
            <w:shd w:val="clear" w:color="auto" w:fill="auto"/>
            <w:noWrap/>
            <w:vAlign w:val="center"/>
            <w:hideMark/>
          </w:tcPr>
          <w:p w:rsidR="0013693B" w:rsidRPr="008F7F36" w:rsidRDefault="0013693B" w:rsidP="004C42B7">
            <w:pPr>
              <w:jc w:val="center"/>
              <w:rPr>
                <w:sz w:val="18"/>
                <w:szCs w:val="18"/>
              </w:rPr>
            </w:pPr>
            <w:r w:rsidRPr="008F7F36">
              <w:rPr>
                <w:sz w:val="18"/>
                <w:szCs w:val="18"/>
              </w:rPr>
              <w:t>2011</w:t>
            </w:r>
          </w:p>
        </w:tc>
        <w:tc>
          <w:tcPr>
            <w:tcW w:w="1058" w:type="dxa"/>
            <w:tcBorders>
              <w:top w:val="single" w:sz="4" w:space="0" w:color="auto"/>
              <w:left w:val="nil"/>
              <w:bottom w:val="nil"/>
              <w:right w:val="nil"/>
            </w:tcBorders>
            <w:shd w:val="clear" w:color="auto" w:fill="auto"/>
            <w:noWrap/>
            <w:vAlign w:val="center"/>
            <w:hideMark/>
          </w:tcPr>
          <w:p w:rsidR="0013693B" w:rsidRPr="008F7F36" w:rsidRDefault="0013693B" w:rsidP="004C42B7">
            <w:pPr>
              <w:jc w:val="center"/>
              <w:rPr>
                <w:sz w:val="18"/>
                <w:szCs w:val="18"/>
              </w:rPr>
            </w:pPr>
            <w:r w:rsidRPr="008F7F36">
              <w:rPr>
                <w:sz w:val="18"/>
                <w:szCs w:val="18"/>
              </w:rPr>
              <w:t>14.9</w:t>
            </w:r>
          </w:p>
        </w:tc>
        <w:tc>
          <w:tcPr>
            <w:tcW w:w="1058" w:type="dxa"/>
            <w:tcBorders>
              <w:top w:val="single" w:sz="4" w:space="0" w:color="auto"/>
              <w:left w:val="nil"/>
              <w:bottom w:val="nil"/>
              <w:right w:val="nil"/>
            </w:tcBorders>
            <w:shd w:val="clear" w:color="auto" w:fill="auto"/>
            <w:noWrap/>
            <w:vAlign w:val="center"/>
            <w:hideMark/>
          </w:tcPr>
          <w:p w:rsidR="0013693B" w:rsidRPr="008F7F36" w:rsidRDefault="0013693B" w:rsidP="004C42B7">
            <w:pPr>
              <w:jc w:val="center"/>
              <w:rPr>
                <w:sz w:val="18"/>
                <w:szCs w:val="18"/>
              </w:rPr>
            </w:pPr>
            <w:r w:rsidRPr="008F7F36">
              <w:rPr>
                <w:sz w:val="18"/>
                <w:szCs w:val="18"/>
              </w:rPr>
              <w:t>89.6</w:t>
            </w:r>
          </w:p>
        </w:tc>
        <w:tc>
          <w:tcPr>
            <w:tcW w:w="1058" w:type="dxa"/>
            <w:tcBorders>
              <w:top w:val="single" w:sz="4" w:space="0" w:color="auto"/>
              <w:left w:val="nil"/>
              <w:bottom w:val="nil"/>
              <w:right w:val="nil"/>
            </w:tcBorders>
            <w:shd w:val="clear" w:color="auto" w:fill="auto"/>
            <w:noWrap/>
            <w:vAlign w:val="center"/>
            <w:hideMark/>
          </w:tcPr>
          <w:p w:rsidR="0013693B" w:rsidRPr="008F7F36" w:rsidRDefault="0013693B" w:rsidP="004C42B7">
            <w:pPr>
              <w:jc w:val="center"/>
              <w:rPr>
                <w:sz w:val="18"/>
                <w:szCs w:val="18"/>
              </w:rPr>
            </w:pPr>
            <w:r w:rsidRPr="008F7F36">
              <w:rPr>
                <w:sz w:val="18"/>
                <w:szCs w:val="18"/>
              </w:rPr>
              <w:t>26.2</w:t>
            </w:r>
          </w:p>
        </w:tc>
        <w:tc>
          <w:tcPr>
            <w:tcW w:w="1058" w:type="dxa"/>
            <w:tcBorders>
              <w:top w:val="single" w:sz="4" w:space="0" w:color="auto"/>
              <w:left w:val="nil"/>
              <w:bottom w:val="nil"/>
              <w:right w:val="nil"/>
            </w:tcBorders>
            <w:shd w:val="clear" w:color="auto" w:fill="auto"/>
            <w:noWrap/>
            <w:vAlign w:val="center"/>
            <w:hideMark/>
          </w:tcPr>
          <w:p w:rsidR="0013693B" w:rsidRPr="008F7F36" w:rsidRDefault="0013693B" w:rsidP="004C42B7">
            <w:pPr>
              <w:jc w:val="center"/>
              <w:rPr>
                <w:sz w:val="18"/>
                <w:szCs w:val="18"/>
              </w:rPr>
            </w:pPr>
            <w:r w:rsidRPr="008F7F36">
              <w:rPr>
                <w:sz w:val="18"/>
                <w:szCs w:val="18"/>
              </w:rPr>
              <w:t>44.0</w:t>
            </w:r>
          </w:p>
        </w:tc>
        <w:tc>
          <w:tcPr>
            <w:tcW w:w="1058" w:type="dxa"/>
            <w:tcBorders>
              <w:top w:val="single" w:sz="4" w:space="0" w:color="auto"/>
              <w:left w:val="nil"/>
              <w:bottom w:val="nil"/>
              <w:right w:val="nil"/>
            </w:tcBorders>
            <w:shd w:val="clear" w:color="auto" w:fill="auto"/>
            <w:noWrap/>
            <w:vAlign w:val="center"/>
            <w:hideMark/>
          </w:tcPr>
          <w:p w:rsidR="0013693B" w:rsidRPr="008F7F36" w:rsidRDefault="0013693B" w:rsidP="004C42B7">
            <w:pPr>
              <w:jc w:val="center"/>
              <w:rPr>
                <w:sz w:val="18"/>
                <w:szCs w:val="18"/>
              </w:rPr>
            </w:pPr>
            <w:r w:rsidRPr="008F7F36">
              <w:rPr>
                <w:sz w:val="18"/>
                <w:szCs w:val="18"/>
              </w:rPr>
              <w:t>66.0</w:t>
            </w:r>
          </w:p>
        </w:tc>
        <w:tc>
          <w:tcPr>
            <w:tcW w:w="1058" w:type="dxa"/>
            <w:tcBorders>
              <w:top w:val="single" w:sz="4" w:space="0" w:color="auto"/>
              <w:left w:val="nil"/>
              <w:bottom w:val="nil"/>
              <w:right w:val="nil"/>
            </w:tcBorders>
            <w:shd w:val="clear" w:color="auto" w:fill="auto"/>
            <w:noWrap/>
            <w:vAlign w:val="center"/>
            <w:hideMark/>
          </w:tcPr>
          <w:p w:rsidR="0013693B" w:rsidRPr="008F7F36" w:rsidRDefault="0013693B" w:rsidP="004C42B7">
            <w:pPr>
              <w:jc w:val="center"/>
              <w:rPr>
                <w:sz w:val="18"/>
                <w:szCs w:val="18"/>
              </w:rPr>
            </w:pPr>
            <w:r w:rsidRPr="008F7F36">
              <w:rPr>
                <w:sz w:val="18"/>
                <w:szCs w:val="18"/>
              </w:rPr>
              <w:t>32.6</w:t>
            </w:r>
          </w:p>
        </w:tc>
        <w:tc>
          <w:tcPr>
            <w:tcW w:w="1058" w:type="dxa"/>
            <w:tcBorders>
              <w:top w:val="single" w:sz="4" w:space="0" w:color="auto"/>
              <w:left w:val="nil"/>
              <w:bottom w:val="nil"/>
              <w:right w:val="nil"/>
            </w:tcBorders>
            <w:shd w:val="clear" w:color="auto" w:fill="auto"/>
            <w:noWrap/>
            <w:vAlign w:val="center"/>
            <w:hideMark/>
          </w:tcPr>
          <w:p w:rsidR="0013693B" w:rsidRPr="008F7F36" w:rsidRDefault="0013693B" w:rsidP="004C42B7">
            <w:pPr>
              <w:jc w:val="center"/>
              <w:rPr>
                <w:sz w:val="18"/>
                <w:szCs w:val="18"/>
              </w:rPr>
            </w:pPr>
            <w:r w:rsidRPr="008F7F36">
              <w:rPr>
                <w:sz w:val="18"/>
                <w:szCs w:val="18"/>
              </w:rPr>
              <w:t>273.3</w:t>
            </w:r>
          </w:p>
        </w:tc>
      </w:tr>
      <w:tr w:rsidR="0013693B" w:rsidRPr="008F7F36" w:rsidTr="0048091D">
        <w:trPr>
          <w:trHeight w:val="170"/>
          <w:jc w:val="center"/>
        </w:trPr>
        <w:tc>
          <w:tcPr>
            <w:tcW w:w="1147" w:type="dxa"/>
            <w:vMerge/>
            <w:tcBorders>
              <w:left w:val="nil"/>
              <w:bottom w:val="single" w:sz="4" w:space="0" w:color="auto"/>
              <w:right w:val="nil"/>
            </w:tcBorders>
            <w:shd w:val="clear" w:color="auto" w:fill="auto"/>
            <w:noWrap/>
            <w:vAlign w:val="center"/>
            <w:hideMark/>
          </w:tcPr>
          <w:p w:rsidR="0013693B" w:rsidRPr="008F7F36" w:rsidRDefault="0013693B" w:rsidP="004C42B7">
            <w:pPr>
              <w:jc w:val="center"/>
              <w:rPr>
                <w:sz w:val="18"/>
                <w:szCs w:val="18"/>
              </w:rPr>
            </w:pPr>
          </w:p>
        </w:tc>
        <w:tc>
          <w:tcPr>
            <w:tcW w:w="857" w:type="dxa"/>
            <w:tcBorders>
              <w:top w:val="nil"/>
              <w:left w:val="nil"/>
              <w:bottom w:val="single" w:sz="4" w:space="0" w:color="auto"/>
              <w:right w:val="nil"/>
            </w:tcBorders>
            <w:shd w:val="clear" w:color="auto" w:fill="auto"/>
            <w:noWrap/>
            <w:vAlign w:val="center"/>
            <w:hideMark/>
          </w:tcPr>
          <w:p w:rsidR="0013693B" w:rsidRPr="008F7F36" w:rsidRDefault="0013693B" w:rsidP="004C42B7">
            <w:pPr>
              <w:jc w:val="center"/>
              <w:rPr>
                <w:sz w:val="18"/>
                <w:szCs w:val="18"/>
              </w:rPr>
            </w:pPr>
            <w:r w:rsidRPr="008F7F36">
              <w:rPr>
                <w:sz w:val="18"/>
                <w:szCs w:val="18"/>
              </w:rPr>
              <w:t>2012</w:t>
            </w:r>
          </w:p>
        </w:tc>
        <w:tc>
          <w:tcPr>
            <w:tcW w:w="1058" w:type="dxa"/>
            <w:tcBorders>
              <w:top w:val="nil"/>
              <w:left w:val="nil"/>
              <w:bottom w:val="single" w:sz="4" w:space="0" w:color="auto"/>
              <w:right w:val="nil"/>
            </w:tcBorders>
            <w:shd w:val="clear" w:color="auto" w:fill="auto"/>
            <w:noWrap/>
            <w:vAlign w:val="center"/>
            <w:hideMark/>
          </w:tcPr>
          <w:p w:rsidR="0013693B" w:rsidRPr="008F7F36" w:rsidRDefault="0013693B" w:rsidP="004C42B7">
            <w:pPr>
              <w:jc w:val="center"/>
              <w:rPr>
                <w:sz w:val="18"/>
                <w:szCs w:val="18"/>
              </w:rPr>
            </w:pPr>
            <w:r w:rsidRPr="008F7F36">
              <w:rPr>
                <w:sz w:val="18"/>
                <w:szCs w:val="18"/>
              </w:rPr>
              <w:t>64.2</w:t>
            </w:r>
          </w:p>
        </w:tc>
        <w:tc>
          <w:tcPr>
            <w:tcW w:w="1058" w:type="dxa"/>
            <w:tcBorders>
              <w:top w:val="nil"/>
              <w:left w:val="nil"/>
              <w:bottom w:val="single" w:sz="4" w:space="0" w:color="auto"/>
              <w:right w:val="nil"/>
            </w:tcBorders>
            <w:shd w:val="clear" w:color="auto" w:fill="auto"/>
            <w:noWrap/>
            <w:vAlign w:val="center"/>
            <w:hideMark/>
          </w:tcPr>
          <w:p w:rsidR="0013693B" w:rsidRPr="008F7F36" w:rsidRDefault="0013693B" w:rsidP="004C42B7">
            <w:pPr>
              <w:jc w:val="center"/>
              <w:rPr>
                <w:sz w:val="18"/>
                <w:szCs w:val="18"/>
              </w:rPr>
            </w:pPr>
            <w:r w:rsidRPr="008F7F36">
              <w:rPr>
                <w:sz w:val="18"/>
                <w:szCs w:val="18"/>
              </w:rPr>
              <w:t>66.4</w:t>
            </w:r>
          </w:p>
        </w:tc>
        <w:tc>
          <w:tcPr>
            <w:tcW w:w="1058" w:type="dxa"/>
            <w:tcBorders>
              <w:top w:val="nil"/>
              <w:left w:val="nil"/>
              <w:bottom w:val="single" w:sz="4" w:space="0" w:color="auto"/>
              <w:right w:val="nil"/>
            </w:tcBorders>
            <w:shd w:val="clear" w:color="auto" w:fill="auto"/>
            <w:noWrap/>
            <w:vAlign w:val="center"/>
            <w:hideMark/>
          </w:tcPr>
          <w:p w:rsidR="0013693B" w:rsidRPr="008F7F36" w:rsidRDefault="0013693B" w:rsidP="004C42B7">
            <w:pPr>
              <w:jc w:val="center"/>
              <w:rPr>
                <w:sz w:val="18"/>
                <w:szCs w:val="18"/>
              </w:rPr>
            </w:pPr>
            <w:r w:rsidRPr="008F7F36">
              <w:rPr>
                <w:sz w:val="18"/>
                <w:szCs w:val="18"/>
              </w:rPr>
              <w:t>17.5</w:t>
            </w:r>
          </w:p>
        </w:tc>
        <w:tc>
          <w:tcPr>
            <w:tcW w:w="1058" w:type="dxa"/>
            <w:tcBorders>
              <w:top w:val="nil"/>
              <w:left w:val="nil"/>
              <w:bottom w:val="single" w:sz="4" w:space="0" w:color="auto"/>
              <w:right w:val="nil"/>
            </w:tcBorders>
            <w:shd w:val="clear" w:color="auto" w:fill="auto"/>
            <w:noWrap/>
            <w:vAlign w:val="center"/>
            <w:hideMark/>
          </w:tcPr>
          <w:p w:rsidR="0013693B" w:rsidRPr="008F7F36" w:rsidRDefault="0013693B" w:rsidP="004C42B7">
            <w:pPr>
              <w:jc w:val="center"/>
              <w:rPr>
                <w:sz w:val="18"/>
                <w:szCs w:val="18"/>
              </w:rPr>
            </w:pPr>
            <w:r w:rsidRPr="008F7F36">
              <w:rPr>
                <w:sz w:val="18"/>
                <w:szCs w:val="18"/>
              </w:rPr>
              <w:t>30.7</w:t>
            </w:r>
          </w:p>
        </w:tc>
        <w:tc>
          <w:tcPr>
            <w:tcW w:w="1058" w:type="dxa"/>
            <w:tcBorders>
              <w:top w:val="nil"/>
              <w:left w:val="nil"/>
              <w:bottom w:val="single" w:sz="4" w:space="0" w:color="auto"/>
              <w:right w:val="nil"/>
            </w:tcBorders>
            <w:shd w:val="clear" w:color="auto" w:fill="auto"/>
            <w:noWrap/>
            <w:vAlign w:val="center"/>
            <w:hideMark/>
          </w:tcPr>
          <w:p w:rsidR="0013693B" w:rsidRPr="008F7F36" w:rsidRDefault="0013693B" w:rsidP="008F7F36">
            <w:pPr>
              <w:ind w:right="-127"/>
              <w:jc w:val="center"/>
              <w:rPr>
                <w:sz w:val="18"/>
                <w:szCs w:val="18"/>
              </w:rPr>
            </w:pPr>
            <w:r w:rsidRPr="008F7F36">
              <w:rPr>
                <w:sz w:val="18"/>
                <w:szCs w:val="18"/>
              </w:rPr>
              <w:t>5.8</w:t>
            </w:r>
          </w:p>
        </w:tc>
        <w:tc>
          <w:tcPr>
            <w:tcW w:w="1058" w:type="dxa"/>
            <w:tcBorders>
              <w:top w:val="nil"/>
              <w:left w:val="nil"/>
              <w:bottom w:val="single" w:sz="4" w:space="0" w:color="auto"/>
              <w:right w:val="nil"/>
            </w:tcBorders>
            <w:shd w:val="clear" w:color="auto" w:fill="auto"/>
            <w:noWrap/>
            <w:vAlign w:val="center"/>
            <w:hideMark/>
          </w:tcPr>
          <w:p w:rsidR="0013693B" w:rsidRPr="008F7F36" w:rsidRDefault="0013693B" w:rsidP="004C42B7">
            <w:pPr>
              <w:jc w:val="center"/>
              <w:rPr>
                <w:sz w:val="18"/>
                <w:szCs w:val="18"/>
              </w:rPr>
            </w:pPr>
            <w:r w:rsidRPr="008F7F36">
              <w:rPr>
                <w:sz w:val="18"/>
                <w:szCs w:val="18"/>
              </w:rPr>
              <w:t>26.0</w:t>
            </w:r>
          </w:p>
        </w:tc>
        <w:tc>
          <w:tcPr>
            <w:tcW w:w="1058" w:type="dxa"/>
            <w:tcBorders>
              <w:top w:val="nil"/>
              <w:left w:val="nil"/>
              <w:bottom w:val="single" w:sz="4" w:space="0" w:color="auto"/>
              <w:right w:val="nil"/>
            </w:tcBorders>
            <w:shd w:val="clear" w:color="auto" w:fill="auto"/>
            <w:noWrap/>
            <w:vAlign w:val="center"/>
            <w:hideMark/>
          </w:tcPr>
          <w:p w:rsidR="0013693B" w:rsidRPr="008F7F36" w:rsidRDefault="0013693B" w:rsidP="004C42B7">
            <w:pPr>
              <w:jc w:val="center"/>
              <w:rPr>
                <w:sz w:val="18"/>
                <w:szCs w:val="18"/>
              </w:rPr>
            </w:pPr>
            <w:r w:rsidRPr="008F7F36">
              <w:rPr>
                <w:sz w:val="18"/>
                <w:szCs w:val="18"/>
              </w:rPr>
              <w:t>210.6</w:t>
            </w:r>
          </w:p>
        </w:tc>
      </w:tr>
    </w:tbl>
    <w:p w:rsidR="0013693B" w:rsidRPr="0048091D" w:rsidRDefault="0013693B" w:rsidP="0013693B">
      <w:pPr>
        <w:rPr>
          <w:sz w:val="18"/>
          <w:szCs w:val="18"/>
        </w:rPr>
      </w:pPr>
    </w:p>
    <w:p w:rsidR="0013693B" w:rsidRPr="008F7F36" w:rsidRDefault="0013693B" w:rsidP="008F7F36">
      <w:pPr>
        <w:jc w:val="center"/>
        <w:rPr>
          <w:b/>
          <w:sz w:val="22"/>
          <w:szCs w:val="22"/>
        </w:rPr>
      </w:pPr>
      <w:r w:rsidRPr="008F7F36">
        <w:rPr>
          <w:b/>
          <w:sz w:val="22"/>
          <w:szCs w:val="22"/>
        </w:rPr>
        <w:t>Results and Discussion</w:t>
      </w:r>
    </w:p>
    <w:p w:rsidR="008F7F36" w:rsidRPr="0048091D" w:rsidRDefault="008F7F36" w:rsidP="008F7F36">
      <w:pPr>
        <w:ind w:firstLine="426"/>
        <w:rPr>
          <w:sz w:val="18"/>
          <w:szCs w:val="18"/>
        </w:rPr>
      </w:pPr>
    </w:p>
    <w:p w:rsidR="0048091D" w:rsidRDefault="0013693B" w:rsidP="008F7F36">
      <w:pPr>
        <w:ind w:firstLine="426"/>
        <w:jc w:val="both"/>
        <w:rPr>
          <w:sz w:val="22"/>
          <w:szCs w:val="22"/>
        </w:rPr>
      </w:pPr>
      <w:r w:rsidRPr="008F7F36">
        <w:rPr>
          <w:sz w:val="22"/>
          <w:szCs w:val="22"/>
        </w:rPr>
        <w:t xml:space="preserve">According to the results presented in </w:t>
      </w:r>
      <w:r w:rsidRPr="001B0A89">
        <w:rPr>
          <w:sz w:val="22"/>
          <w:szCs w:val="22"/>
        </w:rPr>
        <w:t xml:space="preserve">Table </w:t>
      </w:r>
      <w:r w:rsidR="00711A35" w:rsidRPr="001B0A89">
        <w:rPr>
          <w:sz w:val="22"/>
          <w:szCs w:val="22"/>
        </w:rPr>
        <w:t>2</w:t>
      </w:r>
      <w:r w:rsidRPr="001B0A89">
        <w:rPr>
          <w:sz w:val="22"/>
          <w:szCs w:val="22"/>
        </w:rPr>
        <w:t>,</w:t>
      </w:r>
      <w:r w:rsidR="00711A35">
        <w:rPr>
          <w:sz w:val="22"/>
          <w:szCs w:val="22"/>
        </w:rPr>
        <w:t xml:space="preserve"> </w:t>
      </w:r>
      <w:r w:rsidRPr="008F7F36">
        <w:rPr>
          <w:sz w:val="22"/>
          <w:szCs w:val="22"/>
        </w:rPr>
        <w:t xml:space="preserve">a significant variation in GSH and phenolic content was induced by the all examined factors (cropping system, fertilization and year) and their interactions, while a significant variation in YP was present under the influence of year and its interaction with the other two </w:t>
      </w:r>
      <w:r w:rsidR="0048091D">
        <w:rPr>
          <w:sz w:val="22"/>
          <w:szCs w:val="22"/>
        </w:rPr>
        <w:t>factors in grain of both crops.</w:t>
      </w:r>
    </w:p>
    <w:p w:rsidR="0013693B" w:rsidRPr="0048091D" w:rsidRDefault="0013693B" w:rsidP="008F7F36">
      <w:pPr>
        <w:jc w:val="both"/>
        <w:rPr>
          <w:sz w:val="18"/>
          <w:szCs w:val="18"/>
        </w:rPr>
      </w:pPr>
    </w:p>
    <w:p w:rsidR="0013693B" w:rsidRDefault="0013693B" w:rsidP="008F7F36">
      <w:pPr>
        <w:jc w:val="both"/>
        <w:rPr>
          <w:sz w:val="22"/>
          <w:szCs w:val="22"/>
        </w:rPr>
      </w:pPr>
      <w:proofErr w:type="gramStart"/>
      <w:r w:rsidRPr="008F7F36">
        <w:rPr>
          <w:sz w:val="22"/>
          <w:szCs w:val="22"/>
        </w:rPr>
        <w:t>Table 2.</w:t>
      </w:r>
      <w:proofErr w:type="gramEnd"/>
      <w:r w:rsidRPr="008F7F36">
        <w:rPr>
          <w:sz w:val="22"/>
          <w:szCs w:val="22"/>
        </w:rPr>
        <w:t xml:space="preserve"> Analysis of variance for the effect of cropping system, fertilization and year on contents of glutathione (GSH), </w:t>
      </w:r>
      <w:proofErr w:type="spellStart"/>
      <w:r w:rsidRPr="008F7F36">
        <w:rPr>
          <w:sz w:val="22"/>
          <w:szCs w:val="22"/>
        </w:rPr>
        <w:t>phenolics</w:t>
      </w:r>
      <w:proofErr w:type="spellEnd"/>
      <w:r w:rsidRPr="008F7F36">
        <w:rPr>
          <w:sz w:val="22"/>
          <w:szCs w:val="22"/>
        </w:rPr>
        <w:t xml:space="preserve"> and yellow pigment (YP) in maize and soybean grain.</w:t>
      </w:r>
    </w:p>
    <w:p w:rsidR="008F7F36" w:rsidRPr="0048091D" w:rsidRDefault="008F7F36" w:rsidP="008F7F36">
      <w:pPr>
        <w:jc w:val="both"/>
        <w:rPr>
          <w:sz w:val="18"/>
          <w:szCs w:val="18"/>
        </w:rPr>
      </w:pPr>
    </w:p>
    <w:tbl>
      <w:tblPr>
        <w:tblW w:w="7371" w:type="dxa"/>
        <w:jc w:val="center"/>
        <w:tblLayout w:type="fixed"/>
        <w:tblLook w:val="04A0" w:firstRow="1" w:lastRow="0" w:firstColumn="1" w:lastColumn="0" w:noHBand="0" w:noVBand="1"/>
      </w:tblPr>
      <w:tblGrid>
        <w:gridCol w:w="436"/>
        <w:gridCol w:w="1270"/>
        <w:gridCol w:w="480"/>
        <w:gridCol w:w="1003"/>
        <w:gridCol w:w="725"/>
        <w:gridCol w:w="969"/>
        <w:gridCol w:w="759"/>
        <w:gridCol w:w="935"/>
        <w:gridCol w:w="794"/>
      </w:tblGrid>
      <w:tr w:rsidR="00F171ED" w:rsidRPr="008F7F36" w:rsidTr="00F171ED">
        <w:trPr>
          <w:cantSplit/>
          <w:trHeight w:val="227"/>
          <w:jc w:val="center"/>
        </w:trPr>
        <w:tc>
          <w:tcPr>
            <w:tcW w:w="436" w:type="dxa"/>
            <w:vMerge w:val="restart"/>
            <w:tcBorders>
              <w:top w:val="single" w:sz="4" w:space="0" w:color="auto"/>
              <w:left w:val="nil"/>
              <w:right w:val="nil"/>
            </w:tcBorders>
            <w:vAlign w:val="center"/>
          </w:tcPr>
          <w:p w:rsidR="00F171ED" w:rsidRPr="008F7F36" w:rsidRDefault="00F171ED" w:rsidP="004C42B7">
            <w:pPr>
              <w:jc w:val="center"/>
              <w:rPr>
                <w:sz w:val="16"/>
                <w:szCs w:val="16"/>
              </w:rPr>
            </w:pPr>
          </w:p>
        </w:tc>
        <w:tc>
          <w:tcPr>
            <w:tcW w:w="1270" w:type="dxa"/>
            <w:vMerge w:val="restart"/>
            <w:tcBorders>
              <w:top w:val="single" w:sz="4" w:space="0" w:color="auto"/>
              <w:left w:val="nil"/>
              <w:right w:val="nil"/>
            </w:tcBorders>
            <w:shd w:val="clear" w:color="auto" w:fill="auto"/>
            <w:noWrap/>
            <w:vAlign w:val="center"/>
          </w:tcPr>
          <w:p w:rsidR="00F171ED" w:rsidRPr="008F7F36" w:rsidRDefault="00F171ED" w:rsidP="008F7F36">
            <w:pPr>
              <w:rPr>
                <w:sz w:val="16"/>
                <w:szCs w:val="16"/>
              </w:rPr>
            </w:pPr>
            <w:r w:rsidRPr="008F7F36">
              <w:rPr>
                <w:sz w:val="16"/>
                <w:szCs w:val="16"/>
              </w:rPr>
              <w:t>Source of variation</w:t>
            </w:r>
          </w:p>
        </w:tc>
        <w:tc>
          <w:tcPr>
            <w:tcW w:w="480" w:type="dxa"/>
            <w:vMerge w:val="restart"/>
            <w:tcBorders>
              <w:top w:val="single" w:sz="4" w:space="0" w:color="auto"/>
              <w:left w:val="nil"/>
              <w:right w:val="nil"/>
            </w:tcBorders>
            <w:shd w:val="clear" w:color="auto" w:fill="auto"/>
            <w:noWrap/>
            <w:vAlign w:val="center"/>
          </w:tcPr>
          <w:p w:rsidR="00F171ED" w:rsidRPr="008F7F36" w:rsidRDefault="00F171ED" w:rsidP="004C42B7">
            <w:pPr>
              <w:jc w:val="center"/>
              <w:rPr>
                <w:sz w:val="16"/>
                <w:szCs w:val="16"/>
              </w:rPr>
            </w:pPr>
            <w:proofErr w:type="spellStart"/>
            <w:r w:rsidRPr="008F7F36">
              <w:rPr>
                <w:sz w:val="16"/>
                <w:szCs w:val="16"/>
              </w:rPr>
              <w:t>df</w:t>
            </w:r>
            <w:proofErr w:type="spellEnd"/>
          </w:p>
        </w:tc>
        <w:tc>
          <w:tcPr>
            <w:tcW w:w="1728" w:type="dxa"/>
            <w:gridSpan w:val="2"/>
            <w:tcBorders>
              <w:top w:val="single" w:sz="4" w:space="0" w:color="auto"/>
              <w:left w:val="nil"/>
              <w:bottom w:val="single" w:sz="4" w:space="0" w:color="auto"/>
              <w:right w:val="nil"/>
            </w:tcBorders>
            <w:shd w:val="clear" w:color="auto" w:fill="auto"/>
            <w:noWrap/>
            <w:vAlign w:val="center"/>
            <w:hideMark/>
          </w:tcPr>
          <w:p w:rsidR="00F171ED" w:rsidRPr="008F7F36" w:rsidRDefault="00F171ED" w:rsidP="004C42B7">
            <w:pPr>
              <w:jc w:val="center"/>
              <w:rPr>
                <w:sz w:val="16"/>
                <w:szCs w:val="16"/>
              </w:rPr>
            </w:pPr>
            <w:r w:rsidRPr="008F7F36">
              <w:rPr>
                <w:sz w:val="16"/>
                <w:szCs w:val="16"/>
              </w:rPr>
              <w:t>GSH (</w:t>
            </w:r>
            <w:proofErr w:type="spellStart"/>
            <w:r w:rsidRPr="008F7F36">
              <w:rPr>
                <w:sz w:val="16"/>
                <w:szCs w:val="16"/>
              </w:rPr>
              <w:t>nmol</w:t>
            </w:r>
            <w:proofErr w:type="spellEnd"/>
            <w:r w:rsidRPr="008F7F36">
              <w:rPr>
                <w:sz w:val="16"/>
                <w:szCs w:val="16"/>
              </w:rPr>
              <w:t xml:space="preserve"> g</w:t>
            </w:r>
            <w:r w:rsidRPr="008F7F36">
              <w:rPr>
                <w:sz w:val="16"/>
                <w:szCs w:val="16"/>
                <w:vertAlign w:val="superscript"/>
              </w:rPr>
              <w:t>-1</w:t>
            </w:r>
            <w:r w:rsidRPr="008F7F36">
              <w:rPr>
                <w:sz w:val="16"/>
                <w:szCs w:val="16"/>
              </w:rPr>
              <w:t>)</w:t>
            </w:r>
          </w:p>
        </w:tc>
        <w:tc>
          <w:tcPr>
            <w:tcW w:w="1728" w:type="dxa"/>
            <w:gridSpan w:val="2"/>
            <w:tcBorders>
              <w:top w:val="single" w:sz="4" w:space="0" w:color="auto"/>
              <w:left w:val="nil"/>
              <w:bottom w:val="single" w:sz="4" w:space="0" w:color="auto"/>
              <w:right w:val="nil"/>
            </w:tcBorders>
            <w:shd w:val="clear" w:color="auto" w:fill="auto"/>
            <w:noWrap/>
            <w:vAlign w:val="center"/>
            <w:hideMark/>
          </w:tcPr>
          <w:p w:rsidR="00F171ED" w:rsidRPr="008F7F36" w:rsidRDefault="00F171ED" w:rsidP="004C42B7">
            <w:pPr>
              <w:jc w:val="center"/>
              <w:rPr>
                <w:sz w:val="16"/>
                <w:szCs w:val="16"/>
              </w:rPr>
            </w:pPr>
            <w:proofErr w:type="spellStart"/>
            <w:r w:rsidRPr="008F7F36">
              <w:rPr>
                <w:sz w:val="16"/>
                <w:szCs w:val="16"/>
              </w:rPr>
              <w:t>Phenolics</w:t>
            </w:r>
            <w:proofErr w:type="spellEnd"/>
            <w:r w:rsidRPr="008F7F36">
              <w:rPr>
                <w:sz w:val="16"/>
                <w:szCs w:val="16"/>
              </w:rPr>
              <w:t xml:space="preserve"> (µg g</w:t>
            </w:r>
            <w:r w:rsidRPr="008F7F36">
              <w:rPr>
                <w:sz w:val="16"/>
                <w:szCs w:val="16"/>
                <w:vertAlign w:val="superscript"/>
              </w:rPr>
              <w:t>-1</w:t>
            </w:r>
            <w:r w:rsidRPr="008F7F36">
              <w:rPr>
                <w:sz w:val="16"/>
                <w:szCs w:val="16"/>
              </w:rPr>
              <w:t>)</w:t>
            </w:r>
          </w:p>
        </w:tc>
        <w:tc>
          <w:tcPr>
            <w:tcW w:w="1729" w:type="dxa"/>
            <w:gridSpan w:val="2"/>
            <w:tcBorders>
              <w:top w:val="single" w:sz="4" w:space="0" w:color="auto"/>
              <w:left w:val="nil"/>
              <w:bottom w:val="single" w:sz="4" w:space="0" w:color="auto"/>
              <w:right w:val="nil"/>
            </w:tcBorders>
            <w:vAlign w:val="center"/>
          </w:tcPr>
          <w:p w:rsidR="00F171ED" w:rsidRPr="008F7F36" w:rsidRDefault="00F171ED" w:rsidP="004C42B7">
            <w:pPr>
              <w:jc w:val="center"/>
              <w:rPr>
                <w:sz w:val="16"/>
                <w:szCs w:val="16"/>
              </w:rPr>
            </w:pPr>
            <w:r w:rsidRPr="008F7F36">
              <w:rPr>
                <w:sz w:val="16"/>
                <w:szCs w:val="16"/>
              </w:rPr>
              <w:t>YP (µg g</w:t>
            </w:r>
            <w:r w:rsidRPr="008F7F36">
              <w:rPr>
                <w:sz w:val="16"/>
                <w:szCs w:val="16"/>
                <w:vertAlign w:val="superscript"/>
              </w:rPr>
              <w:t>-1</w:t>
            </w:r>
            <w:r w:rsidRPr="008F7F36">
              <w:rPr>
                <w:sz w:val="16"/>
                <w:szCs w:val="16"/>
              </w:rPr>
              <w:t>)</w:t>
            </w:r>
          </w:p>
        </w:tc>
      </w:tr>
      <w:tr w:rsidR="00F171ED" w:rsidRPr="008F7F36" w:rsidTr="00F171ED">
        <w:trPr>
          <w:cantSplit/>
          <w:trHeight w:val="227"/>
          <w:jc w:val="center"/>
        </w:trPr>
        <w:tc>
          <w:tcPr>
            <w:tcW w:w="436" w:type="dxa"/>
            <w:vMerge/>
            <w:tcBorders>
              <w:left w:val="nil"/>
              <w:bottom w:val="single" w:sz="4" w:space="0" w:color="auto"/>
              <w:right w:val="nil"/>
            </w:tcBorders>
            <w:textDirection w:val="btLr"/>
            <w:vAlign w:val="center"/>
          </w:tcPr>
          <w:p w:rsidR="00F171ED" w:rsidRPr="008F7F36" w:rsidRDefault="00F171ED" w:rsidP="004C42B7">
            <w:pPr>
              <w:ind w:left="113" w:right="113"/>
              <w:jc w:val="center"/>
              <w:rPr>
                <w:sz w:val="16"/>
                <w:szCs w:val="16"/>
              </w:rPr>
            </w:pPr>
          </w:p>
        </w:tc>
        <w:tc>
          <w:tcPr>
            <w:tcW w:w="1270" w:type="dxa"/>
            <w:vMerge/>
            <w:tcBorders>
              <w:left w:val="nil"/>
              <w:bottom w:val="single" w:sz="4" w:space="0" w:color="auto"/>
              <w:right w:val="nil"/>
            </w:tcBorders>
            <w:shd w:val="clear" w:color="auto" w:fill="auto"/>
            <w:noWrap/>
            <w:vAlign w:val="center"/>
          </w:tcPr>
          <w:p w:rsidR="00F171ED" w:rsidRPr="008F7F36" w:rsidRDefault="00F171ED" w:rsidP="008F7F36">
            <w:pPr>
              <w:rPr>
                <w:sz w:val="16"/>
                <w:szCs w:val="16"/>
              </w:rPr>
            </w:pPr>
          </w:p>
        </w:tc>
        <w:tc>
          <w:tcPr>
            <w:tcW w:w="480" w:type="dxa"/>
            <w:vMerge/>
            <w:tcBorders>
              <w:left w:val="nil"/>
              <w:bottom w:val="single" w:sz="4" w:space="0" w:color="auto"/>
              <w:right w:val="nil"/>
            </w:tcBorders>
            <w:shd w:val="clear" w:color="auto" w:fill="auto"/>
            <w:noWrap/>
            <w:vAlign w:val="center"/>
          </w:tcPr>
          <w:p w:rsidR="00F171ED" w:rsidRPr="008F7F36" w:rsidRDefault="00F171ED" w:rsidP="004C42B7">
            <w:pPr>
              <w:jc w:val="center"/>
              <w:rPr>
                <w:sz w:val="16"/>
                <w:szCs w:val="16"/>
              </w:rPr>
            </w:pPr>
          </w:p>
        </w:tc>
        <w:tc>
          <w:tcPr>
            <w:tcW w:w="1003" w:type="dxa"/>
            <w:tcBorders>
              <w:top w:val="single" w:sz="4" w:space="0" w:color="auto"/>
              <w:left w:val="nil"/>
              <w:bottom w:val="single" w:sz="4" w:space="0" w:color="auto"/>
              <w:right w:val="nil"/>
            </w:tcBorders>
            <w:shd w:val="clear" w:color="auto" w:fill="auto"/>
            <w:noWrap/>
            <w:vAlign w:val="center"/>
          </w:tcPr>
          <w:p w:rsidR="00F171ED" w:rsidRPr="008F7F36" w:rsidRDefault="00F171ED" w:rsidP="004C42B7">
            <w:pPr>
              <w:jc w:val="center"/>
              <w:rPr>
                <w:sz w:val="16"/>
                <w:szCs w:val="16"/>
              </w:rPr>
            </w:pPr>
            <w:r w:rsidRPr="008F7F36">
              <w:rPr>
                <w:sz w:val="16"/>
                <w:szCs w:val="16"/>
              </w:rPr>
              <w:t>MS</w:t>
            </w:r>
          </w:p>
        </w:tc>
        <w:tc>
          <w:tcPr>
            <w:tcW w:w="725" w:type="dxa"/>
            <w:tcBorders>
              <w:top w:val="single" w:sz="4" w:space="0" w:color="auto"/>
              <w:left w:val="nil"/>
              <w:bottom w:val="single" w:sz="4" w:space="0" w:color="auto"/>
              <w:right w:val="nil"/>
            </w:tcBorders>
            <w:shd w:val="clear" w:color="auto" w:fill="auto"/>
            <w:vAlign w:val="center"/>
          </w:tcPr>
          <w:p w:rsidR="00F171ED" w:rsidRPr="008F7F36" w:rsidRDefault="00F171ED" w:rsidP="004C42B7">
            <w:pPr>
              <w:jc w:val="center"/>
              <w:rPr>
                <w:sz w:val="16"/>
                <w:szCs w:val="16"/>
              </w:rPr>
            </w:pPr>
            <w:r w:rsidRPr="008F7F36">
              <w:rPr>
                <w:sz w:val="16"/>
                <w:szCs w:val="16"/>
              </w:rPr>
              <w:t>LSD</w:t>
            </w:r>
            <w:r w:rsidRPr="008F7F36">
              <w:rPr>
                <w:sz w:val="16"/>
                <w:szCs w:val="16"/>
                <w:vertAlign w:val="subscript"/>
              </w:rPr>
              <w:t>0.05</w:t>
            </w:r>
          </w:p>
        </w:tc>
        <w:tc>
          <w:tcPr>
            <w:tcW w:w="969" w:type="dxa"/>
            <w:tcBorders>
              <w:top w:val="single" w:sz="4" w:space="0" w:color="auto"/>
              <w:left w:val="nil"/>
              <w:bottom w:val="single" w:sz="4" w:space="0" w:color="auto"/>
              <w:right w:val="nil"/>
            </w:tcBorders>
            <w:shd w:val="clear" w:color="auto" w:fill="auto"/>
            <w:noWrap/>
            <w:vAlign w:val="center"/>
            <w:hideMark/>
          </w:tcPr>
          <w:p w:rsidR="00F171ED" w:rsidRPr="008F7F36" w:rsidRDefault="00F171ED" w:rsidP="004C42B7">
            <w:pPr>
              <w:jc w:val="center"/>
              <w:rPr>
                <w:sz w:val="16"/>
                <w:szCs w:val="16"/>
              </w:rPr>
            </w:pPr>
            <w:r w:rsidRPr="008F7F36">
              <w:rPr>
                <w:sz w:val="16"/>
                <w:szCs w:val="16"/>
              </w:rPr>
              <w:t>MS</w:t>
            </w:r>
          </w:p>
        </w:tc>
        <w:tc>
          <w:tcPr>
            <w:tcW w:w="759" w:type="dxa"/>
            <w:tcBorders>
              <w:top w:val="single" w:sz="4" w:space="0" w:color="auto"/>
              <w:left w:val="nil"/>
              <w:bottom w:val="single" w:sz="4" w:space="0" w:color="auto"/>
              <w:right w:val="nil"/>
            </w:tcBorders>
            <w:shd w:val="clear" w:color="auto" w:fill="auto"/>
            <w:vAlign w:val="center"/>
          </w:tcPr>
          <w:p w:rsidR="00F171ED" w:rsidRPr="008F7F36" w:rsidRDefault="00F171ED" w:rsidP="004C42B7">
            <w:pPr>
              <w:jc w:val="center"/>
              <w:rPr>
                <w:sz w:val="16"/>
                <w:szCs w:val="16"/>
              </w:rPr>
            </w:pPr>
            <w:r w:rsidRPr="008F7F36">
              <w:rPr>
                <w:sz w:val="16"/>
                <w:szCs w:val="16"/>
              </w:rPr>
              <w:t>LSD</w:t>
            </w:r>
            <w:r w:rsidRPr="008F7F36">
              <w:rPr>
                <w:sz w:val="16"/>
                <w:szCs w:val="16"/>
                <w:vertAlign w:val="subscript"/>
              </w:rPr>
              <w:t>0.05</w:t>
            </w:r>
          </w:p>
        </w:tc>
        <w:tc>
          <w:tcPr>
            <w:tcW w:w="935" w:type="dxa"/>
            <w:tcBorders>
              <w:top w:val="single" w:sz="4" w:space="0" w:color="auto"/>
              <w:left w:val="nil"/>
              <w:bottom w:val="single" w:sz="4" w:space="0" w:color="auto"/>
              <w:right w:val="nil"/>
            </w:tcBorders>
            <w:vAlign w:val="center"/>
          </w:tcPr>
          <w:p w:rsidR="00F171ED" w:rsidRPr="008F7F36" w:rsidRDefault="00F171ED" w:rsidP="004C42B7">
            <w:pPr>
              <w:jc w:val="center"/>
              <w:rPr>
                <w:sz w:val="16"/>
                <w:szCs w:val="16"/>
              </w:rPr>
            </w:pPr>
            <w:r w:rsidRPr="008F7F36">
              <w:rPr>
                <w:sz w:val="16"/>
                <w:szCs w:val="16"/>
              </w:rPr>
              <w:t>MS</w:t>
            </w:r>
          </w:p>
        </w:tc>
        <w:tc>
          <w:tcPr>
            <w:tcW w:w="794" w:type="dxa"/>
            <w:tcBorders>
              <w:top w:val="single" w:sz="4" w:space="0" w:color="auto"/>
              <w:left w:val="nil"/>
              <w:bottom w:val="single" w:sz="4" w:space="0" w:color="auto"/>
              <w:right w:val="nil"/>
            </w:tcBorders>
            <w:vAlign w:val="center"/>
          </w:tcPr>
          <w:p w:rsidR="00F171ED" w:rsidRPr="008F7F36" w:rsidRDefault="00F171ED" w:rsidP="004C42B7">
            <w:pPr>
              <w:jc w:val="center"/>
              <w:rPr>
                <w:sz w:val="16"/>
                <w:szCs w:val="16"/>
              </w:rPr>
            </w:pPr>
            <w:r w:rsidRPr="008F7F36">
              <w:rPr>
                <w:sz w:val="16"/>
                <w:szCs w:val="16"/>
              </w:rPr>
              <w:t>LSD</w:t>
            </w:r>
            <w:r w:rsidRPr="008F7F36">
              <w:rPr>
                <w:sz w:val="16"/>
                <w:szCs w:val="16"/>
                <w:vertAlign w:val="subscript"/>
              </w:rPr>
              <w:t>0.05</w:t>
            </w:r>
          </w:p>
        </w:tc>
      </w:tr>
      <w:tr w:rsidR="0013693B" w:rsidRPr="008F7F36" w:rsidTr="00F171ED">
        <w:trPr>
          <w:trHeight w:val="170"/>
          <w:jc w:val="center"/>
        </w:trPr>
        <w:tc>
          <w:tcPr>
            <w:tcW w:w="436" w:type="dxa"/>
            <w:vMerge w:val="restart"/>
            <w:tcBorders>
              <w:top w:val="single" w:sz="4" w:space="0" w:color="auto"/>
              <w:left w:val="nil"/>
              <w:right w:val="nil"/>
            </w:tcBorders>
            <w:textDirection w:val="btLr"/>
            <w:vAlign w:val="center"/>
          </w:tcPr>
          <w:p w:rsidR="0013693B" w:rsidRPr="008F7F36" w:rsidRDefault="0013693B" w:rsidP="004C42B7">
            <w:pPr>
              <w:ind w:left="113" w:right="113"/>
              <w:jc w:val="center"/>
              <w:rPr>
                <w:sz w:val="16"/>
                <w:szCs w:val="16"/>
              </w:rPr>
            </w:pPr>
            <w:r w:rsidRPr="008F7F36">
              <w:rPr>
                <w:sz w:val="16"/>
                <w:szCs w:val="16"/>
              </w:rPr>
              <w:t>Maize grain</w:t>
            </w:r>
          </w:p>
        </w:tc>
        <w:tc>
          <w:tcPr>
            <w:tcW w:w="1270" w:type="dxa"/>
            <w:tcBorders>
              <w:top w:val="single" w:sz="4" w:space="0" w:color="auto"/>
              <w:left w:val="nil"/>
              <w:right w:val="nil"/>
            </w:tcBorders>
            <w:shd w:val="clear" w:color="auto" w:fill="auto"/>
            <w:noWrap/>
            <w:vAlign w:val="center"/>
          </w:tcPr>
          <w:p w:rsidR="0013693B" w:rsidRPr="008F7F36" w:rsidRDefault="0013693B" w:rsidP="008F7F36">
            <w:pPr>
              <w:rPr>
                <w:sz w:val="16"/>
                <w:szCs w:val="16"/>
              </w:rPr>
            </w:pPr>
            <w:r w:rsidRPr="008F7F36">
              <w:rPr>
                <w:sz w:val="16"/>
                <w:szCs w:val="16"/>
              </w:rPr>
              <w:t>Replications</w:t>
            </w:r>
          </w:p>
        </w:tc>
        <w:tc>
          <w:tcPr>
            <w:tcW w:w="480" w:type="dxa"/>
            <w:tcBorders>
              <w:top w:val="single" w:sz="4" w:space="0" w:color="auto"/>
              <w:left w:val="nil"/>
              <w:right w:val="nil"/>
            </w:tcBorders>
            <w:shd w:val="clear" w:color="auto" w:fill="auto"/>
            <w:noWrap/>
            <w:vAlign w:val="center"/>
          </w:tcPr>
          <w:p w:rsidR="0013693B" w:rsidRPr="008F7F36" w:rsidRDefault="0013693B" w:rsidP="004C42B7">
            <w:pPr>
              <w:jc w:val="center"/>
              <w:rPr>
                <w:sz w:val="16"/>
                <w:szCs w:val="16"/>
              </w:rPr>
            </w:pPr>
            <w:r w:rsidRPr="008F7F36">
              <w:rPr>
                <w:sz w:val="16"/>
                <w:szCs w:val="16"/>
              </w:rPr>
              <w:t>3</w:t>
            </w:r>
          </w:p>
        </w:tc>
        <w:tc>
          <w:tcPr>
            <w:tcW w:w="1003" w:type="dxa"/>
            <w:tcBorders>
              <w:top w:val="single" w:sz="4" w:space="0" w:color="auto"/>
              <w:left w:val="nil"/>
              <w:right w:val="nil"/>
            </w:tcBorders>
            <w:shd w:val="clear" w:color="auto" w:fill="auto"/>
            <w:noWrap/>
            <w:vAlign w:val="center"/>
          </w:tcPr>
          <w:p w:rsidR="0013693B" w:rsidRPr="008F7F36" w:rsidRDefault="0013693B" w:rsidP="004C42B7">
            <w:pPr>
              <w:jc w:val="center"/>
              <w:rPr>
                <w:sz w:val="16"/>
                <w:szCs w:val="16"/>
              </w:rPr>
            </w:pPr>
          </w:p>
        </w:tc>
        <w:tc>
          <w:tcPr>
            <w:tcW w:w="725" w:type="dxa"/>
            <w:tcBorders>
              <w:top w:val="single" w:sz="4" w:space="0" w:color="auto"/>
              <w:left w:val="nil"/>
              <w:right w:val="nil"/>
            </w:tcBorders>
            <w:shd w:val="clear" w:color="auto" w:fill="auto"/>
            <w:vAlign w:val="center"/>
          </w:tcPr>
          <w:p w:rsidR="0013693B" w:rsidRPr="008F7F36" w:rsidRDefault="0013693B" w:rsidP="004C42B7">
            <w:pPr>
              <w:jc w:val="center"/>
              <w:rPr>
                <w:sz w:val="16"/>
                <w:szCs w:val="16"/>
              </w:rPr>
            </w:pPr>
          </w:p>
        </w:tc>
        <w:tc>
          <w:tcPr>
            <w:tcW w:w="969" w:type="dxa"/>
            <w:tcBorders>
              <w:top w:val="single" w:sz="4" w:space="0" w:color="auto"/>
              <w:left w:val="nil"/>
              <w:right w:val="nil"/>
            </w:tcBorders>
            <w:shd w:val="clear" w:color="auto" w:fill="auto"/>
            <w:vAlign w:val="center"/>
          </w:tcPr>
          <w:p w:rsidR="0013693B" w:rsidRPr="008F7F36" w:rsidRDefault="0013693B" w:rsidP="004C42B7">
            <w:pPr>
              <w:jc w:val="center"/>
              <w:rPr>
                <w:sz w:val="16"/>
                <w:szCs w:val="16"/>
              </w:rPr>
            </w:pPr>
          </w:p>
        </w:tc>
        <w:tc>
          <w:tcPr>
            <w:tcW w:w="759" w:type="dxa"/>
            <w:tcBorders>
              <w:top w:val="single" w:sz="4" w:space="0" w:color="auto"/>
              <w:left w:val="nil"/>
              <w:right w:val="nil"/>
            </w:tcBorders>
            <w:shd w:val="clear" w:color="auto" w:fill="auto"/>
            <w:vAlign w:val="center"/>
          </w:tcPr>
          <w:p w:rsidR="0013693B" w:rsidRPr="008F7F36" w:rsidRDefault="0013693B" w:rsidP="004C42B7">
            <w:pPr>
              <w:jc w:val="center"/>
              <w:rPr>
                <w:sz w:val="16"/>
                <w:szCs w:val="16"/>
              </w:rPr>
            </w:pPr>
          </w:p>
        </w:tc>
        <w:tc>
          <w:tcPr>
            <w:tcW w:w="935" w:type="dxa"/>
            <w:tcBorders>
              <w:top w:val="single" w:sz="4" w:space="0" w:color="auto"/>
              <w:left w:val="nil"/>
              <w:right w:val="nil"/>
            </w:tcBorders>
            <w:vAlign w:val="center"/>
          </w:tcPr>
          <w:p w:rsidR="0013693B" w:rsidRPr="008F7F36" w:rsidRDefault="0013693B" w:rsidP="004C42B7">
            <w:pPr>
              <w:jc w:val="center"/>
              <w:rPr>
                <w:sz w:val="16"/>
                <w:szCs w:val="16"/>
              </w:rPr>
            </w:pPr>
          </w:p>
        </w:tc>
        <w:tc>
          <w:tcPr>
            <w:tcW w:w="794" w:type="dxa"/>
            <w:tcBorders>
              <w:top w:val="single" w:sz="4" w:space="0" w:color="auto"/>
              <w:left w:val="nil"/>
              <w:right w:val="nil"/>
            </w:tcBorders>
            <w:vAlign w:val="center"/>
          </w:tcPr>
          <w:p w:rsidR="0013693B" w:rsidRPr="008F7F36" w:rsidRDefault="0013693B" w:rsidP="004C42B7">
            <w:pPr>
              <w:jc w:val="center"/>
              <w:rPr>
                <w:sz w:val="16"/>
                <w:szCs w:val="16"/>
              </w:rPr>
            </w:pPr>
          </w:p>
        </w:tc>
      </w:tr>
      <w:tr w:rsidR="0013693B" w:rsidRPr="008F7F36" w:rsidTr="00F171ED">
        <w:trPr>
          <w:trHeight w:val="170"/>
          <w:jc w:val="center"/>
        </w:trPr>
        <w:tc>
          <w:tcPr>
            <w:tcW w:w="436" w:type="dxa"/>
            <w:vMerge/>
            <w:tcBorders>
              <w:left w:val="nil"/>
              <w:right w:val="nil"/>
            </w:tcBorders>
            <w:vAlign w:val="center"/>
          </w:tcPr>
          <w:p w:rsidR="0013693B" w:rsidRPr="008F7F36" w:rsidRDefault="0013693B" w:rsidP="004C42B7">
            <w:pPr>
              <w:jc w:val="center"/>
              <w:rPr>
                <w:sz w:val="16"/>
                <w:szCs w:val="16"/>
              </w:rPr>
            </w:pPr>
          </w:p>
        </w:tc>
        <w:tc>
          <w:tcPr>
            <w:tcW w:w="1270" w:type="dxa"/>
            <w:tcBorders>
              <w:top w:val="nil"/>
              <w:left w:val="nil"/>
              <w:right w:val="nil"/>
            </w:tcBorders>
            <w:shd w:val="clear" w:color="auto" w:fill="auto"/>
            <w:noWrap/>
            <w:vAlign w:val="center"/>
            <w:hideMark/>
          </w:tcPr>
          <w:p w:rsidR="0013693B" w:rsidRPr="008F7F36" w:rsidRDefault="0013693B" w:rsidP="008F7F36">
            <w:pPr>
              <w:rPr>
                <w:sz w:val="16"/>
                <w:szCs w:val="16"/>
              </w:rPr>
            </w:pPr>
            <w:r w:rsidRPr="008F7F36">
              <w:rPr>
                <w:sz w:val="16"/>
                <w:szCs w:val="16"/>
              </w:rPr>
              <w:t>CS</w:t>
            </w:r>
          </w:p>
        </w:tc>
        <w:tc>
          <w:tcPr>
            <w:tcW w:w="480" w:type="dxa"/>
            <w:tcBorders>
              <w:top w:val="nil"/>
              <w:left w:val="nil"/>
              <w:right w:val="nil"/>
            </w:tcBorders>
            <w:shd w:val="clear" w:color="auto" w:fill="auto"/>
            <w:noWrap/>
            <w:vAlign w:val="center"/>
          </w:tcPr>
          <w:p w:rsidR="0013693B" w:rsidRPr="008F7F36" w:rsidRDefault="0013693B" w:rsidP="004C42B7">
            <w:pPr>
              <w:jc w:val="center"/>
              <w:rPr>
                <w:sz w:val="16"/>
                <w:szCs w:val="16"/>
              </w:rPr>
            </w:pPr>
            <w:r w:rsidRPr="008F7F36">
              <w:rPr>
                <w:sz w:val="16"/>
                <w:szCs w:val="16"/>
              </w:rPr>
              <w:t>2</w:t>
            </w:r>
          </w:p>
        </w:tc>
        <w:tc>
          <w:tcPr>
            <w:tcW w:w="1003" w:type="dxa"/>
            <w:tcBorders>
              <w:left w:val="nil"/>
              <w:right w:val="nil"/>
            </w:tcBorders>
            <w:shd w:val="clear" w:color="auto" w:fill="auto"/>
            <w:noWrap/>
            <w:vAlign w:val="center"/>
          </w:tcPr>
          <w:p w:rsidR="0013693B" w:rsidRPr="008F7F36" w:rsidRDefault="0013693B" w:rsidP="004C42B7">
            <w:pPr>
              <w:jc w:val="center"/>
              <w:rPr>
                <w:sz w:val="16"/>
                <w:szCs w:val="16"/>
              </w:rPr>
            </w:pPr>
            <w:r w:rsidRPr="008F7F36">
              <w:rPr>
                <w:sz w:val="16"/>
                <w:szCs w:val="16"/>
              </w:rPr>
              <w:t>17971*</w:t>
            </w:r>
          </w:p>
        </w:tc>
        <w:tc>
          <w:tcPr>
            <w:tcW w:w="725" w:type="dxa"/>
            <w:tcBorders>
              <w:left w:val="nil"/>
              <w:right w:val="nil"/>
            </w:tcBorders>
            <w:shd w:val="clear" w:color="auto" w:fill="auto"/>
            <w:vAlign w:val="center"/>
          </w:tcPr>
          <w:p w:rsidR="0013693B" w:rsidRPr="008F7F36" w:rsidRDefault="0013693B" w:rsidP="004C42B7">
            <w:pPr>
              <w:jc w:val="center"/>
              <w:rPr>
                <w:sz w:val="16"/>
                <w:szCs w:val="16"/>
              </w:rPr>
            </w:pPr>
            <w:r w:rsidRPr="008F7F36">
              <w:rPr>
                <w:sz w:val="16"/>
                <w:szCs w:val="16"/>
              </w:rPr>
              <w:t>103.6</w:t>
            </w:r>
          </w:p>
        </w:tc>
        <w:tc>
          <w:tcPr>
            <w:tcW w:w="969" w:type="dxa"/>
            <w:tcBorders>
              <w:left w:val="nil"/>
              <w:right w:val="nil"/>
            </w:tcBorders>
            <w:shd w:val="clear" w:color="auto" w:fill="auto"/>
            <w:noWrap/>
            <w:vAlign w:val="center"/>
          </w:tcPr>
          <w:p w:rsidR="0013693B" w:rsidRPr="008F7F36" w:rsidRDefault="0013693B" w:rsidP="004C42B7">
            <w:pPr>
              <w:jc w:val="center"/>
              <w:rPr>
                <w:sz w:val="16"/>
                <w:szCs w:val="16"/>
              </w:rPr>
            </w:pPr>
            <w:r w:rsidRPr="008F7F36">
              <w:rPr>
                <w:sz w:val="16"/>
                <w:szCs w:val="16"/>
              </w:rPr>
              <w:t>69507*</w:t>
            </w:r>
          </w:p>
        </w:tc>
        <w:tc>
          <w:tcPr>
            <w:tcW w:w="759" w:type="dxa"/>
            <w:tcBorders>
              <w:left w:val="nil"/>
              <w:right w:val="nil"/>
            </w:tcBorders>
            <w:shd w:val="clear" w:color="auto" w:fill="auto"/>
            <w:vAlign w:val="center"/>
          </w:tcPr>
          <w:p w:rsidR="0013693B" w:rsidRPr="008F7F36" w:rsidRDefault="0013693B" w:rsidP="004C42B7">
            <w:pPr>
              <w:jc w:val="center"/>
              <w:rPr>
                <w:sz w:val="16"/>
                <w:szCs w:val="16"/>
              </w:rPr>
            </w:pPr>
            <w:r w:rsidRPr="008F7F36">
              <w:rPr>
                <w:sz w:val="16"/>
                <w:szCs w:val="16"/>
              </w:rPr>
              <w:t>256.2</w:t>
            </w:r>
          </w:p>
        </w:tc>
        <w:tc>
          <w:tcPr>
            <w:tcW w:w="935" w:type="dxa"/>
            <w:tcBorders>
              <w:left w:val="nil"/>
              <w:right w:val="nil"/>
            </w:tcBorders>
            <w:vAlign w:val="center"/>
          </w:tcPr>
          <w:p w:rsidR="0013693B" w:rsidRPr="008F7F36" w:rsidRDefault="0013693B" w:rsidP="004C42B7">
            <w:pPr>
              <w:jc w:val="center"/>
              <w:rPr>
                <w:sz w:val="16"/>
                <w:szCs w:val="16"/>
              </w:rPr>
            </w:pPr>
            <w:r w:rsidRPr="008F7F36">
              <w:rPr>
                <w:sz w:val="16"/>
                <w:szCs w:val="16"/>
              </w:rPr>
              <w:t>1.26</w:t>
            </w:r>
          </w:p>
        </w:tc>
        <w:tc>
          <w:tcPr>
            <w:tcW w:w="794" w:type="dxa"/>
            <w:tcBorders>
              <w:left w:val="nil"/>
              <w:right w:val="nil"/>
            </w:tcBorders>
            <w:vAlign w:val="center"/>
          </w:tcPr>
          <w:p w:rsidR="0013693B" w:rsidRPr="008F7F36" w:rsidRDefault="0013693B" w:rsidP="004C42B7">
            <w:pPr>
              <w:jc w:val="center"/>
              <w:rPr>
                <w:sz w:val="16"/>
                <w:szCs w:val="16"/>
              </w:rPr>
            </w:pPr>
            <w:r w:rsidRPr="008F7F36">
              <w:rPr>
                <w:sz w:val="16"/>
                <w:szCs w:val="16"/>
              </w:rPr>
              <w:t>1.582</w:t>
            </w:r>
          </w:p>
        </w:tc>
      </w:tr>
      <w:tr w:rsidR="0013693B" w:rsidRPr="008F7F36" w:rsidTr="00F171ED">
        <w:trPr>
          <w:trHeight w:val="170"/>
          <w:jc w:val="center"/>
        </w:trPr>
        <w:tc>
          <w:tcPr>
            <w:tcW w:w="436" w:type="dxa"/>
            <w:vMerge/>
            <w:tcBorders>
              <w:left w:val="nil"/>
              <w:right w:val="nil"/>
            </w:tcBorders>
            <w:vAlign w:val="center"/>
          </w:tcPr>
          <w:p w:rsidR="0013693B" w:rsidRPr="008F7F36" w:rsidRDefault="0013693B" w:rsidP="004C42B7">
            <w:pPr>
              <w:jc w:val="center"/>
              <w:rPr>
                <w:sz w:val="16"/>
                <w:szCs w:val="16"/>
              </w:rPr>
            </w:pPr>
          </w:p>
        </w:tc>
        <w:tc>
          <w:tcPr>
            <w:tcW w:w="1270" w:type="dxa"/>
            <w:tcBorders>
              <w:top w:val="nil"/>
              <w:left w:val="nil"/>
              <w:right w:val="nil"/>
            </w:tcBorders>
            <w:shd w:val="clear" w:color="auto" w:fill="auto"/>
            <w:noWrap/>
            <w:vAlign w:val="center"/>
          </w:tcPr>
          <w:p w:rsidR="0013693B" w:rsidRPr="008F7F36" w:rsidRDefault="0013693B" w:rsidP="008F7F36">
            <w:pPr>
              <w:rPr>
                <w:sz w:val="16"/>
                <w:szCs w:val="16"/>
              </w:rPr>
            </w:pPr>
            <w:r w:rsidRPr="008F7F36">
              <w:rPr>
                <w:sz w:val="16"/>
                <w:szCs w:val="16"/>
              </w:rPr>
              <w:t>F</w:t>
            </w:r>
          </w:p>
        </w:tc>
        <w:tc>
          <w:tcPr>
            <w:tcW w:w="480" w:type="dxa"/>
            <w:tcBorders>
              <w:top w:val="nil"/>
              <w:left w:val="nil"/>
              <w:right w:val="nil"/>
            </w:tcBorders>
            <w:shd w:val="clear" w:color="auto" w:fill="auto"/>
            <w:noWrap/>
            <w:vAlign w:val="center"/>
          </w:tcPr>
          <w:p w:rsidR="0013693B" w:rsidRPr="008F7F36" w:rsidRDefault="0013693B" w:rsidP="004C42B7">
            <w:pPr>
              <w:jc w:val="center"/>
              <w:rPr>
                <w:sz w:val="16"/>
                <w:szCs w:val="16"/>
              </w:rPr>
            </w:pPr>
            <w:r w:rsidRPr="008F7F36">
              <w:rPr>
                <w:sz w:val="16"/>
                <w:szCs w:val="16"/>
              </w:rPr>
              <w:t>3</w:t>
            </w:r>
          </w:p>
        </w:tc>
        <w:tc>
          <w:tcPr>
            <w:tcW w:w="1003" w:type="dxa"/>
            <w:tcBorders>
              <w:left w:val="nil"/>
              <w:right w:val="nil"/>
            </w:tcBorders>
            <w:shd w:val="clear" w:color="auto" w:fill="auto"/>
            <w:noWrap/>
            <w:vAlign w:val="center"/>
          </w:tcPr>
          <w:p w:rsidR="0013693B" w:rsidRPr="008F7F36" w:rsidRDefault="0013693B" w:rsidP="004C42B7">
            <w:pPr>
              <w:jc w:val="center"/>
              <w:rPr>
                <w:sz w:val="16"/>
                <w:szCs w:val="16"/>
              </w:rPr>
            </w:pPr>
            <w:r w:rsidRPr="008F7F36">
              <w:rPr>
                <w:sz w:val="16"/>
                <w:szCs w:val="16"/>
              </w:rPr>
              <w:t>30025*</w:t>
            </w:r>
          </w:p>
        </w:tc>
        <w:tc>
          <w:tcPr>
            <w:tcW w:w="725" w:type="dxa"/>
            <w:tcBorders>
              <w:left w:val="nil"/>
              <w:right w:val="nil"/>
            </w:tcBorders>
            <w:shd w:val="clear" w:color="auto" w:fill="auto"/>
            <w:vAlign w:val="center"/>
          </w:tcPr>
          <w:p w:rsidR="0013693B" w:rsidRPr="008F7F36" w:rsidRDefault="0013693B" w:rsidP="004C42B7">
            <w:pPr>
              <w:jc w:val="center"/>
              <w:rPr>
                <w:sz w:val="16"/>
                <w:szCs w:val="16"/>
              </w:rPr>
            </w:pPr>
            <w:r w:rsidRPr="008F7F36">
              <w:rPr>
                <w:sz w:val="16"/>
                <w:szCs w:val="16"/>
              </w:rPr>
              <w:t>97.35</w:t>
            </w:r>
          </w:p>
        </w:tc>
        <w:tc>
          <w:tcPr>
            <w:tcW w:w="969" w:type="dxa"/>
            <w:tcBorders>
              <w:left w:val="nil"/>
              <w:right w:val="nil"/>
            </w:tcBorders>
            <w:shd w:val="clear" w:color="auto" w:fill="auto"/>
            <w:noWrap/>
            <w:vAlign w:val="center"/>
          </w:tcPr>
          <w:p w:rsidR="0013693B" w:rsidRPr="008F7F36" w:rsidRDefault="0013693B" w:rsidP="004C42B7">
            <w:pPr>
              <w:jc w:val="center"/>
              <w:rPr>
                <w:sz w:val="16"/>
                <w:szCs w:val="16"/>
              </w:rPr>
            </w:pPr>
            <w:r w:rsidRPr="008F7F36">
              <w:rPr>
                <w:sz w:val="16"/>
                <w:szCs w:val="16"/>
              </w:rPr>
              <w:t>155560*</w:t>
            </w:r>
          </w:p>
        </w:tc>
        <w:tc>
          <w:tcPr>
            <w:tcW w:w="759" w:type="dxa"/>
            <w:tcBorders>
              <w:left w:val="nil"/>
              <w:right w:val="nil"/>
            </w:tcBorders>
            <w:shd w:val="clear" w:color="auto" w:fill="auto"/>
            <w:vAlign w:val="center"/>
          </w:tcPr>
          <w:p w:rsidR="0013693B" w:rsidRPr="008F7F36" w:rsidRDefault="0013693B" w:rsidP="004C42B7">
            <w:pPr>
              <w:jc w:val="center"/>
              <w:rPr>
                <w:sz w:val="16"/>
                <w:szCs w:val="16"/>
              </w:rPr>
            </w:pPr>
            <w:r w:rsidRPr="008F7F36">
              <w:rPr>
                <w:sz w:val="16"/>
                <w:szCs w:val="16"/>
              </w:rPr>
              <w:t>231.2</w:t>
            </w:r>
          </w:p>
        </w:tc>
        <w:tc>
          <w:tcPr>
            <w:tcW w:w="935" w:type="dxa"/>
            <w:tcBorders>
              <w:left w:val="nil"/>
              <w:right w:val="nil"/>
            </w:tcBorders>
            <w:vAlign w:val="center"/>
          </w:tcPr>
          <w:p w:rsidR="0013693B" w:rsidRPr="008F7F36" w:rsidRDefault="0013693B" w:rsidP="004C42B7">
            <w:pPr>
              <w:jc w:val="center"/>
              <w:rPr>
                <w:sz w:val="16"/>
                <w:szCs w:val="16"/>
              </w:rPr>
            </w:pPr>
            <w:r w:rsidRPr="008F7F36">
              <w:rPr>
                <w:sz w:val="16"/>
                <w:szCs w:val="16"/>
              </w:rPr>
              <w:t>0.01</w:t>
            </w:r>
          </w:p>
        </w:tc>
        <w:tc>
          <w:tcPr>
            <w:tcW w:w="794" w:type="dxa"/>
            <w:tcBorders>
              <w:left w:val="nil"/>
              <w:right w:val="nil"/>
            </w:tcBorders>
            <w:vAlign w:val="center"/>
          </w:tcPr>
          <w:p w:rsidR="0013693B" w:rsidRPr="008F7F36" w:rsidRDefault="0013693B" w:rsidP="004C42B7">
            <w:pPr>
              <w:jc w:val="center"/>
              <w:rPr>
                <w:sz w:val="16"/>
                <w:szCs w:val="16"/>
              </w:rPr>
            </w:pPr>
            <w:r w:rsidRPr="008F7F36">
              <w:rPr>
                <w:sz w:val="16"/>
                <w:szCs w:val="16"/>
              </w:rPr>
              <w:t>1.617</w:t>
            </w:r>
          </w:p>
        </w:tc>
      </w:tr>
      <w:tr w:rsidR="0013693B" w:rsidRPr="008F7F36" w:rsidTr="00F171ED">
        <w:trPr>
          <w:trHeight w:val="170"/>
          <w:jc w:val="center"/>
        </w:trPr>
        <w:tc>
          <w:tcPr>
            <w:tcW w:w="436" w:type="dxa"/>
            <w:vMerge/>
            <w:tcBorders>
              <w:left w:val="nil"/>
              <w:right w:val="nil"/>
            </w:tcBorders>
            <w:vAlign w:val="center"/>
          </w:tcPr>
          <w:p w:rsidR="0013693B" w:rsidRPr="008F7F36" w:rsidRDefault="0013693B" w:rsidP="004C42B7">
            <w:pPr>
              <w:jc w:val="center"/>
              <w:rPr>
                <w:sz w:val="16"/>
                <w:szCs w:val="16"/>
              </w:rPr>
            </w:pPr>
          </w:p>
        </w:tc>
        <w:tc>
          <w:tcPr>
            <w:tcW w:w="1270" w:type="dxa"/>
            <w:tcBorders>
              <w:top w:val="nil"/>
              <w:left w:val="nil"/>
              <w:right w:val="nil"/>
            </w:tcBorders>
            <w:shd w:val="clear" w:color="auto" w:fill="auto"/>
            <w:noWrap/>
            <w:vAlign w:val="center"/>
          </w:tcPr>
          <w:p w:rsidR="0013693B" w:rsidRPr="008F7F36" w:rsidRDefault="0013693B" w:rsidP="008F7F36">
            <w:pPr>
              <w:rPr>
                <w:sz w:val="16"/>
                <w:szCs w:val="16"/>
              </w:rPr>
            </w:pPr>
            <w:r w:rsidRPr="008F7F36">
              <w:rPr>
                <w:sz w:val="16"/>
                <w:szCs w:val="16"/>
              </w:rPr>
              <w:t>Y</w:t>
            </w:r>
          </w:p>
        </w:tc>
        <w:tc>
          <w:tcPr>
            <w:tcW w:w="480" w:type="dxa"/>
            <w:tcBorders>
              <w:top w:val="nil"/>
              <w:left w:val="nil"/>
              <w:right w:val="nil"/>
            </w:tcBorders>
            <w:shd w:val="clear" w:color="auto" w:fill="auto"/>
            <w:noWrap/>
            <w:vAlign w:val="center"/>
            <w:hideMark/>
          </w:tcPr>
          <w:p w:rsidR="0013693B" w:rsidRPr="008F7F36" w:rsidRDefault="0013693B" w:rsidP="004C42B7">
            <w:pPr>
              <w:jc w:val="center"/>
              <w:rPr>
                <w:sz w:val="16"/>
                <w:szCs w:val="16"/>
              </w:rPr>
            </w:pPr>
            <w:r w:rsidRPr="008F7F36">
              <w:rPr>
                <w:sz w:val="16"/>
                <w:szCs w:val="16"/>
              </w:rPr>
              <w:t>1</w:t>
            </w:r>
          </w:p>
        </w:tc>
        <w:tc>
          <w:tcPr>
            <w:tcW w:w="1003" w:type="dxa"/>
            <w:tcBorders>
              <w:left w:val="nil"/>
              <w:right w:val="nil"/>
            </w:tcBorders>
            <w:shd w:val="clear" w:color="auto" w:fill="auto"/>
            <w:noWrap/>
            <w:vAlign w:val="center"/>
          </w:tcPr>
          <w:p w:rsidR="0013693B" w:rsidRPr="008F7F36" w:rsidRDefault="0013693B" w:rsidP="004C42B7">
            <w:pPr>
              <w:jc w:val="center"/>
              <w:rPr>
                <w:sz w:val="16"/>
                <w:szCs w:val="16"/>
              </w:rPr>
            </w:pPr>
            <w:r w:rsidRPr="008F7F36">
              <w:rPr>
                <w:sz w:val="16"/>
                <w:szCs w:val="16"/>
              </w:rPr>
              <w:t>182040*</w:t>
            </w:r>
          </w:p>
        </w:tc>
        <w:tc>
          <w:tcPr>
            <w:tcW w:w="725" w:type="dxa"/>
            <w:tcBorders>
              <w:left w:val="nil"/>
              <w:right w:val="nil"/>
            </w:tcBorders>
            <w:shd w:val="clear" w:color="auto" w:fill="auto"/>
            <w:vAlign w:val="center"/>
          </w:tcPr>
          <w:p w:rsidR="0013693B" w:rsidRPr="008F7F36" w:rsidRDefault="0013693B" w:rsidP="004C42B7">
            <w:pPr>
              <w:jc w:val="center"/>
              <w:rPr>
                <w:sz w:val="16"/>
                <w:szCs w:val="16"/>
              </w:rPr>
            </w:pPr>
            <w:r w:rsidRPr="008F7F36">
              <w:rPr>
                <w:sz w:val="16"/>
                <w:szCs w:val="16"/>
              </w:rPr>
              <w:t>85.55</w:t>
            </w:r>
          </w:p>
        </w:tc>
        <w:tc>
          <w:tcPr>
            <w:tcW w:w="969" w:type="dxa"/>
            <w:tcBorders>
              <w:left w:val="nil"/>
              <w:right w:val="nil"/>
            </w:tcBorders>
            <w:shd w:val="clear" w:color="auto" w:fill="auto"/>
            <w:noWrap/>
            <w:vAlign w:val="center"/>
          </w:tcPr>
          <w:p w:rsidR="0013693B" w:rsidRPr="008F7F36" w:rsidRDefault="0013693B" w:rsidP="004C42B7">
            <w:pPr>
              <w:jc w:val="center"/>
              <w:rPr>
                <w:sz w:val="16"/>
                <w:szCs w:val="16"/>
              </w:rPr>
            </w:pPr>
            <w:r w:rsidRPr="008F7F36">
              <w:rPr>
                <w:sz w:val="16"/>
                <w:szCs w:val="16"/>
              </w:rPr>
              <w:t>1604530*</w:t>
            </w:r>
          </w:p>
        </w:tc>
        <w:tc>
          <w:tcPr>
            <w:tcW w:w="759" w:type="dxa"/>
            <w:tcBorders>
              <w:left w:val="nil"/>
              <w:right w:val="nil"/>
            </w:tcBorders>
            <w:shd w:val="clear" w:color="auto" w:fill="auto"/>
            <w:vAlign w:val="center"/>
          </w:tcPr>
          <w:p w:rsidR="0013693B" w:rsidRPr="008F7F36" w:rsidRDefault="0013693B" w:rsidP="004C42B7">
            <w:pPr>
              <w:jc w:val="center"/>
              <w:rPr>
                <w:sz w:val="16"/>
                <w:szCs w:val="16"/>
              </w:rPr>
            </w:pPr>
            <w:r w:rsidRPr="008F7F36">
              <w:rPr>
                <w:sz w:val="16"/>
                <w:szCs w:val="16"/>
              </w:rPr>
              <w:t>179.8</w:t>
            </w:r>
          </w:p>
        </w:tc>
        <w:tc>
          <w:tcPr>
            <w:tcW w:w="935" w:type="dxa"/>
            <w:tcBorders>
              <w:left w:val="nil"/>
              <w:right w:val="nil"/>
            </w:tcBorders>
            <w:vAlign w:val="center"/>
          </w:tcPr>
          <w:p w:rsidR="0013693B" w:rsidRPr="008F7F36" w:rsidRDefault="0013693B" w:rsidP="004C42B7">
            <w:pPr>
              <w:jc w:val="center"/>
              <w:rPr>
                <w:sz w:val="16"/>
                <w:szCs w:val="16"/>
              </w:rPr>
            </w:pPr>
            <w:r w:rsidRPr="008F7F36">
              <w:rPr>
                <w:sz w:val="16"/>
                <w:szCs w:val="16"/>
              </w:rPr>
              <w:t>58.83*</w:t>
            </w:r>
          </w:p>
        </w:tc>
        <w:tc>
          <w:tcPr>
            <w:tcW w:w="794" w:type="dxa"/>
            <w:tcBorders>
              <w:left w:val="nil"/>
              <w:right w:val="nil"/>
            </w:tcBorders>
            <w:vAlign w:val="center"/>
          </w:tcPr>
          <w:p w:rsidR="0013693B" w:rsidRPr="008F7F36" w:rsidRDefault="0013693B" w:rsidP="004C42B7">
            <w:pPr>
              <w:jc w:val="center"/>
              <w:rPr>
                <w:sz w:val="16"/>
                <w:szCs w:val="16"/>
              </w:rPr>
            </w:pPr>
            <w:r w:rsidRPr="008F7F36">
              <w:rPr>
                <w:sz w:val="16"/>
                <w:szCs w:val="16"/>
              </w:rPr>
              <w:t>1.106</w:t>
            </w:r>
          </w:p>
        </w:tc>
      </w:tr>
      <w:tr w:rsidR="0013693B" w:rsidRPr="008F7F36" w:rsidTr="00F171ED">
        <w:trPr>
          <w:trHeight w:val="170"/>
          <w:jc w:val="center"/>
        </w:trPr>
        <w:tc>
          <w:tcPr>
            <w:tcW w:w="436" w:type="dxa"/>
            <w:vMerge/>
            <w:tcBorders>
              <w:left w:val="nil"/>
              <w:right w:val="nil"/>
            </w:tcBorders>
            <w:vAlign w:val="center"/>
          </w:tcPr>
          <w:p w:rsidR="0013693B" w:rsidRPr="008F7F36" w:rsidRDefault="0013693B" w:rsidP="004C42B7">
            <w:pPr>
              <w:jc w:val="center"/>
              <w:rPr>
                <w:sz w:val="16"/>
                <w:szCs w:val="16"/>
              </w:rPr>
            </w:pPr>
          </w:p>
        </w:tc>
        <w:tc>
          <w:tcPr>
            <w:tcW w:w="1270" w:type="dxa"/>
            <w:tcBorders>
              <w:top w:val="nil"/>
              <w:left w:val="nil"/>
              <w:right w:val="nil"/>
            </w:tcBorders>
            <w:shd w:val="clear" w:color="auto" w:fill="auto"/>
            <w:noWrap/>
            <w:vAlign w:val="center"/>
          </w:tcPr>
          <w:p w:rsidR="0013693B" w:rsidRPr="008F7F36" w:rsidRDefault="0013693B" w:rsidP="008F7F36">
            <w:pPr>
              <w:rPr>
                <w:sz w:val="16"/>
                <w:szCs w:val="16"/>
              </w:rPr>
            </w:pPr>
            <w:r w:rsidRPr="008F7F36">
              <w:rPr>
                <w:sz w:val="16"/>
                <w:szCs w:val="16"/>
              </w:rPr>
              <w:t>CS X F</w:t>
            </w:r>
          </w:p>
        </w:tc>
        <w:tc>
          <w:tcPr>
            <w:tcW w:w="480" w:type="dxa"/>
            <w:tcBorders>
              <w:top w:val="nil"/>
              <w:left w:val="nil"/>
              <w:right w:val="nil"/>
            </w:tcBorders>
            <w:shd w:val="clear" w:color="auto" w:fill="auto"/>
            <w:noWrap/>
            <w:vAlign w:val="center"/>
            <w:hideMark/>
          </w:tcPr>
          <w:p w:rsidR="0013693B" w:rsidRPr="008F7F36" w:rsidRDefault="0013693B" w:rsidP="004C42B7">
            <w:pPr>
              <w:jc w:val="center"/>
              <w:rPr>
                <w:sz w:val="16"/>
                <w:szCs w:val="16"/>
              </w:rPr>
            </w:pPr>
            <w:r w:rsidRPr="008F7F36">
              <w:rPr>
                <w:sz w:val="16"/>
                <w:szCs w:val="16"/>
              </w:rPr>
              <w:t>11</w:t>
            </w:r>
          </w:p>
        </w:tc>
        <w:tc>
          <w:tcPr>
            <w:tcW w:w="1003" w:type="dxa"/>
            <w:tcBorders>
              <w:left w:val="nil"/>
              <w:right w:val="nil"/>
            </w:tcBorders>
            <w:shd w:val="clear" w:color="auto" w:fill="auto"/>
            <w:noWrap/>
            <w:vAlign w:val="center"/>
          </w:tcPr>
          <w:p w:rsidR="0013693B" w:rsidRPr="008F7F36" w:rsidRDefault="0013693B" w:rsidP="004C42B7">
            <w:pPr>
              <w:jc w:val="center"/>
              <w:rPr>
                <w:sz w:val="16"/>
                <w:szCs w:val="16"/>
              </w:rPr>
            </w:pPr>
            <w:r w:rsidRPr="008F7F36">
              <w:rPr>
                <w:sz w:val="16"/>
                <w:szCs w:val="16"/>
              </w:rPr>
              <w:t>13558*</w:t>
            </w:r>
          </w:p>
        </w:tc>
        <w:tc>
          <w:tcPr>
            <w:tcW w:w="725" w:type="dxa"/>
            <w:tcBorders>
              <w:left w:val="nil"/>
              <w:right w:val="nil"/>
            </w:tcBorders>
            <w:shd w:val="clear" w:color="auto" w:fill="auto"/>
            <w:vAlign w:val="center"/>
          </w:tcPr>
          <w:p w:rsidR="0013693B" w:rsidRPr="008F7F36" w:rsidRDefault="0013693B" w:rsidP="004C42B7">
            <w:pPr>
              <w:jc w:val="center"/>
              <w:rPr>
                <w:sz w:val="16"/>
                <w:szCs w:val="16"/>
              </w:rPr>
            </w:pPr>
            <w:r w:rsidRPr="008F7F36">
              <w:rPr>
                <w:sz w:val="16"/>
                <w:szCs w:val="16"/>
              </w:rPr>
              <w:t>101.3</w:t>
            </w:r>
          </w:p>
        </w:tc>
        <w:tc>
          <w:tcPr>
            <w:tcW w:w="969" w:type="dxa"/>
            <w:tcBorders>
              <w:left w:val="nil"/>
              <w:right w:val="nil"/>
            </w:tcBorders>
            <w:shd w:val="clear" w:color="auto" w:fill="auto"/>
            <w:noWrap/>
            <w:vAlign w:val="center"/>
          </w:tcPr>
          <w:p w:rsidR="0013693B" w:rsidRPr="008F7F36" w:rsidRDefault="0013693B" w:rsidP="004C42B7">
            <w:pPr>
              <w:jc w:val="center"/>
              <w:rPr>
                <w:sz w:val="16"/>
                <w:szCs w:val="16"/>
              </w:rPr>
            </w:pPr>
            <w:r w:rsidRPr="008F7F36">
              <w:rPr>
                <w:sz w:val="16"/>
                <w:szCs w:val="16"/>
              </w:rPr>
              <w:t>70821*</w:t>
            </w:r>
          </w:p>
        </w:tc>
        <w:tc>
          <w:tcPr>
            <w:tcW w:w="759" w:type="dxa"/>
            <w:tcBorders>
              <w:left w:val="nil"/>
              <w:right w:val="nil"/>
            </w:tcBorders>
            <w:shd w:val="clear" w:color="auto" w:fill="auto"/>
            <w:vAlign w:val="center"/>
          </w:tcPr>
          <w:p w:rsidR="0013693B" w:rsidRPr="008F7F36" w:rsidRDefault="0013693B" w:rsidP="004C42B7">
            <w:pPr>
              <w:jc w:val="center"/>
              <w:rPr>
                <w:sz w:val="16"/>
                <w:szCs w:val="16"/>
              </w:rPr>
            </w:pPr>
            <w:r w:rsidRPr="008F7F36">
              <w:rPr>
                <w:sz w:val="16"/>
                <w:szCs w:val="16"/>
              </w:rPr>
              <w:t>253.5</w:t>
            </w:r>
          </w:p>
        </w:tc>
        <w:tc>
          <w:tcPr>
            <w:tcW w:w="935" w:type="dxa"/>
            <w:tcBorders>
              <w:left w:val="nil"/>
              <w:right w:val="nil"/>
            </w:tcBorders>
            <w:vAlign w:val="center"/>
          </w:tcPr>
          <w:p w:rsidR="0013693B" w:rsidRPr="008F7F36" w:rsidRDefault="0013693B" w:rsidP="004C42B7">
            <w:pPr>
              <w:jc w:val="center"/>
              <w:rPr>
                <w:sz w:val="16"/>
                <w:szCs w:val="16"/>
              </w:rPr>
            </w:pPr>
            <w:r w:rsidRPr="008F7F36">
              <w:rPr>
                <w:sz w:val="16"/>
                <w:szCs w:val="16"/>
              </w:rPr>
              <w:t>0.28</w:t>
            </w:r>
          </w:p>
        </w:tc>
        <w:tc>
          <w:tcPr>
            <w:tcW w:w="794" w:type="dxa"/>
            <w:tcBorders>
              <w:left w:val="nil"/>
              <w:right w:val="nil"/>
            </w:tcBorders>
            <w:vAlign w:val="center"/>
          </w:tcPr>
          <w:p w:rsidR="0013693B" w:rsidRPr="008F7F36" w:rsidRDefault="0013693B" w:rsidP="004C42B7">
            <w:pPr>
              <w:jc w:val="center"/>
              <w:rPr>
                <w:sz w:val="16"/>
                <w:szCs w:val="16"/>
              </w:rPr>
            </w:pPr>
            <w:r w:rsidRPr="008F7F36">
              <w:rPr>
                <w:sz w:val="16"/>
                <w:szCs w:val="16"/>
              </w:rPr>
              <w:t>1.783</w:t>
            </w:r>
          </w:p>
        </w:tc>
      </w:tr>
      <w:tr w:rsidR="0013693B" w:rsidRPr="008F7F36" w:rsidTr="00F171ED">
        <w:trPr>
          <w:trHeight w:val="170"/>
          <w:jc w:val="center"/>
        </w:trPr>
        <w:tc>
          <w:tcPr>
            <w:tcW w:w="436" w:type="dxa"/>
            <w:vMerge/>
            <w:tcBorders>
              <w:left w:val="nil"/>
              <w:right w:val="nil"/>
            </w:tcBorders>
            <w:vAlign w:val="center"/>
          </w:tcPr>
          <w:p w:rsidR="0013693B" w:rsidRPr="008F7F36" w:rsidRDefault="0013693B" w:rsidP="004C42B7">
            <w:pPr>
              <w:jc w:val="center"/>
              <w:rPr>
                <w:sz w:val="16"/>
                <w:szCs w:val="16"/>
              </w:rPr>
            </w:pPr>
          </w:p>
        </w:tc>
        <w:tc>
          <w:tcPr>
            <w:tcW w:w="1270" w:type="dxa"/>
            <w:tcBorders>
              <w:top w:val="nil"/>
              <w:left w:val="nil"/>
              <w:right w:val="nil"/>
            </w:tcBorders>
            <w:shd w:val="clear" w:color="auto" w:fill="auto"/>
            <w:noWrap/>
            <w:vAlign w:val="center"/>
          </w:tcPr>
          <w:p w:rsidR="0013693B" w:rsidRPr="008F7F36" w:rsidRDefault="0013693B" w:rsidP="008F7F36">
            <w:pPr>
              <w:rPr>
                <w:sz w:val="16"/>
                <w:szCs w:val="16"/>
              </w:rPr>
            </w:pPr>
            <w:r w:rsidRPr="008F7F36">
              <w:rPr>
                <w:sz w:val="16"/>
                <w:szCs w:val="16"/>
              </w:rPr>
              <w:t>CS x Y</w:t>
            </w:r>
          </w:p>
        </w:tc>
        <w:tc>
          <w:tcPr>
            <w:tcW w:w="480" w:type="dxa"/>
            <w:tcBorders>
              <w:top w:val="nil"/>
              <w:left w:val="nil"/>
              <w:right w:val="nil"/>
            </w:tcBorders>
            <w:shd w:val="clear" w:color="auto" w:fill="auto"/>
            <w:noWrap/>
            <w:vAlign w:val="center"/>
            <w:hideMark/>
          </w:tcPr>
          <w:p w:rsidR="0013693B" w:rsidRPr="008F7F36" w:rsidRDefault="0013693B" w:rsidP="004C42B7">
            <w:pPr>
              <w:jc w:val="center"/>
              <w:rPr>
                <w:sz w:val="16"/>
                <w:szCs w:val="16"/>
              </w:rPr>
            </w:pPr>
            <w:r w:rsidRPr="008F7F36">
              <w:rPr>
                <w:sz w:val="16"/>
                <w:szCs w:val="16"/>
              </w:rPr>
              <w:t>5</w:t>
            </w:r>
          </w:p>
        </w:tc>
        <w:tc>
          <w:tcPr>
            <w:tcW w:w="1003" w:type="dxa"/>
            <w:tcBorders>
              <w:left w:val="nil"/>
              <w:right w:val="nil"/>
            </w:tcBorders>
            <w:shd w:val="clear" w:color="auto" w:fill="auto"/>
            <w:noWrap/>
            <w:vAlign w:val="center"/>
          </w:tcPr>
          <w:p w:rsidR="0013693B" w:rsidRPr="008F7F36" w:rsidRDefault="0013693B" w:rsidP="004C42B7">
            <w:pPr>
              <w:jc w:val="center"/>
              <w:rPr>
                <w:sz w:val="16"/>
                <w:szCs w:val="16"/>
              </w:rPr>
            </w:pPr>
            <w:r w:rsidRPr="008F7F36">
              <w:rPr>
                <w:sz w:val="16"/>
                <w:szCs w:val="16"/>
              </w:rPr>
              <w:t>45839*</w:t>
            </w:r>
          </w:p>
        </w:tc>
        <w:tc>
          <w:tcPr>
            <w:tcW w:w="725" w:type="dxa"/>
            <w:tcBorders>
              <w:left w:val="nil"/>
              <w:right w:val="nil"/>
            </w:tcBorders>
            <w:shd w:val="clear" w:color="auto" w:fill="auto"/>
            <w:vAlign w:val="center"/>
          </w:tcPr>
          <w:p w:rsidR="0013693B" w:rsidRPr="008F7F36" w:rsidRDefault="0013693B" w:rsidP="004C42B7">
            <w:pPr>
              <w:jc w:val="center"/>
              <w:rPr>
                <w:sz w:val="16"/>
                <w:szCs w:val="16"/>
              </w:rPr>
            </w:pPr>
            <w:r w:rsidRPr="008F7F36">
              <w:rPr>
                <w:sz w:val="16"/>
                <w:szCs w:val="16"/>
              </w:rPr>
              <w:t>89.41</w:t>
            </w:r>
          </w:p>
        </w:tc>
        <w:tc>
          <w:tcPr>
            <w:tcW w:w="969" w:type="dxa"/>
            <w:tcBorders>
              <w:left w:val="nil"/>
              <w:right w:val="nil"/>
            </w:tcBorders>
            <w:shd w:val="clear" w:color="auto" w:fill="auto"/>
            <w:noWrap/>
            <w:vAlign w:val="center"/>
          </w:tcPr>
          <w:p w:rsidR="0013693B" w:rsidRPr="008F7F36" w:rsidRDefault="0013693B" w:rsidP="004C42B7">
            <w:pPr>
              <w:jc w:val="center"/>
              <w:rPr>
                <w:sz w:val="16"/>
                <w:szCs w:val="16"/>
              </w:rPr>
            </w:pPr>
            <w:r w:rsidRPr="008F7F36">
              <w:rPr>
                <w:sz w:val="16"/>
                <w:szCs w:val="16"/>
              </w:rPr>
              <w:t>190247*</w:t>
            </w:r>
          </w:p>
        </w:tc>
        <w:tc>
          <w:tcPr>
            <w:tcW w:w="759" w:type="dxa"/>
            <w:tcBorders>
              <w:left w:val="nil"/>
              <w:right w:val="nil"/>
            </w:tcBorders>
            <w:shd w:val="clear" w:color="auto" w:fill="auto"/>
            <w:vAlign w:val="center"/>
          </w:tcPr>
          <w:p w:rsidR="0013693B" w:rsidRPr="008F7F36" w:rsidRDefault="0013693B" w:rsidP="004C42B7">
            <w:pPr>
              <w:jc w:val="center"/>
              <w:rPr>
                <w:sz w:val="16"/>
                <w:szCs w:val="16"/>
              </w:rPr>
            </w:pPr>
            <w:r w:rsidRPr="008F7F36">
              <w:rPr>
                <w:sz w:val="16"/>
                <w:szCs w:val="16"/>
              </w:rPr>
              <w:t>132.4</w:t>
            </w:r>
          </w:p>
        </w:tc>
        <w:tc>
          <w:tcPr>
            <w:tcW w:w="935" w:type="dxa"/>
            <w:tcBorders>
              <w:left w:val="nil"/>
              <w:right w:val="nil"/>
            </w:tcBorders>
            <w:vAlign w:val="center"/>
          </w:tcPr>
          <w:p w:rsidR="0013693B" w:rsidRPr="008F7F36" w:rsidRDefault="0013693B" w:rsidP="004C42B7">
            <w:pPr>
              <w:jc w:val="center"/>
              <w:rPr>
                <w:sz w:val="16"/>
                <w:szCs w:val="16"/>
              </w:rPr>
            </w:pPr>
            <w:r w:rsidRPr="008F7F36">
              <w:rPr>
                <w:sz w:val="16"/>
                <w:szCs w:val="16"/>
              </w:rPr>
              <w:t>812682*</w:t>
            </w:r>
          </w:p>
        </w:tc>
        <w:tc>
          <w:tcPr>
            <w:tcW w:w="794" w:type="dxa"/>
            <w:tcBorders>
              <w:left w:val="nil"/>
              <w:right w:val="nil"/>
            </w:tcBorders>
            <w:vAlign w:val="center"/>
          </w:tcPr>
          <w:p w:rsidR="0013693B" w:rsidRPr="008F7F36" w:rsidRDefault="0013693B" w:rsidP="004C42B7">
            <w:pPr>
              <w:jc w:val="center"/>
              <w:rPr>
                <w:sz w:val="16"/>
                <w:szCs w:val="16"/>
              </w:rPr>
            </w:pPr>
            <w:r w:rsidRPr="008F7F36">
              <w:rPr>
                <w:sz w:val="16"/>
                <w:szCs w:val="16"/>
              </w:rPr>
              <w:t>77.92</w:t>
            </w:r>
          </w:p>
        </w:tc>
      </w:tr>
      <w:tr w:rsidR="0013693B" w:rsidRPr="008F7F36" w:rsidTr="00F171ED">
        <w:trPr>
          <w:trHeight w:val="170"/>
          <w:jc w:val="center"/>
        </w:trPr>
        <w:tc>
          <w:tcPr>
            <w:tcW w:w="436" w:type="dxa"/>
            <w:vMerge/>
            <w:tcBorders>
              <w:left w:val="nil"/>
              <w:right w:val="nil"/>
            </w:tcBorders>
            <w:vAlign w:val="center"/>
          </w:tcPr>
          <w:p w:rsidR="0013693B" w:rsidRPr="008F7F36" w:rsidRDefault="0013693B" w:rsidP="004C42B7">
            <w:pPr>
              <w:jc w:val="center"/>
              <w:rPr>
                <w:sz w:val="16"/>
                <w:szCs w:val="16"/>
              </w:rPr>
            </w:pPr>
          </w:p>
        </w:tc>
        <w:tc>
          <w:tcPr>
            <w:tcW w:w="1270" w:type="dxa"/>
            <w:tcBorders>
              <w:top w:val="nil"/>
              <w:left w:val="nil"/>
              <w:right w:val="nil"/>
            </w:tcBorders>
            <w:shd w:val="clear" w:color="auto" w:fill="auto"/>
            <w:noWrap/>
            <w:vAlign w:val="center"/>
          </w:tcPr>
          <w:p w:rsidR="0013693B" w:rsidRPr="008F7F36" w:rsidRDefault="0013693B" w:rsidP="008F7F36">
            <w:pPr>
              <w:rPr>
                <w:sz w:val="16"/>
                <w:szCs w:val="16"/>
              </w:rPr>
            </w:pPr>
            <w:r w:rsidRPr="008F7F36">
              <w:rPr>
                <w:sz w:val="16"/>
                <w:szCs w:val="16"/>
              </w:rPr>
              <w:t>F x Y</w:t>
            </w:r>
          </w:p>
        </w:tc>
        <w:tc>
          <w:tcPr>
            <w:tcW w:w="480" w:type="dxa"/>
            <w:tcBorders>
              <w:top w:val="nil"/>
              <w:left w:val="nil"/>
              <w:right w:val="nil"/>
            </w:tcBorders>
            <w:shd w:val="clear" w:color="auto" w:fill="auto"/>
            <w:noWrap/>
            <w:vAlign w:val="center"/>
          </w:tcPr>
          <w:p w:rsidR="0013693B" w:rsidRPr="008F7F36" w:rsidRDefault="0013693B" w:rsidP="004C42B7">
            <w:pPr>
              <w:jc w:val="center"/>
              <w:rPr>
                <w:sz w:val="16"/>
                <w:szCs w:val="16"/>
              </w:rPr>
            </w:pPr>
            <w:r w:rsidRPr="008F7F36">
              <w:rPr>
                <w:sz w:val="16"/>
                <w:szCs w:val="16"/>
              </w:rPr>
              <w:t>7</w:t>
            </w:r>
          </w:p>
        </w:tc>
        <w:tc>
          <w:tcPr>
            <w:tcW w:w="1003" w:type="dxa"/>
            <w:tcBorders>
              <w:left w:val="nil"/>
              <w:right w:val="nil"/>
            </w:tcBorders>
            <w:shd w:val="clear" w:color="auto" w:fill="auto"/>
            <w:noWrap/>
            <w:vAlign w:val="center"/>
          </w:tcPr>
          <w:p w:rsidR="0013693B" w:rsidRPr="008F7F36" w:rsidRDefault="0013693B" w:rsidP="004C42B7">
            <w:pPr>
              <w:jc w:val="center"/>
              <w:rPr>
                <w:sz w:val="16"/>
                <w:szCs w:val="16"/>
              </w:rPr>
            </w:pPr>
            <w:r w:rsidRPr="008F7F36">
              <w:rPr>
                <w:sz w:val="16"/>
                <w:szCs w:val="16"/>
              </w:rPr>
              <w:t>51930*</w:t>
            </w:r>
          </w:p>
        </w:tc>
        <w:tc>
          <w:tcPr>
            <w:tcW w:w="725" w:type="dxa"/>
            <w:tcBorders>
              <w:left w:val="nil"/>
              <w:right w:val="nil"/>
            </w:tcBorders>
            <w:shd w:val="clear" w:color="auto" w:fill="auto"/>
            <w:vAlign w:val="center"/>
          </w:tcPr>
          <w:p w:rsidR="0013693B" w:rsidRPr="008F7F36" w:rsidRDefault="0013693B" w:rsidP="004C42B7">
            <w:pPr>
              <w:jc w:val="center"/>
              <w:rPr>
                <w:sz w:val="16"/>
                <w:szCs w:val="16"/>
              </w:rPr>
            </w:pPr>
            <w:r w:rsidRPr="008F7F36">
              <w:rPr>
                <w:sz w:val="16"/>
                <w:szCs w:val="16"/>
              </w:rPr>
              <w:t>62.29</w:t>
            </w:r>
          </w:p>
        </w:tc>
        <w:tc>
          <w:tcPr>
            <w:tcW w:w="969" w:type="dxa"/>
            <w:tcBorders>
              <w:left w:val="nil"/>
              <w:right w:val="nil"/>
            </w:tcBorders>
            <w:shd w:val="clear" w:color="auto" w:fill="auto"/>
            <w:noWrap/>
            <w:vAlign w:val="center"/>
          </w:tcPr>
          <w:p w:rsidR="0013693B" w:rsidRPr="008F7F36" w:rsidRDefault="0013693B" w:rsidP="004C42B7">
            <w:pPr>
              <w:jc w:val="center"/>
              <w:rPr>
                <w:sz w:val="16"/>
                <w:szCs w:val="16"/>
              </w:rPr>
            </w:pPr>
            <w:r w:rsidRPr="008F7F36">
              <w:rPr>
                <w:sz w:val="16"/>
                <w:szCs w:val="16"/>
              </w:rPr>
              <w:t>32997*</w:t>
            </w:r>
          </w:p>
        </w:tc>
        <w:tc>
          <w:tcPr>
            <w:tcW w:w="759" w:type="dxa"/>
            <w:tcBorders>
              <w:left w:val="nil"/>
              <w:right w:val="nil"/>
            </w:tcBorders>
            <w:shd w:val="clear" w:color="auto" w:fill="auto"/>
            <w:vAlign w:val="center"/>
          </w:tcPr>
          <w:p w:rsidR="0013693B" w:rsidRPr="008F7F36" w:rsidRDefault="0013693B" w:rsidP="004C42B7">
            <w:pPr>
              <w:jc w:val="center"/>
              <w:rPr>
                <w:sz w:val="16"/>
                <w:szCs w:val="16"/>
              </w:rPr>
            </w:pPr>
            <w:r w:rsidRPr="008F7F36">
              <w:rPr>
                <w:sz w:val="16"/>
                <w:szCs w:val="16"/>
              </w:rPr>
              <w:t>139.8</w:t>
            </w:r>
          </w:p>
        </w:tc>
        <w:tc>
          <w:tcPr>
            <w:tcW w:w="935" w:type="dxa"/>
            <w:tcBorders>
              <w:left w:val="nil"/>
              <w:right w:val="nil"/>
            </w:tcBorders>
            <w:vAlign w:val="center"/>
          </w:tcPr>
          <w:p w:rsidR="0013693B" w:rsidRPr="008F7F36" w:rsidRDefault="0013693B" w:rsidP="004C42B7">
            <w:pPr>
              <w:jc w:val="center"/>
              <w:rPr>
                <w:sz w:val="16"/>
                <w:szCs w:val="16"/>
              </w:rPr>
            </w:pPr>
            <w:r w:rsidRPr="008F7F36">
              <w:rPr>
                <w:sz w:val="16"/>
                <w:szCs w:val="16"/>
              </w:rPr>
              <w:t>11.447*</w:t>
            </w:r>
          </w:p>
        </w:tc>
        <w:tc>
          <w:tcPr>
            <w:tcW w:w="794" w:type="dxa"/>
            <w:tcBorders>
              <w:left w:val="nil"/>
              <w:right w:val="nil"/>
            </w:tcBorders>
            <w:vAlign w:val="center"/>
          </w:tcPr>
          <w:p w:rsidR="0013693B" w:rsidRPr="008F7F36" w:rsidRDefault="0013693B" w:rsidP="004C42B7">
            <w:pPr>
              <w:jc w:val="center"/>
              <w:rPr>
                <w:sz w:val="16"/>
                <w:szCs w:val="16"/>
              </w:rPr>
            </w:pPr>
            <w:r w:rsidRPr="008F7F36">
              <w:rPr>
                <w:sz w:val="16"/>
                <w:szCs w:val="16"/>
              </w:rPr>
              <w:t>0.935</w:t>
            </w:r>
          </w:p>
        </w:tc>
      </w:tr>
      <w:tr w:rsidR="0013693B" w:rsidRPr="008F7F36" w:rsidTr="00F171ED">
        <w:trPr>
          <w:trHeight w:val="170"/>
          <w:jc w:val="center"/>
        </w:trPr>
        <w:tc>
          <w:tcPr>
            <w:tcW w:w="436" w:type="dxa"/>
            <w:vMerge/>
            <w:tcBorders>
              <w:left w:val="nil"/>
              <w:right w:val="nil"/>
            </w:tcBorders>
            <w:vAlign w:val="center"/>
          </w:tcPr>
          <w:p w:rsidR="0013693B" w:rsidRPr="008F7F36" w:rsidRDefault="0013693B" w:rsidP="004C42B7">
            <w:pPr>
              <w:jc w:val="center"/>
              <w:rPr>
                <w:sz w:val="16"/>
                <w:szCs w:val="16"/>
              </w:rPr>
            </w:pPr>
          </w:p>
        </w:tc>
        <w:tc>
          <w:tcPr>
            <w:tcW w:w="1270" w:type="dxa"/>
            <w:tcBorders>
              <w:top w:val="nil"/>
              <w:left w:val="nil"/>
              <w:right w:val="nil"/>
            </w:tcBorders>
            <w:shd w:val="clear" w:color="auto" w:fill="auto"/>
            <w:noWrap/>
            <w:vAlign w:val="center"/>
          </w:tcPr>
          <w:p w:rsidR="0013693B" w:rsidRPr="008F7F36" w:rsidRDefault="0013693B" w:rsidP="008F7F36">
            <w:pPr>
              <w:rPr>
                <w:sz w:val="16"/>
                <w:szCs w:val="16"/>
              </w:rPr>
            </w:pPr>
            <w:r w:rsidRPr="008F7F36">
              <w:rPr>
                <w:sz w:val="16"/>
                <w:szCs w:val="16"/>
              </w:rPr>
              <w:t>CS x F x Y</w:t>
            </w:r>
          </w:p>
        </w:tc>
        <w:tc>
          <w:tcPr>
            <w:tcW w:w="480" w:type="dxa"/>
            <w:tcBorders>
              <w:top w:val="nil"/>
              <w:left w:val="nil"/>
              <w:right w:val="nil"/>
            </w:tcBorders>
            <w:shd w:val="clear" w:color="auto" w:fill="auto"/>
            <w:noWrap/>
            <w:vAlign w:val="center"/>
          </w:tcPr>
          <w:p w:rsidR="0013693B" w:rsidRPr="008F7F36" w:rsidRDefault="0013693B" w:rsidP="004C42B7">
            <w:pPr>
              <w:jc w:val="center"/>
              <w:rPr>
                <w:sz w:val="16"/>
                <w:szCs w:val="16"/>
              </w:rPr>
            </w:pPr>
            <w:r w:rsidRPr="008F7F36">
              <w:rPr>
                <w:sz w:val="16"/>
                <w:szCs w:val="16"/>
              </w:rPr>
              <w:t>23</w:t>
            </w:r>
          </w:p>
        </w:tc>
        <w:tc>
          <w:tcPr>
            <w:tcW w:w="1003" w:type="dxa"/>
            <w:tcBorders>
              <w:left w:val="nil"/>
              <w:right w:val="nil"/>
            </w:tcBorders>
            <w:shd w:val="clear" w:color="auto" w:fill="auto"/>
            <w:noWrap/>
            <w:vAlign w:val="center"/>
          </w:tcPr>
          <w:p w:rsidR="0013693B" w:rsidRPr="008F7F36" w:rsidRDefault="0013693B" w:rsidP="004C42B7">
            <w:pPr>
              <w:jc w:val="center"/>
              <w:rPr>
                <w:sz w:val="16"/>
                <w:szCs w:val="16"/>
              </w:rPr>
            </w:pPr>
            <w:r w:rsidRPr="008F7F36">
              <w:rPr>
                <w:sz w:val="16"/>
                <w:szCs w:val="16"/>
              </w:rPr>
              <w:t>20961*</w:t>
            </w:r>
          </w:p>
        </w:tc>
        <w:tc>
          <w:tcPr>
            <w:tcW w:w="725" w:type="dxa"/>
            <w:tcBorders>
              <w:left w:val="nil"/>
              <w:right w:val="nil"/>
            </w:tcBorders>
            <w:shd w:val="clear" w:color="auto" w:fill="auto"/>
            <w:vAlign w:val="center"/>
          </w:tcPr>
          <w:p w:rsidR="0013693B" w:rsidRPr="008F7F36" w:rsidRDefault="0013693B" w:rsidP="004C42B7">
            <w:pPr>
              <w:jc w:val="center"/>
              <w:rPr>
                <w:sz w:val="16"/>
                <w:szCs w:val="16"/>
              </w:rPr>
            </w:pPr>
            <w:r w:rsidRPr="008F7F36">
              <w:rPr>
                <w:sz w:val="16"/>
                <w:szCs w:val="16"/>
              </w:rPr>
              <w:t>39.05</w:t>
            </w:r>
          </w:p>
        </w:tc>
        <w:tc>
          <w:tcPr>
            <w:tcW w:w="969" w:type="dxa"/>
            <w:tcBorders>
              <w:left w:val="nil"/>
              <w:right w:val="nil"/>
            </w:tcBorders>
            <w:shd w:val="clear" w:color="auto" w:fill="auto"/>
            <w:noWrap/>
            <w:vAlign w:val="center"/>
          </w:tcPr>
          <w:p w:rsidR="0013693B" w:rsidRPr="008F7F36" w:rsidRDefault="0013693B" w:rsidP="004C42B7">
            <w:pPr>
              <w:jc w:val="center"/>
              <w:rPr>
                <w:sz w:val="16"/>
                <w:szCs w:val="16"/>
              </w:rPr>
            </w:pPr>
            <w:r w:rsidRPr="008F7F36">
              <w:rPr>
                <w:sz w:val="16"/>
                <w:szCs w:val="16"/>
              </w:rPr>
              <w:t>131688*</w:t>
            </w:r>
          </w:p>
        </w:tc>
        <w:tc>
          <w:tcPr>
            <w:tcW w:w="759" w:type="dxa"/>
            <w:tcBorders>
              <w:left w:val="nil"/>
              <w:right w:val="nil"/>
            </w:tcBorders>
            <w:shd w:val="clear" w:color="auto" w:fill="auto"/>
            <w:vAlign w:val="center"/>
          </w:tcPr>
          <w:p w:rsidR="0013693B" w:rsidRPr="008F7F36" w:rsidRDefault="0013693B" w:rsidP="004C42B7">
            <w:pPr>
              <w:jc w:val="center"/>
              <w:rPr>
                <w:sz w:val="16"/>
                <w:szCs w:val="16"/>
              </w:rPr>
            </w:pPr>
            <w:r w:rsidRPr="008F7F36">
              <w:rPr>
                <w:sz w:val="16"/>
                <w:szCs w:val="16"/>
              </w:rPr>
              <w:t>51.4</w:t>
            </w:r>
          </w:p>
        </w:tc>
        <w:tc>
          <w:tcPr>
            <w:tcW w:w="935" w:type="dxa"/>
            <w:tcBorders>
              <w:left w:val="nil"/>
              <w:right w:val="nil"/>
            </w:tcBorders>
            <w:vAlign w:val="center"/>
          </w:tcPr>
          <w:p w:rsidR="0013693B" w:rsidRPr="008F7F36" w:rsidRDefault="0013693B" w:rsidP="004C42B7">
            <w:pPr>
              <w:jc w:val="center"/>
              <w:rPr>
                <w:sz w:val="16"/>
                <w:szCs w:val="16"/>
              </w:rPr>
            </w:pPr>
            <w:r w:rsidRPr="008F7F36">
              <w:rPr>
                <w:sz w:val="16"/>
                <w:szCs w:val="16"/>
              </w:rPr>
              <w:t>4.256*</w:t>
            </w:r>
          </w:p>
        </w:tc>
        <w:tc>
          <w:tcPr>
            <w:tcW w:w="794" w:type="dxa"/>
            <w:tcBorders>
              <w:left w:val="nil"/>
              <w:right w:val="nil"/>
            </w:tcBorders>
            <w:vAlign w:val="center"/>
          </w:tcPr>
          <w:p w:rsidR="0013693B" w:rsidRPr="008F7F36" w:rsidRDefault="0013693B" w:rsidP="004C42B7">
            <w:pPr>
              <w:jc w:val="center"/>
              <w:rPr>
                <w:sz w:val="16"/>
                <w:szCs w:val="16"/>
              </w:rPr>
            </w:pPr>
            <w:r w:rsidRPr="008F7F36">
              <w:rPr>
                <w:sz w:val="16"/>
                <w:szCs w:val="16"/>
              </w:rPr>
              <w:t>0.905</w:t>
            </w:r>
          </w:p>
        </w:tc>
      </w:tr>
      <w:tr w:rsidR="0013693B" w:rsidRPr="008F7F36" w:rsidTr="00F171ED">
        <w:trPr>
          <w:trHeight w:val="170"/>
          <w:jc w:val="center"/>
        </w:trPr>
        <w:tc>
          <w:tcPr>
            <w:tcW w:w="436" w:type="dxa"/>
            <w:vMerge/>
            <w:tcBorders>
              <w:left w:val="nil"/>
              <w:right w:val="nil"/>
            </w:tcBorders>
            <w:vAlign w:val="center"/>
          </w:tcPr>
          <w:p w:rsidR="0013693B" w:rsidRPr="008F7F36" w:rsidRDefault="0013693B" w:rsidP="004C42B7">
            <w:pPr>
              <w:jc w:val="center"/>
              <w:rPr>
                <w:sz w:val="16"/>
                <w:szCs w:val="16"/>
              </w:rPr>
            </w:pPr>
          </w:p>
        </w:tc>
        <w:tc>
          <w:tcPr>
            <w:tcW w:w="1270" w:type="dxa"/>
            <w:tcBorders>
              <w:top w:val="nil"/>
              <w:left w:val="nil"/>
              <w:right w:val="nil"/>
            </w:tcBorders>
            <w:shd w:val="clear" w:color="auto" w:fill="auto"/>
            <w:noWrap/>
            <w:vAlign w:val="center"/>
          </w:tcPr>
          <w:p w:rsidR="0013693B" w:rsidRPr="008F7F36" w:rsidRDefault="0013693B" w:rsidP="008F7F36">
            <w:pPr>
              <w:rPr>
                <w:sz w:val="16"/>
                <w:szCs w:val="16"/>
              </w:rPr>
            </w:pPr>
            <w:r w:rsidRPr="008F7F36">
              <w:rPr>
                <w:sz w:val="16"/>
                <w:szCs w:val="16"/>
              </w:rPr>
              <w:t>CV (%)</w:t>
            </w:r>
          </w:p>
        </w:tc>
        <w:tc>
          <w:tcPr>
            <w:tcW w:w="480" w:type="dxa"/>
            <w:tcBorders>
              <w:top w:val="nil"/>
              <w:left w:val="nil"/>
              <w:right w:val="nil"/>
            </w:tcBorders>
            <w:shd w:val="clear" w:color="auto" w:fill="auto"/>
            <w:noWrap/>
            <w:vAlign w:val="center"/>
          </w:tcPr>
          <w:p w:rsidR="0013693B" w:rsidRPr="008F7F36" w:rsidRDefault="0013693B" w:rsidP="004C42B7">
            <w:pPr>
              <w:jc w:val="center"/>
              <w:rPr>
                <w:sz w:val="16"/>
                <w:szCs w:val="16"/>
              </w:rPr>
            </w:pPr>
          </w:p>
        </w:tc>
        <w:tc>
          <w:tcPr>
            <w:tcW w:w="1003" w:type="dxa"/>
            <w:tcBorders>
              <w:left w:val="nil"/>
              <w:right w:val="nil"/>
            </w:tcBorders>
            <w:shd w:val="clear" w:color="auto" w:fill="auto"/>
            <w:noWrap/>
            <w:vAlign w:val="center"/>
          </w:tcPr>
          <w:p w:rsidR="0013693B" w:rsidRPr="008F7F36" w:rsidRDefault="0013693B" w:rsidP="004C42B7">
            <w:pPr>
              <w:jc w:val="center"/>
              <w:rPr>
                <w:sz w:val="16"/>
                <w:szCs w:val="16"/>
              </w:rPr>
            </w:pPr>
            <w:r w:rsidRPr="008F7F36">
              <w:rPr>
                <w:sz w:val="16"/>
                <w:szCs w:val="16"/>
              </w:rPr>
              <w:t>19.01</w:t>
            </w:r>
          </w:p>
        </w:tc>
        <w:tc>
          <w:tcPr>
            <w:tcW w:w="725" w:type="dxa"/>
            <w:tcBorders>
              <w:left w:val="nil"/>
              <w:right w:val="nil"/>
            </w:tcBorders>
            <w:shd w:val="clear" w:color="auto" w:fill="auto"/>
            <w:vAlign w:val="center"/>
          </w:tcPr>
          <w:p w:rsidR="0013693B" w:rsidRPr="008F7F36" w:rsidRDefault="0013693B" w:rsidP="004C42B7">
            <w:pPr>
              <w:jc w:val="center"/>
              <w:rPr>
                <w:sz w:val="16"/>
                <w:szCs w:val="16"/>
              </w:rPr>
            </w:pPr>
          </w:p>
        </w:tc>
        <w:tc>
          <w:tcPr>
            <w:tcW w:w="969" w:type="dxa"/>
            <w:tcBorders>
              <w:left w:val="nil"/>
              <w:right w:val="nil"/>
            </w:tcBorders>
            <w:shd w:val="clear" w:color="auto" w:fill="auto"/>
            <w:noWrap/>
            <w:vAlign w:val="center"/>
          </w:tcPr>
          <w:p w:rsidR="0013693B" w:rsidRPr="008F7F36" w:rsidRDefault="0013693B" w:rsidP="004C42B7">
            <w:pPr>
              <w:jc w:val="center"/>
              <w:rPr>
                <w:sz w:val="16"/>
                <w:szCs w:val="16"/>
              </w:rPr>
            </w:pPr>
            <w:r w:rsidRPr="008F7F36">
              <w:rPr>
                <w:sz w:val="16"/>
                <w:szCs w:val="16"/>
              </w:rPr>
              <w:t>28.02</w:t>
            </w:r>
          </w:p>
        </w:tc>
        <w:tc>
          <w:tcPr>
            <w:tcW w:w="759" w:type="dxa"/>
            <w:tcBorders>
              <w:left w:val="nil"/>
              <w:right w:val="nil"/>
            </w:tcBorders>
            <w:shd w:val="clear" w:color="auto" w:fill="auto"/>
            <w:vAlign w:val="center"/>
          </w:tcPr>
          <w:p w:rsidR="0013693B" w:rsidRPr="008F7F36" w:rsidRDefault="0013693B" w:rsidP="004C42B7">
            <w:pPr>
              <w:jc w:val="center"/>
              <w:rPr>
                <w:sz w:val="16"/>
                <w:szCs w:val="16"/>
              </w:rPr>
            </w:pPr>
          </w:p>
        </w:tc>
        <w:tc>
          <w:tcPr>
            <w:tcW w:w="935" w:type="dxa"/>
            <w:tcBorders>
              <w:left w:val="nil"/>
              <w:right w:val="nil"/>
            </w:tcBorders>
            <w:vAlign w:val="center"/>
          </w:tcPr>
          <w:p w:rsidR="0013693B" w:rsidRPr="008F7F36" w:rsidRDefault="0013693B" w:rsidP="004C42B7">
            <w:pPr>
              <w:jc w:val="center"/>
              <w:rPr>
                <w:sz w:val="16"/>
                <w:szCs w:val="16"/>
              </w:rPr>
            </w:pPr>
            <w:r w:rsidRPr="008F7F36">
              <w:rPr>
                <w:sz w:val="16"/>
                <w:szCs w:val="16"/>
              </w:rPr>
              <w:t>18.25</w:t>
            </w:r>
          </w:p>
        </w:tc>
        <w:tc>
          <w:tcPr>
            <w:tcW w:w="794" w:type="dxa"/>
            <w:tcBorders>
              <w:left w:val="nil"/>
              <w:right w:val="nil"/>
            </w:tcBorders>
            <w:vAlign w:val="center"/>
          </w:tcPr>
          <w:p w:rsidR="0013693B" w:rsidRPr="008F7F36" w:rsidRDefault="0013693B" w:rsidP="004C42B7">
            <w:pPr>
              <w:jc w:val="center"/>
              <w:rPr>
                <w:sz w:val="16"/>
                <w:szCs w:val="16"/>
              </w:rPr>
            </w:pPr>
          </w:p>
        </w:tc>
      </w:tr>
      <w:tr w:rsidR="0013693B" w:rsidRPr="008F7F36" w:rsidTr="00F171ED">
        <w:trPr>
          <w:trHeight w:val="170"/>
          <w:jc w:val="center"/>
        </w:trPr>
        <w:tc>
          <w:tcPr>
            <w:tcW w:w="436" w:type="dxa"/>
            <w:vMerge/>
            <w:tcBorders>
              <w:left w:val="nil"/>
              <w:right w:val="nil"/>
            </w:tcBorders>
            <w:vAlign w:val="center"/>
          </w:tcPr>
          <w:p w:rsidR="0013693B" w:rsidRPr="008F7F36" w:rsidRDefault="0013693B" w:rsidP="004C42B7">
            <w:pPr>
              <w:jc w:val="center"/>
              <w:rPr>
                <w:sz w:val="16"/>
                <w:szCs w:val="16"/>
              </w:rPr>
            </w:pPr>
          </w:p>
        </w:tc>
        <w:tc>
          <w:tcPr>
            <w:tcW w:w="1270" w:type="dxa"/>
            <w:tcBorders>
              <w:top w:val="nil"/>
              <w:left w:val="nil"/>
              <w:right w:val="nil"/>
            </w:tcBorders>
            <w:shd w:val="clear" w:color="auto" w:fill="auto"/>
            <w:noWrap/>
            <w:vAlign w:val="center"/>
          </w:tcPr>
          <w:p w:rsidR="0013693B" w:rsidRPr="008F7F36" w:rsidRDefault="0013693B" w:rsidP="008F7F36">
            <w:pPr>
              <w:rPr>
                <w:sz w:val="16"/>
                <w:szCs w:val="16"/>
              </w:rPr>
            </w:pPr>
            <w:r w:rsidRPr="008F7F36">
              <w:rPr>
                <w:sz w:val="16"/>
                <w:szCs w:val="16"/>
              </w:rPr>
              <w:t>Average</w:t>
            </w:r>
          </w:p>
        </w:tc>
        <w:tc>
          <w:tcPr>
            <w:tcW w:w="480" w:type="dxa"/>
            <w:tcBorders>
              <w:top w:val="nil"/>
              <w:left w:val="nil"/>
              <w:right w:val="nil"/>
            </w:tcBorders>
            <w:shd w:val="clear" w:color="auto" w:fill="auto"/>
            <w:noWrap/>
            <w:vAlign w:val="center"/>
            <w:hideMark/>
          </w:tcPr>
          <w:p w:rsidR="0013693B" w:rsidRPr="008F7F36" w:rsidRDefault="0013693B" w:rsidP="004C42B7">
            <w:pPr>
              <w:jc w:val="center"/>
              <w:rPr>
                <w:sz w:val="16"/>
                <w:szCs w:val="16"/>
              </w:rPr>
            </w:pPr>
          </w:p>
        </w:tc>
        <w:tc>
          <w:tcPr>
            <w:tcW w:w="1003" w:type="dxa"/>
            <w:tcBorders>
              <w:left w:val="nil"/>
              <w:right w:val="nil"/>
            </w:tcBorders>
            <w:shd w:val="clear" w:color="auto" w:fill="auto"/>
            <w:noWrap/>
            <w:vAlign w:val="center"/>
          </w:tcPr>
          <w:p w:rsidR="0013693B" w:rsidRPr="008F7F36" w:rsidRDefault="0013693B" w:rsidP="004C42B7">
            <w:pPr>
              <w:jc w:val="center"/>
              <w:rPr>
                <w:sz w:val="16"/>
                <w:szCs w:val="16"/>
              </w:rPr>
            </w:pPr>
            <w:r w:rsidRPr="008F7F36">
              <w:rPr>
                <w:sz w:val="16"/>
                <w:szCs w:val="16"/>
              </w:rPr>
              <w:t>552.53</w:t>
            </w:r>
          </w:p>
        </w:tc>
        <w:tc>
          <w:tcPr>
            <w:tcW w:w="725" w:type="dxa"/>
            <w:tcBorders>
              <w:left w:val="nil"/>
              <w:right w:val="nil"/>
            </w:tcBorders>
            <w:shd w:val="clear" w:color="auto" w:fill="auto"/>
            <w:vAlign w:val="center"/>
          </w:tcPr>
          <w:p w:rsidR="0013693B" w:rsidRPr="008F7F36" w:rsidRDefault="0013693B" w:rsidP="004C42B7">
            <w:pPr>
              <w:jc w:val="center"/>
              <w:rPr>
                <w:sz w:val="16"/>
                <w:szCs w:val="16"/>
              </w:rPr>
            </w:pPr>
          </w:p>
        </w:tc>
        <w:tc>
          <w:tcPr>
            <w:tcW w:w="969" w:type="dxa"/>
            <w:tcBorders>
              <w:left w:val="nil"/>
              <w:right w:val="nil"/>
            </w:tcBorders>
            <w:shd w:val="clear" w:color="auto" w:fill="auto"/>
            <w:noWrap/>
            <w:vAlign w:val="center"/>
          </w:tcPr>
          <w:p w:rsidR="0013693B" w:rsidRPr="008F7F36" w:rsidRDefault="0013693B" w:rsidP="004C42B7">
            <w:pPr>
              <w:jc w:val="center"/>
              <w:rPr>
                <w:sz w:val="16"/>
                <w:szCs w:val="16"/>
              </w:rPr>
            </w:pPr>
            <w:r w:rsidRPr="008F7F36">
              <w:rPr>
                <w:sz w:val="16"/>
                <w:szCs w:val="16"/>
              </w:rPr>
              <w:t>915.51</w:t>
            </w:r>
          </w:p>
        </w:tc>
        <w:tc>
          <w:tcPr>
            <w:tcW w:w="759" w:type="dxa"/>
            <w:tcBorders>
              <w:left w:val="nil"/>
              <w:right w:val="nil"/>
            </w:tcBorders>
            <w:shd w:val="clear" w:color="auto" w:fill="auto"/>
            <w:vAlign w:val="center"/>
          </w:tcPr>
          <w:p w:rsidR="0013693B" w:rsidRPr="008F7F36" w:rsidRDefault="0013693B" w:rsidP="004C42B7">
            <w:pPr>
              <w:jc w:val="center"/>
              <w:rPr>
                <w:sz w:val="16"/>
                <w:szCs w:val="16"/>
              </w:rPr>
            </w:pPr>
          </w:p>
        </w:tc>
        <w:tc>
          <w:tcPr>
            <w:tcW w:w="935" w:type="dxa"/>
            <w:tcBorders>
              <w:left w:val="nil"/>
              <w:right w:val="nil"/>
            </w:tcBorders>
            <w:vAlign w:val="center"/>
          </w:tcPr>
          <w:p w:rsidR="0013693B" w:rsidRPr="008F7F36" w:rsidRDefault="0013693B" w:rsidP="004C42B7">
            <w:pPr>
              <w:jc w:val="center"/>
              <w:rPr>
                <w:sz w:val="16"/>
                <w:szCs w:val="16"/>
              </w:rPr>
            </w:pPr>
            <w:r w:rsidRPr="008F7F36">
              <w:rPr>
                <w:sz w:val="16"/>
                <w:szCs w:val="16"/>
              </w:rPr>
              <w:t>8.58</w:t>
            </w:r>
          </w:p>
        </w:tc>
        <w:tc>
          <w:tcPr>
            <w:tcW w:w="794" w:type="dxa"/>
            <w:tcBorders>
              <w:left w:val="nil"/>
              <w:right w:val="nil"/>
            </w:tcBorders>
            <w:vAlign w:val="center"/>
          </w:tcPr>
          <w:p w:rsidR="0013693B" w:rsidRPr="008F7F36" w:rsidRDefault="0013693B" w:rsidP="004C42B7">
            <w:pPr>
              <w:jc w:val="center"/>
              <w:rPr>
                <w:sz w:val="16"/>
                <w:szCs w:val="16"/>
              </w:rPr>
            </w:pPr>
          </w:p>
        </w:tc>
      </w:tr>
      <w:tr w:rsidR="0013693B" w:rsidRPr="008F7F36" w:rsidTr="00F171ED">
        <w:trPr>
          <w:trHeight w:val="170"/>
          <w:jc w:val="center"/>
        </w:trPr>
        <w:tc>
          <w:tcPr>
            <w:tcW w:w="436" w:type="dxa"/>
            <w:vMerge/>
            <w:tcBorders>
              <w:left w:val="nil"/>
              <w:right w:val="nil"/>
            </w:tcBorders>
            <w:vAlign w:val="center"/>
          </w:tcPr>
          <w:p w:rsidR="0013693B" w:rsidRPr="008F7F36" w:rsidRDefault="0013693B" w:rsidP="004C42B7">
            <w:pPr>
              <w:jc w:val="center"/>
              <w:rPr>
                <w:sz w:val="16"/>
                <w:szCs w:val="16"/>
              </w:rPr>
            </w:pPr>
          </w:p>
        </w:tc>
        <w:tc>
          <w:tcPr>
            <w:tcW w:w="1270" w:type="dxa"/>
            <w:tcBorders>
              <w:left w:val="nil"/>
              <w:right w:val="nil"/>
            </w:tcBorders>
            <w:shd w:val="clear" w:color="auto" w:fill="auto"/>
            <w:noWrap/>
            <w:vAlign w:val="center"/>
          </w:tcPr>
          <w:p w:rsidR="0013693B" w:rsidRPr="008F7F36" w:rsidRDefault="0013693B" w:rsidP="008F7F36">
            <w:pPr>
              <w:rPr>
                <w:sz w:val="16"/>
                <w:szCs w:val="16"/>
              </w:rPr>
            </w:pPr>
            <w:r w:rsidRPr="008F7F36">
              <w:rPr>
                <w:sz w:val="16"/>
                <w:szCs w:val="16"/>
              </w:rPr>
              <w:t>Min</w:t>
            </w:r>
          </w:p>
        </w:tc>
        <w:tc>
          <w:tcPr>
            <w:tcW w:w="480" w:type="dxa"/>
            <w:tcBorders>
              <w:left w:val="nil"/>
              <w:right w:val="nil"/>
            </w:tcBorders>
            <w:shd w:val="clear" w:color="auto" w:fill="auto"/>
            <w:noWrap/>
            <w:vAlign w:val="center"/>
          </w:tcPr>
          <w:p w:rsidR="0013693B" w:rsidRPr="008F7F36" w:rsidRDefault="0013693B" w:rsidP="004C42B7">
            <w:pPr>
              <w:jc w:val="center"/>
              <w:rPr>
                <w:sz w:val="16"/>
                <w:szCs w:val="16"/>
              </w:rPr>
            </w:pPr>
          </w:p>
        </w:tc>
        <w:tc>
          <w:tcPr>
            <w:tcW w:w="1003" w:type="dxa"/>
            <w:tcBorders>
              <w:left w:val="nil"/>
              <w:right w:val="nil"/>
            </w:tcBorders>
            <w:shd w:val="clear" w:color="auto" w:fill="auto"/>
            <w:noWrap/>
            <w:vAlign w:val="center"/>
          </w:tcPr>
          <w:p w:rsidR="0013693B" w:rsidRPr="008F7F36" w:rsidRDefault="0013693B" w:rsidP="004C42B7">
            <w:pPr>
              <w:jc w:val="center"/>
              <w:rPr>
                <w:sz w:val="16"/>
                <w:szCs w:val="16"/>
              </w:rPr>
            </w:pPr>
            <w:r w:rsidRPr="008F7F36">
              <w:rPr>
                <w:sz w:val="16"/>
                <w:szCs w:val="16"/>
              </w:rPr>
              <w:t>337.55</w:t>
            </w:r>
          </w:p>
        </w:tc>
        <w:tc>
          <w:tcPr>
            <w:tcW w:w="725" w:type="dxa"/>
            <w:tcBorders>
              <w:left w:val="nil"/>
              <w:right w:val="nil"/>
            </w:tcBorders>
            <w:shd w:val="clear" w:color="auto" w:fill="auto"/>
            <w:vAlign w:val="center"/>
          </w:tcPr>
          <w:p w:rsidR="0013693B" w:rsidRPr="008F7F36" w:rsidRDefault="0013693B" w:rsidP="004C42B7">
            <w:pPr>
              <w:jc w:val="center"/>
              <w:rPr>
                <w:sz w:val="16"/>
                <w:szCs w:val="16"/>
              </w:rPr>
            </w:pPr>
          </w:p>
        </w:tc>
        <w:tc>
          <w:tcPr>
            <w:tcW w:w="969" w:type="dxa"/>
            <w:tcBorders>
              <w:left w:val="nil"/>
              <w:right w:val="nil"/>
            </w:tcBorders>
            <w:shd w:val="clear" w:color="auto" w:fill="auto"/>
            <w:noWrap/>
            <w:vAlign w:val="center"/>
          </w:tcPr>
          <w:p w:rsidR="0013693B" w:rsidRPr="008F7F36" w:rsidRDefault="0013693B" w:rsidP="004C42B7">
            <w:pPr>
              <w:jc w:val="center"/>
              <w:rPr>
                <w:sz w:val="16"/>
                <w:szCs w:val="16"/>
              </w:rPr>
            </w:pPr>
            <w:r w:rsidRPr="008F7F36">
              <w:rPr>
                <w:sz w:val="16"/>
                <w:szCs w:val="16"/>
              </w:rPr>
              <w:t>625.62</w:t>
            </w:r>
          </w:p>
        </w:tc>
        <w:tc>
          <w:tcPr>
            <w:tcW w:w="759" w:type="dxa"/>
            <w:tcBorders>
              <w:left w:val="nil"/>
              <w:right w:val="nil"/>
            </w:tcBorders>
            <w:shd w:val="clear" w:color="auto" w:fill="auto"/>
            <w:vAlign w:val="center"/>
          </w:tcPr>
          <w:p w:rsidR="0013693B" w:rsidRPr="008F7F36" w:rsidRDefault="0013693B" w:rsidP="004C42B7">
            <w:pPr>
              <w:jc w:val="center"/>
              <w:rPr>
                <w:sz w:val="16"/>
                <w:szCs w:val="16"/>
              </w:rPr>
            </w:pPr>
          </w:p>
        </w:tc>
        <w:tc>
          <w:tcPr>
            <w:tcW w:w="935" w:type="dxa"/>
            <w:tcBorders>
              <w:left w:val="nil"/>
              <w:right w:val="nil"/>
            </w:tcBorders>
            <w:vAlign w:val="center"/>
          </w:tcPr>
          <w:p w:rsidR="0013693B" w:rsidRPr="008F7F36" w:rsidRDefault="0013693B" w:rsidP="004C42B7">
            <w:pPr>
              <w:jc w:val="center"/>
              <w:rPr>
                <w:sz w:val="16"/>
                <w:szCs w:val="16"/>
              </w:rPr>
            </w:pPr>
            <w:r w:rsidRPr="008F7F36">
              <w:rPr>
                <w:sz w:val="16"/>
                <w:szCs w:val="16"/>
              </w:rPr>
              <w:t>5.82</w:t>
            </w:r>
          </w:p>
        </w:tc>
        <w:tc>
          <w:tcPr>
            <w:tcW w:w="794" w:type="dxa"/>
            <w:tcBorders>
              <w:left w:val="nil"/>
              <w:right w:val="nil"/>
            </w:tcBorders>
            <w:vAlign w:val="center"/>
          </w:tcPr>
          <w:p w:rsidR="0013693B" w:rsidRPr="008F7F36" w:rsidRDefault="0013693B" w:rsidP="004C42B7">
            <w:pPr>
              <w:jc w:val="center"/>
              <w:rPr>
                <w:sz w:val="16"/>
                <w:szCs w:val="16"/>
              </w:rPr>
            </w:pPr>
          </w:p>
        </w:tc>
      </w:tr>
      <w:tr w:rsidR="0013693B" w:rsidRPr="008F7F36" w:rsidTr="00F171ED">
        <w:trPr>
          <w:trHeight w:val="170"/>
          <w:jc w:val="center"/>
        </w:trPr>
        <w:tc>
          <w:tcPr>
            <w:tcW w:w="436" w:type="dxa"/>
            <w:vMerge/>
            <w:tcBorders>
              <w:left w:val="nil"/>
              <w:bottom w:val="single" w:sz="4" w:space="0" w:color="auto"/>
              <w:right w:val="nil"/>
            </w:tcBorders>
            <w:vAlign w:val="center"/>
          </w:tcPr>
          <w:p w:rsidR="0013693B" w:rsidRPr="008F7F36" w:rsidRDefault="0013693B" w:rsidP="004C42B7">
            <w:pPr>
              <w:jc w:val="center"/>
              <w:rPr>
                <w:sz w:val="16"/>
                <w:szCs w:val="16"/>
              </w:rPr>
            </w:pPr>
          </w:p>
        </w:tc>
        <w:tc>
          <w:tcPr>
            <w:tcW w:w="1270" w:type="dxa"/>
            <w:tcBorders>
              <w:left w:val="nil"/>
              <w:bottom w:val="single" w:sz="4" w:space="0" w:color="auto"/>
              <w:right w:val="nil"/>
            </w:tcBorders>
            <w:shd w:val="clear" w:color="auto" w:fill="auto"/>
            <w:noWrap/>
            <w:vAlign w:val="center"/>
          </w:tcPr>
          <w:p w:rsidR="0013693B" w:rsidRPr="008F7F36" w:rsidRDefault="0013693B" w:rsidP="008F7F36">
            <w:pPr>
              <w:rPr>
                <w:sz w:val="16"/>
                <w:szCs w:val="16"/>
              </w:rPr>
            </w:pPr>
            <w:r w:rsidRPr="008F7F36">
              <w:rPr>
                <w:sz w:val="16"/>
                <w:szCs w:val="16"/>
              </w:rPr>
              <w:t>Max</w:t>
            </w:r>
          </w:p>
        </w:tc>
        <w:tc>
          <w:tcPr>
            <w:tcW w:w="480" w:type="dxa"/>
            <w:tcBorders>
              <w:left w:val="nil"/>
              <w:bottom w:val="single" w:sz="4" w:space="0" w:color="auto"/>
              <w:right w:val="nil"/>
            </w:tcBorders>
            <w:shd w:val="clear" w:color="auto" w:fill="auto"/>
            <w:noWrap/>
            <w:vAlign w:val="center"/>
          </w:tcPr>
          <w:p w:rsidR="0013693B" w:rsidRPr="008F7F36" w:rsidRDefault="0013693B" w:rsidP="004C42B7">
            <w:pPr>
              <w:jc w:val="center"/>
              <w:rPr>
                <w:sz w:val="16"/>
                <w:szCs w:val="16"/>
              </w:rPr>
            </w:pPr>
          </w:p>
        </w:tc>
        <w:tc>
          <w:tcPr>
            <w:tcW w:w="1003" w:type="dxa"/>
            <w:tcBorders>
              <w:left w:val="nil"/>
              <w:bottom w:val="single" w:sz="4" w:space="0" w:color="auto"/>
              <w:right w:val="nil"/>
            </w:tcBorders>
            <w:shd w:val="clear" w:color="auto" w:fill="auto"/>
            <w:noWrap/>
            <w:vAlign w:val="center"/>
          </w:tcPr>
          <w:p w:rsidR="0013693B" w:rsidRPr="008F7F36" w:rsidRDefault="0013693B" w:rsidP="004C42B7">
            <w:pPr>
              <w:jc w:val="center"/>
              <w:rPr>
                <w:sz w:val="16"/>
                <w:szCs w:val="16"/>
              </w:rPr>
            </w:pPr>
            <w:r w:rsidRPr="008F7F36">
              <w:rPr>
                <w:sz w:val="16"/>
                <w:szCs w:val="16"/>
              </w:rPr>
              <w:t>798.34</w:t>
            </w:r>
          </w:p>
        </w:tc>
        <w:tc>
          <w:tcPr>
            <w:tcW w:w="725" w:type="dxa"/>
            <w:tcBorders>
              <w:left w:val="nil"/>
              <w:bottom w:val="single" w:sz="4" w:space="0" w:color="auto"/>
              <w:right w:val="nil"/>
            </w:tcBorders>
            <w:shd w:val="clear" w:color="auto" w:fill="auto"/>
            <w:vAlign w:val="center"/>
          </w:tcPr>
          <w:p w:rsidR="0013693B" w:rsidRPr="008F7F36" w:rsidRDefault="0013693B" w:rsidP="004C42B7">
            <w:pPr>
              <w:jc w:val="center"/>
              <w:rPr>
                <w:sz w:val="16"/>
                <w:szCs w:val="16"/>
              </w:rPr>
            </w:pPr>
          </w:p>
        </w:tc>
        <w:tc>
          <w:tcPr>
            <w:tcW w:w="969" w:type="dxa"/>
            <w:tcBorders>
              <w:left w:val="nil"/>
              <w:bottom w:val="single" w:sz="4" w:space="0" w:color="auto"/>
              <w:right w:val="nil"/>
            </w:tcBorders>
            <w:shd w:val="clear" w:color="auto" w:fill="auto"/>
            <w:noWrap/>
            <w:vAlign w:val="center"/>
          </w:tcPr>
          <w:p w:rsidR="0013693B" w:rsidRPr="008F7F36" w:rsidRDefault="0013693B" w:rsidP="004C42B7">
            <w:pPr>
              <w:jc w:val="center"/>
              <w:rPr>
                <w:sz w:val="16"/>
                <w:szCs w:val="16"/>
              </w:rPr>
            </w:pPr>
            <w:r w:rsidRPr="008F7F36">
              <w:rPr>
                <w:sz w:val="16"/>
                <w:szCs w:val="16"/>
              </w:rPr>
              <w:t>1518.07</w:t>
            </w:r>
          </w:p>
        </w:tc>
        <w:tc>
          <w:tcPr>
            <w:tcW w:w="759" w:type="dxa"/>
            <w:tcBorders>
              <w:left w:val="nil"/>
              <w:bottom w:val="single" w:sz="4" w:space="0" w:color="auto"/>
              <w:right w:val="nil"/>
            </w:tcBorders>
            <w:shd w:val="clear" w:color="auto" w:fill="auto"/>
            <w:vAlign w:val="center"/>
          </w:tcPr>
          <w:p w:rsidR="0013693B" w:rsidRPr="008F7F36" w:rsidRDefault="0013693B" w:rsidP="004C42B7">
            <w:pPr>
              <w:jc w:val="center"/>
              <w:rPr>
                <w:sz w:val="16"/>
                <w:szCs w:val="16"/>
              </w:rPr>
            </w:pPr>
          </w:p>
        </w:tc>
        <w:tc>
          <w:tcPr>
            <w:tcW w:w="935" w:type="dxa"/>
            <w:tcBorders>
              <w:left w:val="nil"/>
              <w:bottom w:val="single" w:sz="4" w:space="0" w:color="auto"/>
              <w:right w:val="nil"/>
            </w:tcBorders>
            <w:vAlign w:val="center"/>
          </w:tcPr>
          <w:p w:rsidR="0013693B" w:rsidRPr="008F7F36" w:rsidRDefault="0013693B" w:rsidP="004C42B7">
            <w:pPr>
              <w:jc w:val="center"/>
              <w:rPr>
                <w:sz w:val="16"/>
                <w:szCs w:val="16"/>
              </w:rPr>
            </w:pPr>
            <w:r w:rsidRPr="008F7F36">
              <w:rPr>
                <w:sz w:val="16"/>
                <w:szCs w:val="16"/>
              </w:rPr>
              <w:t>11.60</w:t>
            </w:r>
          </w:p>
        </w:tc>
        <w:tc>
          <w:tcPr>
            <w:tcW w:w="794" w:type="dxa"/>
            <w:tcBorders>
              <w:left w:val="nil"/>
              <w:bottom w:val="single" w:sz="4" w:space="0" w:color="auto"/>
              <w:right w:val="nil"/>
            </w:tcBorders>
            <w:vAlign w:val="center"/>
          </w:tcPr>
          <w:p w:rsidR="0013693B" w:rsidRPr="008F7F36" w:rsidRDefault="0013693B" w:rsidP="004C42B7">
            <w:pPr>
              <w:jc w:val="center"/>
              <w:rPr>
                <w:sz w:val="16"/>
                <w:szCs w:val="16"/>
              </w:rPr>
            </w:pPr>
          </w:p>
        </w:tc>
      </w:tr>
      <w:tr w:rsidR="0013693B" w:rsidRPr="008F7F36" w:rsidTr="00F171ED">
        <w:trPr>
          <w:cantSplit/>
          <w:trHeight w:val="170"/>
          <w:jc w:val="center"/>
        </w:trPr>
        <w:tc>
          <w:tcPr>
            <w:tcW w:w="436" w:type="dxa"/>
            <w:vMerge w:val="restart"/>
            <w:tcBorders>
              <w:top w:val="single" w:sz="4" w:space="0" w:color="auto"/>
              <w:left w:val="nil"/>
              <w:right w:val="nil"/>
            </w:tcBorders>
            <w:textDirection w:val="btLr"/>
            <w:vAlign w:val="center"/>
          </w:tcPr>
          <w:p w:rsidR="0013693B" w:rsidRPr="008F7F36" w:rsidRDefault="0013693B" w:rsidP="004C42B7">
            <w:pPr>
              <w:ind w:left="113" w:right="113"/>
              <w:jc w:val="center"/>
              <w:rPr>
                <w:sz w:val="16"/>
                <w:szCs w:val="16"/>
              </w:rPr>
            </w:pPr>
            <w:r w:rsidRPr="008F7F36">
              <w:rPr>
                <w:sz w:val="16"/>
                <w:szCs w:val="16"/>
              </w:rPr>
              <w:t>Soybean grain</w:t>
            </w:r>
          </w:p>
        </w:tc>
        <w:tc>
          <w:tcPr>
            <w:tcW w:w="1270" w:type="dxa"/>
            <w:tcBorders>
              <w:top w:val="single" w:sz="4" w:space="0" w:color="auto"/>
              <w:left w:val="nil"/>
              <w:right w:val="nil"/>
            </w:tcBorders>
            <w:shd w:val="clear" w:color="auto" w:fill="auto"/>
            <w:noWrap/>
            <w:vAlign w:val="center"/>
          </w:tcPr>
          <w:p w:rsidR="0013693B" w:rsidRPr="008F7F36" w:rsidRDefault="0013693B" w:rsidP="008F7F36">
            <w:pPr>
              <w:rPr>
                <w:sz w:val="16"/>
                <w:szCs w:val="16"/>
              </w:rPr>
            </w:pPr>
            <w:r w:rsidRPr="008F7F36">
              <w:rPr>
                <w:sz w:val="16"/>
                <w:szCs w:val="16"/>
              </w:rPr>
              <w:t>Replications</w:t>
            </w:r>
          </w:p>
        </w:tc>
        <w:tc>
          <w:tcPr>
            <w:tcW w:w="480" w:type="dxa"/>
            <w:tcBorders>
              <w:top w:val="single" w:sz="4" w:space="0" w:color="auto"/>
              <w:left w:val="nil"/>
              <w:right w:val="nil"/>
            </w:tcBorders>
            <w:shd w:val="clear" w:color="auto" w:fill="auto"/>
            <w:noWrap/>
            <w:vAlign w:val="center"/>
            <w:hideMark/>
          </w:tcPr>
          <w:p w:rsidR="0013693B" w:rsidRPr="008F7F36" w:rsidRDefault="0013693B" w:rsidP="004C42B7">
            <w:pPr>
              <w:jc w:val="center"/>
              <w:rPr>
                <w:sz w:val="16"/>
                <w:szCs w:val="16"/>
              </w:rPr>
            </w:pPr>
            <w:r w:rsidRPr="008F7F36">
              <w:rPr>
                <w:sz w:val="16"/>
                <w:szCs w:val="16"/>
              </w:rPr>
              <w:t>3</w:t>
            </w:r>
          </w:p>
        </w:tc>
        <w:tc>
          <w:tcPr>
            <w:tcW w:w="1003" w:type="dxa"/>
            <w:tcBorders>
              <w:top w:val="single" w:sz="4" w:space="0" w:color="auto"/>
              <w:left w:val="nil"/>
              <w:right w:val="nil"/>
            </w:tcBorders>
            <w:shd w:val="clear" w:color="auto" w:fill="auto"/>
            <w:noWrap/>
            <w:vAlign w:val="center"/>
          </w:tcPr>
          <w:p w:rsidR="0013693B" w:rsidRPr="008F7F36" w:rsidRDefault="0013693B" w:rsidP="004C42B7">
            <w:pPr>
              <w:jc w:val="center"/>
              <w:rPr>
                <w:sz w:val="16"/>
                <w:szCs w:val="16"/>
              </w:rPr>
            </w:pPr>
          </w:p>
        </w:tc>
        <w:tc>
          <w:tcPr>
            <w:tcW w:w="725" w:type="dxa"/>
            <w:tcBorders>
              <w:top w:val="single" w:sz="4" w:space="0" w:color="auto"/>
              <w:left w:val="nil"/>
              <w:right w:val="nil"/>
            </w:tcBorders>
            <w:shd w:val="clear" w:color="auto" w:fill="auto"/>
            <w:vAlign w:val="center"/>
          </w:tcPr>
          <w:p w:rsidR="0013693B" w:rsidRPr="008F7F36" w:rsidRDefault="0013693B" w:rsidP="004C42B7">
            <w:pPr>
              <w:jc w:val="center"/>
              <w:rPr>
                <w:sz w:val="16"/>
                <w:szCs w:val="16"/>
              </w:rPr>
            </w:pPr>
          </w:p>
        </w:tc>
        <w:tc>
          <w:tcPr>
            <w:tcW w:w="969" w:type="dxa"/>
            <w:tcBorders>
              <w:top w:val="single" w:sz="4" w:space="0" w:color="auto"/>
              <w:left w:val="nil"/>
              <w:right w:val="nil"/>
            </w:tcBorders>
            <w:shd w:val="clear" w:color="auto" w:fill="auto"/>
            <w:noWrap/>
            <w:vAlign w:val="center"/>
          </w:tcPr>
          <w:p w:rsidR="0013693B" w:rsidRPr="008F7F36" w:rsidRDefault="0013693B" w:rsidP="004C42B7">
            <w:pPr>
              <w:jc w:val="center"/>
              <w:rPr>
                <w:sz w:val="16"/>
                <w:szCs w:val="16"/>
              </w:rPr>
            </w:pPr>
          </w:p>
        </w:tc>
        <w:tc>
          <w:tcPr>
            <w:tcW w:w="759" w:type="dxa"/>
            <w:tcBorders>
              <w:top w:val="single" w:sz="4" w:space="0" w:color="auto"/>
              <w:left w:val="nil"/>
              <w:right w:val="nil"/>
            </w:tcBorders>
            <w:shd w:val="clear" w:color="auto" w:fill="auto"/>
            <w:vAlign w:val="center"/>
          </w:tcPr>
          <w:p w:rsidR="0013693B" w:rsidRPr="008F7F36" w:rsidRDefault="0013693B" w:rsidP="004C42B7">
            <w:pPr>
              <w:jc w:val="center"/>
              <w:rPr>
                <w:sz w:val="16"/>
                <w:szCs w:val="16"/>
              </w:rPr>
            </w:pPr>
          </w:p>
        </w:tc>
        <w:tc>
          <w:tcPr>
            <w:tcW w:w="935" w:type="dxa"/>
            <w:tcBorders>
              <w:top w:val="single" w:sz="4" w:space="0" w:color="auto"/>
              <w:left w:val="nil"/>
              <w:right w:val="nil"/>
            </w:tcBorders>
            <w:vAlign w:val="center"/>
          </w:tcPr>
          <w:p w:rsidR="0013693B" w:rsidRPr="008F7F36" w:rsidRDefault="0013693B" w:rsidP="004C42B7">
            <w:pPr>
              <w:jc w:val="center"/>
              <w:rPr>
                <w:sz w:val="16"/>
                <w:szCs w:val="16"/>
              </w:rPr>
            </w:pPr>
          </w:p>
        </w:tc>
        <w:tc>
          <w:tcPr>
            <w:tcW w:w="794" w:type="dxa"/>
            <w:tcBorders>
              <w:top w:val="single" w:sz="4" w:space="0" w:color="auto"/>
              <w:left w:val="nil"/>
              <w:right w:val="nil"/>
            </w:tcBorders>
            <w:vAlign w:val="center"/>
          </w:tcPr>
          <w:p w:rsidR="0013693B" w:rsidRPr="008F7F36" w:rsidRDefault="0013693B" w:rsidP="004C42B7">
            <w:pPr>
              <w:jc w:val="center"/>
              <w:rPr>
                <w:sz w:val="16"/>
                <w:szCs w:val="16"/>
              </w:rPr>
            </w:pPr>
          </w:p>
        </w:tc>
      </w:tr>
      <w:tr w:rsidR="0013693B" w:rsidRPr="008F7F36" w:rsidTr="00F171ED">
        <w:trPr>
          <w:trHeight w:val="170"/>
          <w:jc w:val="center"/>
        </w:trPr>
        <w:tc>
          <w:tcPr>
            <w:tcW w:w="436" w:type="dxa"/>
            <w:vMerge/>
            <w:tcBorders>
              <w:left w:val="nil"/>
              <w:right w:val="nil"/>
            </w:tcBorders>
            <w:vAlign w:val="center"/>
          </w:tcPr>
          <w:p w:rsidR="0013693B" w:rsidRPr="008F7F36" w:rsidRDefault="0013693B" w:rsidP="004C42B7">
            <w:pPr>
              <w:jc w:val="center"/>
              <w:rPr>
                <w:sz w:val="16"/>
                <w:szCs w:val="16"/>
              </w:rPr>
            </w:pPr>
          </w:p>
        </w:tc>
        <w:tc>
          <w:tcPr>
            <w:tcW w:w="1270" w:type="dxa"/>
            <w:tcBorders>
              <w:left w:val="nil"/>
              <w:right w:val="nil"/>
            </w:tcBorders>
            <w:shd w:val="clear" w:color="auto" w:fill="auto"/>
            <w:noWrap/>
            <w:vAlign w:val="center"/>
          </w:tcPr>
          <w:p w:rsidR="0013693B" w:rsidRPr="008F7F36" w:rsidRDefault="0013693B" w:rsidP="008F7F36">
            <w:pPr>
              <w:rPr>
                <w:sz w:val="16"/>
                <w:szCs w:val="16"/>
              </w:rPr>
            </w:pPr>
            <w:r w:rsidRPr="008F7F36">
              <w:rPr>
                <w:sz w:val="16"/>
                <w:szCs w:val="16"/>
              </w:rPr>
              <w:t>CS</w:t>
            </w:r>
          </w:p>
        </w:tc>
        <w:tc>
          <w:tcPr>
            <w:tcW w:w="480" w:type="dxa"/>
            <w:tcBorders>
              <w:left w:val="nil"/>
              <w:right w:val="nil"/>
            </w:tcBorders>
            <w:shd w:val="clear" w:color="auto" w:fill="auto"/>
            <w:noWrap/>
            <w:vAlign w:val="center"/>
            <w:hideMark/>
          </w:tcPr>
          <w:p w:rsidR="0013693B" w:rsidRPr="008F7F36" w:rsidRDefault="0013693B" w:rsidP="004C42B7">
            <w:pPr>
              <w:jc w:val="center"/>
              <w:rPr>
                <w:sz w:val="16"/>
                <w:szCs w:val="16"/>
              </w:rPr>
            </w:pPr>
            <w:r w:rsidRPr="008F7F36">
              <w:rPr>
                <w:sz w:val="16"/>
                <w:szCs w:val="16"/>
              </w:rPr>
              <w:t>2</w:t>
            </w:r>
          </w:p>
        </w:tc>
        <w:tc>
          <w:tcPr>
            <w:tcW w:w="1003" w:type="dxa"/>
            <w:tcBorders>
              <w:left w:val="nil"/>
              <w:right w:val="nil"/>
            </w:tcBorders>
            <w:shd w:val="clear" w:color="auto" w:fill="auto"/>
            <w:noWrap/>
            <w:vAlign w:val="center"/>
          </w:tcPr>
          <w:p w:rsidR="0013693B" w:rsidRPr="008F7F36" w:rsidRDefault="0013693B" w:rsidP="004C42B7">
            <w:pPr>
              <w:jc w:val="center"/>
              <w:rPr>
                <w:sz w:val="16"/>
                <w:szCs w:val="16"/>
              </w:rPr>
            </w:pPr>
            <w:r w:rsidRPr="008F7F36">
              <w:rPr>
                <w:sz w:val="16"/>
                <w:szCs w:val="16"/>
              </w:rPr>
              <w:t>107441*</w:t>
            </w:r>
          </w:p>
        </w:tc>
        <w:tc>
          <w:tcPr>
            <w:tcW w:w="725" w:type="dxa"/>
            <w:tcBorders>
              <w:left w:val="nil"/>
              <w:right w:val="nil"/>
            </w:tcBorders>
            <w:shd w:val="clear" w:color="auto" w:fill="auto"/>
            <w:vAlign w:val="center"/>
          </w:tcPr>
          <w:p w:rsidR="0013693B" w:rsidRPr="008F7F36" w:rsidRDefault="0013693B" w:rsidP="004C42B7">
            <w:pPr>
              <w:jc w:val="center"/>
              <w:rPr>
                <w:sz w:val="16"/>
                <w:szCs w:val="16"/>
              </w:rPr>
            </w:pPr>
            <w:r w:rsidRPr="008F7F36">
              <w:rPr>
                <w:sz w:val="16"/>
                <w:szCs w:val="16"/>
              </w:rPr>
              <w:t>191.7</w:t>
            </w:r>
          </w:p>
        </w:tc>
        <w:tc>
          <w:tcPr>
            <w:tcW w:w="969" w:type="dxa"/>
            <w:tcBorders>
              <w:left w:val="nil"/>
              <w:right w:val="nil"/>
            </w:tcBorders>
            <w:shd w:val="clear" w:color="auto" w:fill="auto"/>
            <w:noWrap/>
            <w:vAlign w:val="center"/>
          </w:tcPr>
          <w:p w:rsidR="0013693B" w:rsidRPr="008F7F36" w:rsidRDefault="0013693B" w:rsidP="004C42B7">
            <w:pPr>
              <w:jc w:val="center"/>
              <w:rPr>
                <w:sz w:val="16"/>
                <w:szCs w:val="16"/>
              </w:rPr>
            </w:pPr>
            <w:r w:rsidRPr="008F7F36">
              <w:rPr>
                <w:sz w:val="16"/>
                <w:szCs w:val="16"/>
              </w:rPr>
              <w:t>1478188*</w:t>
            </w:r>
          </w:p>
        </w:tc>
        <w:tc>
          <w:tcPr>
            <w:tcW w:w="759" w:type="dxa"/>
            <w:tcBorders>
              <w:left w:val="nil"/>
              <w:right w:val="nil"/>
            </w:tcBorders>
            <w:shd w:val="clear" w:color="auto" w:fill="auto"/>
            <w:vAlign w:val="center"/>
          </w:tcPr>
          <w:p w:rsidR="0013693B" w:rsidRPr="008F7F36" w:rsidRDefault="0013693B" w:rsidP="004C42B7">
            <w:pPr>
              <w:jc w:val="center"/>
              <w:rPr>
                <w:sz w:val="16"/>
                <w:szCs w:val="16"/>
              </w:rPr>
            </w:pPr>
            <w:r w:rsidRPr="008F7F36">
              <w:rPr>
                <w:sz w:val="16"/>
                <w:szCs w:val="16"/>
              </w:rPr>
              <w:t>606.8</w:t>
            </w:r>
          </w:p>
        </w:tc>
        <w:tc>
          <w:tcPr>
            <w:tcW w:w="935" w:type="dxa"/>
            <w:tcBorders>
              <w:left w:val="nil"/>
              <w:right w:val="nil"/>
            </w:tcBorders>
            <w:vAlign w:val="center"/>
          </w:tcPr>
          <w:p w:rsidR="0013693B" w:rsidRPr="008F7F36" w:rsidRDefault="0013693B" w:rsidP="004C42B7">
            <w:pPr>
              <w:jc w:val="center"/>
              <w:rPr>
                <w:sz w:val="16"/>
                <w:szCs w:val="16"/>
              </w:rPr>
            </w:pPr>
            <w:r w:rsidRPr="008F7F36">
              <w:rPr>
                <w:sz w:val="16"/>
                <w:szCs w:val="16"/>
              </w:rPr>
              <w:t>29.9</w:t>
            </w:r>
          </w:p>
        </w:tc>
        <w:tc>
          <w:tcPr>
            <w:tcW w:w="794" w:type="dxa"/>
            <w:tcBorders>
              <w:left w:val="nil"/>
              <w:right w:val="nil"/>
            </w:tcBorders>
            <w:vAlign w:val="center"/>
          </w:tcPr>
          <w:p w:rsidR="0013693B" w:rsidRPr="008F7F36" w:rsidRDefault="0013693B" w:rsidP="004C42B7">
            <w:pPr>
              <w:jc w:val="center"/>
              <w:rPr>
                <w:sz w:val="16"/>
                <w:szCs w:val="16"/>
              </w:rPr>
            </w:pPr>
            <w:r w:rsidRPr="008F7F36">
              <w:rPr>
                <w:sz w:val="16"/>
                <w:szCs w:val="16"/>
              </w:rPr>
              <w:t>8.465</w:t>
            </w:r>
          </w:p>
        </w:tc>
      </w:tr>
      <w:tr w:rsidR="0013693B" w:rsidRPr="008F7F36" w:rsidTr="00F171ED">
        <w:trPr>
          <w:trHeight w:val="170"/>
          <w:jc w:val="center"/>
        </w:trPr>
        <w:tc>
          <w:tcPr>
            <w:tcW w:w="436" w:type="dxa"/>
            <w:vMerge/>
            <w:tcBorders>
              <w:left w:val="nil"/>
              <w:right w:val="nil"/>
            </w:tcBorders>
            <w:vAlign w:val="center"/>
          </w:tcPr>
          <w:p w:rsidR="0013693B" w:rsidRPr="008F7F36" w:rsidRDefault="0013693B" w:rsidP="004C42B7">
            <w:pPr>
              <w:jc w:val="center"/>
              <w:rPr>
                <w:sz w:val="16"/>
                <w:szCs w:val="16"/>
              </w:rPr>
            </w:pPr>
          </w:p>
        </w:tc>
        <w:tc>
          <w:tcPr>
            <w:tcW w:w="1270" w:type="dxa"/>
            <w:tcBorders>
              <w:left w:val="nil"/>
              <w:right w:val="nil"/>
            </w:tcBorders>
            <w:shd w:val="clear" w:color="auto" w:fill="auto"/>
            <w:noWrap/>
            <w:vAlign w:val="center"/>
          </w:tcPr>
          <w:p w:rsidR="0013693B" w:rsidRPr="008F7F36" w:rsidRDefault="0013693B" w:rsidP="008F7F36">
            <w:pPr>
              <w:rPr>
                <w:sz w:val="16"/>
                <w:szCs w:val="16"/>
              </w:rPr>
            </w:pPr>
            <w:r w:rsidRPr="008F7F36">
              <w:rPr>
                <w:sz w:val="16"/>
                <w:szCs w:val="16"/>
              </w:rPr>
              <w:t>F</w:t>
            </w:r>
          </w:p>
        </w:tc>
        <w:tc>
          <w:tcPr>
            <w:tcW w:w="480" w:type="dxa"/>
            <w:tcBorders>
              <w:left w:val="nil"/>
              <w:right w:val="nil"/>
            </w:tcBorders>
            <w:shd w:val="clear" w:color="auto" w:fill="auto"/>
            <w:noWrap/>
            <w:vAlign w:val="center"/>
            <w:hideMark/>
          </w:tcPr>
          <w:p w:rsidR="0013693B" w:rsidRPr="008F7F36" w:rsidRDefault="0013693B" w:rsidP="004C42B7">
            <w:pPr>
              <w:jc w:val="center"/>
              <w:rPr>
                <w:sz w:val="16"/>
                <w:szCs w:val="16"/>
              </w:rPr>
            </w:pPr>
            <w:r w:rsidRPr="008F7F36">
              <w:rPr>
                <w:sz w:val="16"/>
                <w:szCs w:val="16"/>
              </w:rPr>
              <w:t>3</w:t>
            </w:r>
          </w:p>
        </w:tc>
        <w:tc>
          <w:tcPr>
            <w:tcW w:w="1003" w:type="dxa"/>
            <w:tcBorders>
              <w:left w:val="nil"/>
              <w:right w:val="nil"/>
            </w:tcBorders>
            <w:shd w:val="clear" w:color="auto" w:fill="auto"/>
            <w:noWrap/>
            <w:vAlign w:val="center"/>
          </w:tcPr>
          <w:p w:rsidR="0013693B" w:rsidRPr="008F7F36" w:rsidRDefault="0013693B" w:rsidP="004C42B7">
            <w:pPr>
              <w:jc w:val="center"/>
              <w:rPr>
                <w:sz w:val="16"/>
                <w:szCs w:val="16"/>
              </w:rPr>
            </w:pPr>
            <w:r w:rsidRPr="008F7F36">
              <w:rPr>
                <w:sz w:val="16"/>
                <w:szCs w:val="16"/>
              </w:rPr>
              <w:t>19297*</w:t>
            </w:r>
          </w:p>
        </w:tc>
        <w:tc>
          <w:tcPr>
            <w:tcW w:w="725" w:type="dxa"/>
            <w:tcBorders>
              <w:left w:val="nil"/>
              <w:right w:val="nil"/>
            </w:tcBorders>
            <w:shd w:val="clear" w:color="auto" w:fill="auto"/>
            <w:vAlign w:val="center"/>
          </w:tcPr>
          <w:p w:rsidR="0013693B" w:rsidRPr="008F7F36" w:rsidRDefault="0013693B" w:rsidP="004C42B7">
            <w:pPr>
              <w:jc w:val="center"/>
              <w:rPr>
                <w:sz w:val="16"/>
                <w:szCs w:val="16"/>
              </w:rPr>
            </w:pPr>
            <w:r w:rsidRPr="008F7F36">
              <w:rPr>
                <w:sz w:val="16"/>
                <w:szCs w:val="16"/>
              </w:rPr>
              <w:t>203.1</w:t>
            </w:r>
          </w:p>
        </w:tc>
        <w:tc>
          <w:tcPr>
            <w:tcW w:w="969" w:type="dxa"/>
            <w:tcBorders>
              <w:left w:val="nil"/>
              <w:right w:val="nil"/>
            </w:tcBorders>
            <w:shd w:val="clear" w:color="auto" w:fill="auto"/>
            <w:noWrap/>
            <w:vAlign w:val="center"/>
          </w:tcPr>
          <w:p w:rsidR="0013693B" w:rsidRPr="008F7F36" w:rsidRDefault="0013693B" w:rsidP="004C42B7">
            <w:pPr>
              <w:jc w:val="center"/>
              <w:rPr>
                <w:sz w:val="16"/>
                <w:szCs w:val="16"/>
              </w:rPr>
            </w:pPr>
            <w:r w:rsidRPr="008F7F36">
              <w:rPr>
                <w:sz w:val="16"/>
                <w:szCs w:val="16"/>
              </w:rPr>
              <w:t>342795*</w:t>
            </w:r>
          </w:p>
        </w:tc>
        <w:tc>
          <w:tcPr>
            <w:tcW w:w="759" w:type="dxa"/>
            <w:tcBorders>
              <w:left w:val="nil"/>
              <w:right w:val="nil"/>
            </w:tcBorders>
            <w:shd w:val="clear" w:color="auto" w:fill="auto"/>
            <w:vAlign w:val="center"/>
          </w:tcPr>
          <w:p w:rsidR="0013693B" w:rsidRPr="008F7F36" w:rsidRDefault="0013693B" w:rsidP="004C42B7">
            <w:pPr>
              <w:jc w:val="center"/>
              <w:rPr>
                <w:sz w:val="16"/>
                <w:szCs w:val="16"/>
              </w:rPr>
            </w:pPr>
            <w:r w:rsidRPr="008F7F36">
              <w:rPr>
                <w:sz w:val="16"/>
                <w:szCs w:val="16"/>
              </w:rPr>
              <w:t>638.7</w:t>
            </w:r>
          </w:p>
        </w:tc>
        <w:tc>
          <w:tcPr>
            <w:tcW w:w="935" w:type="dxa"/>
            <w:tcBorders>
              <w:left w:val="nil"/>
              <w:right w:val="nil"/>
            </w:tcBorders>
            <w:vAlign w:val="center"/>
          </w:tcPr>
          <w:p w:rsidR="0013693B" w:rsidRPr="008F7F36" w:rsidRDefault="0013693B" w:rsidP="004C42B7">
            <w:pPr>
              <w:jc w:val="center"/>
              <w:rPr>
                <w:sz w:val="16"/>
                <w:szCs w:val="16"/>
              </w:rPr>
            </w:pPr>
            <w:r w:rsidRPr="008F7F36">
              <w:rPr>
                <w:sz w:val="16"/>
                <w:szCs w:val="16"/>
              </w:rPr>
              <w:t>12.9</w:t>
            </w:r>
          </w:p>
        </w:tc>
        <w:tc>
          <w:tcPr>
            <w:tcW w:w="794" w:type="dxa"/>
            <w:tcBorders>
              <w:left w:val="nil"/>
              <w:right w:val="nil"/>
            </w:tcBorders>
            <w:vAlign w:val="center"/>
          </w:tcPr>
          <w:p w:rsidR="0013693B" w:rsidRPr="008F7F36" w:rsidRDefault="0013693B" w:rsidP="004C42B7">
            <w:pPr>
              <w:jc w:val="center"/>
              <w:rPr>
                <w:sz w:val="16"/>
                <w:szCs w:val="16"/>
              </w:rPr>
            </w:pPr>
            <w:r w:rsidRPr="008F7F36">
              <w:rPr>
                <w:sz w:val="16"/>
                <w:szCs w:val="16"/>
              </w:rPr>
              <w:t>8.595</w:t>
            </w:r>
          </w:p>
        </w:tc>
      </w:tr>
      <w:tr w:rsidR="0013693B" w:rsidRPr="008F7F36" w:rsidTr="00F171ED">
        <w:trPr>
          <w:trHeight w:val="170"/>
          <w:jc w:val="center"/>
        </w:trPr>
        <w:tc>
          <w:tcPr>
            <w:tcW w:w="436" w:type="dxa"/>
            <w:vMerge/>
            <w:tcBorders>
              <w:left w:val="nil"/>
              <w:right w:val="nil"/>
            </w:tcBorders>
            <w:vAlign w:val="center"/>
          </w:tcPr>
          <w:p w:rsidR="0013693B" w:rsidRPr="008F7F36" w:rsidRDefault="0013693B" w:rsidP="004C42B7">
            <w:pPr>
              <w:jc w:val="center"/>
              <w:rPr>
                <w:sz w:val="16"/>
                <w:szCs w:val="16"/>
              </w:rPr>
            </w:pPr>
          </w:p>
        </w:tc>
        <w:tc>
          <w:tcPr>
            <w:tcW w:w="1270" w:type="dxa"/>
            <w:tcBorders>
              <w:left w:val="nil"/>
              <w:right w:val="nil"/>
            </w:tcBorders>
            <w:shd w:val="clear" w:color="auto" w:fill="auto"/>
            <w:noWrap/>
            <w:vAlign w:val="center"/>
          </w:tcPr>
          <w:p w:rsidR="0013693B" w:rsidRPr="008F7F36" w:rsidRDefault="0013693B" w:rsidP="008F7F36">
            <w:pPr>
              <w:rPr>
                <w:sz w:val="16"/>
                <w:szCs w:val="16"/>
              </w:rPr>
            </w:pPr>
            <w:r w:rsidRPr="008F7F36">
              <w:rPr>
                <w:sz w:val="16"/>
                <w:szCs w:val="16"/>
              </w:rPr>
              <w:t>Y</w:t>
            </w:r>
          </w:p>
        </w:tc>
        <w:tc>
          <w:tcPr>
            <w:tcW w:w="480" w:type="dxa"/>
            <w:tcBorders>
              <w:left w:val="nil"/>
              <w:right w:val="nil"/>
            </w:tcBorders>
            <w:shd w:val="clear" w:color="auto" w:fill="auto"/>
            <w:noWrap/>
            <w:vAlign w:val="center"/>
            <w:hideMark/>
          </w:tcPr>
          <w:p w:rsidR="0013693B" w:rsidRPr="008F7F36" w:rsidRDefault="0013693B" w:rsidP="004C42B7">
            <w:pPr>
              <w:jc w:val="center"/>
              <w:rPr>
                <w:sz w:val="16"/>
                <w:szCs w:val="16"/>
              </w:rPr>
            </w:pPr>
            <w:r w:rsidRPr="008F7F36">
              <w:rPr>
                <w:sz w:val="16"/>
                <w:szCs w:val="16"/>
              </w:rPr>
              <w:t>1</w:t>
            </w:r>
          </w:p>
        </w:tc>
        <w:tc>
          <w:tcPr>
            <w:tcW w:w="1003" w:type="dxa"/>
            <w:tcBorders>
              <w:left w:val="nil"/>
              <w:right w:val="nil"/>
            </w:tcBorders>
            <w:shd w:val="clear" w:color="auto" w:fill="auto"/>
            <w:noWrap/>
            <w:vAlign w:val="center"/>
          </w:tcPr>
          <w:p w:rsidR="0013693B" w:rsidRPr="008F7F36" w:rsidRDefault="0013693B" w:rsidP="004C42B7">
            <w:pPr>
              <w:jc w:val="center"/>
              <w:rPr>
                <w:sz w:val="16"/>
                <w:szCs w:val="16"/>
              </w:rPr>
            </w:pPr>
            <w:r w:rsidRPr="008F7F36">
              <w:rPr>
                <w:sz w:val="16"/>
                <w:szCs w:val="16"/>
              </w:rPr>
              <w:t>772211*</w:t>
            </w:r>
          </w:p>
        </w:tc>
        <w:tc>
          <w:tcPr>
            <w:tcW w:w="725" w:type="dxa"/>
            <w:tcBorders>
              <w:left w:val="nil"/>
              <w:right w:val="nil"/>
            </w:tcBorders>
            <w:shd w:val="clear" w:color="auto" w:fill="auto"/>
            <w:vAlign w:val="center"/>
          </w:tcPr>
          <w:p w:rsidR="0013693B" w:rsidRPr="008F7F36" w:rsidRDefault="0013693B" w:rsidP="004C42B7">
            <w:pPr>
              <w:jc w:val="center"/>
              <w:rPr>
                <w:sz w:val="16"/>
                <w:szCs w:val="16"/>
              </w:rPr>
            </w:pPr>
            <w:r w:rsidRPr="008F7F36">
              <w:rPr>
                <w:sz w:val="16"/>
                <w:szCs w:val="16"/>
              </w:rPr>
              <w:t>154.5</w:t>
            </w:r>
          </w:p>
        </w:tc>
        <w:tc>
          <w:tcPr>
            <w:tcW w:w="969" w:type="dxa"/>
            <w:tcBorders>
              <w:left w:val="nil"/>
              <w:right w:val="nil"/>
            </w:tcBorders>
            <w:shd w:val="clear" w:color="auto" w:fill="auto"/>
            <w:noWrap/>
            <w:vAlign w:val="center"/>
          </w:tcPr>
          <w:p w:rsidR="0013693B" w:rsidRPr="008F7F36" w:rsidRDefault="0013693B" w:rsidP="004C42B7">
            <w:pPr>
              <w:jc w:val="center"/>
              <w:rPr>
                <w:sz w:val="16"/>
                <w:szCs w:val="16"/>
              </w:rPr>
            </w:pPr>
            <w:r w:rsidRPr="008F7F36">
              <w:rPr>
                <w:sz w:val="16"/>
                <w:szCs w:val="16"/>
              </w:rPr>
              <w:t>7849883*</w:t>
            </w:r>
          </w:p>
        </w:tc>
        <w:tc>
          <w:tcPr>
            <w:tcW w:w="759" w:type="dxa"/>
            <w:tcBorders>
              <w:left w:val="nil"/>
              <w:right w:val="nil"/>
            </w:tcBorders>
            <w:shd w:val="clear" w:color="auto" w:fill="auto"/>
            <w:vAlign w:val="center"/>
          </w:tcPr>
          <w:p w:rsidR="0013693B" w:rsidRPr="008F7F36" w:rsidRDefault="0013693B" w:rsidP="004C42B7">
            <w:pPr>
              <w:jc w:val="center"/>
              <w:rPr>
                <w:sz w:val="16"/>
                <w:szCs w:val="16"/>
              </w:rPr>
            </w:pPr>
            <w:r w:rsidRPr="008F7F36">
              <w:rPr>
                <w:sz w:val="16"/>
                <w:szCs w:val="16"/>
              </w:rPr>
              <w:t>503.7</w:t>
            </w:r>
          </w:p>
        </w:tc>
        <w:tc>
          <w:tcPr>
            <w:tcW w:w="935" w:type="dxa"/>
            <w:tcBorders>
              <w:left w:val="nil"/>
              <w:right w:val="nil"/>
            </w:tcBorders>
            <w:vAlign w:val="center"/>
          </w:tcPr>
          <w:p w:rsidR="0013693B" w:rsidRPr="008F7F36" w:rsidRDefault="0013693B" w:rsidP="004C42B7">
            <w:pPr>
              <w:jc w:val="center"/>
              <w:rPr>
                <w:sz w:val="16"/>
                <w:szCs w:val="16"/>
              </w:rPr>
            </w:pPr>
            <w:r w:rsidRPr="008F7F36">
              <w:rPr>
                <w:sz w:val="16"/>
                <w:szCs w:val="16"/>
              </w:rPr>
              <w:t>2595.3*</w:t>
            </w:r>
          </w:p>
        </w:tc>
        <w:tc>
          <w:tcPr>
            <w:tcW w:w="794" w:type="dxa"/>
            <w:tcBorders>
              <w:left w:val="nil"/>
              <w:right w:val="nil"/>
            </w:tcBorders>
            <w:vAlign w:val="center"/>
          </w:tcPr>
          <w:p w:rsidR="0013693B" w:rsidRPr="008F7F36" w:rsidRDefault="0013693B" w:rsidP="004C42B7">
            <w:pPr>
              <w:jc w:val="center"/>
              <w:rPr>
                <w:sz w:val="16"/>
                <w:szCs w:val="16"/>
              </w:rPr>
            </w:pPr>
            <w:r w:rsidRPr="008F7F36">
              <w:rPr>
                <w:sz w:val="16"/>
                <w:szCs w:val="16"/>
              </w:rPr>
              <w:t>3.871</w:t>
            </w:r>
          </w:p>
        </w:tc>
      </w:tr>
      <w:tr w:rsidR="0013693B" w:rsidRPr="008F7F36" w:rsidTr="00F171ED">
        <w:trPr>
          <w:trHeight w:val="170"/>
          <w:jc w:val="center"/>
        </w:trPr>
        <w:tc>
          <w:tcPr>
            <w:tcW w:w="436" w:type="dxa"/>
            <w:vMerge/>
            <w:tcBorders>
              <w:left w:val="nil"/>
              <w:right w:val="nil"/>
            </w:tcBorders>
            <w:vAlign w:val="center"/>
          </w:tcPr>
          <w:p w:rsidR="0013693B" w:rsidRPr="008F7F36" w:rsidRDefault="0013693B" w:rsidP="004C42B7">
            <w:pPr>
              <w:jc w:val="center"/>
              <w:rPr>
                <w:sz w:val="16"/>
                <w:szCs w:val="16"/>
              </w:rPr>
            </w:pPr>
          </w:p>
        </w:tc>
        <w:tc>
          <w:tcPr>
            <w:tcW w:w="1270" w:type="dxa"/>
            <w:tcBorders>
              <w:left w:val="nil"/>
              <w:right w:val="nil"/>
            </w:tcBorders>
            <w:shd w:val="clear" w:color="auto" w:fill="auto"/>
            <w:noWrap/>
            <w:vAlign w:val="center"/>
          </w:tcPr>
          <w:p w:rsidR="0013693B" w:rsidRPr="008F7F36" w:rsidRDefault="0013693B" w:rsidP="008F7F36">
            <w:pPr>
              <w:rPr>
                <w:sz w:val="16"/>
                <w:szCs w:val="16"/>
              </w:rPr>
            </w:pPr>
            <w:r w:rsidRPr="008F7F36">
              <w:rPr>
                <w:sz w:val="16"/>
                <w:szCs w:val="16"/>
              </w:rPr>
              <w:t>CS X F</w:t>
            </w:r>
          </w:p>
        </w:tc>
        <w:tc>
          <w:tcPr>
            <w:tcW w:w="480" w:type="dxa"/>
            <w:tcBorders>
              <w:left w:val="nil"/>
              <w:right w:val="nil"/>
            </w:tcBorders>
            <w:shd w:val="clear" w:color="auto" w:fill="auto"/>
            <w:noWrap/>
            <w:vAlign w:val="center"/>
            <w:hideMark/>
          </w:tcPr>
          <w:p w:rsidR="0013693B" w:rsidRPr="008F7F36" w:rsidRDefault="0013693B" w:rsidP="004C42B7">
            <w:pPr>
              <w:jc w:val="center"/>
              <w:rPr>
                <w:sz w:val="16"/>
                <w:szCs w:val="16"/>
              </w:rPr>
            </w:pPr>
            <w:r w:rsidRPr="008F7F36">
              <w:rPr>
                <w:sz w:val="16"/>
                <w:szCs w:val="16"/>
              </w:rPr>
              <w:t>11</w:t>
            </w:r>
          </w:p>
        </w:tc>
        <w:tc>
          <w:tcPr>
            <w:tcW w:w="1003" w:type="dxa"/>
            <w:tcBorders>
              <w:left w:val="nil"/>
              <w:right w:val="nil"/>
            </w:tcBorders>
            <w:shd w:val="clear" w:color="auto" w:fill="auto"/>
            <w:noWrap/>
            <w:vAlign w:val="center"/>
          </w:tcPr>
          <w:p w:rsidR="0013693B" w:rsidRPr="008F7F36" w:rsidRDefault="0013693B" w:rsidP="004C42B7">
            <w:pPr>
              <w:jc w:val="center"/>
              <w:rPr>
                <w:sz w:val="16"/>
                <w:szCs w:val="16"/>
              </w:rPr>
            </w:pPr>
            <w:r w:rsidRPr="008F7F36">
              <w:rPr>
                <w:sz w:val="16"/>
                <w:szCs w:val="16"/>
              </w:rPr>
              <w:t>53879*</w:t>
            </w:r>
          </w:p>
        </w:tc>
        <w:tc>
          <w:tcPr>
            <w:tcW w:w="725" w:type="dxa"/>
            <w:tcBorders>
              <w:left w:val="nil"/>
              <w:right w:val="nil"/>
            </w:tcBorders>
            <w:shd w:val="clear" w:color="auto" w:fill="auto"/>
            <w:vAlign w:val="center"/>
          </w:tcPr>
          <w:p w:rsidR="0013693B" w:rsidRPr="008F7F36" w:rsidRDefault="0013693B" w:rsidP="004C42B7">
            <w:pPr>
              <w:jc w:val="center"/>
              <w:rPr>
                <w:sz w:val="16"/>
                <w:szCs w:val="16"/>
              </w:rPr>
            </w:pPr>
            <w:r w:rsidRPr="008F7F36">
              <w:rPr>
                <w:sz w:val="16"/>
                <w:szCs w:val="16"/>
              </w:rPr>
              <w:t>188.3</w:t>
            </w:r>
          </w:p>
        </w:tc>
        <w:tc>
          <w:tcPr>
            <w:tcW w:w="969" w:type="dxa"/>
            <w:tcBorders>
              <w:left w:val="nil"/>
              <w:right w:val="nil"/>
            </w:tcBorders>
            <w:shd w:val="clear" w:color="auto" w:fill="auto"/>
            <w:noWrap/>
            <w:vAlign w:val="center"/>
          </w:tcPr>
          <w:p w:rsidR="0013693B" w:rsidRPr="008F7F36" w:rsidRDefault="0013693B" w:rsidP="004C42B7">
            <w:pPr>
              <w:jc w:val="center"/>
              <w:rPr>
                <w:sz w:val="16"/>
                <w:szCs w:val="16"/>
              </w:rPr>
            </w:pPr>
            <w:r w:rsidRPr="008F7F36">
              <w:rPr>
                <w:sz w:val="16"/>
                <w:szCs w:val="16"/>
              </w:rPr>
              <w:t>625479*</w:t>
            </w:r>
          </w:p>
        </w:tc>
        <w:tc>
          <w:tcPr>
            <w:tcW w:w="759" w:type="dxa"/>
            <w:tcBorders>
              <w:left w:val="nil"/>
              <w:right w:val="nil"/>
            </w:tcBorders>
            <w:shd w:val="clear" w:color="auto" w:fill="auto"/>
            <w:vAlign w:val="center"/>
          </w:tcPr>
          <w:p w:rsidR="0013693B" w:rsidRPr="008F7F36" w:rsidRDefault="0013693B" w:rsidP="004C42B7">
            <w:pPr>
              <w:jc w:val="center"/>
              <w:rPr>
                <w:sz w:val="16"/>
                <w:szCs w:val="16"/>
              </w:rPr>
            </w:pPr>
            <w:r w:rsidRPr="008F7F36">
              <w:rPr>
                <w:sz w:val="16"/>
                <w:szCs w:val="16"/>
              </w:rPr>
              <w:t>592.6</w:t>
            </w:r>
          </w:p>
        </w:tc>
        <w:tc>
          <w:tcPr>
            <w:tcW w:w="935" w:type="dxa"/>
            <w:tcBorders>
              <w:left w:val="nil"/>
              <w:right w:val="nil"/>
            </w:tcBorders>
            <w:vAlign w:val="center"/>
          </w:tcPr>
          <w:p w:rsidR="0013693B" w:rsidRPr="008F7F36" w:rsidRDefault="0013693B" w:rsidP="004C42B7">
            <w:pPr>
              <w:jc w:val="center"/>
              <w:rPr>
                <w:sz w:val="16"/>
                <w:szCs w:val="16"/>
              </w:rPr>
            </w:pPr>
            <w:r w:rsidRPr="008F7F36">
              <w:rPr>
                <w:sz w:val="16"/>
                <w:szCs w:val="16"/>
              </w:rPr>
              <w:t>17.5</w:t>
            </w:r>
          </w:p>
        </w:tc>
        <w:tc>
          <w:tcPr>
            <w:tcW w:w="794" w:type="dxa"/>
            <w:tcBorders>
              <w:left w:val="nil"/>
              <w:right w:val="nil"/>
            </w:tcBorders>
            <w:vAlign w:val="center"/>
          </w:tcPr>
          <w:p w:rsidR="0013693B" w:rsidRPr="008F7F36" w:rsidRDefault="0013693B" w:rsidP="004C42B7">
            <w:pPr>
              <w:jc w:val="center"/>
              <w:rPr>
                <w:sz w:val="16"/>
                <w:szCs w:val="16"/>
              </w:rPr>
            </w:pPr>
            <w:r w:rsidRPr="008F7F36">
              <w:rPr>
                <w:sz w:val="16"/>
                <w:szCs w:val="16"/>
              </w:rPr>
              <w:t>9.267</w:t>
            </w:r>
          </w:p>
        </w:tc>
      </w:tr>
      <w:tr w:rsidR="0013693B" w:rsidRPr="008F7F36" w:rsidTr="00F171ED">
        <w:trPr>
          <w:trHeight w:val="170"/>
          <w:jc w:val="center"/>
        </w:trPr>
        <w:tc>
          <w:tcPr>
            <w:tcW w:w="436" w:type="dxa"/>
            <w:vMerge/>
            <w:tcBorders>
              <w:left w:val="nil"/>
              <w:right w:val="nil"/>
            </w:tcBorders>
            <w:vAlign w:val="center"/>
          </w:tcPr>
          <w:p w:rsidR="0013693B" w:rsidRPr="008F7F36" w:rsidRDefault="0013693B" w:rsidP="004C42B7">
            <w:pPr>
              <w:jc w:val="center"/>
              <w:rPr>
                <w:sz w:val="16"/>
                <w:szCs w:val="16"/>
              </w:rPr>
            </w:pPr>
          </w:p>
        </w:tc>
        <w:tc>
          <w:tcPr>
            <w:tcW w:w="1270" w:type="dxa"/>
            <w:tcBorders>
              <w:left w:val="nil"/>
              <w:right w:val="nil"/>
            </w:tcBorders>
            <w:shd w:val="clear" w:color="auto" w:fill="auto"/>
            <w:noWrap/>
            <w:vAlign w:val="center"/>
          </w:tcPr>
          <w:p w:rsidR="0013693B" w:rsidRPr="008F7F36" w:rsidRDefault="0013693B" w:rsidP="008F7F36">
            <w:pPr>
              <w:rPr>
                <w:sz w:val="16"/>
                <w:szCs w:val="16"/>
              </w:rPr>
            </w:pPr>
            <w:r w:rsidRPr="008F7F36">
              <w:rPr>
                <w:sz w:val="16"/>
                <w:szCs w:val="16"/>
              </w:rPr>
              <w:t>CS x Y</w:t>
            </w:r>
          </w:p>
        </w:tc>
        <w:tc>
          <w:tcPr>
            <w:tcW w:w="480" w:type="dxa"/>
            <w:tcBorders>
              <w:left w:val="nil"/>
              <w:right w:val="nil"/>
            </w:tcBorders>
            <w:shd w:val="clear" w:color="auto" w:fill="auto"/>
            <w:noWrap/>
            <w:vAlign w:val="center"/>
            <w:hideMark/>
          </w:tcPr>
          <w:p w:rsidR="0013693B" w:rsidRPr="008F7F36" w:rsidRDefault="0013693B" w:rsidP="004C42B7">
            <w:pPr>
              <w:jc w:val="center"/>
              <w:rPr>
                <w:sz w:val="16"/>
                <w:szCs w:val="16"/>
              </w:rPr>
            </w:pPr>
            <w:r w:rsidRPr="008F7F36">
              <w:rPr>
                <w:sz w:val="16"/>
                <w:szCs w:val="16"/>
              </w:rPr>
              <w:t>5</w:t>
            </w:r>
          </w:p>
        </w:tc>
        <w:tc>
          <w:tcPr>
            <w:tcW w:w="1003" w:type="dxa"/>
            <w:tcBorders>
              <w:left w:val="nil"/>
              <w:right w:val="nil"/>
            </w:tcBorders>
            <w:shd w:val="clear" w:color="auto" w:fill="auto"/>
            <w:noWrap/>
            <w:vAlign w:val="center"/>
          </w:tcPr>
          <w:p w:rsidR="0013693B" w:rsidRPr="008F7F36" w:rsidRDefault="0013693B" w:rsidP="004C42B7">
            <w:pPr>
              <w:jc w:val="center"/>
              <w:rPr>
                <w:sz w:val="16"/>
                <w:szCs w:val="16"/>
              </w:rPr>
            </w:pPr>
            <w:r w:rsidRPr="008F7F36">
              <w:rPr>
                <w:sz w:val="16"/>
                <w:szCs w:val="16"/>
              </w:rPr>
              <w:t>58088*</w:t>
            </w:r>
          </w:p>
        </w:tc>
        <w:tc>
          <w:tcPr>
            <w:tcW w:w="725" w:type="dxa"/>
            <w:tcBorders>
              <w:left w:val="nil"/>
              <w:right w:val="nil"/>
            </w:tcBorders>
            <w:shd w:val="clear" w:color="auto" w:fill="auto"/>
            <w:vAlign w:val="center"/>
          </w:tcPr>
          <w:p w:rsidR="0013693B" w:rsidRPr="008F7F36" w:rsidRDefault="0013693B" w:rsidP="004C42B7">
            <w:pPr>
              <w:jc w:val="center"/>
              <w:rPr>
                <w:sz w:val="16"/>
                <w:szCs w:val="16"/>
              </w:rPr>
            </w:pPr>
            <w:r w:rsidRPr="008F7F36">
              <w:rPr>
                <w:sz w:val="16"/>
                <w:szCs w:val="16"/>
              </w:rPr>
              <w:t>86.82</w:t>
            </w:r>
          </w:p>
        </w:tc>
        <w:tc>
          <w:tcPr>
            <w:tcW w:w="969" w:type="dxa"/>
            <w:tcBorders>
              <w:left w:val="nil"/>
              <w:right w:val="nil"/>
            </w:tcBorders>
            <w:shd w:val="clear" w:color="auto" w:fill="auto"/>
            <w:noWrap/>
            <w:vAlign w:val="center"/>
          </w:tcPr>
          <w:p w:rsidR="0013693B" w:rsidRPr="008F7F36" w:rsidRDefault="0013693B" w:rsidP="004C42B7">
            <w:pPr>
              <w:jc w:val="center"/>
              <w:rPr>
                <w:sz w:val="16"/>
                <w:szCs w:val="16"/>
              </w:rPr>
            </w:pPr>
            <w:r w:rsidRPr="008F7F36">
              <w:rPr>
                <w:sz w:val="16"/>
                <w:szCs w:val="16"/>
              </w:rPr>
              <w:t>9159254*</w:t>
            </w:r>
          </w:p>
        </w:tc>
        <w:tc>
          <w:tcPr>
            <w:tcW w:w="759" w:type="dxa"/>
            <w:tcBorders>
              <w:left w:val="nil"/>
              <w:right w:val="nil"/>
            </w:tcBorders>
            <w:shd w:val="clear" w:color="auto" w:fill="auto"/>
            <w:vAlign w:val="center"/>
          </w:tcPr>
          <w:p w:rsidR="0013693B" w:rsidRPr="008F7F36" w:rsidRDefault="0013693B" w:rsidP="004C42B7">
            <w:pPr>
              <w:jc w:val="center"/>
              <w:rPr>
                <w:sz w:val="16"/>
                <w:szCs w:val="16"/>
              </w:rPr>
            </w:pPr>
            <w:r w:rsidRPr="008F7F36">
              <w:rPr>
                <w:sz w:val="16"/>
                <w:szCs w:val="16"/>
              </w:rPr>
              <w:t>276.0</w:t>
            </w:r>
          </w:p>
        </w:tc>
        <w:tc>
          <w:tcPr>
            <w:tcW w:w="935" w:type="dxa"/>
            <w:tcBorders>
              <w:left w:val="nil"/>
              <w:right w:val="nil"/>
            </w:tcBorders>
            <w:vAlign w:val="center"/>
          </w:tcPr>
          <w:p w:rsidR="0013693B" w:rsidRPr="008F7F36" w:rsidRDefault="0013693B" w:rsidP="004C42B7">
            <w:pPr>
              <w:jc w:val="center"/>
              <w:rPr>
                <w:sz w:val="16"/>
                <w:szCs w:val="16"/>
              </w:rPr>
            </w:pPr>
            <w:r w:rsidRPr="008F7F36">
              <w:rPr>
                <w:sz w:val="16"/>
                <w:szCs w:val="16"/>
              </w:rPr>
              <w:t>768821*</w:t>
            </w:r>
          </w:p>
        </w:tc>
        <w:tc>
          <w:tcPr>
            <w:tcW w:w="794" w:type="dxa"/>
            <w:tcBorders>
              <w:left w:val="nil"/>
              <w:right w:val="nil"/>
            </w:tcBorders>
            <w:vAlign w:val="center"/>
          </w:tcPr>
          <w:p w:rsidR="0013693B" w:rsidRPr="008F7F36" w:rsidRDefault="0013693B" w:rsidP="004C42B7">
            <w:pPr>
              <w:jc w:val="center"/>
              <w:rPr>
                <w:sz w:val="16"/>
                <w:szCs w:val="16"/>
              </w:rPr>
            </w:pPr>
            <w:r w:rsidRPr="008F7F36">
              <w:rPr>
                <w:sz w:val="16"/>
                <w:szCs w:val="16"/>
              </w:rPr>
              <w:t>77.98</w:t>
            </w:r>
          </w:p>
        </w:tc>
      </w:tr>
      <w:tr w:rsidR="0013693B" w:rsidRPr="008F7F36" w:rsidTr="00F171ED">
        <w:trPr>
          <w:trHeight w:val="170"/>
          <w:jc w:val="center"/>
        </w:trPr>
        <w:tc>
          <w:tcPr>
            <w:tcW w:w="436" w:type="dxa"/>
            <w:vMerge/>
            <w:tcBorders>
              <w:left w:val="nil"/>
              <w:right w:val="nil"/>
            </w:tcBorders>
            <w:vAlign w:val="center"/>
          </w:tcPr>
          <w:p w:rsidR="0013693B" w:rsidRPr="008F7F36" w:rsidRDefault="0013693B" w:rsidP="004C42B7">
            <w:pPr>
              <w:jc w:val="center"/>
              <w:rPr>
                <w:sz w:val="16"/>
                <w:szCs w:val="16"/>
              </w:rPr>
            </w:pPr>
          </w:p>
        </w:tc>
        <w:tc>
          <w:tcPr>
            <w:tcW w:w="1270" w:type="dxa"/>
            <w:tcBorders>
              <w:left w:val="nil"/>
              <w:right w:val="nil"/>
            </w:tcBorders>
            <w:shd w:val="clear" w:color="auto" w:fill="auto"/>
            <w:noWrap/>
            <w:vAlign w:val="center"/>
          </w:tcPr>
          <w:p w:rsidR="0013693B" w:rsidRPr="008F7F36" w:rsidRDefault="0013693B" w:rsidP="008F7F36">
            <w:pPr>
              <w:rPr>
                <w:sz w:val="16"/>
                <w:szCs w:val="16"/>
              </w:rPr>
            </w:pPr>
            <w:r w:rsidRPr="008F7F36">
              <w:rPr>
                <w:sz w:val="16"/>
                <w:szCs w:val="16"/>
              </w:rPr>
              <w:t>F x Y</w:t>
            </w:r>
          </w:p>
        </w:tc>
        <w:tc>
          <w:tcPr>
            <w:tcW w:w="480" w:type="dxa"/>
            <w:tcBorders>
              <w:left w:val="nil"/>
              <w:right w:val="nil"/>
            </w:tcBorders>
            <w:shd w:val="clear" w:color="auto" w:fill="auto"/>
            <w:noWrap/>
            <w:vAlign w:val="center"/>
            <w:hideMark/>
          </w:tcPr>
          <w:p w:rsidR="0013693B" w:rsidRPr="008F7F36" w:rsidRDefault="0013693B" w:rsidP="004C42B7">
            <w:pPr>
              <w:jc w:val="center"/>
              <w:rPr>
                <w:sz w:val="16"/>
                <w:szCs w:val="16"/>
              </w:rPr>
            </w:pPr>
            <w:r w:rsidRPr="008F7F36">
              <w:rPr>
                <w:sz w:val="16"/>
                <w:szCs w:val="16"/>
              </w:rPr>
              <w:t>7</w:t>
            </w:r>
          </w:p>
        </w:tc>
        <w:tc>
          <w:tcPr>
            <w:tcW w:w="1003" w:type="dxa"/>
            <w:tcBorders>
              <w:left w:val="nil"/>
              <w:right w:val="nil"/>
            </w:tcBorders>
            <w:shd w:val="clear" w:color="auto" w:fill="auto"/>
            <w:noWrap/>
            <w:vAlign w:val="center"/>
          </w:tcPr>
          <w:p w:rsidR="0013693B" w:rsidRPr="008F7F36" w:rsidRDefault="0013693B" w:rsidP="004C42B7">
            <w:pPr>
              <w:jc w:val="center"/>
              <w:rPr>
                <w:sz w:val="16"/>
                <w:szCs w:val="16"/>
              </w:rPr>
            </w:pPr>
            <w:r w:rsidRPr="008F7F36">
              <w:rPr>
                <w:sz w:val="16"/>
                <w:szCs w:val="16"/>
              </w:rPr>
              <w:t>145032*</w:t>
            </w:r>
          </w:p>
        </w:tc>
        <w:tc>
          <w:tcPr>
            <w:tcW w:w="725" w:type="dxa"/>
            <w:tcBorders>
              <w:left w:val="nil"/>
              <w:right w:val="nil"/>
            </w:tcBorders>
            <w:shd w:val="clear" w:color="auto" w:fill="auto"/>
            <w:vAlign w:val="center"/>
          </w:tcPr>
          <w:p w:rsidR="0013693B" w:rsidRPr="008F7F36" w:rsidRDefault="0013693B" w:rsidP="004C42B7">
            <w:pPr>
              <w:jc w:val="center"/>
              <w:rPr>
                <w:sz w:val="16"/>
                <w:szCs w:val="16"/>
              </w:rPr>
            </w:pPr>
            <w:r w:rsidRPr="008F7F36">
              <w:rPr>
                <w:sz w:val="16"/>
                <w:szCs w:val="16"/>
              </w:rPr>
              <w:t>146.1</w:t>
            </w:r>
          </w:p>
        </w:tc>
        <w:tc>
          <w:tcPr>
            <w:tcW w:w="969" w:type="dxa"/>
            <w:tcBorders>
              <w:left w:val="nil"/>
              <w:right w:val="nil"/>
            </w:tcBorders>
            <w:shd w:val="clear" w:color="auto" w:fill="auto"/>
            <w:noWrap/>
            <w:vAlign w:val="center"/>
          </w:tcPr>
          <w:p w:rsidR="0013693B" w:rsidRPr="008F7F36" w:rsidRDefault="0013693B" w:rsidP="004C42B7">
            <w:pPr>
              <w:jc w:val="center"/>
              <w:rPr>
                <w:sz w:val="16"/>
                <w:szCs w:val="16"/>
              </w:rPr>
            </w:pPr>
            <w:r w:rsidRPr="008F7F36">
              <w:rPr>
                <w:sz w:val="16"/>
                <w:szCs w:val="16"/>
              </w:rPr>
              <w:t>1409855*</w:t>
            </w:r>
          </w:p>
        </w:tc>
        <w:tc>
          <w:tcPr>
            <w:tcW w:w="759" w:type="dxa"/>
            <w:tcBorders>
              <w:left w:val="nil"/>
              <w:right w:val="nil"/>
            </w:tcBorders>
            <w:shd w:val="clear" w:color="auto" w:fill="auto"/>
            <w:vAlign w:val="center"/>
          </w:tcPr>
          <w:p w:rsidR="0013693B" w:rsidRPr="008F7F36" w:rsidRDefault="0013693B" w:rsidP="004C42B7">
            <w:pPr>
              <w:jc w:val="center"/>
              <w:rPr>
                <w:sz w:val="16"/>
                <w:szCs w:val="16"/>
              </w:rPr>
            </w:pPr>
            <w:r w:rsidRPr="008F7F36">
              <w:rPr>
                <w:sz w:val="16"/>
                <w:szCs w:val="16"/>
              </w:rPr>
              <w:t>491.3</w:t>
            </w:r>
          </w:p>
        </w:tc>
        <w:tc>
          <w:tcPr>
            <w:tcW w:w="935" w:type="dxa"/>
            <w:tcBorders>
              <w:left w:val="nil"/>
              <w:right w:val="nil"/>
            </w:tcBorders>
            <w:vAlign w:val="center"/>
          </w:tcPr>
          <w:p w:rsidR="0013693B" w:rsidRPr="008F7F36" w:rsidRDefault="0013693B" w:rsidP="004C42B7">
            <w:pPr>
              <w:jc w:val="center"/>
              <w:rPr>
                <w:sz w:val="16"/>
                <w:szCs w:val="16"/>
              </w:rPr>
            </w:pPr>
            <w:r w:rsidRPr="008F7F36">
              <w:rPr>
                <w:sz w:val="16"/>
                <w:szCs w:val="16"/>
              </w:rPr>
              <w:t>402.0*</w:t>
            </w:r>
          </w:p>
        </w:tc>
        <w:tc>
          <w:tcPr>
            <w:tcW w:w="794" w:type="dxa"/>
            <w:tcBorders>
              <w:left w:val="nil"/>
              <w:right w:val="nil"/>
            </w:tcBorders>
            <w:vAlign w:val="center"/>
          </w:tcPr>
          <w:p w:rsidR="0013693B" w:rsidRPr="008F7F36" w:rsidRDefault="0013693B" w:rsidP="004C42B7">
            <w:pPr>
              <w:jc w:val="center"/>
              <w:rPr>
                <w:sz w:val="16"/>
                <w:szCs w:val="16"/>
              </w:rPr>
            </w:pPr>
            <w:r w:rsidRPr="008F7F36">
              <w:rPr>
                <w:sz w:val="16"/>
                <w:szCs w:val="16"/>
              </w:rPr>
              <w:t>3.429</w:t>
            </w:r>
          </w:p>
        </w:tc>
      </w:tr>
      <w:tr w:rsidR="0013693B" w:rsidRPr="008F7F36" w:rsidTr="00F171ED">
        <w:trPr>
          <w:trHeight w:val="170"/>
          <w:jc w:val="center"/>
        </w:trPr>
        <w:tc>
          <w:tcPr>
            <w:tcW w:w="436" w:type="dxa"/>
            <w:vMerge/>
            <w:tcBorders>
              <w:left w:val="nil"/>
              <w:right w:val="nil"/>
            </w:tcBorders>
            <w:vAlign w:val="center"/>
          </w:tcPr>
          <w:p w:rsidR="0013693B" w:rsidRPr="008F7F36" w:rsidRDefault="0013693B" w:rsidP="004C42B7">
            <w:pPr>
              <w:jc w:val="center"/>
              <w:rPr>
                <w:sz w:val="16"/>
                <w:szCs w:val="16"/>
              </w:rPr>
            </w:pPr>
          </w:p>
        </w:tc>
        <w:tc>
          <w:tcPr>
            <w:tcW w:w="1270" w:type="dxa"/>
            <w:tcBorders>
              <w:left w:val="nil"/>
              <w:right w:val="nil"/>
            </w:tcBorders>
            <w:shd w:val="clear" w:color="auto" w:fill="auto"/>
            <w:noWrap/>
            <w:vAlign w:val="center"/>
          </w:tcPr>
          <w:p w:rsidR="0013693B" w:rsidRPr="008F7F36" w:rsidRDefault="0013693B" w:rsidP="008F7F36">
            <w:pPr>
              <w:rPr>
                <w:sz w:val="16"/>
                <w:szCs w:val="16"/>
              </w:rPr>
            </w:pPr>
            <w:r w:rsidRPr="008F7F36">
              <w:rPr>
                <w:sz w:val="16"/>
                <w:szCs w:val="16"/>
              </w:rPr>
              <w:t>CS x F x Y</w:t>
            </w:r>
          </w:p>
        </w:tc>
        <w:tc>
          <w:tcPr>
            <w:tcW w:w="480" w:type="dxa"/>
            <w:tcBorders>
              <w:left w:val="nil"/>
              <w:right w:val="nil"/>
            </w:tcBorders>
            <w:shd w:val="clear" w:color="auto" w:fill="auto"/>
            <w:noWrap/>
            <w:vAlign w:val="center"/>
            <w:hideMark/>
          </w:tcPr>
          <w:p w:rsidR="0013693B" w:rsidRPr="008F7F36" w:rsidRDefault="0013693B" w:rsidP="004C42B7">
            <w:pPr>
              <w:jc w:val="center"/>
              <w:rPr>
                <w:sz w:val="16"/>
                <w:szCs w:val="16"/>
              </w:rPr>
            </w:pPr>
            <w:r w:rsidRPr="008F7F36">
              <w:rPr>
                <w:sz w:val="16"/>
                <w:szCs w:val="16"/>
              </w:rPr>
              <w:t>23</w:t>
            </w:r>
          </w:p>
        </w:tc>
        <w:tc>
          <w:tcPr>
            <w:tcW w:w="1003" w:type="dxa"/>
            <w:tcBorders>
              <w:left w:val="nil"/>
              <w:right w:val="nil"/>
            </w:tcBorders>
            <w:shd w:val="clear" w:color="auto" w:fill="auto"/>
            <w:noWrap/>
            <w:vAlign w:val="center"/>
          </w:tcPr>
          <w:p w:rsidR="0013693B" w:rsidRPr="008F7F36" w:rsidRDefault="0013693B" w:rsidP="004C42B7">
            <w:pPr>
              <w:jc w:val="center"/>
              <w:rPr>
                <w:sz w:val="16"/>
                <w:szCs w:val="16"/>
              </w:rPr>
            </w:pPr>
            <w:r w:rsidRPr="008F7F36">
              <w:rPr>
                <w:sz w:val="16"/>
                <w:szCs w:val="16"/>
              </w:rPr>
              <w:t>76714*</w:t>
            </w:r>
          </w:p>
        </w:tc>
        <w:tc>
          <w:tcPr>
            <w:tcW w:w="725" w:type="dxa"/>
            <w:tcBorders>
              <w:left w:val="nil"/>
              <w:right w:val="nil"/>
            </w:tcBorders>
            <w:shd w:val="clear" w:color="auto" w:fill="auto"/>
            <w:vAlign w:val="center"/>
          </w:tcPr>
          <w:p w:rsidR="0013693B" w:rsidRPr="008F7F36" w:rsidRDefault="0013693B" w:rsidP="004C42B7">
            <w:pPr>
              <w:jc w:val="center"/>
              <w:rPr>
                <w:sz w:val="16"/>
                <w:szCs w:val="16"/>
              </w:rPr>
            </w:pPr>
            <w:r w:rsidRPr="008F7F36">
              <w:rPr>
                <w:sz w:val="16"/>
                <w:szCs w:val="16"/>
              </w:rPr>
              <w:t>66.1</w:t>
            </w:r>
          </w:p>
        </w:tc>
        <w:tc>
          <w:tcPr>
            <w:tcW w:w="969" w:type="dxa"/>
            <w:tcBorders>
              <w:left w:val="nil"/>
              <w:right w:val="nil"/>
            </w:tcBorders>
            <w:shd w:val="clear" w:color="auto" w:fill="auto"/>
            <w:noWrap/>
            <w:vAlign w:val="center"/>
          </w:tcPr>
          <w:p w:rsidR="0013693B" w:rsidRPr="008F7F36" w:rsidRDefault="0013693B" w:rsidP="004C42B7">
            <w:pPr>
              <w:jc w:val="center"/>
              <w:rPr>
                <w:sz w:val="16"/>
                <w:szCs w:val="16"/>
              </w:rPr>
            </w:pPr>
            <w:r w:rsidRPr="008F7F36">
              <w:rPr>
                <w:sz w:val="16"/>
                <w:szCs w:val="16"/>
              </w:rPr>
              <w:t>841822*</w:t>
            </w:r>
          </w:p>
        </w:tc>
        <w:tc>
          <w:tcPr>
            <w:tcW w:w="759" w:type="dxa"/>
            <w:tcBorders>
              <w:left w:val="nil"/>
              <w:right w:val="nil"/>
            </w:tcBorders>
            <w:shd w:val="clear" w:color="auto" w:fill="auto"/>
            <w:vAlign w:val="center"/>
          </w:tcPr>
          <w:p w:rsidR="0013693B" w:rsidRPr="008F7F36" w:rsidRDefault="0013693B" w:rsidP="004C42B7">
            <w:pPr>
              <w:jc w:val="center"/>
              <w:rPr>
                <w:sz w:val="16"/>
                <w:szCs w:val="16"/>
              </w:rPr>
            </w:pPr>
            <w:r w:rsidRPr="008F7F36">
              <w:rPr>
                <w:sz w:val="16"/>
                <w:szCs w:val="16"/>
              </w:rPr>
              <w:t>81.9</w:t>
            </w:r>
          </w:p>
        </w:tc>
        <w:tc>
          <w:tcPr>
            <w:tcW w:w="935" w:type="dxa"/>
            <w:tcBorders>
              <w:left w:val="nil"/>
              <w:right w:val="nil"/>
            </w:tcBorders>
            <w:vAlign w:val="center"/>
          </w:tcPr>
          <w:p w:rsidR="0013693B" w:rsidRPr="008F7F36" w:rsidRDefault="0013693B" w:rsidP="004C42B7">
            <w:pPr>
              <w:jc w:val="center"/>
              <w:rPr>
                <w:sz w:val="16"/>
                <w:szCs w:val="16"/>
              </w:rPr>
            </w:pPr>
            <w:r w:rsidRPr="008F7F36">
              <w:rPr>
                <w:sz w:val="16"/>
                <w:szCs w:val="16"/>
              </w:rPr>
              <w:t>137.77*</w:t>
            </w:r>
          </w:p>
        </w:tc>
        <w:tc>
          <w:tcPr>
            <w:tcW w:w="794" w:type="dxa"/>
            <w:tcBorders>
              <w:left w:val="nil"/>
              <w:right w:val="nil"/>
            </w:tcBorders>
            <w:vAlign w:val="center"/>
          </w:tcPr>
          <w:p w:rsidR="0013693B" w:rsidRPr="008F7F36" w:rsidRDefault="0013693B" w:rsidP="004C42B7">
            <w:pPr>
              <w:jc w:val="center"/>
              <w:rPr>
                <w:sz w:val="16"/>
                <w:szCs w:val="16"/>
              </w:rPr>
            </w:pPr>
            <w:r w:rsidRPr="008F7F36">
              <w:rPr>
                <w:sz w:val="16"/>
                <w:szCs w:val="16"/>
              </w:rPr>
              <w:t>2.196</w:t>
            </w:r>
          </w:p>
        </w:tc>
      </w:tr>
      <w:tr w:rsidR="0013693B" w:rsidRPr="008F7F36" w:rsidTr="00F171ED">
        <w:trPr>
          <w:trHeight w:val="170"/>
          <w:jc w:val="center"/>
        </w:trPr>
        <w:tc>
          <w:tcPr>
            <w:tcW w:w="436" w:type="dxa"/>
            <w:vMerge/>
            <w:tcBorders>
              <w:left w:val="nil"/>
              <w:right w:val="nil"/>
            </w:tcBorders>
            <w:vAlign w:val="center"/>
          </w:tcPr>
          <w:p w:rsidR="0013693B" w:rsidRPr="008F7F36" w:rsidRDefault="0013693B" w:rsidP="004C42B7">
            <w:pPr>
              <w:jc w:val="center"/>
              <w:rPr>
                <w:sz w:val="16"/>
                <w:szCs w:val="16"/>
              </w:rPr>
            </w:pPr>
          </w:p>
        </w:tc>
        <w:tc>
          <w:tcPr>
            <w:tcW w:w="1270" w:type="dxa"/>
            <w:tcBorders>
              <w:left w:val="nil"/>
              <w:right w:val="nil"/>
            </w:tcBorders>
            <w:shd w:val="clear" w:color="auto" w:fill="auto"/>
            <w:noWrap/>
            <w:vAlign w:val="center"/>
          </w:tcPr>
          <w:p w:rsidR="0013693B" w:rsidRPr="008F7F36" w:rsidRDefault="0013693B" w:rsidP="008F7F36">
            <w:pPr>
              <w:rPr>
                <w:sz w:val="16"/>
                <w:szCs w:val="16"/>
              </w:rPr>
            </w:pPr>
            <w:r w:rsidRPr="008F7F36">
              <w:rPr>
                <w:sz w:val="16"/>
                <w:szCs w:val="16"/>
              </w:rPr>
              <w:t>CV (%)</w:t>
            </w:r>
          </w:p>
        </w:tc>
        <w:tc>
          <w:tcPr>
            <w:tcW w:w="480" w:type="dxa"/>
            <w:tcBorders>
              <w:left w:val="nil"/>
              <w:right w:val="nil"/>
            </w:tcBorders>
            <w:shd w:val="clear" w:color="auto" w:fill="auto"/>
            <w:noWrap/>
            <w:vAlign w:val="center"/>
            <w:hideMark/>
          </w:tcPr>
          <w:p w:rsidR="0013693B" w:rsidRPr="008F7F36" w:rsidRDefault="0013693B" w:rsidP="004C42B7">
            <w:pPr>
              <w:jc w:val="center"/>
              <w:rPr>
                <w:sz w:val="16"/>
                <w:szCs w:val="16"/>
              </w:rPr>
            </w:pPr>
          </w:p>
        </w:tc>
        <w:tc>
          <w:tcPr>
            <w:tcW w:w="1003" w:type="dxa"/>
            <w:tcBorders>
              <w:left w:val="nil"/>
              <w:right w:val="nil"/>
            </w:tcBorders>
            <w:shd w:val="clear" w:color="auto" w:fill="auto"/>
            <w:noWrap/>
            <w:vAlign w:val="center"/>
          </w:tcPr>
          <w:p w:rsidR="0013693B" w:rsidRPr="008F7F36" w:rsidRDefault="0013693B" w:rsidP="004C42B7">
            <w:pPr>
              <w:jc w:val="center"/>
              <w:rPr>
                <w:sz w:val="16"/>
                <w:szCs w:val="16"/>
              </w:rPr>
            </w:pPr>
            <w:r w:rsidRPr="008F7F36">
              <w:rPr>
                <w:sz w:val="16"/>
                <w:szCs w:val="16"/>
              </w:rPr>
              <w:t>28.65</w:t>
            </w:r>
          </w:p>
        </w:tc>
        <w:tc>
          <w:tcPr>
            <w:tcW w:w="725" w:type="dxa"/>
            <w:tcBorders>
              <w:left w:val="nil"/>
              <w:right w:val="nil"/>
            </w:tcBorders>
            <w:shd w:val="clear" w:color="auto" w:fill="auto"/>
            <w:vAlign w:val="center"/>
          </w:tcPr>
          <w:p w:rsidR="0013693B" w:rsidRPr="008F7F36" w:rsidRDefault="0013693B" w:rsidP="004C42B7">
            <w:pPr>
              <w:jc w:val="center"/>
              <w:rPr>
                <w:sz w:val="16"/>
                <w:szCs w:val="16"/>
              </w:rPr>
            </w:pPr>
          </w:p>
        </w:tc>
        <w:tc>
          <w:tcPr>
            <w:tcW w:w="969" w:type="dxa"/>
            <w:tcBorders>
              <w:left w:val="nil"/>
              <w:right w:val="nil"/>
            </w:tcBorders>
            <w:shd w:val="clear" w:color="auto" w:fill="auto"/>
            <w:noWrap/>
            <w:vAlign w:val="center"/>
          </w:tcPr>
          <w:p w:rsidR="0013693B" w:rsidRPr="008F7F36" w:rsidRDefault="0013693B" w:rsidP="004C42B7">
            <w:pPr>
              <w:jc w:val="center"/>
              <w:rPr>
                <w:sz w:val="16"/>
                <w:szCs w:val="16"/>
              </w:rPr>
            </w:pPr>
            <w:r w:rsidRPr="008F7F36">
              <w:rPr>
                <w:sz w:val="16"/>
                <w:szCs w:val="16"/>
              </w:rPr>
              <w:t>25.00</w:t>
            </w:r>
          </w:p>
        </w:tc>
        <w:tc>
          <w:tcPr>
            <w:tcW w:w="759" w:type="dxa"/>
            <w:tcBorders>
              <w:left w:val="nil"/>
              <w:right w:val="nil"/>
            </w:tcBorders>
            <w:shd w:val="clear" w:color="auto" w:fill="auto"/>
            <w:vAlign w:val="center"/>
          </w:tcPr>
          <w:p w:rsidR="0013693B" w:rsidRPr="008F7F36" w:rsidRDefault="0013693B" w:rsidP="004C42B7">
            <w:pPr>
              <w:jc w:val="center"/>
              <w:rPr>
                <w:sz w:val="16"/>
                <w:szCs w:val="16"/>
              </w:rPr>
            </w:pPr>
          </w:p>
        </w:tc>
        <w:tc>
          <w:tcPr>
            <w:tcW w:w="935" w:type="dxa"/>
            <w:tcBorders>
              <w:left w:val="nil"/>
              <w:right w:val="nil"/>
            </w:tcBorders>
            <w:vAlign w:val="center"/>
          </w:tcPr>
          <w:p w:rsidR="0013693B" w:rsidRPr="008F7F36" w:rsidRDefault="0013693B" w:rsidP="004C42B7">
            <w:pPr>
              <w:jc w:val="center"/>
              <w:rPr>
                <w:sz w:val="16"/>
                <w:szCs w:val="16"/>
              </w:rPr>
            </w:pPr>
            <w:r w:rsidRPr="008F7F36">
              <w:rPr>
                <w:sz w:val="16"/>
                <w:szCs w:val="16"/>
              </w:rPr>
              <w:t>32.03</w:t>
            </w:r>
          </w:p>
        </w:tc>
        <w:tc>
          <w:tcPr>
            <w:tcW w:w="794" w:type="dxa"/>
            <w:tcBorders>
              <w:left w:val="nil"/>
              <w:right w:val="nil"/>
            </w:tcBorders>
            <w:vAlign w:val="center"/>
          </w:tcPr>
          <w:p w:rsidR="0013693B" w:rsidRPr="008F7F36" w:rsidRDefault="0013693B" w:rsidP="004C42B7">
            <w:pPr>
              <w:jc w:val="center"/>
              <w:rPr>
                <w:sz w:val="16"/>
                <w:szCs w:val="16"/>
              </w:rPr>
            </w:pPr>
          </w:p>
        </w:tc>
      </w:tr>
      <w:tr w:rsidR="0013693B" w:rsidRPr="008F7F36" w:rsidTr="00F171ED">
        <w:trPr>
          <w:trHeight w:val="170"/>
          <w:jc w:val="center"/>
        </w:trPr>
        <w:tc>
          <w:tcPr>
            <w:tcW w:w="436" w:type="dxa"/>
            <w:vMerge/>
            <w:tcBorders>
              <w:left w:val="nil"/>
              <w:right w:val="nil"/>
            </w:tcBorders>
            <w:vAlign w:val="center"/>
          </w:tcPr>
          <w:p w:rsidR="0013693B" w:rsidRPr="008F7F36" w:rsidRDefault="0013693B" w:rsidP="004C42B7">
            <w:pPr>
              <w:jc w:val="center"/>
              <w:rPr>
                <w:sz w:val="16"/>
                <w:szCs w:val="16"/>
              </w:rPr>
            </w:pPr>
          </w:p>
        </w:tc>
        <w:tc>
          <w:tcPr>
            <w:tcW w:w="1270" w:type="dxa"/>
            <w:tcBorders>
              <w:left w:val="nil"/>
              <w:right w:val="nil"/>
            </w:tcBorders>
            <w:shd w:val="clear" w:color="auto" w:fill="auto"/>
            <w:noWrap/>
            <w:vAlign w:val="center"/>
          </w:tcPr>
          <w:p w:rsidR="0013693B" w:rsidRPr="008F7F36" w:rsidRDefault="0013693B" w:rsidP="008F7F36">
            <w:pPr>
              <w:rPr>
                <w:sz w:val="16"/>
                <w:szCs w:val="16"/>
              </w:rPr>
            </w:pPr>
            <w:r w:rsidRPr="008F7F36">
              <w:rPr>
                <w:sz w:val="16"/>
                <w:szCs w:val="16"/>
              </w:rPr>
              <w:t>Average</w:t>
            </w:r>
          </w:p>
        </w:tc>
        <w:tc>
          <w:tcPr>
            <w:tcW w:w="480" w:type="dxa"/>
            <w:tcBorders>
              <w:left w:val="nil"/>
              <w:right w:val="nil"/>
            </w:tcBorders>
            <w:shd w:val="clear" w:color="auto" w:fill="auto"/>
            <w:noWrap/>
            <w:vAlign w:val="center"/>
            <w:hideMark/>
          </w:tcPr>
          <w:p w:rsidR="0013693B" w:rsidRPr="008F7F36" w:rsidRDefault="0013693B" w:rsidP="004C42B7">
            <w:pPr>
              <w:jc w:val="center"/>
              <w:rPr>
                <w:sz w:val="16"/>
                <w:szCs w:val="16"/>
              </w:rPr>
            </w:pPr>
          </w:p>
        </w:tc>
        <w:tc>
          <w:tcPr>
            <w:tcW w:w="1003" w:type="dxa"/>
            <w:tcBorders>
              <w:left w:val="nil"/>
              <w:right w:val="nil"/>
            </w:tcBorders>
            <w:shd w:val="clear" w:color="auto" w:fill="auto"/>
            <w:noWrap/>
            <w:vAlign w:val="center"/>
          </w:tcPr>
          <w:p w:rsidR="0013693B" w:rsidRPr="008F7F36" w:rsidRDefault="0013693B" w:rsidP="004C42B7">
            <w:pPr>
              <w:jc w:val="center"/>
              <w:rPr>
                <w:sz w:val="16"/>
                <w:szCs w:val="16"/>
              </w:rPr>
            </w:pPr>
            <w:r w:rsidRPr="008F7F36">
              <w:rPr>
                <w:sz w:val="16"/>
                <w:szCs w:val="16"/>
              </w:rPr>
              <w:t>695.96</w:t>
            </w:r>
          </w:p>
        </w:tc>
        <w:tc>
          <w:tcPr>
            <w:tcW w:w="725" w:type="dxa"/>
            <w:tcBorders>
              <w:left w:val="nil"/>
              <w:right w:val="nil"/>
            </w:tcBorders>
            <w:shd w:val="clear" w:color="auto" w:fill="auto"/>
            <w:vAlign w:val="center"/>
          </w:tcPr>
          <w:p w:rsidR="0013693B" w:rsidRPr="008F7F36" w:rsidRDefault="0013693B" w:rsidP="004C42B7">
            <w:pPr>
              <w:jc w:val="center"/>
              <w:rPr>
                <w:sz w:val="16"/>
                <w:szCs w:val="16"/>
              </w:rPr>
            </w:pPr>
          </w:p>
        </w:tc>
        <w:tc>
          <w:tcPr>
            <w:tcW w:w="969" w:type="dxa"/>
            <w:tcBorders>
              <w:left w:val="nil"/>
              <w:right w:val="nil"/>
            </w:tcBorders>
            <w:shd w:val="clear" w:color="auto" w:fill="auto"/>
            <w:noWrap/>
            <w:vAlign w:val="center"/>
          </w:tcPr>
          <w:p w:rsidR="0013693B" w:rsidRPr="008F7F36" w:rsidRDefault="0013693B" w:rsidP="004C42B7">
            <w:pPr>
              <w:jc w:val="center"/>
              <w:rPr>
                <w:sz w:val="16"/>
                <w:szCs w:val="16"/>
              </w:rPr>
            </w:pPr>
            <w:r w:rsidRPr="008F7F36">
              <w:rPr>
                <w:sz w:val="16"/>
                <w:szCs w:val="16"/>
              </w:rPr>
              <w:t>2577.91</w:t>
            </w:r>
          </w:p>
        </w:tc>
        <w:tc>
          <w:tcPr>
            <w:tcW w:w="759" w:type="dxa"/>
            <w:tcBorders>
              <w:left w:val="nil"/>
              <w:right w:val="nil"/>
            </w:tcBorders>
            <w:shd w:val="clear" w:color="auto" w:fill="auto"/>
            <w:vAlign w:val="center"/>
          </w:tcPr>
          <w:p w:rsidR="0013693B" w:rsidRPr="008F7F36" w:rsidRDefault="0013693B" w:rsidP="004C42B7">
            <w:pPr>
              <w:jc w:val="center"/>
              <w:rPr>
                <w:sz w:val="16"/>
                <w:szCs w:val="16"/>
              </w:rPr>
            </w:pPr>
          </w:p>
        </w:tc>
        <w:tc>
          <w:tcPr>
            <w:tcW w:w="935" w:type="dxa"/>
            <w:tcBorders>
              <w:left w:val="nil"/>
              <w:right w:val="nil"/>
            </w:tcBorders>
            <w:vAlign w:val="center"/>
          </w:tcPr>
          <w:p w:rsidR="0013693B" w:rsidRPr="008F7F36" w:rsidRDefault="0013693B" w:rsidP="004C42B7">
            <w:pPr>
              <w:jc w:val="center"/>
              <w:rPr>
                <w:sz w:val="16"/>
                <w:szCs w:val="16"/>
              </w:rPr>
            </w:pPr>
            <w:r w:rsidRPr="008F7F36">
              <w:rPr>
                <w:sz w:val="16"/>
                <w:szCs w:val="16"/>
              </w:rPr>
              <w:t>26.10</w:t>
            </w:r>
          </w:p>
        </w:tc>
        <w:tc>
          <w:tcPr>
            <w:tcW w:w="794" w:type="dxa"/>
            <w:tcBorders>
              <w:left w:val="nil"/>
              <w:right w:val="nil"/>
            </w:tcBorders>
            <w:vAlign w:val="center"/>
          </w:tcPr>
          <w:p w:rsidR="0013693B" w:rsidRPr="008F7F36" w:rsidRDefault="0013693B" w:rsidP="004C42B7">
            <w:pPr>
              <w:jc w:val="center"/>
              <w:rPr>
                <w:sz w:val="16"/>
                <w:szCs w:val="16"/>
              </w:rPr>
            </w:pPr>
          </w:p>
        </w:tc>
      </w:tr>
      <w:tr w:rsidR="0013693B" w:rsidRPr="008F7F36" w:rsidTr="00F171ED">
        <w:trPr>
          <w:trHeight w:val="170"/>
          <w:jc w:val="center"/>
        </w:trPr>
        <w:tc>
          <w:tcPr>
            <w:tcW w:w="436" w:type="dxa"/>
            <w:vMerge/>
            <w:tcBorders>
              <w:left w:val="nil"/>
              <w:right w:val="nil"/>
            </w:tcBorders>
            <w:vAlign w:val="center"/>
          </w:tcPr>
          <w:p w:rsidR="0013693B" w:rsidRPr="008F7F36" w:rsidRDefault="0013693B" w:rsidP="004C42B7">
            <w:pPr>
              <w:jc w:val="center"/>
              <w:rPr>
                <w:sz w:val="16"/>
                <w:szCs w:val="16"/>
              </w:rPr>
            </w:pPr>
          </w:p>
        </w:tc>
        <w:tc>
          <w:tcPr>
            <w:tcW w:w="1270" w:type="dxa"/>
            <w:tcBorders>
              <w:left w:val="nil"/>
              <w:right w:val="nil"/>
            </w:tcBorders>
            <w:shd w:val="clear" w:color="auto" w:fill="auto"/>
            <w:noWrap/>
            <w:vAlign w:val="center"/>
          </w:tcPr>
          <w:p w:rsidR="0013693B" w:rsidRPr="008F7F36" w:rsidRDefault="0013693B" w:rsidP="008F7F36">
            <w:pPr>
              <w:rPr>
                <w:sz w:val="16"/>
                <w:szCs w:val="16"/>
              </w:rPr>
            </w:pPr>
            <w:r w:rsidRPr="008F7F36">
              <w:rPr>
                <w:sz w:val="16"/>
                <w:szCs w:val="16"/>
              </w:rPr>
              <w:t>Min</w:t>
            </w:r>
          </w:p>
        </w:tc>
        <w:tc>
          <w:tcPr>
            <w:tcW w:w="480" w:type="dxa"/>
            <w:tcBorders>
              <w:left w:val="nil"/>
              <w:right w:val="nil"/>
            </w:tcBorders>
            <w:shd w:val="clear" w:color="auto" w:fill="auto"/>
            <w:noWrap/>
            <w:vAlign w:val="center"/>
            <w:hideMark/>
          </w:tcPr>
          <w:p w:rsidR="0013693B" w:rsidRPr="008F7F36" w:rsidRDefault="0013693B" w:rsidP="004C42B7">
            <w:pPr>
              <w:jc w:val="center"/>
              <w:rPr>
                <w:sz w:val="16"/>
                <w:szCs w:val="16"/>
              </w:rPr>
            </w:pPr>
          </w:p>
        </w:tc>
        <w:tc>
          <w:tcPr>
            <w:tcW w:w="1003" w:type="dxa"/>
            <w:tcBorders>
              <w:left w:val="nil"/>
              <w:right w:val="nil"/>
            </w:tcBorders>
            <w:shd w:val="clear" w:color="auto" w:fill="auto"/>
            <w:noWrap/>
            <w:vAlign w:val="center"/>
          </w:tcPr>
          <w:p w:rsidR="0013693B" w:rsidRPr="008F7F36" w:rsidRDefault="0013693B" w:rsidP="004C42B7">
            <w:pPr>
              <w:jc w:val="center"/>
              <w:rPr>
                <w:sz w:val="16"/>
                <w:szCs w:val="16"/>
              </w:rPr>
            </w:pPr>
            <w:r w:rsidRPr="008F7F36">
              <w:rPr>
                <w:sz w:val="16"/>
                <w:szCs w:val="16"/>
              </w:rPr>
              <w:t>291.46</w:t>
            </w:r>
          </w:p>
        </w:tc>
        <w:tc>
          <w:tcPr>
            <w:tcW w:w="725" w:type="dxa"/>
            <w:tcBorders>
              <w:left w:val="nil"/>
              <w:right w:val="nil"/>
            </w:tcBorders>
            <w:shd w:val="clear" w:color="auto" w:fill="auto"/>
            <w:vAlign w:val="center"/>
          </w:tcPr>
          <w:p w:rsidR="0013693B" w:rsidRPr="008F7F36" w:rsidRDefault="0013693B" w:rsidP="004C42B7">
            <w:pPr>
              <w:jc w:val="center"/>
              <w:rPr>
                <w:sz w:val="16"/>
                <w:szCs w:val="16"/>
              </w:rPr>
            </w:pPr>
          </w:p>
        </w:tc>
        <w:tc>
          <w:tcPr>
            <w:tcW w:w="969" w:type="dxa"/>
            <w:tcBorders>
              <w:left w:val="nil"/>
              <w:right w:val="nil"/>
            </w:tcBorders>
            <w:shd w:val="clear" w:color="auto" w:fill="auto"/>
            <w:noWrap/>
            <w:vAlign w:val="center"/>
          </w:tcPr>
          <w:p w:rsidR="0013693B" w:rsidRPr="008F7F36" w:rsidRDefault="0013693B" w:rsidP="004C42B7">
            <w:pPr>
              <w:jc w:val="center"/>
              <w:rPr>
                <w:sz w:val="16"/>
                <w:szCs w:val="16"/>
              </w:rPr>
            </w:pPr>
            <w:r w:rsidRPr="008F7F36">
              <w:rPr>
                <w:sz w:val="16"/>
                <w:szCs w:val="16"/>
              </w:rPr>
              <w:t>1082.35</w:t>
            </w:r>
          </w:p>
        </w:tc>
        <w:tc>
          <w:tcPr>
            <w:tcW w:w="759" w:type="dxa"/>
            <w:tcBorders>
              <w:left w:val="nil"/>
              <w:right w:val="nil"/>
            </w:tcBorders>
            <w:shd w:val="clear" w:color="auto" w:fill="auto"/>
            <w:vAlign w:val="center"/>
          </w:tcPr>
          <w:p w:rsidR="0013693B" w:rsidRPr="008F7F36" w:rsidRDefault="0013693B" w:rsidP="004C42B7">
            <w:pPr>
              <w:jc w:val="center"/>
              <w:rPr>
                <w:sz w:val="16"/>
                <w:szCs w:val="16"/>
              </w:rPr>
            </w:pPr>
          </w:p>
        </w:tc>
        <w:tc>
          <w:tcPr>
            <w:tcW w:w="935" w:type="dxa"/>
            <w:tcBorders>
              <w:left w:val="nil"/>
              <w:right w:val="nil"/>
            </w:tcBorders>
            <w:vAlign w:val="center"/>
          </w:tcPr>
          <w:p w:rsidR="0013693B" w:rsidRPr="008F7F36" w:rsidRDefault="0013693B" w:rsidP="004C42B7">
            <w:pPr>
              <w:jc w:val="center"/>
              <w:rPr>
                <w:sz w:val="16"/>
                <w:szCs w:val="16"/>
              </w:rPr>
            </w:pPr>
            <w:r w:rsidRPr="008F7F36">
              <w:rPr>
                <w:sz w:val="16"/>
                <w:szCs w:val="16"/>
              </w:rPr>
              <w:t>15.69</w:t>
            </w:r>
          </w:p>
        </w:tc>
        <w:tc>
          <w:tcPr>
            <w:tcW w:w="794" w:type="dxa"/>
            <w:tcBorders>
              <w:left w:val="nil"/>
              <w:right w:val="nil"/>
            </w:tcBorders>
            <w:vAlign w:val="center"/>
          </w:tcPr>
          <w:p w:rsidR="0013693B" w:rsidRPr="008F7F36" w:rsidRDefault="0013693B" w:rsidP="004C42B7">
            <w:pPr>
              <w:jc w:val="center"/>
              <w:rPr>
                <w:sz w:val="16"/>
                <w:szCs w:val="16"/>
              </w:rPr>
            </w:pPr>
          </w:p>
        </w:tc>
      </w:tr>
      <w:tr w:rsidR="0013693B" w:rsidRPr="008F7F36" w:rsidTr="00F171ED">
        <w:trPr>
          <w:trHeight w:val="170"/>
          <w:jc w:val="center"/>
        </w:trPr>
        <w:tc>
          <w:tcPr>
            <w:tcW w:w="436" w:type="dxa"/>
            <w:vMerge/>
            <w:tcBorders>
              <w:left w:val="nil"/>
              <w:bottom w:val="single" w:sz="4" w:space="0" w:color="auto"/>
              <w:right w:val="nil"/>
            </w:tcBorders>
            <w:vAlign w:val="center"/>
          </w:tcPr>
          <w:p w:rsidR="0013693B" w:rsidRPr="008F7F36" w:rsidRDefault="0013693B" w:rsidP="004C42B7">
            <w:pPr>
              <w:jc w:val="center"/>
              <w:rPr>
                <w:sz w:val="16"/>
                <w:szCs w:val="16"/>
              </w:rPr>
            </w:pPr>
          </w:p>
        </w:tc>
        <w:tc>
          <w:tcPr>
            <w:tcW w:w="1270" w:type="dxa"/>
            <w:tcBorders>
              <w:left w:val="nil"/>
              <w:bottom w:val="single" w:sz="4" w:space="0" w:color="auto"/>
              <w:right w:val="nil"/>
            </w:tcBorders>
            <w:shd w:val="clear" w:color="auto" w:fill="auto"/>
            <w:noWrap/>
            <w:vAlign w:val="center"/>
          </w:tcPr>
          <w:p w:rsidR="0013693B" w:rsidRPr="008F7F36" w:rsidRDefault="0013693B" w:rsidP="008F7F36">
            <w:pPr>
              <w:rPr>
                <w:sz w:val="16"/>
                <w:szCs w:val="16"/>
              </w:rPr>
            </w:pPr>
            <w:r w:rsidRPr="008F7F36">
              <w:rPr>
                <w:sz w:val="16"/>
                <w:szCs w:val="16"/>
              </w:rPr>
              <w:t>Max</w:t>
            </w:r>
          </w:p>
        </w:tc>
        <w:tc>
          <w:tcPr>
            <w:tcW w:w="480" w:type="dxa"/>
            <w:tcBorders>
              <w:left w:val="nil"/>
              <w:bottom w:val="single" w:sz="4" w:space="0" w:color="auto"/>
              <w:right w:val="nil"/>
            </w:tcBorders>
            <w:shd w:val="clear" w:color="auto" w:fill="auto"/>
            <w:noWrap/>
            <w:vAlign w:val="center"/>
            <w:hideMark/>
          </w:tcPr>
          <w:p w:rsidR="0013693B" w:rsidRPr="008F7F36" w:rsidRDefault="0013693B" w:rsidP="004C42B7">
            <w:pPr>
              <w:jc w:val="center"/>
              <w:rPr>
                <w:sz w:val="16"/>
                <w:szCs w:val="16"/>
              </w:rPr>
            </w:pPr>
          </w:p>
        </w:tc>
        <w:tc>
          <w:tcPr>
            <w:tcW w:w="1003" w:type="dxa"/>
            <w:tcBorders>
              <w:left w:val="nil"/>
              <w:bottom w:val="single" w:sz="4" w:space="0" w:color="auto"/>
              <w:right w:val="nil"/>
            </w:tcBorders>
            <w:shd w:val="clear" w:color="auto" w:fill="auto"/>
            <w:noWrap/>
            <w:vAlign w:val="center"/>
          </w:tcPr>
          <w:p w:rsidR="0013693B" w:rsidRPr="008F7F36" w:rsidRDefault="0013693B" w:rsidP="004C42B7">
            <w:pPr>
              <w:jc w:val="center"/>
              <w:rPr>
                <w:sz w:val="16"/>
                <w:szCs w:val="16"/>
              </w:rPr>
            </w:pPr>
            <w:r w:rsidRPr="008F7F36">
              <w:rPr>
                <w:sz w:val="16"/>
                <w:szCs w:val="16"/>
              </w:rPr>
              <w:t>1181.54</w:t>
            </w:r>
          </w:p>
        </w:tc>
        <w:tc>
          <w:tcPr>
            <w:tcW w:w="725" w:type="dxa"/>
            <w:tcBorders>
              <w:left w:val="nil"/>
              <w:bottom w:val="single" w:sz="4" w:space="0" w:color="auto"/>
              <w:right w:val="nil"/>
            </w:tcBorders>
            <w:shd w:val="clear" w:color="auto" w:fill="auto"/>
            <w:vAlign w:val="center"/>
          </w:tcPr>
          <w:p w:rsidR="0013693B" w:rsidRPr="008F7F36" w:rsidRDefault="0013693B" w:rsidP="004C42B7">
            <w:pPr>
              <w:jc w:val="center"/>
              <w:rPr>
                <w:sz w:val="16"/>
                <w:szCs w:val="16"/>
              </w:rPr>
            </w:pPr>
          </w:p>
        </w:tc>
        <w:tc>
          <w:tcPr>
            <w:tcW w:w="969" w:type="dxa"/>
            <w:tcBorders>
              <w:left w:val="nil"/>
              <w:bottom w:val="single" w:sz="4" w:space="0" w:color="auto"/>
              <w:right w:val="nil"/>
            </w:tcBorders>
            <w:shd w:val="clear" w:color="auto" w:fill="auto"/>
            <w:noWrap/>
            <w:vAlign w:val="center"/>
          </w:tcPr>
          <w:p w:rsidR="0013693B" w:rsidRPr="008F7F36" w:rsidRDefault="0013693B" w:rsidP="004C42B7">
            <w:pPr>
              <w:jc w:val="center"/>
              <w:rPr>
                <w:sz w:val="16"/>
                <w:szCs w:val="16"/>
              </w:rPr>
            </w:pPr>
            <w:r w:rsidRPr="008F7F36">
              <w:rPr>
                <w:sz w:val="16"/>
                <w:szCs w:val="16"/>
              </w:rPr>
              <w:t>3392.04</w:t>
            </w:r>
          </w:p>
        </w:tc>
        <w:tc>
          <w:tcPr>
            <w:tcW w:w="759" w:type="dxa"/>
            <w:tcBorders>
              <w:left w:val="nil"/>
              <w:bottom w:val="single" w:sz="4" w:space="0" w:color="auto"/>
              <w:right w:val="nil"/>
            </w:tcBorders>
            <w:shd w:val="clear" w:color="auto" w:fill="auto"/>
            <w:vAlign w:val="center"/>
          </w:tcPr>
          <w:p w:rsidR="0013693B" w:rsidRPr="008F7F36" w:rsidRDefault="0013693B" w:rsidP="004C42B7">
            <w:pPr>
              <w:jc w:val="center"/>
              <w:rPr>
                <w:sz w:val="16"/>
                <w:szCs w:val="16"/>
              </w:rPr>
            </w:pPr>
          </w:p>
        </w:tc>
        <w:tc>
          <w:tcPr>
            <w:tcW w:w="935" w:type="dxa"/>
            <w:tcBorders>
              <w:left w:val="nil"/>
              <w:bottom w:val="single" w:sz="4" w:space="0" w:color="auto"/>
              <w:right w:val="nil"/>
            </w:tcBorders>
            <w:vAlign w:val="center"/>
          </w:tcPr>
          <w:p w:rsidR="0013693B" w:rsidRPr="008F7F36" w:rsidRDefault="0013693B" w:rsidP="004C42B7">
            <w:pPr>
              <w:jc w:val="center"/>
              <w:rPr>
                <w:sz w:val="16"/>
                <w:szCs w:val="16"/>
              </w:rPr>
            </w:pPr>
            <w:r w:rsidRPr="008F7F36">
              <w:rPr>
                <w:sz w:val="16"/>
                <w:szCs w:val="16"/>
              </w:rPr>
              <w:t>49.36</w:t>
            </w:r>
          </w:p>
        </w:tc>
        <w:tc>
          <w:tcPr>
            <w:tcW w:w="794" w:type="dxa"/>
            <w:tcBorders>
              <w:left w:val="nil"/>
              <w:bottom w:val="single" w:sz="4" w:space="0" w:color="auto"/>
              <w:right w:val="nil"/>
            </w:tcBorders>
            <w:vAlign w:val="center"/>
          </w:tcPr>
          <w:p w:rsidR="0013693B" w:rsidRPr="008F7F36" w:rsidRDefault="0013693B" w:rsidP="004C42B7">
            <w:pPr>
              <w:jc w:val="center"/>
              <w:rPr>
                <w:sz w:val="16"/>
                <w:szCs w:val="16"/>
              </w:rPr>
            </w:pPr>
          </w:p>
        </w:tc>
      </w:tr>
    </w:tbl>
    <w:p w:rsidR="0013693B" w:rsidRPr="008F7F36" w:rsidRDefault="0013693B" w:rsidP="008F7F36">
      <w:pPr>
        <w:spacing w:before="40"/>
        <w:jc w:val="both"/>
        <w:rPr>
          <w:sz w:val="18"/>
          <w:szCs w:val="18"/>
        </w:rPr>
      </w:pPr>
      <w:r w:rsidRPr="008F7F36">
        <w:rPr>
          <w:sz w:val="18"/>
          <w:szCs w:val="18"/>
        </w:rPr>
        <w:t xml:space="preserve">*Significant at the 5% probability level; </w:t>
      </w:r>
      <w:proofErr w:type="spellStart"/>
      <w:proofErr w:type="gramStart"/>
      <w:r w:rsidRPr="008F7F36">
        <w:rPr>
          <w:sz w:val="18"/>
          <w:szCs w:val="18"/>
        </w:rPr>
        <w:t>df</w:t>
      </w:r>
      <w:proofErr w:type="spellEnd"/>
      <w:proofErr w:type="gramEnd"/>
      <w:r w:rsidRPr="008F7F36">
        <w:rPr>
          <w:sz w:val="18"/>
          <w:szCs w:val="18"/>
        </w:rPr>
        <w:t>: degrees of freedom; MS: mean squares; LSD</w:t>
      </w:r>
      <w:r w:rsidRPr="008F7F36">
        <w:rPr>
          <w:sz w:val="18"/>
          <w:szCs w:val="18"/>
          <w:vertAlign w:val="subscript"/>
        </w:rPr>
        <w:t>0.05</w:t>
      </w:r>
      <w:r w:rsidRPr="008F7F36">
        <w:rPr>
          <w:sz w:val="18"/>
          <w:szCs w:val="18"/>
        </w:rPr>
        <w:t>: least significant difference at the 0.05 probability level; CS: cropping system; F: fertilization; Y: year; CV: coefficient of variation.</w:t>
      </w:r>
    </w:p>
    <w:p w:rsidR="0048091D" w:rsidRPr="008F7F36" w:rsidRDefault="0048091D" w:rsidP="0048091D">
      <w:pPr>
        <w:ind w:firstLine="426"/>
        <w:jc w:val="both"/>
        <w:rPr>
          <w:sz w:val="22"/>
          <w:szCs w:val="22"/>
        </w:rPr>
      </w:pPr>
      <w:r w:rsidRPr="008F7F36">
        <w:rPr>
          <w:sz w:val="22"/>
          <w:szCs w:val="22"/>
        </w:rPr>
        <w:lastRenderedPageBreak/>
        <w:t xml:space="preserve">It was already mentioned that GSH and </w:t>
      </w:r>
      <w:proofErr w:type="spellStart"/>
      <w:r w:rsidRPr="008F7F36">
        <w:rPr>
          <w:sz w:val="22"/>
          <w:szCs w:val="22"/>
        </w:rPr>
        <w:t>phenolics</w:t>
      </w:r>
      <w:proofErr w:type="spellEnd"/>
      <w:r w:rsidRPr="008F7F36">
        <w:rPr>
          <w:sz w:val="22"/>
          <w:szCs w:val="22"/>
        </w:rPr>
        <w:t xml:space="preserve"> play an important role in soybean nutritional quality (</w:t>
      </w:r>
      <w:proofErr w:type="spellStart"/>
      <w:r w:rsidRPr="008F7F36">
        <w:rPr>
          <w:sz w:val="22"/>
          <w:szCs w:val="22"/>
        </w:rPr>
        <w:t>Dragičević</w:t>
      </w:r>
      <w:proofErr w:type="spellEnd"/>
      <w:r w:rsidRPr="008F7F36">
        <w:rPr>
          <w:sz w:val="22"/>
          <w:szCs w:val="22"/>
        </w:rPr>
        <w:t xml:space="preserve"> et al., 2010). The highest variation and the highest average values of examined antioxidants were noticed in soybean grain compared to maize grain. This could be related to the high antioxidant level, particularly </w:t>
      </w:r>
      <w:proofErr w:type="spellStart"/>
      <w:r w:rsidRPr="008F7F36">
        <w:rPr>
          <w:sz w:val="22"/>
          <w:szCs w:val="22"/>
        </w:rPr>
        <w:t>phenolics</w:t>
      </w:r>
      <w:proofErr w:type="spellEnd"/>
      <w:r w:rsidRPr="008F7F36">
        <w:rPr>
          <w:sz w:val="22"/>
          <w:szCs w:val="22"/>
        </w:rPr>
        <w:t>, present in the black grain soybean (</w:t>
      </w:r>
      <w:proofErr w:type="spellStart"/>
      <w:r w:rsidRPr="008F7F36">
        <w:rPr>
          <w:sz w:val="22"/>
          <w:szCs w:val="22"/>
        </w:rPr>
        <w:t>Astadi</w:t>
      </w:r>
      <w:proofErr w:type="spellEnd"/>
      <w:r w:rsidRPr="008F7F36">
        <w:rPr>
          <w:sz w:val="22"/>
          <w:szCs w:val="22"/>
        </w:rPr>
        <w:t xml:space="preserve"> et al., 2009; </w:t>
      </w:r>
      <w:proofErr w:type="spellStart"/>
      <w:r w:rsidRPr="008F7F36">
        <w:rPr>
          <w:sz w:val="22"/>
          <w:szCs w:val="22"/>
        </w:rPr>
        <w:t>Žilić</w:t>
      </w:r>
      <w:proofErr w:type="spellEnd"/>
      <w:r w:rsidRPr="008F7F36">
        <w:rPr>
          <w:sz w:val="22"/>
          <w:szCs w:val="22"/>
        </w:rPr>
        <w:t xml:space="preserve"> et al., 2011b).</w:t>
      </w:r>
    </w:p>
    <w:p w:rsidR="0013693B" w:rsidRDefault="0013693B" w:rsidP="008F7F36">
      <w:pPr>
        <w:ind w:firstLine="426"/>
        <w:jc w:val="both"/>
        <w:rPr>
          <w:sz w:val="22"/>
          <w:szCs w:val="22"/>
        </w:rPr>
      </w:pPr>
      <w:r w:rsidRPr="008F7F36">
        <w:rPr>
          <w:sz w:val="22"/>
          <w:szCs w:val="22"/>
        </w:rPr>
        <w:t xml:space="preserve">Among fertilization regimes, the bio-fertilizer had the highest impact on an increase in GSH in maize grain (Figure 1) and YP in soybean grain (Figure 2), with the highest average values of 608.90 </w:t>
      </w:r>
      <w:proofErr w:type="spellStart"/>
      <w:r w:rsidRPr="008F7F36">
        <w:rPr>
          <w:sz w:val="22"/>
          <w:szCs w:val="22"/>
        </w:rPr>
        <w:t>nmol</w:t>
      </w:r>
      <w:proofErr w:type="spellEnd"/>
      <w:r w:rsidRPr="008F7F36">
        <w:rPr>
          <w:sz w:val="22"/>
          <w:szCs w:val="22"/>
        </w:rPr>
        <w:t xml:space="preserve"> g</w:t>
      </w:r>
      <w:r w:rsidRPr="008F7F36">
        <w:rPr>
          <w:sz w:val="22"/>
          <w:szCs w:val="22"/>
          <w:vertAlign w:val="superscript"/>
        </w:rPr>
        <w:t>-1</w:t>
      </w:r>
      <w:r w:rsidRPr="008F7F36">
        <w:rPr>
          <w:sz w:val="22"/>
          <w:szCs w:val="22"/>
        </w:rPr>
        <w:t xml:space="preserve"> and 28.43 µg g</w:t>
      </w:r>
      <w:r w:rsidRPr="008F7F36">
        <w:rPr>
          <w:sz w:val="22"/>
          <w:szCs w:val="22"/>
          <w:vertAlign w:val="superscript"/>
        </w:rPr>
        <w:t>-1</w:t>
      </w:r>
      <w:r w:rsidRPr="008F7F36">
        <w:rPr>
          <w:sz w:val="22"/>
          <w:szCs w:val="22"/>
        </w:rPr>
        <w:t xml:space="preserve">, respectively, while organic fertilizer was important for acquiring of GSH and </w:t>
      </w:r>
      <w:proofErr w:type="spellStart"/>
      <w:r w:rsidRPr="008F7F36">
        <w:rPr>
          <w:sz w:val="22"/>
          <w:szCs w:val="22"/>
        </w:rPr>
        <w:t>phenolics</w:t>
      </w:r>
      <w:proofErr w:type="spellEnd"/>
      <w:r w:rsidRPr="008F7F36">
        <w:rPr>
          <w:sz w:val="22"/>
          <w:szCs w:val="22"/>
        </w:rPr>
        <w:t xml:space="preserve"> in soybean grain (average values of 744.31 </w:t>
      </w:r>
      <w:proofErr w:type="spellStart"/>
      <w:r w:rsidRPr="008F7F36">
        <w:rPr>
          <w:sz w:val="22"/>
          <w:szCs w:val="22"/>
        </w:rPr>
        <w:t>nmol</w:t>
      </w:r>
      <w:proofErr w:type="spellEnd"/>
      <w:r w:rsidRPr="008F7F36">
        <w:rPr>
          <w:sz w:val="22"/>
          <w:szCs w:val="22"/>
        </w:rPr>
        <w:t xml:space="preserve"> g</w:t>
      </w:r>
      <w:r w:rsidRPr="008F7F36">
        <w:rPr>
          <w:sz w:val="22"/>
          <w:szCs w:val="22"/>
          <w:vertAlign w:val="superscript"/>
        </w:rPr>
        <w:t>-1</w:t>
      </w:r>
      <w:r w:rsidRPr="008F7F36">
        <w:rPr>
          <w:sz w:val="22"/>
          <w:szCs w:val="22"/>
        </w:rPr>
        <w:t xml:space="preserve"> and 2861.84 µg g</w:t>
      </w:r>
      <w:r w:rsidRPr="008F7F36">
        <w:rPr>
          <w:sz w:val="22"/>
          <w:szCs w:val="22"/>
          <w:vertAlign w:val="superscript"/>
        </w:rPr>
        <w:t>-1</w:t>
      </w:r>
      <w:r w:rsidRPr="008F7F36">
        <w:rPr>
          <w:sz w:val="22"/>
          <w:szCs w:val="22"/>
        </w:rPr>
        <w:t xml:space="preserve">, respectively). </w:t>
      </w:r>
      <w:proofErr w:type="spellStart"/>
      <w:r w:rsidRPr="008F7F36">
        <w:rPr>
          <w:sz w:val="22"/>
          <w:szCs w:val="22"/>
        </w:rPr>
        <w:t>Taie</w:t>
      </w:r>
      <w:proofErr w:type="spellEnd"/>
      <w:r w:rsidRPr="008F7F36">
        <w:rPr>
          <w:sz w:val="22"/>
          <w:szCs w:val="22"/>
        </w:rPr>
        <w:t xml:space="preserve"> et al. (2008) also acquired the highest phenolic content in soybean fertilized with compost and bio-fertilizer, compared to fertilization with compost only and conventional fertilization. </w:t>
      </w:r>
      <w:proofErr w:type="spellStart"/>
      <w:r w:rsidRPr="008F7F36">
        <w:rPr>
          <w:sz w:val="22"/>
          <w:szCs w:val="22"/>
        </w:rPr>
        <w:t>Dragičević</w:t>
      </w:r>
      <w:proofErr w:type="spellEnd"/>
      <w:r w:rsidRPr="008F7F36">
        <w:rPr>
          <w:sz w:val="22"/>
          <w:szCs w:val="22"/>
        </w:rPr>
        <w:t xml:space="preserve"> et al. (2013) obtained the elevated β-carotene content in intercropped soybean and maize grain under the influence of bio-fertilizer. </w:t>
      </w:r>
      <w:proofErr w:type="spellStart"/>
      <w:r w:rsidRPr="008F7F36">
        <w:rPr>
          <w:sz w:val="22"/>
          <w:szCs w:val="22"/>
        </w:rPr>
        <w:t>Rhizobacteria</w:t>
      </w:r>
      <w:proofErr w:type="spellEnd"/>
      <w:r w:rsidRPr="008F7F36">
        <w:rPr>
          <w:sz w:val="22"/>
          <w:szCs w:val="22"/>
        </w:rPr>
        <w:t xml:space="preserve"> provide cross protection against numerous stresses by increasing of the antioxidant defence, nutrient absorption, etc., what is of particular importance during drought conditions (</w:t>
      </w:r>
      <w:r w:rsidRPr="008F7F36">
        <w:rPr>
          <w:bCs/>
          <w:sz w:val="22"/>
          <w:szCs w:val="22"/>
        </w:rPr>
        <w:t>Pandey et al., 2016</w:t>
      </w:r>
      <w:r w:rsidRPr="008F7F36">
        <w:rPr>
          <w:sz w:val="22"/>
          <w:szCs w:val="22"/>
        </w:rPr>
        <w:t>) which were present during 2012. This could be one of the reasons for the increased antioxidant content in grain of maize and soybean from bio-fertilizer treatment. Urea and control treatments were characterised by higher YP and phenolic content in maize grain (8.75 µg g</w:t>
      </w:r>
      <w:r w:rsidRPr="008F7F36">
        <w:rPr>
          <w:sz w:val="22"/>
          <w:szCs w:val="22"/>
          <w:vertAlign w:val="superscript"/>
        </w:rPr>
        <w:t>-1</w:t>
      </w:r>
      <w:r w:rsidRPr="008F7F36">
        <w:rPr>
          <w:sz w:val="22"/>
          <w:szCs w:val="22"/>
        </w:rPr>
        <w:t xml:space="preserve"> and 1055.13 µg g</w:t>
      </w:r>
      <w:r w:rsidRPr="008F7F36">
        <w:rPr>
          <w:sz w:val="22"/>
          <w:szCs w:val="22"/>
          <w:vertAlign w:val="superscript"/>
        </w:rPr>
        <w:t>-1</w:t>
      </w:r>
      <w:r w:rsidRPr="008F7F36">
        <w:rPr>
          <w:sz w:val="22"/>
          <w:szCs w:val="22"/>
        </w:rPr>
        <w:t xml:space="preserve">, respectively). When cropping systems were compared, alternating strips mainly had the highest impact on the increase of GSH (urea and control) and </w:t>
      </w:r>
      <w:proofErr w:type="spellStart"/>
      <w:r w:rsidRPr="008F7F36">
        <w:rPr>
          <w:sz w:val="22"/>
          <w:szCs w:val="22"/>
        </w:rPr>
        <w:t>phenolics</w:t>
      </w:r>
      <w:proofErr w:type="spellEnd"/>
      <w:r w:rsidRPr="008F7F36">
        <w:rPr>
          <w:sz w:val="22"/>
          <w:szCs w:val="22"/>
        </w:rPr>
        <w:t xml:space="preserve"> (bio-fertilizer), while alternating rows were important for GSH increase (bio-fertilizer and organic fertilizer), as well as </w:t>
      </w:r>
      <w:proofErr w:type="spellStart"/>
      <w:r w:rsidRPr="008F7F36">
        <w:rPr>
          <w:sz w:val="22"/>
          <w:szCs w:val="22"/>
        </w:rPr>
        <w:t>phenolics</w:t>
      </w:r>
      <w:proofErr w:type="spellEnd"/>
      <w:r w:rsidRPr="008F7F36">
        <w:rPr>
          <w:sz w:val="22"/>
          <w:szCs w:val="22"/>
        </w:rPr>
        <w:t xml:space="preserve"> and YP (organic fertilizer and control) in maize grain (Figure 1). Alternating rows had the highest effect on the increase of GSH (organic fertilizer, urea and control), </w:t>
      </w:r>
      <w:proofErr w:type="spellStart"/>
      <w:r w:rsidRPr="008F7F36">
        <w:rPr>
          <w:sz w:val="22"/>
          <w:szCs w:val="22"/>
        </w:rPr>
        <w:t>phenolics</w:t>
      </w:r>
      <w:proofErr w:type="spellEnd"/>
      <w:r w:rsidRPr="008F7F36">
        <w:rPr>
          <w:sz w:val="22"/>
          <w:szCs w:val="22"/>
        </w:rPr>
        <w:t xml:space="preserve"> (bio-fertilizer, organic fertilizer and control) and YP (all four cropping systems)</w:t>
      </w:r>
      <w:proofErr w:type="gramStart"/>
      <w:r w:rsidRPr="008F7F36">
        <w:rPr>
          <w:sz w:val="22"/>
          <w:szCs w:val="22"/>
        </w:rPr>
        <w:t>,</w:t>
      </w:r>
      <w:proofErr w:type="gramEnd"/>
      <w:r w:rsidRPr="008F7F36">
        <w:rPr>
          <w:sz w:val="22"/>
          <w:szCs w:val="22"/>
        </w:rPr>
        <w:t xml:space="preserve"> while a single crop increased mainly GSH (bio-fertilizer) and </w:t>
      </w:r>
      <w:proofErr w:type="spellStart"/>
      <w:r w:rsidRPr="008F7F36">
        <w:rPr>
          <w:sz w:val="22"/>
          <w:szCs w:val="22"/>
        </w:rPr>
        <w:t>phenolics</w:t>
      </w:r>
      <w:proofErr w:type="spellEnd"/>
      <w:r w:rsidRPr="008F7F36">
        <w:rPr>
          <w:sz w:val="22"/>
          <w:szCs w:val="22"/>
        </w:rPr>
        <w:t xml:space="preserve"> (urea) in soybean grain (Figure 2). </w:t>
      </w:r>
      <w:proofErr w:type="spellStart"/>
      <w:r w:rsidRPr="008F7F36">
        <w:rPr>
          <w:sz w:val="22"/>
          <w:szCs w:val="22"/>
        </w:rPr>
        <w:t>Dragičević</w:t>
      </w:r>
      <w:proofErr w:type="spellEnd"/>
      <w:r w:rsidRPr="008F7F36">
        <w:rPr>
          <w:sz w:val="22"/>
          <w:szCs w:val="22"/>
        </w:rPr>
        <w:t xml:space="preserve"> et al. (2013) also emphasized alternating rows as an important intercropping system for GSH and phenolic increase. Other than that, the highest values of GSH content in maize grain and YP in soybean grain were noticed in AR + bio-fertilizer combination. The highest GSH and phenolic content in soy grain was noticed in AR + organic fertilizer treatment combination, and in maize grain the highest YP was noted in AS + urea combination. Similarly, the highest phenolic content was observed in AR + control combination.</w:t>
      </w:r>
    </w:p>
    <w:p w:rsidR="008F7F36" w:rsidRPr="000B2777" w:rsidRDefault="008F7F36" w:rsidP="008F7F36">
      <w:pPr>
        <w:ind w:firstLine="426"/>
        <w:jc w:val="both"/>
        <w:rPr>
          <w:sz w:val="18"/>
          <w:szCs w:val="18"/>
        </w:rPr>
      </w:pPr>
    </w:p>
    <w:p w:rsidR="0013693B" w:rsidRPr="00C932A2" w:rsidRDefault="00831867" w:rsidP="000B2777">
      <w:pPr>
        <w:jc w:val="center"/>
        <w:rPr>
          <w:sz w:val="24"/>
          <w:szCs w:val="24"/>
        </w:rPr>
      </w:pPr>
      <w:r>
        <w:rPr>
          <w:noProof/>
          <w:lang w:val="en-US" w:eastAsia="en-US"/>
        </w:rPr>
        <w:lastRenderedPageBreak/>
        <w:drawing>
          <wp:inline distT="0" distB="0" distL="0" distR="0">
            <wp:extent cx="4369435" cy="2481580"/>
            <wp:effectExtent l="19050" t="0" r="12065" b="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B2777" w:rsidRPr="0048091D" w:rsidRDefault="000B2777" w:rsidP="000B2777">
      <w:pPr>
        <w:jc w:val="both"/>
      </w:pPr>
    </w:p>
    <w:p w:rsidR="0048091D" w:rsidRDefault="0013693B" w:rsidP="00831C98">
      <w:pPr>
        <w:widowControl w:val="0"/>
        <w:jc w:val="center"/>
        <w:rPr>
          <w:sz w:val="22"/>
          <w:szCs w:val="22"/>
        </w:rPr>
      </w:pPr>
      <w:proofErr w:type="gramStart"/>
      <w:r w:rsidRPr="000B2777">
        <w:rPr>
          <w:sz w:val="22"/>
          <w:szCs w:val="22"/>
        </w:rPr>
        <w:t>Figure 1.</w:t>
      </w:r>
      <w:proofErr w:type="gramEnd"/>
      <w:r w:rsidRPr="000B2777">
        <w:rPr>
          <w:sz w:val="22"/>
          <w:szCs w:val="22"/>
        </w:rPr>
        <w:t xml:space="preserve"> The effect of different cropping systems (SC – single crop, AR – alternating rows, AS –alternating strips) and fertilizer types on variation in glutathione (GSH), soluble </w:t>
      </w:r>
      <w:proofErr w:type="spellStart"/>
      <w:r w:rsidRPr="000B2777">
        <w:rPr>
          <w:sz w:val="22"/>
          <w:szCs w:val="22"/>
        </w:rPr>
        <w:t>phenolics</w:t>
      </w:r>
      <w:proofErr w:type="spellEnd"/>
      <w:r w:rsidRPr="000B2777">
        <w:rPr>
          <w:sz w:val="22"/>
          <w:szCs w:val="22"/>
        </w:rPr>
        <w:t xml:space="preserve"> (</w:t>
      </w:r>
      <w:proofErr w:type="spellStart"/>
      <w:r w:rsidRPr="000B2777">
        <w:rPr>
          <w:sz w:val="22"/>
          <w:szCs w:val="22"/>
        </w:rPr>
        <w:t>Phen</w:t>
      </w:r>
      <w:proofErr w:type="spellEnd"/>
      <w:r w:rsidRPr="000B2777">
        <w:rPr>
          <w:sz w:val="22"/>
          <w:szCs w:val="22"/>
        </w:rPr>
        <w:t xml:space="preserve">.) and yellow </w:t>
      </w:r>
    </w:p>
    <w:p w:rsidR="0013693B" w:rsidRPr="000B2777" w:rsidRDefault="0013693B" w:rsidP="00831C98">
      <w:pPr>
        <w:widowControl w:val="0"/>
        <w:jc w:val="center"/>
        <w:rPr>
          <w:sz w:val="22"/>
          <w:szCs w:val="22"/>
        </w:rPr>
      </w:pPr>
      <w:proofErr w:type="gramStart"/>
      <w:r w:rsidRPr="000B2777">
        <w:rPr>
          <w:sz w:val="22"/>
          <w:szCs w:val="22"/>
        </w:rPr>
        <w:t>pigment</w:t>
      </w:r>
      <w:proofErr w:type="gramEnd"/>
      <w:r w:rsidRPr="000B2777">
        <w:rPr>
          <w:sz w:val="22"/>
          <w:szCs w:val="22"/>
        </w:rPr>
        <w:t xml:space="preserve"> (YP) in maize grain (average for 2011–2012).</w:t>
      </w:r>
    </w:p>
    <w:p w:rsidR="0013693B" w:rsidRPr="0048091D" w:rsidRDefault="0013693B" w:rsidP="00831C98">
      <w:pPr>
        <w:widowControl w:val="0"/>
        <w:jc w:val="both"/>
        <w:rPr>
          <w:sz w:val="18"/>
          <w:szCs w:val="18"/>
        </w:rPr>
      </w:pPr>
    </w:p>
    <w:p w:rsidR="0013693B" w:rsidRPr="00C932A2" w:rsidRDefault="00831867" w:rsidP="00831C98">
      <w:pPr>
        <w:widowControl w:val="0"/>
        <w:jc w:val="center"/>
      </w:pPr>
      <w:r>
        <w:rPr>
          <w:noProof/>
          <w:lang w:val="en-US" w:eastAsia="en-US"/>
        </w:rPr>
        <w:drawing>
          <wp:inline distT="0" distB="0" distL="0" distR="0">
            <wp:extent cx="4369435" cy="2440940"/>
            <wp:effectExtent l="19050" t="0" r="12065" b="0"/>
            <wp:docPr id="2" name="Picture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B2777" w:rsidRPr="0048091D" w:rsidRDefault="000B2777" w:rsidP="000B2777">
      <w:pPr>
        <w:jc w:val="both"/>
        <w:rPr>
          <w:sz w:val="16"/>
          <w:szCs w:val="16"/>
        </w:rPr>
      </w:pPr>
    </w:p>
    <w:p w:rsidR="0048091D" w:rsidRDefault="0013693B" w:rsidP="0048091D">
      <w:pPr>
        <w:widowControl w:val="0"/>
        <w:jc w:val="center"/>
        <w:rPr>
          <w:sz w:val="22"/>
          <w:szCs w:val="22"/>
        </w:rPr>
      </w:pPr>
      <w:proofErr w:type="gramStart"/>
      <w:r w:rsidRPr="000B2777">
        <w:rPr>
          <w:sz w:val="22"/>
          <w:szCs w:val="22"/>
        </w:rPr>
        <w:t>Figure 2.</w:t>
      </w:r>
      <w:proofErr w:type="gramEnd"/>
      <w:r w:rsidRPr="000B2777">
        <w:rPr>
          <w:sz w:val="22"/>
          <w:szCs w:val="22"/>
        </w:rPr>
        <w:t xml:space="preserve"> The effect of different cropping systems (SC – single crop, AR – alternating rows, AS – alternating strips) and fertilizer types on </w:t>
      </w:r>
      <w:r w:rsidR="0048091D" w:rsidRPr="000B2777">
        <w:rPr>
          <w:sz w:val="22"/>
          <w:szCs w:val="22"/>
        </w:rPr>
        <w:t>variation</w:t>
      </w:r>
    </w:p>
    <w:p w:rsidR="0048091D" w:rsidRDefault="0013693B" w:rsidP="0048091D">
      <w:pPr>
        <w:widowControl w:val="0"/>
        <w:jc w:val="center"/>
        <w:rPr>
          <w:sz w:val="22"/>
          <w:szCs w:val="22"/>
        </w:rPr>
      </w:pPr>
      <w:proofErr w:type="gramStart"/>
      <w:r w:rsidRPr="000B2777">
        <w:rPr>
          <w:sz w:val="22"/>
          <w:szCs w:val="22"/>
        </w:rPr>
        <w:t>in</w:t>
      </w:r>
      <w:proofErr w:type="gramEnd"/>
      <w:r w:rsidRPr="000B2777">
        <w:rPr>
          <w:sz w:val="22"/>
          <w:szCs w:val="22"/>
        </w:rPr>
        <w:t xml:space="preserve"> glutathione (GSH), soluble </w:t>
      </w:r>
      <w:proofErr w:type="spellStart"/>
      <w:r w:rsidRPr="000B2777">
        <w:rPr>
          <w:sz w:val="22"/>
          <w:szCs w:val="22"/>
        </w:rPr>
        <w:t>phenolics</w:t>
      </w:r>
      <w:proofErr w:type="spellEnd"/>
      <w:r w:rsidRPr="000B2777">
        <w:rPr>
          <w:sz w:val="22"/>
          <w:szCs w:val="22"/>
        </w:rPr>
        <w:t xml:space="preserve"> (</w:t>
      </w:r>
      <w:proofErr w:type="spellStart"/>
      <w:r w:rsidRPr="000B2777">
        <w:rPr>
          <w:sz w:val="22"/>
          <w:szCs w:val="22"/>
        </w:rPr>
        <w:t>Phen</w:t>
      </w:r>
      <w:proofErr w:type="spellEnd"/>
      <w:r w:rsidRPr="000B2777">
        <w:rPr>
          <w:sz w:val="22"/>
          <w:szCs w:val="22"/>
        </w:rPr>
        <w:t xml:space="preserve">.) and yellow </w:t>
      </w:r>
    </w:p>
    <w:p w:rsidR="0013693B" w:rsidRDefault="0013693B" w:rsidP="0048091D">
      <w:pPr>
        <w:widowControl w:val="0"/>
        <w:jc w:val="center"/>
        <w:rPr>
          <w:sz w:val="22"/>
          <w:szCs w:val="22"/>
        </w:rPr>
      </w:pPr>
      <w:proofErr w:type="gramStart"/>
      <w:r w:rsidRPr="000B2777">
        <w:rPr>
          <w:sz w:val="22"/>
          <w:szCs w:val="22"/>
        </w:rPr>
        <w:t>pigment</w:t>
      </w:r>
      <w:proofErr w:type="gramEnd"/>
      <w:r w:rsidRPr="000B2777">
        <w:rPr>
          <w:sz w:val="22"/>
          <w:szCs w:val="22"/>
        </w:rPr>
        <w:t xml:space="preserve"> (YP) in soybean grain (average for 2011–2012).</w:t>
      </w:r>
    </w:p>
    <w:p w:rsidR="0013693B" w:rsidRPr="000B2777" w:rsidRDefault="0013693B" w:rsidP="00831C98">
      <w:pPr>
        <w:ind w:firstLine="425"/>
        <w:jc w:val="both"/>
        <w:rPr>
          <w:sz w:val="22"/>
          <w:szCs w:val="22"/>
        </w:rPr>
      </w:pPr>
      <w:r w:rsidRPr="000B2777">
        <w:rPr>
          <w:sz w:val="22"/>
          <w:szCs w:val="22"/>
        </w:rPr>
        <w:lastRenderedPageBreak/>
        <w:t>Irrespective of the present variations in the content of examined antioxidants, relations with the yield parameter, such as seed weight indicated that increased seed weight was followed by the higher GSH and lower YP contents in maize and soybean grain</w:t>
      </w:r>
      <w:r w:rsidR="00381308">
        <w:rPr>
          <w:sz w:val="22"/>
          <w:szCs w:val="22"/>
        </w:rPr>
        <w:t xml:space="preserve"> (Figure 3 and 4)</w:t>
      </w:r>
      <w:r w:rsidRPr="000B2777">
        <w:rPr>
          <w:sz w:val="22"/>
          <w:szCs w:val="22"/>
        </w:rPr>
        <w:t xml:space="preserve">. Nevertheless, higher grain weight was followed by the decreased phenolic content in maize grain and increased phenolic content in soybean grain. All regression coefficients were significant. Similarly to results obtained for maize grain, </w:t>
      </w:r>
      <w:proofErr w:type="spellStart"/>
      <w:r w:rsidRPr="000B2777">
        <w:rPr>
          <w:sz w:val="22"/>
          <w:szCs w:val="22"/>
        </w:rPr>
        <w:t>Yafang</w:t>
      </w:r>
      <w:proofErr w:type="spellEnd"/>
      <w:r w:rsidRPr="000B2777">
        <w:rPr>
          <w:sz w:val="22"/>
          <w:szCs w:val="22"/>
        </w:rPr>
        <w:t xml:space="preserve"> et al. (2011) and Shen (2009) also found higher phenolic level and antioxidant activity of small rice grains. Moreover, grain weight depends on many different factors, so </w:t>
      </w:r>
      <w:proofErr w:type="spellStart"/>
      <w:r w:rsidRPr="000B2777">
        <w:rPr>
          <w:sz w:val="22"/>
          <w:szCs w:val="22"/>
        </w:rPr>
        <w:t>Konopka</w:t>
      </w:r>
      <w:proofErr w:type="spellEnd"/>
      <w:r w:rsidRPr="000B2777">
        <w:rPr>
          <w:sz w:val="22"/>
          <w:szCs w:val="22"/>
        </w:rPr>
        <w:t xml:space="preserve"> et al. (2012) found slightly higher content of free </w:t>
      </w:r>
      <w:proofErr w:type="spellStart"/>
      <w:r w:rsidRPr="000B2777">
        <w:rPr>
          <w:sz w:val="22"/>
          <w:szCs w:val="22"/>
        </w:rPr>
        <w:t>phenolics</w:t>
      </w:r>
      <w:proofErr w:type="spellEnd"/>
      <w:r w:rsidRPr="000B2777">
        <w:rPr>
          <w:sz w:val="22"/>
          <w:szCs w:val="22"/>
        </w:rPr>
        <w:t xml:space="preserve"> and total carotenoids in wheat grain with smaller kernel weight, produced with organic fertilizers, in comparison to the conventionally produced, with the application of NPK fertilizer.</w:t>
      </w:r>
    </w:p>
    <w:p w:rsidR="0013693B" w:rsidRPr="000B2777" w:rsidRDefault="0013693B" w:rsidP="0013693B">
      <w:pPr>
        <w:ind w:firstLine="426"/>
        <w:rPr>
          <w:sz w:val="22"/>
          <w:szCs w:val="22"/>
        </w:rPr>
      </w:pPr>
    </w:p>
    <w:p w:rsidR="0013693B" w:rsidRPr="00C932A2" w:rsidRDefault="00831867" w:rsidP="000B2777">
      <w:pPr>
        <w:jc w:val="center"/>
      </w:pPr>
      <w:r>
        <w:rPr>
          <w:noProof/>
          <w:lang w:val="en-US" w:eastAsia="en-US"/>
        </w:rPr>
        <w:drawing>
          <wp:inline distT="0" distB="0" distL="0" distR="0">
            <wp:extent cx="4378960" cy="2482215"/>
            <wp:effectExtent l="19050" t="0" r="21590" b="0"/>
            <wp:docPr id="3" name="Picture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B2777" w:rsidRDefault="000B2777" w:rsidP="000B2777">
      <w:pPr>
        <w:jc w:val="both"/>
        <w:rPr>
          <w:sz w:val="22"/>
          <w:szCs w:val="22"/>
        </w:rPr>
      </w:pPr>
    </w:p>
    <w:p w:rsidR="0048091D" w:rsidRDefault="0013693B" w:rsidP="0048091D">
      <w:pPr>
        <w:jc w:val="center"/>
        <w:rPr>
          <w:sz w:val="22"/>
          <w:szCs w:val="22"/>
        </w:rPr>
      </w:pPr>
      <w:proofErr w:type="gramStart"/>
      <w:r w:rsidRPr="000B2777">
        <w:rPr>
          <w:sz w:val="22"/>
          <w:szCs w:val="22"/>
        </w:rPr>
        <w:t>Figure 3.</w:t>
      </w:r>
      <w:proofErr w:type="gramEnd"/>
      <w:r w:rsidRPr="000B2777">
        <w:rPr>
          <w:sz w:val="22"/>
          <w:szCs w:val="22"/>
        </w:rPr>
        <w:t xml:space="preserve"> Interdependence between grain weight and glutathione (GSH), </w:t>
      </w:r>
    </w:p>
    <w:p w:rsidR="0013693B" w:rsidRPr="000B2777" w:rsidRDefault="0013693B" w:rsidP="0048091D">
      <w:pPr>
        <w:jc w:val="center"/>
        <w:rPr>
          <w:sz w:val="22"/>
          <w:szCs w:val="22"/>
        </w:rPr>
      </w:pPr>
      <w:proofErr w:type="spellStart"/>
      <w:proofErr w:type="gramStart"/>
      <w:r w:rsidRPr="000B2777">
        <w:rPr>
          <w:sz w:val="22"/>
          <w:szCs w:val="22"/>
        </w:rPr>
        <w:t>phenolics</w:t>
      </w:r>
      <w:proofErr w:type="spellEnd"/>
      <w:proofErr w:type="gramEnd"/>
      <w:r w:rsidRPr="000B2777">
        <w:rPr>
          <w:sz w:val="22"/>
          <w:szCs w:val="22"/>
        </w:rPr>
        <w:t xml:space="preserve"> (</w:t>
      </w:r>
      <w:proofErr w:type="spellStart"/>
      <w:r w:rsidRPr="000B2777">
        <w:rPr>
          <w:sz w:val="22"/>
          <w:szCs w:val="22"/>
        </w:rPr>
        <w:t>Phen</w:t>
      </w:r>
      <w:proofErr w:type="spellEnd"/>
      <w:r w:rsidRPr="000B2777">
        <w:rPr>
          <w:sz w:val="22"/>
          <w:szCs w:val="22"/>
        </w:rPr>
        <w:t>.) and yellow pigment (YP) content in maize grain.</w:t>
      </w:r>
    </w:p>
    <w:p w:rsidR="0013693B" w:rsidRPr="00C932A2" w:rsidRDefault="0013693B" w:rsidP="0013693B"/>
    <w:p w:rsidR="0013693B" w:rsidRPr="00C932A2" w:rsidRDefault="00831867" w:rsidP="000B2777">
      <w:pPr>
        <w:jc w:val="center"/>
        <w:rPr>
          <w:sz w:val="24"/>
          <w:szCs w:val="24"/>
        </w:rPr>
      </w:pPr>
      <w:r>
        <w:rPr>
          <w:noProof/>
          <w:sz w:val="24"/>
          <w:szCs w:val="24"/>
          <w:lang w:val="en-US" w:eastAsia="en-US"/>
        </w:rPr>
        <w:lastRenderedPageBreak/>
        <w:drawing>
          <wp:inline distT="0" distB="0" distL="0" distR="0">
            <wp:extent cx="4378960" cy="2482215"/>
            <wp:effectExtent l="19050" t="0" r="21590" b="0"/>
            <wp:docPr id="4"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8091D" w:rsidRDefault="0048091D" w:rsidP="000B2777">
      <w:pPr>
        <w:jc w:val="both"/>
        <w:rPr>
          <w:sz w:val="22"/>
          <w:szCs w:val="22"/>
        </w:rPr>
      </w:pPr>
    </w:p>
    <w:p w:rsidR="0048091D" w:rsidRDefault="0013693B" w:rsidP="0048091D">
      <w:pPr>
        <w:jc w:val="center"/>
        <w:rPr>
          <w:sz w:val="22"/>
          <w:szCs w:val="22"/>
        </w:rPr>
      </w:pPr>
      <w:proofErr w:type="gramStart"/>
      <w:r w:rsidRPr="000B2777">
        <w:rPr>
          <w:sz w:val="22"/>
          <w:szCs w:val="22"/>
        </w:rPr>
        <w:t>Figure 4.</w:t>
      </w:r>
      <w:proofErr w:type="gramEnd"/>
      <w:r w:rsidRPr="000B2777">
        <w:rPr>
          <w:sz w:val="22"/>
          <w:szCs w:val="22"/>
        </w:rPr>
        <w:t xml:space="preserve"> Interdependence between grain weight and glutathione (GSH),</w:t>
      </w:r>
    </w:p>
    <w:p w:rsidR="0013693B" w:rsidRPr="000B2777" w:rsidRDefault="0013693B" w:rsidP="0048091D">
      <w:pPr>
        <w:jc w:val="center"/>
        <w:rPr>
          <w:sz w:val="22"/>
          <w:szCs w:val="22"/>
        </w:rPr>
      </w:pPr>
      <w:proofErr w:type="spellStart"/>
      <w:proofErr w:type="gramStart"/>
      <w:r w:rsidRPr="000B2777">
        <w:rPr>
          <w:sz w:val="22"/>
          <w:szCs w:val="22"/>
        </w:rPr>
        <w:t>phenolics</w:t>
      </w:r>
      <w:proofErr w:type="spellEnd"/>
      <w:proofErr w:type="gramEnd"/>
      <w:r w:rsidRPr="000B2777">
        <w:rPr>
          <w:sz w:val="22"/>
          <w:szCs w:val="22"/>
        </w:rPr>
        <w:t xml:space="preserve"> (</w:t>
      </w:r>
      <w:proofErr w:type="spellStart"/>
      <w:r w:rsidRPr="000B2777">
        <w:rPr>
          <w:sz w:val="22"/>
          <w:szCs w:val="22"/>
        </w:rPr>
        <w:t>Phen</w:t>
      </w:r>
      <w:proofErr w:type="spellEnd"/>
      <w:r w:rsidRPr="000B2777">
        <w:rPr>
          <w:sz w:val="22"/>
          <w:szCs w:val="22"/>
        </w:rPr>
        <w:t>.) and yellow pigment (YP) content in soybean grain.</w:t>
      </w:r>
    </w:p>
    <w:p w:rsidR="0013693B" w:rsidRPr="000B2777" w:rsidRDefault="0013693B" w:rsidP="000B2777">
      <w:pPr>
        <w:rPr>
          <w:sz w:val="22"/>
          <w:szCs w:val="22"/>
        </w:rPr>
      </w:pPr>
    </w:p>
    <w:p w:rsidR="0013693B" w:rsidRPr="000B2777" w:rsidRDefault="0013693B" w:rsidP="0013693B">
      <w:pPr>
        <w:jc w:val="center"/>
        <w:rPr>
          <w:b/>
          <w:sz w:val="22"/>
          <w:szCs w:val="22"/>
        </w:rPr>
      </w:pPr>
      <w:r w:rsidRPr="000B2777">
        <w:rPr>
          <w:b/>
          <w:sz w:val="22"/>
          <w:szCs w:val="22"/>
        </w:rPr>
        <w:t>Conclusion</w:t>
      </w:r>
    </w:p>
    <w:p w:rsidR="000B2777" w:rsidRDefault="000B2777" w:rsidP="0013693B">
      <w:pPr>
        <w:ind w:firstLine="426"/>
        <w:rPr>
          <w:sz w:val="24"/>
          <w:szCs w:val="24"/>
        </w:rPr>
      </w:pPr>
    </w:p>
    <w:p w:rsidR="0013693B" w:rsidRPr="000B2777" w:rsidRDefault="0013693B" w:rsidP="000B2777">
      <w:pPr>
        <w:ind w:firstLine="426"/>
        <w:jc w:val="both"/>
        <w:rPr>
          <w:sz w:val="22"/>
          <w:szCs w:val="22"/>
        </w:rPr>
      </w:pPr>
      <w:r w:rsidRPr="000B2777">
        <w:rPr>
          <w:sz w:val="22"/>
          <w:szCs w:val="22"/>
        </w:rPr>
        <w:t xml:space="preserve">Based on the results obtained, it could be concluded that black soybean is richer in antioxidants than red maize. Season had the highest influence on the level of GSH, </w:t>
      </w:r>
      <w:proofErr w:type="spellStart"/>
      <w:r w:rsidRPr="000B2777">
        <w:rPr>
          <w:sz w:val="22"/>
          <w:szCs w:val="22"/>
        </w:rPr>
        <w:t>phenolics</w:t>
      </w:r>
      <w:proofErr w:type="spellEnd"/>
      <w:r w:rsidRPr="000B2777">
        <w:rPr>
          <w:sz w:val="22"/>
          <w:szCs w:val="22"/>
        </w:rPr>
        <w:t xml:space="preserve"> and yellow pigment in maize and soybean level, while the cropping system and fertilization regime influenced GSH and </w:t>
      </w:r>
      <w:proofErr w:type="spellStart"/>
      <w:r w:rsidRPr="000B2777">
        <w:rPr>
          <w:sz w:val="22"/>
          <w:szCs w:val="22"/>
        </w:rPr>
        <w:t>phenolics</w:t>
      </w:r>
      <w:proofErr w:type="spellEnd"/>
      <w:r w:rsidRPr="000B2777">
        <w:rPr>
          <w:sz w:val="22"/>
          <w:szCs w:val="22"/>
        </w:rPr>
        <w:t xml:space="preserve">. The antioxidant level in grains with greater weight corresponded with the increased GSH level for maize, as well as increased GSH and phenolic level for soybean, while smaller grains were characterised by the increased YP content. Generally, the antioxidant level was increased mainly by alternating strips and/or alternating rows in maize grain and by alternating rows in soybean grain. The bio-fertilizer had the highest impact on an increase in GSH in maize grain and yellow pigment in soy grain, while organic fertilizer was important for acquiring of GSH and </w:t>
      </w:r>
      <w:proofErr w:type="spellStart"/>
      <w:r w:rsidRPr="000B2777">
        <w:rPr>
          <w:sz w:val="22"/>
          <w:szCs w:val="22"/>
        </w:rPr>
        <w:t>phenolics</w:t>
      </w:r>
      <w:proofErr w:type="spellEnd"/>
      <w:r w:rsidRPr="000B2777">
        <w:rPr>
          <w:sz w:val="22"/>
          <w:szCs w:val="22"/>
        </w:rPr>
        <w:t xml:space="preserve"> in soybean grain.</w:t>
      </w:r>
    </w:p>
    <w:p w:rsidR="0013693B" w:rsidRPr="000B2777" w:rsidRDefault="0013693B" w:rsidP="000B2777">
      <w:pPr>
        <w:ind w:firstLine="426"/>
        <w:jc w:val="both"/>
        <w:rPr>
          <w:sz w:val="22"/>
          <w:szCs w:val="22"/>
        </w:rPr>
      </w:pPr>
    </w:p>
    <w:p w:rsidR="000B2777" w:rsidRDefault="0013693B" w:rsidP="000B2777">
      <w:pPr>
        <w:rPr>
          <w:b/>
          <w:sz w:val="22"/>
          <w:szCs w:val="22"/>
        </w:rPr>
      </w:pPr>
      <w:r w:rsidRPr="000B2777">
        <w:rPr>
          <w:b/>
          <w:sz w:val="22"/>
          <w:szCs w:val="22"/>
        </w:rPr>
        <w:t>Acknowledgements</w:t>
      </w:r>
    </w:p>
    <w:p w:rsidR="000B2777" w:rsidRPr="000B2777" w:rsidRDefault="000B2777" w:rsidP="000B2777">
      <w:pPr>
        <w:ind w:firstLine="426"/>
        <w:jc w:val="both"/>
        <w:rPr>
          <w:sz w:val="22"/>
          <w:szCs w:val="22"/>
        </w:rPr>
      </w:pPr>
    </w:p>
    <w:p w:rsidR="0013693B" w:rsidRPr="000B2777" w:rsidRDefault="0013693B" w:rsidP="000B2777">
      <w:pPr>
        <w:ind w:firstLine="426"/>
        <w:jc w:val="both"/>
        <w:rPr>
          <w:b/>
          <w:sz w:val="22"/>
          <w:szCs w:val="22"/>
        </w:rPr>
      </w:pPr>
      <w:r w:rsidRPr="000B2777">
        <w:rPr>
          <w:sz w:val="22"/>
          <w:szCs w:val="22"/>
        </w:rPr>
        <w:t xml:space="preserve">This study was supported by the Ministry of Education and Science of the Republic of Serbia (Project TR-31037). The authors are grateful to </w:t>
      </w:r>
      <w:proofErr w:type="spellStart"/>
      <w:r w:rsidRPr="000B2777">
        <w:rPr>
          <w:sz w:val="22"/>
          <w:szCs w:val="22"/>
        </w:rPr>
        <w:t>Biljana</w:t>
      </w:r>
      <w:proofErr w:type="spellEnd"/>
      <w:r w:rsidRPr="000B2777">
        <w:rPr>
          <w:sz w:val="22"/>
          <w:szCs w:val="22"/>
        </w:rPr>
        <w:t xml:space="preserve"> Noro for a tremendous effort devoted to conducting the experiment.</w:t>
      </w:r>
    </w:p>
    <w:p w:rsidR="0013693B" w:rsidRDefault="0013693B" w:rsidP="000B2777">
      <w:pPr>
        <w:jc w:val="both"/>
        <w:rPr>
          <w:sz w:val="22"/>
          <w:szCs w:val="22"/>
        </w:rPr>
      </w:pPr>
    </w:p>
    <w:p w:rsidR="00831C98" w:rsidRPr="000B2777" w:rsidRDefault="00831C98" w:rsidP="000B2777">
      <w:pPr>
        <w:jc w:val="both"/>
        <w:rPr>
          <w:sz w:val="22"/>
          <w:szCs w:val="22"/>
        </w:rPr>
      </w:pPr>
    </w:p>
    <w:p w:rsidR="0013693B" w:rsidRDefault="0013693B" w:rsidP="00F171ED">
      <w:pPr>
        <w:widowControl w:val="0"/>
        <w:jc w:val="center"/>
        <w:rPr>
          <w:b/>
          <w:sz w:val="22"/>
          <w:szCs w:val="22"/>
        </w:rPr>
      </w:pPr>
      <w:r w:rsidRPr="00831C98">
        <w:rPr>
          <w:b/>
          <w:sz w:val="22"/>
          <w:szCs w:val="22"/>
        </w:rPr>
        <w:lastRenderedPageBreak/>
        <w:t>References</w:t>
      </w:r>
    </w:p>
    <w:p w:rsidR="00831C98" w:rsidRPr="00831C98" w:rsidRDefault="00831C98" w:rsidP="00831C98">
      <w:pPr>
        <w:jc w:val="center"/>
        <w:rPr>
          <w:b/>
          <w:sz w:val="22"/>
          <w:szCs w:val="22"/>
        </w:rPr>
      </w:pPr>
    </w:p>
    <w:p w:rsidR="0013693B" w:rsidRPr="00831C98" w:rsidRDefault="0013693B" w:rsidP="00831C98">
      <w:pPr>
        <w:widowControl w:val="0"/>
        <w:ind w:left="425" w:hanging="425"/>
        <w:jc w:val="both"/>
        <w:rPr>
          <w:sz w:val="18"/>
          <w:szCs w:val="18"/>
        </w:rPr>
      </w:pPr>
      <w:proofErr w:type="gramStart"/>
      <w:r w:rsidRPr="00831C98">
        <w:rPr>
          <w:sz w:val="18"/>
          <w:szCs w:val="18"/>
        </w:rPr>
        <w:t>American Associa</w:t>
      </w:r>
      <w:r w:rsidR="00C07152">
        <w:rPr>
          <w:sz w:val="18"/>
          <w:szCs w:val="18"/>
        </w:rPr>
        <w:t>tion of Cereal Chemistry (AACC)</w:t>
      </w:r>
      <w:r w:rsidR="00540D65">
        <w:rPr>
          <w:sz w:val="18"/>
          <w:szCs w:val="18"/>
        </w:rPr>
        <w:t xml:space="preserve"> </w:t>
      </w:r>
      <w:r w:rsidRPr="00831C98">
        <w:rPr>
          <w:sz w:val="18"/>
          <w:szCs w:val="18"/>
        </w:rPr>
        <w:t>(1995).</w:t>
      </w:r>
      <w:proofErr w:type="gramEnd"/>
      <w:r w:rsidRPr="00831C98">
        <w:rPr>
          <w:sz w:val="18"/>
          <w:szCs w:val="18"/>
        </w:rPr>
        <w:t xml:space="preserve"> </w:t>
      </w:r>
      <w:proofErr w:type="gramStart"/>
      <w:r w:rsidRPr="00831C98">
        <w:rPr>
          <w:sz w:val="18"/>
          <w:szCs w:val="18"/>
        </w:rPr>
        <w:t>Pigments.</w:t>
      </w:r>
      <w:proofErr w:type="gramEnd"/>
      <w:r w:rsidR="00540D65">
        <w:rPr>
          <w:sz w:val="18"/>
          <w:szCs w:val="18"/>
        </w:rPr>
        <w:t xml:space="preserve"> </w:t>
      </w:r>
      <w:proofErr w:type="gramStart"/>
      <w:r w:rsidRPr="00831C98">
        <w:rPr>
          <w:sz w:val="18"/>
          <w:szCs w:val="18"/>
        </w:rPr>
        <w:t>Methods.</w:t>
      </w:r>
      <w:proofErr w:type="gramEnd"/>
      <w:r w:rsidR="00540D65">
        <w:rPr>
          <w:sz w:val="18"/>
          <w:szCs w:val="18"/>
        </w:rPr>
        <w:t xml:space="preserve"> </w:t>
      </w:r>
      <w:proofErr w:type="gramStart"/>
      <w:r w:rsidRPr="00831C98">
        <w:rPr>
          <w:sz w:val="18"/>
          <w:szCs w:val="18"/>
        </w:rPr>
        <w:t xml:space="preserve">In </w:t>
      </w:r>
      <w:r w:rsidR="00E9671B" w:rsidRPr="00E9671B">
        <w:rPr>
          <w:i/>
          <w:iCs/>
          <w:sz w:val="18"/>
          <w:szCs w:val="18"/>
        </w:rPr>
        <w:t>AACC Methods</w:t>
      </w:r>
      <w:r w:rsidRPr="00831C98">
        <w:rPr>
          <w:iCs/>
          <w:sz w:val="18"/>
          <w:szCs w:val="18"/>
        </w:rPr>
        <w:t>, 9th ed</w:t>
      </w:r>
      <w:r w:rsidRPr="00831C98">
        <w:rPr>
          <w:sz w:val="18"/>
          <w:szCs w:val="18"/>
        </w:rPr>
        <w:t>. (pp. 14-50).</w:t>
      </w:r>
      <w:proofErr w:type="gramEnd"/>
      <w:r w:rsidRPr="00831C98">
        <w:rPr>
          <w:sz w:val="18"/>
          <w:szCs w:val="18"/>
        </w:rPr>
        <w:t xml:space="preserve"> St. Paul, Minnesota, USA.</w:t>
      </w:r>
    </w:p>
    <w:p w:rsidR="0013693B" w:rsidRPr="00831C98" w:rsidRDefault="0013693B" w:rsidP="00831C98">
      <w:pPr>
        <w:widowControl w:val="0"/>
        <w:ind w:left="425" w:hanging="425"/>
        <w:jc w:val="both"/>
        <w:rPr>
          <w:sz w:val="18"/>
          <w:szCs w:val="18"/>
        </w:rPr>
      </w:pPr>
      <w:proofErr w:type="gramStart"/>
      <w:r w:rsidRPr="00831C98">
        <w:rPr>
          <w:sz w:val="18"/>
          <w:szCs w:val="18"/>
        </w:rPr>
        <w:t xml:space="preserve">Ahmad, I., Cheng, Z., </w:t>
      </w:r>
      <w:proofErr w:type="spellStart"/>
      <w:r w:rsidRPr="00831C98">
        <w:rPr>
          <w:sz w:val="18"/>
          <w:szCs w:val="18"/>
        </w:rPr>
        <w:t>Meng</w:t>
      </w:r>
      <w:proofErr w:type="spellEnd"/>
      <w:r w:rsidRPr="00831C98">
        <w:rPr>
          <w:sz w:val="18"/>
          <w:szCs w:val="18"/>
        </w:rPr>
        <w:t xml:space="preserve">, H., Liu, T., Wang, M., </w:t>
      </w:r>
      <w:proofErr w:type="spellStart"/>
      <w:r w:rsidRPr="00831C98">
        <w:rPr>
          <w:sz w:val="18"/>
          <w:szCs w:val="18"/>
        </w:rPr>
        <w:t>Ejaz</w:t>
      </w:r>
      <w:proofErr w:type="spellEnd"/>
      <w:r w:rsidRPr="00831C98">
        <w:rPr>
          <w:sz w:val="18"/>
          <w:szCs w:val="18"/>
        </w:rPr>
        <w:t>, M., &amp;</w:t>
      </w:r>
      <w:proofErr w:type="spellStart"/>
      <w:r w:rsidRPr="00831C98">
        <w:rPr>
          <w:sz w:val="18"/>
          <w:szCs w:val="18"/>
        </w:rPr>
        <w:t>Wasila</w:t>
      </w:r>
      <w:proofErr w:type="spellEnd"/>
      <w:r w:rsidRPr="00831C98">
        <w:rPr>
          <w:sz w:val="18"/>
          <w:szCs w:val="18"/>
        </w:rPr>
        <w:t>, H. (2013).</w:t>
      </w:r>
      <w:proofErr w:type="gramEnd"/>
      <w:r w:rsidR="00540D65">
        <w:rPr>
          <w:sz w:val="18"/>
          <w:szCs w:val="18"/>
        </w:rPr>
        <w:t xml:space="preserve"> </w:t>
      </w:r>
      <w:proofErr w:type="gramStart"/>
      <w:r w:rsidRPr="00831C98">
        <w:rPr>
          <w:sz w:val="18"/>
          <w:szCs w:val="18"/>
        </w:rPr>
        <w:t>Effect of pepper-garlic intercropping system on soil microbial and bio-chemical properties.</w:t>
      </w:r>
      <w:proofErr w:type="gramEnd"/>
      <w:r w:rsidR="00540D65">
        <w:rPr>
          <w:sz w:val="18"/>
          <w:szCs w:val="18"/>
        </w:rPr>
        <w:t xml:space="preserve"> </w:t>
      </w:r>
      <w:r w:rsidR="00E9671B" w:rsidRPr="00E9671B">
        <w:rPr>
          <w:i/>
          <w:iCs/>
          <w:sz w:val="18"/>
          <w:szCs w:val="18"/>
        </w:rPr>
        <w:t>Pakistan Journal of Botany</w:t>
      </w:r>
      <w:r w:rsidRPr="00831C98">
        <w:rPr>
          <w:iCs/>
          <w:sz w:val="18"/>
          <w:szCs w:val="18"/>
        </w:rPr>
        <w:t xml:space="preserve">, </w:t>
      </w:r>
      <w:r w:rsidRPr="00831C98">
        <w:rPr>
          <w:sz w:val="18"/>
          <w:szCs w:val="18"/>
        </w:rPr>
        <w:t>45(2), 695-702.</w:t>
      </w:r>
    </w:p>
    <w:p w:rsidR="0013693B" w:rsidRPr="00831C98" w:rsidRDefault="0013693B" w:rsidP="00831C98">
      <w:pPr>
        <w:widowControl w:val="0"/>
        <w:ind w:left="425" w:hanging="425"/>
        <w:jc w:val="both"/>
        <w:rPr>
          <w:sz w:val="18"/>
          <w:szCs w:val="18"/>
        </w:rPr>
      </w:pPr>
      <w:proofErr w:type="spellStart"/>
      <w:proofErr w:type="gramStart"/>
      <w:r w:rsidRPr="00831C98">
        <w:rPr>
          <w:sz w:val="18"/>
          <w:szCs w:val="18"/>
        </w:rPr>
        <w:t>Aroca</w:t>
      </w:r>
      <w:proofErr w:type="spellEnd"/>
      <w:r w:rsidRPr="00831C98">
        <w:rPr>
          <w:sz w:val="18"/>
          <w:szCs w:val="18"/>
        </w:rPr>
        <w:t>, R., &amp; Ruiz-Lozano, J.M. (2009).</w:t>
      </w:r>
      <w:proofErr w:type="gramEnd"/>
      <w:r w:rsidRPr="00831C98">
        <w:rPr>
          <w:sz w:val="18"/>
          <w:szCs w:val="18"/>
        </w:rPr>
        <w:t xml:space="preserve"> Induction of plant tolerance to semi-arid environments by beneficial soil microorganisms: A review. </w:t>
      </w:r>
      <w:proofErr w:type="gramStart"/>
      <w:r w:rsidRPr="00831C98">
        <w:rPr>
          <w:sz w:val="18"/>
          <w:szCs w:val="18"/>
        </w:rPr>
        <w:t xml:space="preserve">In E. </w:t>
      </w:r>
      <w:proofErr w:type="spellStart"/>
      <w:r w:rsidRPr="00831C98">
        <w:rPr>
          <w:sz w:val="18"/>
          <w:szCs w:val="18"/>
        </w:rPr>
        <w:t>Lichtfouse</w:t>
      </w:r>
      <w:proofErr w:type="spellEnd"/>
      <w:r w:rsidRPr="00831C98">
        <w:rPr>
          <w:sz w:val="18"/>
          <w:szCs w:val="18"/>
        </w:rPr>
        <w:t xml:space="preserve"> (Ed.), </w:t>
      </w:r>
      <w:r w:rsidR="00E9671B" w:rsidRPr="00E9671B">
        <w:rPr>
          <w:i/>
          <w:iCs/>
          <w:sz w:val="18"/>
          <w:szCs w:val="18"/>
        </w:rPr>
        <w:t>Climate Change, Intercropping, Pest Control and Beneficial Microorganisms,</w:t>
      </w:r>
      <w:r w:rsidRPr="00831C98">
        <w:rPr>
          <w:iCs/>
          <w:sz w:val="18"/>
          <w:szCs w:val="18"/>
        </w:rPr>
        <w:t xml:space="preserve"> Vol. 2, Series Sustainable Agriculture Reviews</w:t>
      </w:r>
      <w:r w:rsidRPr="00831C98">
        <w:rPr>
          <w:sz w:val="18"/>
          <w:szCs w:val="18"/>
        </w:rPr>
        <w:t>.</w:t>
      </w:r>
      <w:proofErr w:type="gramEnd"/>
      <w:r w:rsidRPr="00831C98">
        <w:rPr>
          <w:sz w:val="18"/>
          <w:szCs w:val="18"/>
        </w:rPr>
        <w:t xml:space="preserve"> (pp. 121-135). Netherlands: Springer.</w:t>
      </w:r>
    </w:p>
    <w:p w:rsidR="0013693B" w:rsidRPr="00831C98" w:rsidRDefault="0013693B" w:rsidP="00831C98">
      <w:pPr>
        <w:widowControl w:val="0"/>
        <w:ind w:left="425" w:hanging="425"/>
        <w:jc w:val="both"/>
        <w:rPr>
          <w:sz w:val="18"/>
          <w:szCs w:val="18"/>
        </w:rPr>
      </w:pPr>
      <w:proofErr w:type="spellStart"/>
      <w:proofErr w:type="gramStart"/>
      <w:r w:rsidRPr="00831C98">
        <w:rPr>
          <w:sz w:val="18"/>
          <w:szCs w:val="18"/>
        </w:rPr>
        <w:t>Astadi</w:t>
      </w:r>
      <w:proofErr w:type="spellEnd"/>
      <w:r w:rsidRPr="00831C98">
        <w:rPr>
          <w:sz w:val="18"/>
          <w:szCs w:val="18"/>
        </w:rPr>
        <w:t xml:space="preserve">, I.R., </w:t>
      </w:r>
      <w:proofErr w:type="spellStart"/>
      <w:r w:rsidRPr="00831C98">
        <w:rPr>
          <w:sz w:val="18"/>
          <w:szCs w:val="18"/>
        </w:rPr>
        <w:t>Astuti</w:t>
      </w:r>
      <w:proofErr w:type="spellEnd"/>
      <w:r w:rsidRPr="00831C98">
        <w:rPr>
          <w:sz w:val="18"/>
          <w:szCs w:val="18"/>
        </w:rPr>
        <w:t xml:space="preserve">, M., </w:t>
      </w:r>
      <w:proofErr w:type="spellStart"/>
      <w:r w:rsidRPr="00831C98">
        <w:rPr>
          <w:sz w:val="18"/>
          <w:szCs w:val="18"/>
        </w:rPr>
        <w:t>Santoso</w:t>
      </w:r>
      <w:proofErr w:type="spellEnd"/>
      <w:r w:rsidRPr="00831C98">
        <w:rPr>
          <w:sz w:val="18"/>
          <w:szCs w:val="18"/>
        </w:rPr>
        <w:t>, U., &amp;</w:t>
      </w:r>
      <w:r w:rsidR="00540D65">
        <w:rPr>
          <w:sz w:val="18"/>
          <w:szCs w:val="18"/>
        </w:rPr>
        <w:t xml:space="preserve"> </w:t>
      </w:r>
      <w:proofErr w:type="spellStart"/>
      <w:r w:rsidRPr="00831C98">
        <w:rPr>
          <w:sz w:val="18"/>
          <w:szCs w:val="18"/>
        </w:rPr>
        <w:t>Nugraheni</w:t>
      </w:r>
      <w:proofErr w:type="spellEnd"/>
      <w:r w:rsidRPr="00831C98">
        <w:rPr>
          <w:sz w:val="18"/>
          <w:szCs w:val="18"/>
        </w:rPr>
        <w:t>, P.S. (2009).</w:t>
      </w:r>
      <w:proofErr w:type="gramEnd"/>
      <w:r w:rsidR="00540D65">
        <w:rPr>
          <w:sz w:val="18"/>
          <w:szCs w:val="18"/>
        </w:rPr>
        <w:t xml:space="preserve"> </w:t>
      </w:r>
      <w:proofErr w:type="gramStart"/>
      <w:r w:rsidRPr="00831C98">
        <w:rPr>
          <w:sz w:val="18"/>
          <w:szCs w:val="18"/>
        </w:rPr>
        <w:t>In vitro antioxidant activity of anthocyanins of black soybean seed coat in human low density lipoprotein (LDL).</w:t>
      </w:r>
      <w:proofErr w:type="gramEnd"/>
      <w:r w:rsidR="00540D65">
        <w:rPr>
          <w:sz w:val="18"/>
          <w:szCs w:val="18"/>
        </w:rPr>
        <w:t xml:space="preserve"> </w:t>
      </w:r>
      <w:r w:rsidR="00E9671B" w:rsidRPr="00E9671B">
        <w:rPr>
          <w:i/>
          <w:iCs/>
          <w:sz w:val="18"/>
          <w:szCs w:val="18"/>
        </w:rPr>
        <w:t>Food Chemistry</w:t>
      </w:r>
      <w:r w:rsidRPr="00831C98">
        <w:rPr>
          <w:iCs/>
          <w:sz w:val="18"/>
          <w:szCs w:val="18"/>
        </w:rPr>
        <w:t xml:space="preserve">, </w:t>
      </w:r>
      <w:r w:rsidRPr="00831C98">
        <w:rPr>
          <w:sz w:val="18"/>
          <w:szCs w:val="18"/>
        </w:rPr>
        <w:t>112(3), 659-663.</w:t>
      </w:r>
    </w:p>
    <w:p w:rsidR="0013693B" w:rsidRPr="00831C98" w:rsidRDefault="0013693B" w:rsidP="00831C98">
      <w:pPr>
        <w:widowControl w:val="0"/>
        <w:ind w:left="425" w:hanging="425"/>
        <w:jc w:val="both"/>
        <w:rPr>
          <w:sz w:val="18"/>
          <w:szCs w:val="18"/>
        </w:rPr>
      </w:pPr>
      <w:proofErr w:type="spellStart"/>
      <w:proofErr w:type="gramStart"/>
      <w:r w:rsidRPr="00831C98">
        <w:rPr>
          <w:sz w:val="18"/>
          <w:szCs w:val="18"/>
        </w:rPr>
        <w:t>Dragičević</w:t>
      </w:r>
      <w:proofErr w:type="spellEnd"/>
      <w:r w:rsidRPr="00831C98">
        <w:rPr>
          <w:sz w:val="18"/>
          <w:szCs w:val="18"/>
        </w:rPr>
        <w:t xml:space="preserve">, V., </w:t>
      </w:r>
      <w:proofErr w:type="spellStart"/>
      <w:r w:rsidRPr="00831C98">
        <w:rPr>
          <w:sz w:val="18"/>
          <w:szCs w:val="18"/>
        </w:rPr>
        <w:t>Perić</w:t>
      </w:r>
      <w:proofErr w:type="spellEnd"/>
      <w:r w:rsidRPr="00831C98">
        <w:rPr>
          <w:sz w:val="18"/>
          <w:szCs w:val="18"/>
        </w:rPr>
        <w:t xml:space="preserve">, V., </w:t>
      </w:r>
      <w:proofErr w:type="spellStart"/>
      <w:r w:rsidRPr="00831C98">
        <w:rPr>
          <w:sz w:val="18"/>
          <w:szCs w:val="18"/>
        </w:rPr>
        <w:t>Srebrić</w:t>
      </w:r>
      <w:proofErr w:type="spellEnd"/>
      <w:r w:rsidRPr="00831C98">
        <w:rPr>
          <w:sz w:val="18"/>
          <w:szCs w:val="18"/>
        </w:rPr>
        <w:t xml:space="preserve">, M., </w:t>
      </w:r>
      <w:proofErr w:type="spellStart"/>
      <w:r w:rsidRPr="00831C98">
        <w:rPr>
          <w:sz w:val="18"/>
          <w:szCs w:val="18"/>
        </w:rPr>
        <w:t>Žilić</w:t>
      </w:r>
      <w:proofErr w:type="spellEnd"/>
      <w:r w:rsidRPr="00831C98">
        <w:rPr>
          <w:sz w:val="18"/>
          <w:szCs w:val="18"/>
        </w:rPr>
        <w:t>, S., &amp;</w:t>
      </w:r>
      <w:r w:rsidR="00540D65">
        <w:rPr>
          <w:sz w:val="18"/>
          <w:szCs w:val="18"/>
        </w:rPr>
        <w:t xml:space="preserve"> </w:t>
      </w:r>
      <w:proofErr w:type="spellStart"/>
      <w:r w:rsidRPr="00831C98">
        <w:rPr>
          <w:sz w:val="18"/>
          <w:szCs w:val="18"/>
        </w:rPr>
        <w:t>Mladenović-Drinić</w:t>
      </w:r>
      <w:proofErr w:type="spellEnd"/>
      <w:r w:rsidRPr="00831C98">
        <w:rPr>
          <w:sz w:val="18"/>
          <w:szCs w:val="18"/>
        </w:rPr>
        <w:t>, S. (2010).</w:t>
      </w:r>
      <w:proofErr w:type="gramEnd"/>
      <w:r w:rsidR="00540D65">
        <w:rPr>
          <w:sz w:val="18"/>
          <w:szCs w:val="18"/>
        </w:rPr>
        <w:t xml:space="preserve"> </w:t>
      </w:r>
      <w:proofErr w:type="gramStart"/>
      <w:r w:rsidRPr="00831C98">
        <w:rPr>
          <w:sz w:val="18"/>
          <w:szCs w:val="18"/>
        </w:rPr>
        <w:t>Some nutritional and anti-nutritional factors of ZP soybean varieties.</w:t>
      </w:r>
      <w:proofErr w:type="gramEnd"/>
      <w:r w:rsidR="00540D65">
        <w:rPr>
          <w:sz w:val="18"/>
          <w:szCs w:val="18"/>
        </w:rPr>
        <w:t xml:space="preserve"> </w:t>
      </w:r>
      <w:r w:rsidR="00E9671B" w:rsidRPr="00E9671B">
        <w:rPr>
          <w:i/>
          <w:iCs/>
          <w:sz w:val="18"/>
          <w:szCs w:val="18"/>
        </w:rPr>
        <w:t>Journal of Agricultural Sciences</w:t>
      </w:r>
      <w:r w:rsidRPr="00831C98">
        <w:rPr>
          <w:iCs/>
          <w:sz w:val="18"/>
          <w:szCs w:val="18"/>
        </w:rPr>
        <w:t xml:space="preserve">, </w:t>
      </w:r>
      <w:r w:rsidRPr="00831C98">
        <w:rPr>
          <w:sz w:val="18"/>
          <w:szCs w:val="18"/>
        </w:rPr>
        <w:t>55(2), 141-146.</w:t>
      </w:r>
    </w:p>
    <w:p w:rsidR="0013693B" w:rsidRPr="00831C98" w:rsidRDefault="0013693B" w:rsidP="00831C98">
      <w:pPr>
        <w:widowControl w:val="0"/>
        <w:ind w:left="425" w:hanging="425"/>
        <w:jc w:val="both"/>
        <w:rPr>
          <w:sz w:val="18"/>
          <w:szCs w:val="18"/>
        </w:rPr>
      </w:pPr>
      <w:proofErr w:type="spellStart"/>
      <w:proofErr w:type="gramStart"/>
      <w:r w:rsidRPr="00831C98">
        <w:rPr>
          <w:sz w:val="18"/>
          <w:szCs w:val="18"/>
        </w:rPr>
        <w:t>Dragicevic</w:t>
      </w:r>
      <w:proofErr w:type="spellEnd"/>
      <w:r w:rsidRPr="00831C98">
        <w:rPr>
          <w:sz w:val="18"/>
          <w:szCs w:val="18"/>
        </w:rPr>
        <w:t xml:space="preserve">, V., </w:t>
      </w:r>
      <w:proofErr w:type="spellStart"/>
      <w:r w:rsidRPr="00831C98">
        <w:rPr>
          <w:sz w:val="18"/>
          <w:szCs w:val="18"/>
        </w:rPr>
        <w:t>Spasojevic</w:t>
      </w:r>
      <w:proofErr w:type="spellEnd"/>
      <w:r w:rsidRPr="00831C98">
        <w:rPr>
          <w:sz w:val="18"/>
          <w:szCs w:val="18"/>
        </w:rPr>
        <w:t xml:space="preserve">, I., </w:t>
      </w:r>
      <w:proofErr w:type="spellStart"/>
      <w:r w:rsidRPr="00831C98">
        <w:rPr>
          <w:sz w:val="18"/>
          <w:szCs w:val="18"/>
        </w:rPr>
        <w:t>Oljaca</w:t>
      </w:r>
      <w:proofErr w:type="spellEnd"/>
      <w:r w:rsidRPr="00831C98">
        <w:rPr>
          <w:sz w:val="18"/>
          <w:szCs w:val="18"/>
        </w:rPr>
        <w:t xml:space="preserve">, S., </w:t>
      </w:r>
      <w:proofErr w:type="spellStart"/>
      <w:r w:rsidRPr="00831C98">
        <w:rPr>
          <w:sz w:val="18"/>
          <w:szCs w:val="18"/>
        </w:rPr>
        <w:t>Simic</w:t>
      </w:r>
      <w:proofErr w:type="spellEnd"/>
      <w:r w:rsidRPr="00831C98">
        <w:rPr>
          <w:sz w:val="18"/>
          <w:szCs w:val="18"/>
        </w:rPr>
        <w:t>, M., &amp;</w:t>
      </w:r>
      <w:r w:rsidR="00540D65">
        <w:rPr>
          <w:sz w:val="18"/>
          <w:szCs w:val="18"/>
        </w:rPr>
        <w:t xml:space="preserve"> </w:t>
      </w:r>
      <w:proofErr w:type="spellStart"/>
      <w:r w:rsidRPr="00831C98">
        <w:rPr>
          <w:sz w:val="18"/>
          <w:szCs w:val="18"/>
        </w:rPr>
        <w:t>Dolijanovic</w:t>
      </w:r>
      <w:proofErr w:type="spellEnd"/>
      <w:r w:rsidRPr="00831C98">
        <w:rPr>
          <w:sz w:val="18"/>
          <w:szCs w:val="18"/>
        </w:rPr>
        <w:t>, Z. (2013).</w:t>
      </w:r>
      <w:proofErr w:type="gramEnd"/>
      <w:r w:rsidR="00540D65">
        <w:rPr>
          <w:sz w:val="18"/>
          <w:szCs w:val="18"/>
        </w:rPr>
        <w:t xml:space="preserve"> </w:t>
      </w:r>
      <w:proofErr w:type="gramStart"/>
      <w:r w:rsidRPr="00831C98">
        <w:rPr>
          <w:sz w:val="18"/>
          <w:szCs w:val="18"/>
        </w:rPr>
        <w:t>Grain quality in organic and ecological cropping systems.</w:t>
      </w:r>
      <w:proofErr w:type="gramEnd"/>
      <w:r w:rsidRPr="00831C98">
        <w:rPr>
          <w:sz w:val="18"/>
          <w:szCs w:val="18"/>
        </w:rPr>
        <w:t xml:space="preserve"> In: </w:t>
      </w:r>
      <w:r w:rsidR="00E9671B" w:rsidRPr="00E9671B">
        <w:rPr>
          <w:i/>
          <w:sz w:val="18"/>
          <w:szCs w:val="18"/>
        </w:rPr>
        <w:t>Proceedings, IV International Symposium „</w:t>
      </w:r>
      <w:proofErr w:type="spellStart"/>
      <w:r w:rsidR="00E9671B" w:rsidRPr="00E9671B">
        <w:rPr>
          <w:i/>
          <w:sz w:val="18"/>
          <w:szCs w:val="18"/>
        </w:rPr>
        <w:t>Agrosym</w:t>
      </w:r>
      <w:proofErr w:type="spellEnd"/>
      <w:r w:rsidR="00E9671B" w:rsidRPr="00E9671B">
        <w:rPr>
          <w:i/>
          <w:sz w:val="18"/>
          <w:szCs w:val="18"/>
        </w:rPr>
        <w:t>“</w:t>
      </w:r>
      <w:r w:rsidRPr="00831C98">
        <w:rPr>
          <w:sz w:val="18"/>
          <w:szCs w:val="18"/>
        </w:rPr>
        <w:t>,</w:t>
      </w:r>
      <w:r w:rsidR="00861F1C">
        <w:rPr>
          <w:sz w:val="18"/>
          <w:szCs w:val="18"/>
        </w:rPr>
        <w:t xml:space="preserve"> </w:t>
      </w:r>
      <w:proofErr w:type="spellStart"/>
      <w:r w:rsidRPr="00831C98">
        <w:rPr>
          <w:sz w:val="18"/>
          <w:szCs w:val="18"/>
        </w:rPr>
        <w:t>Jahorina</w:t>
      </w:r>
      <w:proofErr w:type="spellEnd"/>
      <w:r w:rsidRPr="00831C98">
        <w:rPr>
          <w:sz w:val="18"/>
          <w:szCs w:val="18"/>
        </w:rPr>
        <w:t>, Bosnia and Herzegovina</w:t>
      </w:r>
      <w:r w:rsidR="00C07152">
        <w:rPr>
          <w:sz w:val="18"/>
          <w:szCs w:val="18"/>
        </w:rPr>
        <w:t>,</w:t>
      </w:r>
      <w:r w:rsidRPr="00831C98">
        <w:rPr>
          <w:sz w:val="18"/>
          <w:szCs w:val="18"/>
        </w:rPr>
        <w:t xml:space="preserve"> 700-705.</w:t>
      </w:r>
    </w:p>
    <w:p w:rsidR="0013693B" w:rsidRPr="00831C98" w:rsidRDefault="0013693B" w:rsidP="00831C98">
      <w:pPr>
        <w:widowControl w:val="0"/>
        <w:ind w:left="425" w:hanging="425"/>
        <w:jc w:val="both"/>
        <w:rPr>
          <w:sz w:val="18"/>
          <w:szCs w:val="18"/>
        </w:rPr>
      </w:pPr>
      <w:proofErr w:type="gramStart"/>
      <w:r w:rsidRPr="00831C98">
        <w:rPr>
          <w:sz w:val="18"/>
          <w:szCs w:val="18"/>
        </w:rPr>
        <w:t>Foyer, C.H., &amp;</w:t>
      </w:r>
      <w:r w:rsidR="00861F1C">
        <w:rPr>
          <w:sz w:val="18"/>
          <w:szCs w:val="18"/>
        </w:rPr>
        <w:t xml:space="preserve"> </w:t>
      </w:r>
      <w:proofErr w:type="spellStart"/>
      <w:r w:rsidRPr="00831C98">
        <w:rPr>
          <w:sz w:val="18"/>
          <w:szCs w:val="18"/>
        </w:rPr>
        <w:t>Noctor</w:t>
      </w:r>
      <w:proofErr w:type="spellEnd"/>
      <w:r w:rsidRPr="00831C98">
        <w:rPr>
          <w:sz w:val="18"/>
          <w:szCs w:val="18"/>
        </w:rPr>
        <w:t>, G. (2005).</w:t>
      </w:r>
      <w:proofErr w:type="gramEnd"/>
      <w:r w:rsidRPr="00831C98">
        <w:rPr>
          <w:sz w:val="18"/>
          <w:szCs w:val="18"/>
        </w:rPr>
        <w:t xml:space="preserve"> Redox homeostasis and antioxidant </w:t>
      </w:r>
      <w:proofErr w:type="spellStart"/>
      <w:r w:rsidRPr="00831C98">
        <w:rPr>
          <w:sz w:val="18"/>
          <w:szCs w:val="18"/>
        </w:rPr>
        <w:t>signaling</w:t>
      </w:r>
      <w:proofErr w:type="spellEnd"/>
      <w:r w:rsidRPr="00831C98">
        <w:rPr>
          <w:sz w:val="18"/>
          <w:szCs w:val="18"/>
        </w:rPr>
        <w:t xml:space="preserve">: A metabolic interface between stress perception and physiological responses. </w:t>
      </w:r>
      <w:r w:rsidRPr="00F743FC">
        <w:rPr>
          <w:i/>
          <w:iCs/>
          <w:sz w:val="18"/>
          <w:szCs w:val="18"/>
        </w:rPr>
        <w:t>Plant Cell,</w:t>
      </w:r>
      <w:r w:rsidRPr="00831C98">
        <w:rPr>
          <w:iCs/>
          <w:sz w:val="18"/>
          <w:szCs w:val="18"/>
        </w:rPr>
        <w:t xml:space="preserve"> </w:t>
      </w:r>
      <w:r w:rsidRPr="00831C98">
        <w:rPr>
          <w:sz w:val="18"/>
          <w:szCs w:val="18"/>
        </w:rPr>
        <w:t xml:space="preserve">17(7), 1866-75. </w:t>
      </w:r>
    </w:p>
    <w:p w:rsidR="0013693B" w:rsidRPr="00831C98" w:rsidRDefault="0013693B" w:rsidP="00831C98">
      <w:pPr>
        <w:widowControl w:val="0"/>
        <w:ind w:left="425" w:hanging="425"/>
        <w:jc w:val="both"/>
        <w:rPr>
          <w:sz w:val="18"/>
          <w:szCs w:val="18"/>
        </w:rPr>
      </w:pPr>
      <w:proofErr w:type="gramStart"/>
      <w:r w:rsidRPr="00831C98">
        <w:rPr>
          <w:sz w:val="18"/>
          <w:szCs w:val="18"/>
        </w:rPr>
        <w:t>Gao</w:t>
      </w:r>
      <w:proofErr w:type="gramEnd"/>
      <w:r w:rsidRPr="00831C98">
        <w:rPr>
          <w:sz w:val="18"/>
          <w:szCs w:val="18"/>
        </w:rPr>
        <w:t xml:space="preserve">, X., Wu, M., Xu, R., Wang, X., Pan, R., Kim, H., &amp; Liao, H. (2014). Root interactions in a maize/soybean intercropping system control soybean soil-borne disease, red crown rot. </w:t>
      </w:r>
      <w:proofErr w:type="spellStart"/>
      <w:proofErr w:type="gramStart"/>
      <w:r w:rsidRPr="00F743FC">
        <w:rPr>
          <w:i/>
          <w:iCs/>
          <w:sz w:val="18"/>
          <w:szCs w:val="18"/>
        </w:rPr>
        <w:t>PLoS</w:t>
      </w:r>
      <w:proofErr w:type="spellEnd"/>
      <w:r w:rsidRPr="00F743FC">
        <w:rPr>
          <w:i/>
          <w:iCs/>
          <w:sz w:val="18"/>
          <w:szCs w:val="18"/>
        </w:rPr>
        <w:t xml:space="preserve"> ONE, </w:t>
      </w:r>
      <w:r w:rsidRPr="00831C98">
        <w:rPr>
          <w:sz w:val="18"/>
          <w:szCs w:val="18"/>
        </w:rPr>
        <w:t>9(5), 95031.</w:t>
      </w:r>
      <w:proofErr w:type="gramEnd"/>
    </w:p>
    <w:p w:rsidR="0013693B" w:rsidRPr="00831C98" w:rsidRDefault="0013693B" w:rsidP="00831C98">
      <w:pPr>
        <w:widowControl w:val="0"/>
        <w:ind w:left="425" w:hanging="425"/>
        <w:jc w:val="both"/>
        <w:rPr>
          <w:sz w:val="18"/>
          <w:szCs w:val="18"/>
          <w:lang w:val="pl-PL"/>
        </w:rPr>
      </w:pPr>
      <w:proofErr w:type="spellStart"/>
      <w:r w:rsidRPr="00831C98">
        <w:rPr>
          <w:sz w:val="18"/>
          <w:szCs w:val="18"/>
        </w:rPr>
        <w:t>Grodstein</w:t>
      </w:r>
      <w:proofErr w:type="spellEnd"/>
      <w:r w:rsidRPr="00831C98">
        <w:rPr>
          <w:sz w:val="18"/>
          <w:szCs w:val="18"/>
        </w:rPr>
        <w:t>, F., Kang, J.H., Glynn, R.J., Cook, N.R., &amp;</w:t>
      </w:r>
      <w:r w:rsidR="00861F1C">
        <w:rPr>
          <w:sz w:val="18"/>
          <w:szCs w:val="18"/>
        </w:rPr>
        <w:t xml:space="preserve"> </w:t>
      </w:r>
      <w:proofErr w:type="spellStart"/>
      <w:r w:rsidRPr="00831C98">
        <w:rPr>
          <w:sz w:val="18"/>
          <w:szCs w:val="18"/>
        </w:rPr>
        <w:t>Gaziano</w:t>
      </w:r>
      <w:proofErr w:type="spellEnd"/>
      <w:r w:rsidRPr="00831C98">
        <w:rPr>
          <w:sz w:val="18"/>
          <w:szCs w:val="18"/>
        </w:rPr>
        <w:t xml:space="preserve">, M.J. (2007). A randomized trial of beta carotene supplementation and cognitive function in men: The Physicians' Health Study II. </w:t>
      </w:r>
      <w:r w:rsidRPr="00F743FC">
        <w:rPr>
          <w:i/>
          <w:iCs/>
          <w:sz w:val="18"/>
          <w:szCs w:val="18"/>
          <w:lang w:val="pl-PL"/>
        </w:rPr>
        <w:t>Arch</w:t>
      </w:r>
      <w:r w:rsidR="00381308" w:rsidRPr="00F743FC">
        <w:rPr>
          <w:i/>
          <w:iCs/>
          <w:sz w:val="18"/>
          <w:szCs w:val="18"/>
          <w:lang w:val="pl-PL"/>
        </w:rPr>
        <w:t>ives of</w:t>
      </w:r>
      <w:r w:rsidRPr="00F743FC">
        <w:rPr>
          <w:i/>
          <w:iCs/>
          <w:sz w:val="18"/>
          <w:szCs w:val="18"/>
          <w:lang w:val="pl-PL"/>
        </w:rPr>
        <w:t xml:space="preserve"> Intern</w:t>
      </w:r>
      <w:r w:rsidR="00381308" w:rsidRPr="00F743FC">
        <w:rPr>
          <w:i/>
          <w:iCs/>
          <w:sz w:val="18"/>
          <w:szCs w:val="18"/>
          <w:lang w:val="pl-PL"/>
        </w:rPr>
        <w:t>al</w:t>
      </w:r>
      <w:r w:rsidRPr="00F743FC">
        <w:rPr>
          <w:i/>
          <w:iCs/>
          <w:sz w:val="18"/>
          <w:szCs w:val="18"/>
          <w:lang w:val="pl-PL"/>
        </w:rPr>
        <w:t xml:space="preserve"> Med</w:t>
      </w:r>
      <w:r w:rsidR="00381308" w:rsidRPr="00F743FC">
        <w:rPr>
          <w:i/>
          <w:iCs/>
          <w:sz w:val="18"/>
          <w:szCs w:val="18"/>
          <w:lang w:val="pl-PL"/>
        </w:rPr>
        <w:t>icine</w:t>
      </w:r>
      <w:r w:rsidRPr="00F743FC">
        <w:rPr>
          <w:i/>
          <w:iCs/>
          <w:sz w:val="18"/>
          <w:szCs w:val="18"/>
          <w:lang w:val="pl-PL"/>
        </w:rPr>
        <w:t>,</w:t>
      </w:r>
      <w:r w:rsidRPr="00831C98">
        <w:rPr>
          <w:iCs/>
          <w:sz w:val="18"/>
          <w:szCs w:val="18"/>
          <w:lang w:val="pl-PL"/>
        </w:rPr>
        <w:t xml:space="preserve"> </w:t>
      </w:r>
      <w:r w:rsidRPr="00831C98">
        <w:rPr>
          <w:sz w:val="18"/>
          <w:szCs w:val="18"/>
          <w:lang w:val="pl-PL"/>
        </w:rPr>
        <w:t xml:space="preserve">167(20), 2184-90. </w:t>
      </w:r>
    </w:p>
    <w:p w:rsidR="0013693B" w:rsidRPr="00831C98" w:rsidRDefault="0013693B" w:rsidP="00831C98">
      <w:pPr>
        <w:widowControl w:val="0"/>
        <w:ind w:left="425" w:hanging="425"/>
        <w:jc w:val="both"/>
        <w:rPr>
          <w:sz w:val="18"/>
          <w:szCs w:val="18"/>
        </w:rPr>
      </w:pPr>
      <w:r w:rsidRPr="00831C98">
        <w:rPr>
          <w:sz w:val="18"/>
          <w:szCs w:val="18"/>
          <w:lang w:val="pl-PL"/>
        </w:rPr>
        <w:t xml:space="preserve">Konopka, I., Tańska, M., Faron, A., Stępień, A., &amp; Wojtkowiak, K. (2012). </w:t>
      </w:r>
      <w:r w:rsidRPr="00831C98">
        <w:rPr>
          <w:sz w:val="18"/>
          <w:szCs w:val="18"/>
        </w:rPr>
        <w:t xml:space="preserve">Comparison of the phenolic compounds, carotenoids and </w:t>
      </w:r>
      <w:proofErr w:type="spellStart"/>
      <w:r w:rsidRPr="00831C98">
        <w:rPr>
          <w:sz w:val="18"/>
          <w:szCs w:val="18"/>
        </w:rPr>
        <w:t>tocochromanols</w:t>
      </w:r>
      <w:proofErr w:type="spellEnd"/>
      <w:r w:rsidRPr="00831C98">
        <w:rPr>
          <w:sz w:val="18"/>
          <w:szCs w:val="18"/>
        </w:rPr>
        <w:t xml:space="preserve"> content in wheat grain under organic and mineral fertilization regimes. </w:t>
      </w:r>
      <w:r w:rsidRPr="00F743FC">
        <w:rPr>
          <w:i/>
          <w:iCs/>
          <w:sz w:val="18"/>
          <w:szCs w:val="18"/>
        </w:rPr>
        <w:t>Molecules,</w:t>
      </w:r>
      <w:r w:rsidRPr="00831C98">
        <w:rPr>
          <w:iCs/>
          <w:sz w:val="18"/>
          <w:szCs w:val="18"/>
        </w:rPr>
        <w:t xml:space="preserve"> </w:t>
      </w:r>
      <w:r w:rsidRPr="00831C98">
        <w:rPr>
          <w:sz w:val="18"/>
          <w:szCs w:val="18"/>
        </w:rPr>
        <w:t>17(10), 12341-</w:t>
      </w:r>
      <w:r w:rsidR="009A406F">
        <w:rPr>
          <w:sz w:val="18"/>
          <w:szCs w:val="18"/>
        </w:rPr>
        <w:t>123</w:t>
      </w:r>
      <w:r w:rsidRPr="00831C98">
        <w:rPr>
          <w:sz w:val="18"/>
          <w:szCs w:val="18"/>
        </w:rPr>
        <w:t>56.</w:t>
      </w:r>
    </w:p>
    <w:p w:rsidR="0013693B" w:rsidRPr="00831C98" w:rsidRDefault="0013693B" w:rsidP="00831C98">
      <w:pPr>
        <w:widowControl w:val="0"/>
        <w:ind w:left="425" w:hanging="425"/>
        <w:jc w:val="both"/>
        <w:rPr>
          <w:sz w:val="18"/>
          <w:szCs w:val="18"/>
        </w:rPr>
      </w:pPr>
      <w:proofErr w:type="gramStart"/>
      <w:r w:rsidRPr="00831C98">
        <w:rPr>
          <w:sz w:val="18"/>
          <w:szCs w:val="18"/>
        </w:rPr>
        <w:t xml:space="preserve">Pandey, S., </w:t>
      </w:r>
      <w:proofErr w:type="spellStart"/>
      <w:r w:rsidRPr="00831C98">
        <w:rPr>
          <w:sz w:val="18"/>
          <w:szCs w:val="18"/>
        </w:rPr>
        <w:t>Verma</w:t>
      </w:r>
      <w:proofErr w:type="spellEnd"/>
      <w:r w:rsidRPr="00831C98">
        <w:rPr>
          <w:sz w:val="18"/>
          <w:szCs w:val="18"/>
        </w:rPr>
        <w:t>, A., &amp; Chakraborty, D. (2016).</w:t>
      </w:r>
      <w:proofErr w:type="gramEnd"/>
      <w:r w:rsidRPr="00831C98">
        <w:rPr>
          <w:sz w:val="18"/>
          <w:szCs w:val="18"/>
        </w:rPr>
        <w:t xml:space="preserve"> Potential use of </w:t>
      </w:r>
      <w:proofErr w:type="spellStart"/>
      <w:r w:rsidRPr="00831C98">
        <w:rPr>
          <w:sz w:val="18"/>
          <w:szCs w:val="18"/>
        </w:rPr>
        <w:t>rhizobacteria</w:t>
      </w:r>
      <w:proofErr w:type="spellEnd"/>
      <w:r w:rsidRPr="00831C98">
        <w:rPr>
          <w:sz w:val="18"/>
          <w:szCs w:val="18"/>
        </w:rPr>
        <w:t xml:space="preserve"> as </w:t>
      </w:r>
      <w:proofErr w:type="spellStart"/>
      <w:r w:rsidRPr="00831C98">
        <w:rPr>
          <w:sz w:val="18"/>
          <w:szCs w:val="18"/>
        </w:rPr>
        <w:t>biofertilizer</w:t>
      </w:r>
      <w:proofErr w:type="spellEnd"/>
      <w:r w:rsidRPr="00831C98">
        <w:rPr>
          <w:sz w:val="18"/>
          <w:szCs w:val="18"/>
        </w:rPr>
        <w:t xml:space="preserve"> and its role in increasing tolerance to drought stress. In B.R. </w:t>
      </w:r>
      <w:proofErr w:type="spellStart"/>
      <w:r w:rsidRPr="00831C98">
        <w:rPr>
          <w:sz w:val="18"/>
          <w:szCs w:val="18"/>
        </w:rPr>
        <w:t>Pati</w:t>
      </w:r>
      <w:proofErr w:type="spellEnd"/>
      <w:r w:rsidR="009D7A69">
        <w:rPr>
          <w:sz w:val="18"/>
          <w:szCs w:val="18"/>
        </w:rPr>
        <w:t xml:space="preserve"> </w:t>
      </w:r>
      <w:r w:rsidRPr="00831C98">
        <w:rPr>
          <w:sz w:val="18"/>
          <w:szCs w:val="18"/>
        </w:rPr>
        <w:t xml:space="preserve">&amp; S.M. Mandal (Eds.), </w:t>
      </w:r>
      <w:r w:rsidRPr="00C07152">
        <w:rPr>
          <w:i/>
          <w:iCs/>
          <w:sz w:val="18"/>
          <w:szCs w:val="18"/>
        </w:rPr>
        <w:t xml:space="preserve">Recent Trends in </w:t>
      </w:r>
      <w:proofErr w:type="spellStart"/>
      <w:r w:rsidRPr="00C07152">
        <w:rPr>
          <w:i/>
          <w:iCs/>
          <w:sz w:val="18"/>
          <w:szCs w:val="18"/>
        </w:rPr>
        <w:t>Biofertilizers</w:t>
      </w:r>
      <w:proofErr w:type="spellEnd"/>
      <w:r w:rsidRPr="00C07152">
        <w:rPr>
          <w:i/>
          <w:sz w:val="18"/>
          <w:szCs w:val="18"/>
        </w:rPr>
        <w:t>.</w:t>
      </w:r>
      <w:r w:rsidRPr="00831C98">
        <w:rPr>
          <w:sz w:val="18"/>
          <w:szCs w:val="18"/>
        </w:rPr>
        <w:t xml:space="preserve"> (pp. 115-140). </w:t>
      </w:r>
      <w:proofErr w:type="gramStart"/>
      <w:r w:rsidRPr="00831C98">
        <w:rPr>
          <w:sz w:val="18"/>
          <w:szCs w:val="18"/>
        </w:rPr>
        <w:t>I K International Publishing House.</w:t>
      </w:r>
      <w:proofErr w:type="gramEnd"/>
    </w:p>
    <w:p w:rsidR="0013693B" w:rsidRPr="00831C98" w:rsidRDefault="0013693B" w:rsidP="00831C98">
      <w:pPr>
        <w:widowControl w:val="0"/>
        <w:ind w:left="425" w:hanging="425"/>
        <w:jc w:val="both"/>
        <w:rPr>
          <w:sz w:val="18"/>
          <w:szCs w:val="18"/>
        </w:rPr>
      </w:pPr>
      <w:proofErr w:type="gramStart"/>
      <w:r w:rsidRPr="00831C98">
        <w:rPr>
          <w:sz w:val="18"/>
          <w:szCs w:val="18"/>
        </w:rPr>
        <w:t xml:space="preserve">Sari-Gorla, M., </w:t>
      </w:r>
      <w:proofErr w:type="spellStart"/>
      <w:r w:rsidRPr="00831C98">
        <w:rPr>
          <w:sz w:val="18"/>
          <w:szCs w:val="18"/>
        </w:rPr>
        <w:t>Ferrario</w:t>
      </w:r>
      <w:proofErr w:type="spellEnd"/>
      <w:r w:rsidRPr="00831C98">
        <w:rPr>
          <w:sz w:val="18"/>
          <w:szCs w:val="18"/>
        </w:rPr>
        <w:t xml:space="preserve">, S., Rossini, L., </w:t>
      </w:r>
      <w:proofErr w:type="spellStart"/>
      <w:r w:rsidRPr="00831C98">
        <w:rPr>
          <w:sz w:val="18"/>
          <w:szCs w:val="18"/>
        </w:rPr>
        <w:t>Frova</w:t>
      </w:r>
      <w:proofErr w:type="spellEnd"/>
      <w:r w:rsidRPr="00831C98">
        <w:rPr>
          <w:sz w:val="18"/>
          <w:szCs w:val="18"/>
        </w:rPr>
        <w:t>, C., &amp; Villa, M. (1993).</w:t>
      </w:r>
      <w:proofErr w:type="gramEnd"/>
      <w:r w:rsidR="009D7A69">
        <w:rPr>
          <w:sz w:val="18"/>
          <w:szCs w:val="18"/>
        </w:rPr>
        <w:t xml:space="preserve"> </w:t>
      </w:r>
      <w:proofErr w:type="gramStart"/>
      <w:r w:rsidRPr="00831C98">
        <w:rPr>
          <w:sz w:val="18"/>
          <w:szCs w:val="18"/>
        </w:rPr>
        <w:t>Developmental expression of glutathione-S-transferase in maize and its possible connection with herbicide tolerance.</w:t>
      </w:r>
      <w:proofErr w:type="gramEnd"/>
      <w:r w:rsidR="009D7A69">
        <w:rPr>
          <w:sz w:val="18"/>
          <w:szCs w:val="18"/>
        </w:rPr>
        <w:t xml:space="preserve"> </w:t>
      </w:r>
      <w:proofErr w:type="spellStart"/>
      <w:r w:rsidRPr="00F743FC">
        <w:rPr>
          <w:i/>
          <w:iCs/>
          <w:sz w:val="18"/>
          <w:szCs w:val="18"/>
        </w:rPr>
        <w:t>Euphytica</w:t>
      </w:r>
      <w:proofErr w:type="spellEnd"/>
      <w:r w:rsidRPr="00F743FC">
        <w:rPr>
          <w:i/>
          <w:iCs/>
          <w:sz w:val="18"/>
          <w:szCs w:val="18"/>
        </w:rPr>
        <w:t>,</w:t>
      </w:r>
      <w:r w:rsidRPr="00831C98">
        <w:rPr>
          <w:iCs/>
          <w:sz w:val="18"/>
          <w:szCs w:val="18"/>
        </w:rPr>
        <w:t xml:space="preserve"> </w:t>
      </w:r>
      <w:r w:rsidRPr="00831C98">
        <w:rPr>
          <w:sz w:val="18"/>
          <w:szCs w:val="18"/>
        </w:rPr>
        <w:t xml:space="preserve">67(3), 221-230. </w:t>
      </w:r>
    </w:p>
    <w:p w:rsidR="0013693B" w:rsidRPr="00831C98" w:rsidRDefault="0013693B" w:rsidP="00831C98">
      <w:pPr>
        <w:widowControl w:val="0"/>
        <w:ind w:left="425" w:hanging="425"/>
        <w:jc w:val="both"/>
        <w:rPr>
          <w:sz w:val="18"/>
          <w:szCs w:val="18"/>
        </w:rPr>
      </w:pPr>
      <w:proofErr w:type="gramStart"/>
      <w:r w:rsidRPr="00831C98">
        <w:rPr>
          <w:sz w:val="18"/>
          <w:szCs w:val="18"/>
        </w:rPr>
        <w:t>Shen, Y., Jin, L., Xiao, P., Lu, Y., &amp;</w:t>
      </w:r>
      <w:r w:rsidR="009D7A69">
        <w:rPr>
          <w:sz w:val="18"/>
          <w:szCs w:val="18"/>
        </w:rPr>
        <w:t xml:space="preserve"> </w:t>
      </w:r>
      <w:proofErr w:type="spellStart"/>
      <w:r w:rsidRPr="00831C98">
        <w:rPr>
          <w:sz w:val="18"/>
          <w:szCs w:val="18"/>
        </w:rPr>
        <w:t>Bao</w:t>
      </w:r>
      <w:proofErr w:type="spellEnd"/>
      <w:r w:rsidRPr="00831C98">
        <w:rPr>
          <w:sz w:val="18"/>
          <w:szCs w:val="18"/>
        </w:rPr>
        <w:t>, J. (2009).</w:t>
      </w:r>
      <w:proofErr w:type="gramEnd"/>
      <w:r w:rsidR="009D7A69">
        <w:rPr>
          <w:sz w:val="18"/>
          <w:szCs w:val="18"/>
        </w:rPr>
        <w:t xml:space="preserve">  </w:t>
      </w:r>
      <w:proofErr w:type="gramStart"/>
      <w:r w:rsidRPr="00831C98">
        <w:rPr>
          <w:sz w:val="18"/>
          <w:szCs w:val="18"/>
        </w:rPr>
        <w:t xml:space="preserve">Total </w:t>
      </w:r>
      <w:proofErr w:type="spellStart"/>
      <w:r w:rsidRPr="00831C98">
        <w:rPr>
          <w:sz w:val="18"/>
          <w:szCs w:val="18"/>
        </w:rPr>
        <w:t>phenolics</w:t>
      </w:r>
      <w:proofErr w:type="spellEnd"/>
      <w:r w:rsidRPr="00831C98">
        <w:rPr>
          <w:sz w:val="18"/>
          <w:szCs w:val="18"/>
        </w:rPr>
        <w:t xml:space="preserve">, flavonoids, antioxidant capacity in rice grain and their relations to grain </w:t>
      </w:r>
      <w:proofErr w:type="spellStart"/>
      <w:r w:rsidRPr="00831C98">
        <w:rPr>
          <w:sz w:val="18"/>
          <w:szCs w:val="18"/>
        </w:rPr>
        <w:t>color</w:t>
      </w:r>
      <w:proofErr w:type="spellEnd"/>
      <w:r w:rsidRPr="00831C98">
        <w:rPr>
          <w:sz w:val="18"/>
          <w:szCs w:val="18"/>
        </w:rPr>
        <w:t>, size and weight.</w:t>
      </w:r>
      <w:proofErr w:type="gramEnd"/>
      <w:r w:rsidR="009D7A69">
        <w:rPr>
          <w:sz w:val="18"/>
          <w:szCs w:val="18"/>
        </w:rPr>
        <w:t xml:space="preserve"> </w:t>
      </w:r>
      <w:r w:rsidRPr="00F743FC">
        <w:rPr>
          <w:i/>
          <w:iCs/>
          <w:sz w:val="18"/>
          <w:szCs w:val="18"/>
        </w:rPr>
        <w:t>Journal of Cereal Science,</w:t>
      </w:r>
      <w:r w:rsidRPr="00831C98">
        <w:rPr>
          <w:iCs/>
          <w:sz w:val="18"/>
          <w:szCs w:val="18"/>
        </w:rPr>
        <w:t xml:space="preserve"> </w:t>
      </w:r>
      <w:r w:rsidRPr="00831C98">
        <w:rPr>
          <w:sz w:val="18"/>
          <w:szCs w:val="18"/>
        </w:rPr>
        <w:t>49(1), 106-111.</w:t>
      </w:r>
    </w:p>
    <w:p w:rsidR="0013693B" w:rsidRPr="00831C98" w:rsidRDefault="0013693B" w:rsidP="00831C98">
      <w:pPr>
        <w:widowControl w:val="0"/>
        <w:ind w:left="425" w:hanging="425"/>
        <w:jc w:val="both"/>
        <w:rPr>
          <w:sz w:val="18"/>
          <w:szCs w:val="18"/>
        </w:rPr>
      </w:pPr>
      <w:proofErr w:type="spellStart"/>
      <w:proofErr w:type="gramStart"/>
      <w:r w:rsidRPr="00831C98">
        <w:rPr>
          <w:sz w:val="18"/>
          <w:szCs w:val="18"/>
        </w:rPr>
        <w:t>Simić</w:t>
      </w:r>
      <w:proofErr w:type="spellEnd"/>
      <w:r w:rsidRPr="00831C98">
        <w:rPr>
          <w:sz w:val="18"/>
          <w:szCs w:val="18"/>
        </w:rPr>
        <w:t xml:space="preserve">, A., </w:t>
      </w:r>
      <w:proofErr w:type="spellStart"/>
      <w:r w:rsidRPr="00831C98">
        <w:rPr>
          <w:sz w:val="18"/>
          <w:szCs w:val="18"/>
        </w:rPr>
        <w:t>Sredojević</w:t>
      </w:r>
      <w:proofErr w:type="spellEnd"/>
      <w:r w:rsidRPr="00831C98">
        <w:rPr>
          <w:sz w:val="18"/>
          <w:szCs w:val="18"/>
        </w:rPr>
        <w:t xml:space="preserve">, S., </w:t>
      </w:r>
      <w:proofErr w:type="spellStart"/>
      <w:r w:rsidRPr="00831C98">
        <w:rPr>
          <w:sz w:val="18"/>
          <w:szCs w:val="18"/>
        </w:rPr>
        <w:t>Todorović</w:t>
      </w:r>
      <w:proofErr w:type="spellEnd"/>
      <w:r w:rsidRPr="00831C98">
        <w:rPr>
          <w:sz w:val="18"/>
          <w:szCs w:val="18"/>
        </w:rPr>
        <w:t xml:space="preserve">, M., </w:t>
      </w:r>
      <w:proofErr w:type="spellStart"/>
      <w:r w:rsidRPr="00831C98">
        <w:rPr>
          <w:sz w:val="18"/>
          <w:szCs w:val="18"/>
        </w:rPr>
        <w:t>Đukanović</w:t>
      </w:r>
      <w:proofErr w:type="spellEnd"/>
      <w:r w:rsidRPr="00831C98">
        <w:rPr>
          <w:sz w:val="18"/>
          <w:szCs w:val="18"/>
        </w:rPr>
        <w:t>, L., &amp;</w:t>
      </w:r>
      <w:r w:rsidR="00636420">
        <w:rPr>
          <w:sz w:val="18"/>
          <w:szCs w:val="18"/>
        </w:rPr>
        <w:t xml:space="preserve"> </w:t>
      </w:r>
      <w:proofErr w:type="spellStart"/>
      <w:r w:rsidRPr="00831C98">
        <w:rPr>
          <w:sz w:val="18"/>
          <w:szCs w:val="18"/>
        </w:rPr>
        <w:t>Radenović</w:t>
      </w:r>
      <w:proofErr w:type="spellEnd"/>
      <w:r w:rsidRPr="00831C98">
        <w:rPr>
          <w:sz w:val="18"/>
          <w:szCs w:val="18"/>
        </w:rPr>
        <w:t>, Č. (2004).</w:t>
      </w:r>
      <w:proofErr w:type="gramEnd"/>
      <w:r w:rsidR="00636420">
        <w:rPr>
          <w:sz w:val="18"/>
          <w:szCs w:val="18"/>
        </w:rPr>
        <w:t xml:space="preserve"> </w:t>
      </w:r>
      <w:proofErr w:type="gramStart"/>
      <w:r w:rsidRPr="00831C98">
        <w:rPr>
          <w:sz w:val="18"/>
          <w:szCs w:val="18"/>
        </w:rPr>
        <w:t xml:space="preserve">Studies on the relationship between content of total </w:t>
      </w:r>
      <w:proofErr w:type="spellStart"/>
      <w:r w:rsidRPr="00831C98">
        <w:rPr>
          <w:sz w:val="18"/>
          <w:szCs w:val="18"/>
        </w:rPr>
        <w:t>phenolics</w:t>
      </w:r>
      <w:proofErr w:type="spellEnd"/>
      <w:r w:rsidRPr="00831C98">
        <w:rPr>
          <w:sz w:val="18"/>
          <w:szCs w:val="18"/>
        </w:rPr>
        <w:t xml:space="preserve"> in exudates and germination ability of maize seed during accelerated aging.</w:t>
      </w:r>
      <w:proofErr w:type="gramEnd"/>
      <w:r w:rsidR="00636420">
        <w:rPr>
          <w:sz w:val="18"/>
          <w:szCs w:val="18"/>
        </w:rPr>
        <w:t xml:space="preserve"> </w:t>
      </w:r>
      <w:r w:rsidRPr="00F743FC">
        <w:rPr>
          <w:i/>
          <w:iCs/>
          <w:sz w:val="18"/>
          <w:szCs w:val="18"/>
        </w:rPr>
        <w:t>Seed Science and Technology</w:t>
      </w:r>
      <w:r w:rsidRPr="00831C98">
        <w:rPr>
          <w:iCs/>
          <w:sz w:val="18"/>
          <w:szCs w:val="18"/>
        </w:rPr>
        <w:t xml:space="preserve">, </w:t>
      </w:r>
      <w:r w:rsidRPr="00831C98">
        <w:rPr>
          <w:sz w:val="18"/>
          <w:szCs w:val="18"/>
        </w:rPr>
        <w:t>32, 213-218.</w:t>
      </w:r>
    </w:p>
    <w:p w:rsidR="0013693B" w:rsidRPr="00831C98" w:rsidRDefault="0013693B" w:rsidP="00831C98">
      <w:pPr>
        <w:widowControl w:val="0"/>
        <w:ind w:left="425" w:hanging="425"/>
        <w:jc w:val="both"/>
        <w:rPr>
          <w:sz w:val="18"/>
          <w:szCs w:val="18"/>
        </w:rPr>
      </w:pPr>
      <w:proofErr w:type="spellStart"/>
      <w:r w:rsidRPr="00831C98">
        <w:rPr>
          <w:sz w:val="18"/>
          <w:szCs w:val="18"/>
        </w:rPr>
        <w:t>Taie</w:t>
      </w:r>
      <w:proofErr w:type="spellEnd"/>
      <w:r w:rsidRPr="00831C98">
        <w:rPr>
          <w:sz w:val="18"/>
          <w:szCs w:val="18"/>
        </w:rPr>
        <w:t>, H.A.A., El-</w:t>
      </w:r>
      <w:proofErr w:type="spellStart"/>
      <w:r w:rsidRPr="00831C98">
        <w:rPr>
          <w:sz w:val="18"/>
          <w:szCs w:val="18"/>
        </w:rPr>
        <w:t>Mergawi</w:t>
      </w:r>
      <w:proofErr w:type="spellEnd"/>
      <w:r w:rsidRPr="00831C98">
        <w:rPr>
          <w:sz w:val="18"/>
          <w:szCs w:val="18"/>
        </w:rPr>
        <w:t>, R., &amp;</w:t>
      </w:r>
      <w:r w:rsidR="00636420">
        <w:rPr>
          <w:sz w:val="18"/>
          <w:szCs w:val="18"/>
        </w:rPr>
        <w:t xml:space="preserve"> </w:t>
      </w:r>
      <w:proofErr w:type="spellStart"/>
      <w:r w:rsidRPr="00831C98">
        <w:rPr>
          <w:sz w:val="18"/>
          <w:szCs w:val="18"/>
        </w:rPr>
        <w:t>Radwan</w:t>
      </w:r>
      <w:proofErr w:type="spellEnd"/>
      <w:r w:rsidRPr="00831C98">
        <w:rPr>
          <w:sz w:val="18"/>
          <w:szCs w:val="18"/>
        </w:rPr>
        <w:t xml:space="preserve">, S. (2008). </w:t>
      </w:r>
      <w:proofErr w:type="spellStart"/>
      <w:r w:rsidRPr="00831C98">
        <w:rPr>
          <w:sz w:val="18"/>
          <w:szCs w:val="18"/>
        </w:rPr>
        <w:t>Isoflavonoids</w:t>
      </w:r>
      <w:proofErr w:type="spellEnd"/>
      <w:r w:rsidRPr="00831C98">
        <w:rPr>
          <w:sz w:val="18"/>
          <w:szCs w:val="18"/>
        </w:rPr>
        <w:t xml:space="preserve">, flavonoids, phenolic acids profiles and antioxidant activity of soybean seeds as affected by organic and bioorganic fertilization. </w:t>
      </w:r>
      <w:r w:rsidRPr="00F743FC">
        <w:rPr>
          <w:i/>
          <w:iCs/>
          <w:sz w:val="18"/>
          <w:szCs w:val="18"/>
        </w:rPr>
        <w:t>American-Eurasian Journal of Agricultural and Environmental Sciences,</w:t>
      </w:r>
      <w:r w:rsidRPr="00831C98">
        <w:rPr>
          <w:iCs/>
          <w:sz w:val="18"/>
          <w:szCs w:val="18"/>
        </w:rPr>
        <w:t xml:space="preserve"> </w:t>
      </w:r>
      <w:r w:rsidRPr="00831C98">
        <w:rPr>
          <w:sz w:val="18"/>
          <w:szCs w:val="18"/>
        </w:rPr>
        <w:t>4(2), 207-213.</w:t>
      </w:r>
    </w:p>
    <w:p w:rsidR="0013693B" w:rsidRPr="00831C98" w:rsidRDefault="0013693B" w:rsidP="00831C98">
      <w:pPr>
        <w:widowControl w:val="0"/>
        <w:ind w:left="425" w:hanging="425"/>
        <w:jc w:val="both"/>
        <w:rPr>
          <w:sz w:val="18"/>
          <w:szCs w:val="18"/>
        </w:rPr>
      </w:pPr>
      <w:proofErr w:type="spellStart"/>
      <w:proofErr w:type="gramStart"/>
      <w:r w:rsidRPr="00831C98">
        <w:rPr>
          <w:sz w:val="18"/>
          <w:szCs w:val="18"/>
        </w:rPr>
        <w:t>Yafang</w:t>
      </w:r>
      <w:proofErr w:type="spellEnd"/>
      <w:r w:rsidRPr="00831C98">
        <w:rPr>
          <w:sz w:val="18"/>
          <w:szCs w:val="18"/>
        </w:rPr>
        <w:t xml:space="preserve">, S., </w:t>
      </w:r>
      <w:proofErr w:type="spellStart"/>
      <w:r w:rsidRPr="00831C98">
        <w:rPr>
          <w:sz w:val="18"/>
          <w:szCs w:val="18"/>
        </w:rPr>
        <w:t>Gan</w:t>
      </w:r>
      <w:proofErr w:type="spellEnd"/>
      <w:r w:rsidRPr="00831C98">
        <w:rPr>
          <w:sz w:val="18"/>
          <w:szCs w:val="18"/>
        </w:rPr>
        <w:t>, Z., &amp;</w:t>
      </w:r>
      <w:r w:rsidR="00636420">
        <w:rPr>
          <w:sz w:val="18"/>
          <w:szCs w:val="18"/>
        </w:rPr>
        <w:t xml:space="preserve"> </w:t>
      </w:r>
      <w:proofErr w:type="spellStart"/>
      <w:r w:rsidRPr="00831C98">
        <w:rPr>
          <w:sz w:val="18"/>
          <w:szCs w:val="18"/>
        </w:rPr>
        <w:t>Jinsong</w:t>
      </w:r>
      <w:proofErr w:type="spellEnd"/>
      <w:r w:rsidRPr="00831C98">
        <w:rPr>
          <w:sz w:val="18"/>
          <w:szCs w:val="18"/>
        </w:rPr>
        <w:t>, B. (2011).</w:t>
      </w:r>
      <w:proofErr w:type="gramEnd"/>
      <w:r w:rsidR="00636420">
        <w:rPr>
          <w:sz w:val="18"/>
          <w:szCs w:val="18"/>
        </w:rPr>
        <w:t xml:space="preserve"> </w:t>
      </w:r>
      <w:proofErr w:type="gramStart"/>
      <w:r w:rsidRPr="00831C98">
        <w:rPr>
          <w:sz w:val="18"/>
          <w:szCs w:val="18"/>
        </w:rPr>
        <w:t>Total phenolic content and antioxidant capacity of rice grains with extremely small size.</w:t>
      </w:r>
      <w:proofErr w:type="gramEnd"/>
      <w:r w:rsidR="00636420">
        <w:rPr>
          <w:sz w:val="18"/>
          <w:szCs w:val="18"/>
        </w:rPr>
        <w:t xml:space="preserve"> </w:t>
      </w:r>
      <w:r w:rsidRPr="00F743FC">
        <w:rPr>
          <w:i/>
          <w:iCs/>
          <w:sz w:val="18"/>
          <w:szCs w:val="18"/>
        </w:rPr>
        <w:t>African Journal of Agricultural Research,</w:t>
      </w:r>
      <w:r w:rsidRPr="00831C98">
        <w:rPr>
          <w:iCs/>
          <w:sz w:val="18"/>
          <w:szCs w:val="18"/>
        </w:rPr>
        <w:t xml:space="preserve"> </w:t>
      </w:r>
      <w:r w:rsidRPr="00831C98">
        <w:rPr>
          <w:sz w:val="18"/>
          <w:szCs w:val="18"/>
        </w:rPr>
        <w:t>6(10), 2289-2293.</w:t>
      </w:r>
    </w:p>
    <w:p w:rsidR="0013693B" w:rsidRPr="00831C98" w:rsidRDefault="0013693B" w:rsidP="00831C98">
      <w:pPr>
        <w:widowControl w:val="0"/>
        <w:ind w:left="425" w:hanging="425"/>
        <w:jc w:val="both"/>
        <w:rPr>
          <w:sz w:val="18"/>
          <w:szCs w:val="18"/>
        </w:rPr>
      </w:pPr>
      <w:proofErr w:type="gramStart"/>
      <w:r w:rsidRPr="00831C98">
        <w:rPr>
          <w:sz w:val="18"/>
          <w:szCs w:val="18"/>
        </w:rPr>
        <w:t>Yang, C.H., Chai, Q., &amp; Huang, G.B. (2010).</w:t>
      </w:r>
      <w:proofErr w:type="gramEnd"/>
      <w:r w:rsidRPr="00831C98">
        <w:rPr>
          <w:sz w:val="18"/>
          <w:szCs w:val="18"/>
        </w:rPr>
        <w:t xml:space="preserve"> Root distribution and yield responses of wheat/maize </w:t>
      </w:r>
      <w:r w:rsidRPr="00831C98">
        <w:rPr>
          <w:sz w:val="18"/>
          <w:szCs w:val="18"/>
        </w:rPr>
        <w:lastRenderedPageBreak/>
        <w:t xml:space="preserve">intercropping to alternate irrigation in the arid areas of northwest China. </w:t>
      </w:r>
      <w:r w:rsidRPr="00F743FC">
        <w:rPr>
          <w:i/>
          <w:iCs/>
          <w:sz w:val="18"/>
          <w:szCs w:val="18"/>
        </w:rPr>
        <w:t xml:space="preserve">Plant Soil and Environment, </w:t>
      </w:r>
      <w:r w:rsidRPr="00831C98">
        <w:rPr>
          <w:sz w:val="18"/>
          <w:szCs w:val="18"/>
        </w:rPr>
        <w:t>56(6), 253-262.</w:t>
      </w:r>
    </w:p>
    <w:p w:rsidR="0013693B" w:rsidRPr="00831C98" w:rsidRDefault="0013693B" w:rsidP="00831C98">
      <w:pPr>
        <w:widowControl w:val="0"/>
        <w:ind w:left="425" w:hanging="425"/>
        <w:jc w:val="both"/>
        <w:rPr>
          <w:sz w:val="18"/>
          <w:szCs w:val="18"/>
        </w:rPr>
      </w:pPr>
      <w:proofErr w:type="gramStart"/>
      <w:r w:rsidRPr="00831C98">
        <w:rPr>
          <w:sz w:val="18"/>
          <w:szCs w:val="18"/>
        </w:rPr>
        <w:t>Yang, Y., Wu, F., &amp; Zhou, X. (2013).</w:t>
      </w:r>
      <w:proofErr w:type="gramEnd"/>
      <w:r w:rsidR="00636420">
        <w:rPr>
          <w:sz w:val="18"/>
          <w:szCs w:val="18"/>
        </w:rPr>
        <w:t xml:space="preserve"> </w:t>
      </w:r>
      <w:proofErr w:type="gramStart"/>
      <w:r w:rsidRPr="00831C98">
        <w:rPr>
          <w:sz w:val="18"/>
          <w:szCs w:val="18"/>
        </w:rPr>
        <w:t xml:space="preserve">Protein expression in accessions of Chinese onion with different </w:t>
      </w:r>
      <w:proofErr w:type="spellStart"/>
      <w:r w:rsidRPr="00831C98">
        <w:rPr>
          <w:sz w:val="18"/>
          <w:szCs w:val="18"/>
        </w:rPr>
        <w:t>allelopathic</w:t>
      </w:r>
      <w:proofErr w:type="spellEnd"/>
      <w:r w:rsidRPr="00831C98">
        <w:rPr>
          <w:sz w:val="18"/>
          <w:szCs w:val="18"/>
        </w:rPr>
        <w:t xml:space="preserve"> potentials under </w:t>
      </w:r>
      <w:proofErr w:type="spellStart"/>
      <w:r w:rsidRPr="00831C98">
        <w:rPr>
          <w:sz w:val="18"/>
          <w:szCs w:val="18"/>
        </w:rPr>
        <w:t>monocropping</w:t>
      </w:r>
      <w:proofErr w:type="spellEnd"/>
      <w:r w:rsidRPr="00831C98">
        <w:rPr>
          <w:sz w:val="18"/>
          <w:szCs w:val="18"/>
        </w:rPr>
        <w:t xml:space="preserve"> and intercropping systems.</w:t>
      </w:r>
      <w:proofErr w:type="gramEnd"/>
      <w:r w:rsidR="009A406F">
        <w:rPr>
          <w:sz w:val="18"/>
          <w:szCs w:val="18"/>
        </w:rPr>
        <w:t xml:space="preserve"> </w:t>
      </w:r>
      <w:proofErr w:type="spellStart"/>
      <w:r w:rsidRPr="00F743FC">
        <w:rPr>
          <w:i/>
          <w:iCs/>
          <w:sz w:val="18"/>
          <w:szCs w:val="18"/>
        </w:rPr>
        <w:t>Acta</w:t>
      </w:r>
      <w:proofErr w:type="spellEnd"/>
      <w:r w:rsidR="009A406F" w:rsidRPr="00F743FC">
        <w:rPr>
          <w:i/>
          <w:iCs/>
          <w:sz w:val="18"/>
          <w:szCs w:val="18"/>
        </w:rPr>
        <w:t xml:space="preserve"> </w:t>
      </w:r>
      <w:proofErr w:type="spellStart"/>
      <w:r w:rsidRPr="00F743FC">
        <w:rPr>
          <w:i/>
          <w:iCs/>
          <w:sz w:val="18"/>
          <w:szCs w:val="18"/>
        </w:rPr>
        <w:t>Physiologie</w:t>
      </w:r>
      <w:proofErr w:type="spellEnd"/>
      <w:r w:rsidR="009A406F" w:rsidRPr="00F743FC">
        <w:rPr>
          <w:i/>
          <w:iCs/>
          <w:sz w:val="18"/>
          <w:szCs w:val="18"/>
        </w:rPr>
        <w:t xml:space="preserve"> </w:t>
      </w:r>
      <w:proofErr w:type="spellStart"/>
      <w:r w:rsidRPr="00F743FC">
        <w:rPr>
          <w:i/>
          <w:iCs/>
          <w:sz w:val="18"/>
          <w:szCs w:val="18"/>
        </w:rPr>
        <w:t>Plantarum</w:t>
      </w:r>
      <w:proofErr w:type="spellEnd"/>
      <w:r w:rsidRPr="00F743FC">
        <w:rPr>
          <w:i/>
          <w:iCs/>
          <w:sz w:val="18"/>
          <w:szCs w:val="18"/>
        </w:rPr>
        <w:t>,</w:t>
      </w:r>
      <w:r w:rsidRPr="00831C98">
        <w:rPr>
          <w:iCs/>
          <w:sz w:val="18"/>
          <w:szCs w:val="18"/>
        </w:rPr>
        <w:t xml:space="preserve"> </w:t>
      </w:r>
      <w:r w:rsidRPr="00831C98">
        <w:rPr>
          <w:sz w:val="18"/>
          <w:szCs w:val="18"/>
        </w:rPr>
        <w:t>35(7), 2241-2250.</w:t>
      </w:r>
    </w:p>
    <w:p w:rsidR="0013693B" w:rsidRPr="00831C98" w:rsidRDefault="0013693B" w:rsidP="00831C98">
      <w:pPr>
        <w:widowControl w:val="0"/>
        <w:ind w:left="425" w:hanging="425"/>
        <w:jc w:val="both"/>
        <w:rPr>
          <w:sz w:val="18"/>
          <w:szCs w:val="18"/>
        </w:rPr>
      </w:pPr>
      <w:proofErr w:type="gramStart"/>
      <w:r w:rsidRPr="00831C98">
        <w:rPr>
          <w:sz w:val="18"/>
          <w:szCs w:val="18"/>
        </w:rPr>
        <w:t xml:space="preserve">Zhang, X., Huang, G., </w:t>
      </w:r>
      <w:proofErr w:type="spellStart"/>
      <w:r w:rsidRPr="00831C98">
        <w:rPr>
          <w:sz w:val="18"/>
          <w:szCs w:val="18"/>
        </w:rPr>
        <w:t>Bian</w:t>
      </w:r>
      <w:proofErr w:type="spellEnd"/>
      <w:r w:rsidRPr="00831C98">
        <w:rPr>
          <w:sz w:val="18"/>
          <w:szCs w:val="18"/>
        </w:rPr>
        <w:t>, X., &amp; Zhao, Q. (2013).</w:t>
      </w:r>
      <w:proofErr w:type="gramEnd"/>
      <w:r w:rsidRPr="00831C98">
        <w:rPr>
          <w:sz w:val="18"/>
          <w:szCs w:val="18"/>
        </w:rPr>
        <w:t xml:space="preserve"> Effects of root interaction and nitrogen fertilization on the chlorophyll content, root activity, photosynthetic characteristics of intercropped soybean and microbial quantity in the rhizosphere. </w:t>
      </w:r>
      <w:r w:rsidRPr="00F743FC">
        <w:rPr>
          <w:i/>
          <w:iCs/>
          <w:sz w:val="18"/>
          <w:szCs w:val="18"/>
        </w:rPr>
        <w:t>Plant Soil and Environment,</w:t>
      </w:r>
      <w:r w:rsidRPr="00831C98">
        <w:rPr>
          <w:iCs/>
          <w:sz w:val="18"/>
          <w:szCs w:val="18"/>
        </w:rPr>
        <w:t xml:space="preserve"> </w:t>
      </w:r>
      <w:r w:rsidRPr="00831C98">
        <w:rPr>
          <w:sz w:val="18"/>
          <w:szCs w:val="18"/>
        </w:rPr>
        <w:t>59, 80-88.</w:t>
      </w:r>
    </w:p>
    <w:p w:rsidR="0013693B" w:rsidRPr="00831C98" w:rsidRDefault="0013693B" w:rsidP="00831C98">
      <w:pPr>
        <w:widowControl w:val="0"/>
        <w:ind w:left="425" w:hanging="425"/>
        <w:jc w:val="both"/>
        <w:rPr>
          <w:sz w:val="18"/>
          <w:szCs w:val="18"/>
        </w:rPr>
      </w:pPr>
      <w:proofErr w:type="spellStart"/>
      <w:proofErr w:type="gramStart"/>
      <w:r w:rsidRPr="00831C98">
        <w:rPr>
          <w:sz w:val="18"/>
          <w:szCs w:val="18"/>
        </w:rPr>
        <w:t>Žilić</w:t>
      </w:r>
      <w:proofErr w:type="spellEnd"/>
      <w:r w:rsidRPr="00831C98">
        <w:rPr>
          <w:sz w:val="18"/>
          <w:szCs w:val="18"/>
        </w:rPr>
        <w:t xml:space="preserve">, S., </w:t>
      </w:r>
      <w:proofErr w:type="spellStart"/>
      <w:r w:rsidRPr="00831C98">
        <w:rPr>
          <w:sz w:val="18"/>
          <w:szCs w:val="18"/>
        </w:rPr>
        <w:t>Hadži-Tašković</w:t>
      </w:r>
      <w:proofErr w:type="spellEnd"/>
      <w:r w:rsidR="00540D65">
        <w:rPr>
          <w:sz w:val="18"/>
          <w:szCs w:val="18"/>
        </w:rPr>
        <w:t xml:space="preserve"> </w:t>
      </w:r>
      <w:proofErr w:type="spellStart"/>
      <w:r w:rsidRPr="00831C98">
        <w:rPr>
          <w:sz w:val="18"/>
          <w:szCs w:val="18"/>
        </w:rPr>
        <w:t>Šukalović</w:t>
      </w:r>
      <w:proofErr w:type="spellEnd"/>
      <w:r w:rsidRPr="00831C98">
        <w:rPr>
          <w:sz w:val="18"/>
          <w:szCs w:val="18"/>
        </w:rPr>
        <w:t xml:space="preserve">, V., </w:t>
      </w:r>
      <w:proofErr w:type="spellStart"/>
      <w:r w:rsidRPr="00831C98">
        <w:rPr>
          <w:sz w:val="18"/>
          <w:szCs w:val="18"/>
        </w:rPr>
        <w:t>Maksimović</w:t>
      </w:r>
      <w:proofErr w:type="spellEnd"/>
      <w:r w:rsidRPr="00831C98">
        <w:rPr>
          <w:sz w:val="18"/>
          <w:szCs w:val="18"/>
        </w:rPr>
        <w:t xml:space="preserve">, V., </w:t>
      </w:r>
      <w:proofErr w:type="spellStart"/>
      <w:r w:rsidRPr="00831C98">
        <w:rPr>
          <w:sz w:val="18"/>
          <w:szCs w:val="18"/>
        </w:rPr>
        <w:t>Maksimović</w:t>
      </w:r>
      <w:proofErr w:type="spellEnd"/>
      <w:r w:rsidRPr="00831C98">
        <w:rPr>
          <w:sz w:val="18"/>
          <w:szCs w:val="18"/>
        </w:rPr>
        <w:t xml:space="preserve">, M., </w:t>
      </w:r>
      <w:proofErr w:type="spellStart"/>
      <w:r w:rsidRPr="00831C98">
        <w:rPr>
          <w:sz w:val="18"/>
          <w:szCs w:val="18"/>
        </w:rPr>
        <w:t>Basić</w:t>
      </w:r>
      <w:proofErr w:type="spellEnd"/>
      <w:r w:rsidRPr="00831C98">
        <w:rPr>
          <w:sz w:val="18"/>
          <w:szCs w:val="18"/>
        </w:rPr>
        <w:t xml:space="preserve">, Z., </w:t>
      </w:r>
      <w:proofErr w:type="spellStart"/>
      <w:r w:rsidRPr="00831C98">
        <w:rPr>
          <w:sz w:val="18"/>
          <w:szCs w:val="18"/>
        </w:rPr>
        <w:t>Perić</w:t>
      </w:r>
      <w:proofErr w:type="spellEnd"/>
      <w:r w:rsidRPr="00831C98">
        <w:rPr>
          <w:sz w:val="18"/>
          <w:szCs w:val="18"/>
        </w:rPr>
        <w:t>, V., &amp;</w:t>
      </w:r>
      <w:r w:rsidR="00636420">
        <w:rPr>
          <w:sz w:val="18"/>
          <w:szCs w:val="18"/>
        </w:rPr>
        <w:t xml:space="preserve"> </w:t>
      </w:r>
      <w:proofErr w:type="spellStart"/>
      <w:r w:rsidRPr="00831C98">
        <w:rPr>
          <w:sz w:val="18"/>
          <w:szCs w:val="18"/>
        </w:rPr>
        <w:t>Dragišić-Maksimović</w:t>
      </w:r>
      <w:proofErr w:type="spellEnd"/>
      <w:r w:rsidRPr="00831C98">
        <w:rPr>
          <w:sz w:val="18"/>
          <w:szCs w:val="18"/>
        </w:rPr>
        <w:t>, J. (2011).</w:t>
      </w:r>
      <w:proofErr w:type="gramEnd"/>
      <w:r w:rsidRPr="00831C98">
        <w:rPr>
          <w:sz w:val="18"/>
          <w:szCs w:val="18"/>
        </w:rPr>
        <w:t xml:space="preserve"> Antioxidant properties of soybean with black and yellow kernel coat. In: </w:t>
      </w:r>
      <w:r w:rsidRPr="00F743FC">
        <w:rPr>
          <w:i/>
          <w:sz w:val="18"/>
          <w:szCs w:val="18"/>
        </w:rPr>
        <w:t>Proceedings. 46th Croatian and 6th International Symposium on Agriculture,</w:t>
      </w:r>
      <w:r w:rsidRPr="00831C98">
        <w:rPr>
          <w:sz w:val="18"/>
          <w:szCs w:val="18"/>
        </w:rPr>
        <w:t xml:space="preserve"> </w:t>
      </w:r>
      <w:proofErr w:type="spellStart"/>
      <w:r w:rsidRPr="00831C98">
        <w:rPr>
          <w:sz w:val="18"/>
          <w:szCs w:val="18"/>
        </w:rPr>
        <w:t>Opatija</w:t>
      </w:r>
      <w:proofErr w:type="spellEnd"/>
      <w:r w:rsidR="00F743FC">
        <w:rPr>
          <w:sz w:val="18"/>
          <w:szCs w:val="18"/>
        </w:rPr>
        <w:t>,</w:t>
      </w:r>
      <w:r w:rsidRPr="00831C98">
        <w:rPr>
          <w:sz w:val="18"/>
          <w:szCs w:val="18"/>
        </w:rPr>
        <w:t xml:space="preserve"> Croatia</w:t>
      </w:r>
      <w:r w:rsidR="00F743FC">
        <w:rPr>
          <w:sz w:val="18"/>
          <w:szCs w:val="18"/>
        </w:rPr>
        <w:t>,</w:t>
      </w:r>
      <w:r w:rsidRPr="00831C98">
        <w:rPr>
          <w:sz w:val="18"/>
          <w:szCs w:val="18"/>
        </w:rPr>
        <w:t xml:space="preserve"> 686-689.</w:t>
      </w:r>
    </w:p>
    <w:p w:rsidR="0013693B" w:rsidRDefault="0013693B" w:rsidP="00831C98">
      <w:pPr>
        <w:widowControl w:val="0"/>
        <w:ind w:left="425" w:hanging="425"/>
        <w:jc w:val="both"/>
        <w:rPr>
          <w:sz w:val="18"/>
          <w:szCs w:val="18"/>
        </w:rPr>
      </w:pPr>
      <w:proofErr w:type="spellStart"/>
      <w:proofErr w:type="gramStart"/>
      <w:r w:rsidRPr="00831C98">
        <w:rPr>
          <w:sz w:val="18"/>
          <w:szCs w:val="18"/>
        </w:rPr>
        <w:t>Žilić</w:t>
      </w:r>
      <w:proofErr w:type="spellEnd"/>
      <w:r w:rsidRPr="00831C98">
        <w:rPr>
          <w:sz w:val="18"/>
          <w:szCs w:val="18"/>
        </w:rPr>
        <w:t xml:space="preserve">, S., </w:t>
      </w:r>
      <w:proofErr w:type="spellStart"/>
      <w:r w:rsidRPr="00831C98">
        <w:rPr>
          <w:sz w:val="18"/>
          <w:szCs w:val="18"/>
        </w:rPr>
        <w:t>Milašinović</w:t>
      </w:r>
      <w:proofErr w:type="spellEnd"/>
      <w:r w:rsidRPr="00831C98">
        <w:rPr>
          <w:sz w:val="18"/>
          <w:szCs w:val="18"/>
        </w:rPr>
        <w:t xml:space="preserve">, M., </w:t>
      </w:r>
      <w:proofErr w:type="spellStart"/>
      <w:r w:rsidRPr="00831C98">
        <w:rPr>
          <w:sz w:val="18"/>
          <w:szCs w:val="18"/>
        </w:rPr>
        <w:t>Terzić</w:t>
      </w:r>
      <w:proofErr w:type="spellEnd"/>
      <w:r w:rsidRPr="00831C98">
        <w:rPr>
          <w:sz w:val="18"/>
          <w:szCs w:val="18"/>
        </w:rPr>
        <w:t xml:space="preserve">, D., </w:t>
      </w:r>
      <w:proofErr w:type="spellStart"/>
      <w:r w:rsidRPr="00831C98">
        <w:rPr>
          <w:sz w:val="18"/>
          <w:szCs w:val="18"/>
        </w:rPr>
        <w:t>Barać</w:t>
      </w:r>
      <w:proofErr w:type="spellEnd"/>
      <w:r w:rsidRPr="00831C98">
        <w:rPr>
          <w:sz w:val="18"/>
          <w:szCs w:val="18"/>
        </w:rPr>
        <w:t>, M.</w:t>
      </w:r>
      <w:proofErr w:type="gramEnd"/>
      <w:r w:rsidRPr="00831C98">
        <w:rPr>
          <w:sz w:val="18"/>
          <w:szCs w:val="18"/>
        </w:rPr>
        <w:t>, &amp;</w:t>
      </w:r>
      <w:r w:rsidR="00C07152">
        <w:rPr>
          <w:sz w:val="18"/>
          <w:szCs w:val="18"/>
        </w:rPr>
        <w:t xml:space="preserve"> </w:t>
      </w:r>
      <w:bookmarkStart w:id="0" w:name="_GoBack"/>
      <w:bookmarkEnd w:id="0"/>
      <w:proofErr w:type="spellStart"/>
      <w:r w:rsidRPr="00831C98">
        <w:rPr>
          <w:sz w:val="18"/>
          <w:szCs w:val="18"/>
        </w:rPr>
        <w:t>Ignjatović-Mićić</w:t>
      </w:r>
      <w:proofErr w:type="spellEnd"/>
      <w:r w:rsidRPr="00831C98">
        <w:rPr>
          <w:sz w:val="18"/>
          <w:szCs w:val="18"/>
        </w:rPr>
        <w:t xml:space="preserve">, D. </w:t>
      </w:r>
      <w:proofErr w:type="gramStart"/>
      <w:r w:rsidRPr="00831C98">
        <w:rPr>
          <w:sz w:val="18"/>
          <w:szCs w:val="18"/>
        </w:rPr>
        <w:t>(2011).</w:t>
      </w:r>
      <w:proofErr w:type="gramEnd"/>
      <w:r w:rsidR="00636420">
        <w:rPr>
          <w:sz w:val="18"/>
          <w:szCs w:val="18"/>
        </w:rPr>
        <w:t xml:space="preserve"> </w:t>
      </w:r>
      <w:proofErr w:type="gramStart"/>
      <w:r w:rsidRPr="00831C98">
        <w:rPr>
          <w:sz w:val="18"/>
          <w:szCs w:val="18"/>
        </w:rPr>
        <w:t>Grain characteristics and composition of maize specialty hybrids.</w:t>
      </w:r>
      <w:proofErr w:type="gramEnd"/>
      <w:r w:rsidR="00540D65">
        <w:rPr>
          <w:sz w:val="18"/>
          <w:szCs w:val="18"/>
        </w:rPr>
        <w:t xml:space="preserve"> </w:t>
      </w:r>
      <w:r w:rsidRPr="00F743FC">
        <w:rPr>
          <w:i/>
          <w:iCs/>
          <w:sz w:val="18"/>
          <w:szCs w:val="18"/>
        </w:rPr>
        <w:t>Spanish Journal of Agricultural Research,</w:t>
      </w:r>
      <w:r w:rsidRPr="00831C98">
        <w:rPr>
          <w:iCs/>
          <w:sz w:val="18"/>
          <w:szCs w:val="18"/>
        </w:rPr>
        <w:t xml:space="preserve"> </w:t>
      </w:r>
      <w:r w:rsidRPr="00831C98">
        <w:rPr>
          <w:sz w:val="18"/>
          <w:szCs w:val="18"/>
        </w:rPr>
        <w:t>9, 230-241.</w:t>
      </w:r>
    </w:p>
    <w:p w:rsidR="00831C98" w:rsidRDefault="00831C98" w:rsidP="00831C98">
      <w:pPr>
        <w:widowControl w:val="0"/>
        <w:ind w:left="425" w:hanging="425"/>
        <w:jc w:val="both"/>
        <w:rPr>
          <w:sz w:val="18"/>
          <w:szCs w:val="18"/>
        </w:rPr>
      </w:pPr>
    </w:p>
    <w:p w:rsidR="00831C98" w:rsidRDefault="00831C98" w:rsidP="00831C98">
      <w:pPr>
        <w:widowControl w:val="0"/>
        <w:ind w:left="425" w:hanging="425"/>
        <w:jc w:val="both"/>
        <w:rPr>
          <w:sz w:val="18"/>
          <w:szCs w:val="18"/>
        </w:rPr>
      </w:pPr>
    </w:p>
    <w:p w:rsidR="00831C98" w:rsidRDefault="00831C98" w:rsidP="00831C98">
      <w:pPr>
        <w:widowControl w:val="0"/>
        <w:ind w:left="425" w:hanging="425"/>
        <w:jc w:val="both"/>
        <w:rPr>
          <w:sz w:val="18"/>
          <w:szCs w:val="18"/>
        </w:rPr>
      </w:pPr>
    </w:p>
    <w:p w:rsidR="00831C98" w:rsidRPr="00831C98" w:rsidRDefault="00831C98" w:rsidP="00831C98">
      <w:pPr>
        <w:widowControl w:val="0"/>
        <w:ind w:left="425" w:hanging="425"/>
        <w:jc w:val="both"/>
        <w:rPr>
          <w:sz w:val="18"/>
          <w:szCs w:val="18"/>
        </w:rPr>
      </w:pPr>
    </w:p>
    <w:p w:rsidR="0013693B" w:rsidRPr="00FC35E6" w:rsidRDefault="0013693B" w:rsidP="0013693B">
      <w:pPr>
        <w:autoSpaceDE w:val="0"/>
        <w:autoSpaceDN w:val="0"/>
        <w:adjustRightInd w:val="0"/>
        <w:ind w:left="709" w:hanging="709"/>
        <w:jc w:val="right"/>
        <w:rPr>
          <w:sz w:val="18"/>
          <w:szCs w:val="18"/>
        </w:rPr>
      </w:pPr>
      <w:r w:rsidRPr="00FC35E6">
        <w:rPr>
          <w:sz w:val="18"/>
          <w:szCs w:val="18"/>
        </w:rPr>
        <w:t xml:space="preserve">Received: </w:t>
      </w:r>
      <w:r w:rsidR="00FC35E6" w:rsidRPr="00FC35E6">
        <w:rPr>
          <w:sz w:val="18"/>
          <w:szCs w:val="18"/>
        </w:rPr>
        <w:t>December 6</w:t>
      </w:r>
      <w:r w:rsidRPr="00FC35E6">
        <w:rPr>
          <w:sz w:val="18"/>
          <w:szCs w:val="18"/>
        </w:rPr>
        <w:t>, 2016</w:t>
      </w:r>
    </w:p>
    <w:p w:rsidR="0013693B" w:rsidRPr="007A4B8C" w:rsidRDefault="0013693B" w:rsidP="0013693B">
      <w:pPr>
        <w:autoSpaceDE w:val="0"/>
        <w:autoSpaceDN w:val="0"/>
        <w:adjustRightInd w:val="0"/>
        <w:ind w:left="709" w:hanging="709"/>
        <w:jc w:val="right"/>
        <w:rPr>
          <w:sz w:val="18"/>
          <w:szCs w:val="18"/>
        </w:rPr>
      </w:pPr>
      <w:r w:rsidRPr="00FC35E6">
        <w:rPr>
          <w:sz w:val="18"/>
          <w:szCs w:val="18"/>
        </w:rPr>
        <w:t xml:space="preserve">Accepted: </w:t>
      </w:r>
      <w:r w:rsidR="00FC35E6" w:rsidRPr="00FC35E6">
        <w:rPr>
          <w:sz w:val="18"/>
          <w:szCs w:val="18"/>
        </w:rPr>
        <w:t>February 27</w:t>
      </w:r>
      <w:r w:rsidRPr="00FC35E6">
        <w:rPr>
          <w:sz w:val="18"/>
          <w:szCs w:val="18"/>
        </w:rPr>
        <w:t>, 201</w:t>
      </w:r>
      <w:r w:rsidR="00FC35E6" w:rsidRPr="00FC35E6">
        <w:rPr>
          <w:sz w:val="18"/>
          <w:szCs w:val="18"/>
        </w:rPr>
        <w:t>7</w:t>
      </w:r>
    </w:p>
    <w:p w:rsidR="0013693B" w:rsidRDefault="0013693B" w:rsidP="0013693B">
      <w:pPr>
        <w:ind w:left="426" w:hanging="426"/>
        <w:rPr>
          <w:sz w:val="22"/>
          <w:szCs w:val="22"/>
        </w:rPr>
      </w:pPr>
    </w:p>
    <w:p w:rsidR="00831C98" w:rsidRDefault="00831C98" w:rsidP="0013693B">
      <w:pPr>
        <w:ind w:left="426" w:hanging="426"/>
        <w:rPr>
          <w:sz w:val="22"/>
          <w:szCs w:val="22"/>
        </w:rPr>
      </w:pPr>
    </w:p>
    <w:p w:rsidR="00831C98" w:rsidRDefault="00831C98" w:rsidP="0013693B">
      <w:pPr>
        <w:ind w:left="426" w:hanging="426"/>
        <w:rPr>
          <w:sz w:val="22"/>
          <w:szCs w:val="22"/>
        </w:rPr>
      </w:pPr>
    </w:p>
    <w:p w:rsidR="00831C98" w:rsidRDefault="00831C98" w:rsidP="0013693B">
      <w:pPr>
        <w:ind w:left="426" w:hanging="426"/>
        <w:rPr>
          <w:sz w:val="22"/>
          <w:szCs w:val="22"/>
        </w:rPr>
      </w:pPr>
    </w:p>
    <w:p w:rsidR="00831C98" w:rsidRDefault="00831C98" w:rsidP="0013693B">
      <w:pPr>
        <w:ind w:left="426" w:hanging="426"/>
        <w:rPr>
          <w:sz w:val="22"/>
          <w:szCs w:val="22"/>
        </w:rPr>
      </w:pPr>
    </w:p>
    <w:p w:rsidR="00831C98" w:rsidRDefault="00831C98" w:rsidP="0013693B">
      <w:pPr>
        <w:ind w:left="426" w:hanging="426"/>
        <w:rPr>
          <w:sz w:val="22"/>
          <w:szCs w:val="22"/>
        </w:rPr>
      </w:pPr>
    </w:p>
    <w:p w:rsidR="00831C98" w:rsidRDefault="00831C98" w:rsidP="0013693B">
      <w:pPr>
        <w:ind w:left="426" w:hanging="426"/>
        <w:rPr>
          <w:sz w:val="22"/>
          <w:szCs w:val="22"/>
        </w:rPr>
      </w:pPr>
    </w:p>
    <w:p w:rsidR="00831C98" w:rsidRDefault="00831C98" w:rsidP="0013693B">
      <w:pPr>
        <w:ind w:left="426" w:hanging="426"/>
        <w:rPr>
          <w:sz w:val="22"/>
          <w:szCs w:val="22"/>
        </w:rPr>
      </w:pPr>
    </w:p>
    <w:p w:rsidR="00831C98" w:rsidRDefault="00831C98" w:rsidP="0013693B">
      <w:pPr>
        <w:ind w:left="426" w:hanging="426"/>
        <w:rPr>
          <w:sz w:val="22"/>
          <w:szCs w:val="22"/>
        </w:rPr>
      </w:pPr>
    </w:p>
    <w:p w:rsidR="00831C98" w:rsidRDefault="00831C98" w:rsidP="0013693B">
      <w:pPr>
        <w:ind w:left="426" w:hanging="426"/>
        <w:rPr>
          <w:sz w:val="22"/>
          <w:szCs w:val="22"/>
        </w:rPr>
      </w:pPr>
    </w:p>
    <w:p w:rsidR="00831C98" w:rsidRDefault="00831C98" w:rsidP="0013693B">
      <w:pPr>
        <w:ind w:left="426" w:hanging="426"/>
        <w:rPr>
          <w:sz w:val="22"/>
          <w:szCs w:val="22"/>
        </w:rPr>
      </w:pPr>
    </w:p>
    <w:p w:rsidR="00831C98" w:rsidRDefault="00831C98" w:rsidP="0013693B">
      <w:pPr>
        <w:ind w:left="426" w:hanging="426"/>
        <w:rPr>
          <w:sz w:val="22"/>
          <w:szCs w:val="22"/>
        </w:rPr>
      </w:pPr>
    </w:p>
    <w:p w:rsidR="00831C98" w:rsidRDefault="00831C98" w:rsidP="0013693B">
      <w:pPr>
        <w:ind w:left="426" w:hanging="426"/>
        <w:rPr>
          <w:sz w:val="22"/>
          <w:szCs w:val="22"/>
        </w:rPr>
      </w:pPr>
    </w:p>
    <w:p w:rsidR="00831C98" w:rsidRDefault="00831C98" w:rsidP="0013693B">
      <w:pPr>
        <w:ind w:left="426" w:hanging="426"/>
        <w:rPr>
          <w:sz w:val="22"/>
          <w:szCs w:val="22"/>
        </w:rPr>
      </w:pPr>
    </w:p>
    <w:p w:rsidR="00831C98" w:rsidRDefault="00831C98" w:rsidP="0013693B">
      <w:pPr>
        <w:ind w:left="426" w:hanging="426"/>
        <w:rPr>
          <w:sz w:val="22"/>
          <w:szCs w:val="22"/>
        </w:rPr>
      </w:pPr>
    </w:p>
    <w:p w:rsidR="00831C98" w:rsidRDefault="00831C98" w:rsidP="0013693B">
      <w:pPr>
        <w:ind w:left="426" w:hanging="426"/>
        <w:rPr>
          <w:sz w:val="22"/>
          <w:szCs w:val="22"/>
        </w:rPr>
      </w:pPr>
    </w:p>
    <w:p w:rsidR="00831C98" w:rsidRDefault="00831C98" w:rsidP="0013693B">
      <w:pPr>
        <w:ind w:left="426" w:hanging="426"/>
        <w:rPr>
          <w:sz w:val="22"/>
          <w:szCs w:val="22"/>
        </w:rPr>
      </w:pPr>
    </w:p>
    <w:p w:rsidR="00831C98" w:rsidRDefault="00831C98" w:rsidP="0013693B">
      <w:pPr>
        <w:ind w:left="426" w:hanging="426"/>
        <w:rPr>
          <w:sz w:val="22"/>
          <w:szCs w:val="22"/>
        </w:rPr>
      </w:pPr>
    </w:p>
    <w:p w:rsidR="00831C98" w:rsidRDefault="00831C98" w:rsidP="0013693B">
      <w:pPr>
        <w:ind w:left="426" w:hanging="426"/>
        <w:rPr>
          <w:sz w:val="22"/>
          <w:szCs w:val="22"/>
        </w:rPr>
      </w:pPr>
    </w:p>
    <w:p w:rsidR="00831C98" w:rsidRDefault="00831C98" w:rsidP="0013693B">
      <w:pPr>
        <w:ind w:left="426" w:hanging="426"/>
        <w:rPr>
          <w:sz w:val="22"/>
          <w:szCs w:val="22"/>
        </w:rPr>
      </w:pPr>
    </w:p>
    <w:p w:rsidR="00831C98" w:rsidRDefault="00831C98" w:rsidP="0013693B">
      <w:pPr>
        <w:ind w:left="426" w:hanging="426"/>
        <w:rPr>
          <w:sz w:val="22"/>
          <w:szCs w:val="22"/>
        </w:rPr>
      </w:pPr>
    </w:p>
    <w:p w:rsidR="00831C98" w:rsidRPr="00831C98" w:rsidRDefault="00831C98" w:rsidP="0013693B">
      <w:pPr>
        <w:ind w:left="426" w:hanging="426"/>
        <w:rPr>
          <w:sz w:val="22"/>
          <w:szCs w:val="22"/>
        </w:rPr>
      </w:pPr>
    </w:p>
    <w:p w:rsidR="0013693B" w:rsidRPr="00831C98" w:rsidRDefault="0013693B" w:rsidP="0013693B">
      <w:pPr>
        <w:rPr>
          <w:sz w:val="22"/>
          <w:szCs w:val="22"/>
        </w:rPr>
      </w:pPr>
    </w:p>
    <w:p w:rsidR="00831C98" w:rsidRPr="00831C98" w:rsidRDefault="0013693B" w:rsidP="00F171ED">
      <w:pPr>
        <w:widowControl w:val="0"/>
        <w:jc w:val="center"/>
        <w:rPr>
          <w:sz w:val="22"/>
          <w:szCs w:val="22"/>
          <w:lang w:val="pl-PL"/>
        </w:rPr>
      </w:pPr>
      <w:r w:rsidRPr="00831C98">
        <w:rPr>
          <w:sz w:val="22"/>
          <w:szCs w:val="22"/>
          <w:lang w:val="pl-PL"/>
        </w:rPr>
        <w:lastRenderedPageBreak/>
        <w:t xml:space="preserve">SADRŽAJ NEKIH ANTIOKSIDANATA U ZRNU </w:t>
      </w:r>
      <w:r w:rsidR="00831C98" w:rsidRPr="00831C98">
        <w:rPr>
          <w:sz w:val="22"/>
          <w:szCs w:val="22"/>
          <w:lang w:val="pl-PL"/>
        </w:rPr>
        <w:t>KUKURUZA I</w:t>
      </w:r>
    </w:p>
    <w:p w:rsidR="0013693B" w:rsidRPr="00831C98" w:rsidRDefault="00831C98" w:rsidP="00F171ED">
      <w:pPr>
        <w:widowControl w:val="0"/>
        <w:jc w:val="center"/>
        <w:rPr>
          <w:sz w:val="22"/>
          <w:szCs w:val="22"/>
          <w:lang w:val="pl-PL"/>
        </w:rPr>
      </w:pPr>
      <w:r w:rsidRPr="00831C98">
        <w:rPr>
          <w:sz w:val="22"/>
          <w:szCs w:val="22"/>
          <w:lang w:val="pl-PL"/>
        </w:rPr>
        <w:t xml:space="preserve">SOJE </w:t>
      </w:r>
      <w:r w:rsidR="0013693B" w:rsidRPr="00831C98">
        <w:rPr>
          <w:sz w:val="22"/>
          <w:szCs w:val="22"/>
          <w:lang w:val="pl-PL"/>
        </w:rPr>
        <w:t>IZ ZDRUŽENOG USEVA</w:t>
      </w:r>
    </w:p>
    <w:p w:rsidR="0013693B" w:rsidRPr="00831C98" w:rsidRDefault="0013693B" w:rsidP="00F171ED">
      <w:pPr>
        <w:widowControl w:val="0"/>
        <w:jc w:val="center"/>
        <w:rPr>
          <w:sz w:val="22"/>
          <w:szCs w:val="22"/>
          <w:lang w:val="pl-PL"/>
        </w:rPr>
      </w:pPr>
    </w:p>
    <w:p w:rsidR="009A406F" w:rsidRPr="00807164" w:rsidRDefault="009A406F" w:rsidP="009A406F">
      <w:pPr>
        <w:jc w:val="center"/>
        <w:rPr>
          <w:b/>
          <w:sz w:val="22"/>
          <w:szCs w:val="22"/>
          <w:shd w:val="clear" w:color="auto" w:fill="FFFFFF"/>
        </w:rPr>
      </w:pPr>
      <w:proofErr w:type="spellStart"/>
      <w:r w:rsidRPr="0013693B">
        <w:rPr>
          <w:b/>
          <w:sz w:val="22"/>
          <w:szCs w:val="22"/>
          <w:shd w:val="clear" w:color="auto" w:fill="FFFFFF"/>
        </w:rPr>
        <w:t>Vesna</w:t>
      </w:r>
      <w:proofErr w:type="spellEnd"/>
      <w:r w:rsidRPr="0013693B">
        <w:rPr>
          <w:b/>
          <w:sz w:val="22"/>
          <w:szCs w:val="22"/>
          <w:shd w:val="clear" w:color="auto" w:fill="FFFFFF"/>
        </w:rPr>
        <w:t xml:space="preserve"> D. Dragičević</w:t>
      </w:r>
      <w:r w:rsidRPr="00F8479B">
        <w:rPr>
          <w:b/>
          <w:sz w:val="22"/>
          <w:szCs w:val="22"/>
          <w:shd w:val="clear" w:color="auto" w:fill="FFFFFF"/>
          <w:vertAlign w:val="superscript"/>
        </w:rPr>
        <w:t>1</w:t>
      </w:r>
      <w:r>
        <w:rPr>
          <w:rStyle w:val="FootnoteReference"/>
          <w:b/>
          <w:sz w:val="22"/>
          <w:szCs w:val="22"/>
          <w:shd w:val="clear" w:color="auto" w:fill="FFFFFF"/>
        </w:rPr>
        <w:footnoteReference w:id="2"/>
      </w:r>
      <w:r w:rsidRPr="0013693B">
        <w:rPr>
          <w:b/>
          <w:sz w:val="22"/>
          <w:szCs w:val="22"/>
          <w:shd w:val="clear" w:color="auto" w:fill="FFFFFF"/>
        </w:rPr>
        <w:t xml:space="preserve">, </w:t>
      </w:r>
      <w:proofErr w:type="spellStart"/>
      <w:r w:rsidRPr="00807164">
        <w:rPr>
          <w:b/>
          <w:sz w:val="22"/>
          <w:szCs w:val="22"/>
          <w:shd w:val="clear" w:color="auto" w:fill="FFFFFF"/>
        </w:rPr>
        <w:t>Snežana</w:t>
      </w:r>
      <w:proofErr w:type="spellEnd"/>
      <w:r w:rsidRPr="00807164">
        <w:rPr>
          <w:b/>
          <w:sz w:val="22"/>
          <w:szCs w:val="22"/>
          <w:shd w:val="clear" w:color="auto" w:fill="FFFFFF"/>
        </w:rPr>
        <w:t xml:space="preserve"> I.</w:t>
      </w:r>
      <w:r>
        <w:rPr>
          <w:b/>
          <w:sz w:val="22"/>
          <w:szCs w:val="22"/>
          <w:shd w:val="clear" w:color="auto" w:fill="FFFFFF"/>
        </w:rPr>
        <w:t xml:space="preserve"> </w:t>
      </w:r>
      <w:r w:rsidRPr="00807164">
        <w:rPr>
          <w:b/>
          <w:sz w:val="22"/>
          <w:szCs w:val="22"/>
          <w:shd w:val="clear" w:color="auto" w:fill="FFFFFF"/>
        </w:rPr>
        <w:t>Oljača</w:t>
      </w:r>
      <w:r w:rsidRPr="00807164">
        <w:rPr>
          <w:b/>
          <w:sz w:val="22"/>
          <w:szCs w:val="22"/>
          <w:shd w:val="clear" w:color="auto" w:fill="FFFFFF"/>
          <w:vertAlign w:val="superscript"/>
        </w:rPr>
        <w:t>2</w:t>
      </w:r>
      <w:r w:rsidRPr="00807164">
        <w:rPr>
          <w:b/>
          <w:sz w:val="22"/>
          <w:szCs w:val="22"/>
          <w:shd w:val="clear" w:color="auto" w:fill="FFFFFF"/>
        </w:rPr>
        <w:t>, Milena S. Simić</w:t>
      </w:r>
      <w:r w:rsidRPr="00807164">
        <w:rPr>
          <w:b/>
          <w:sz w:val="22"/>
          <w:szCs w:val="22"/>
          <w:shd w:val="clear" w:color="auto" w:fill="FFFFFF"/>
          <w:vertAlign w:val="superscript"/>
        </w:rPr>
        <w:t>1</w:t>
      </w:r>
      <w:r w:rsidRPr="00807164">
        <w:rPr>
          <w:b/>
          <w:sz w:val="22"/>
          <w:szCs w:val="22"/>
          <w:shd w:val="clear" w:color="auto" w:fill="FFFFFF"/>
        </w:rPr>
        <w:t xml:space="preserve">, </w:t>
      </w:r>
    </w:p>
    <w:p w:rsidR="00831C98" w:rsidRPr="00831C98" w:rsidRDefault="009A406F" w:rsidP="00F171ED">
      <w:pPr>
        <w:widowControl w:val="0"/>
        <w:jc w:val="center"/>
        <w:rPr>
          <w:b/>
          <w:sz w:val="22"/>
          <w:szCs w:val="22"/>
          <w:shd w:val="clear" w:color="auto" w:fill="FFFFFF"/>
        </w:rPr>
      </w:pPr>
      <w:r w:rsidRPr="00807164">
        <w:rPr>
          <w:b/>
          <w:sz w:val="22"/>
          <w:szCs w:val="22"/>
          <w:shd w:val="clear" w:color="auto" w:fill="FFFFFF"/>
        </w:rPr>
        <w:t>Željko</w:t>
      </w:r>
      <w:r>
        <w:rPr>
          <w:b/>
          <w:sz w:val="22"/>
          <w:szCs w:val="22"/>
          <w:shd w:val="clear" w:color="auto" w:fill="FFFFFF"/>
        </w:rPr>
        <w:t xml:space="preserve"> </w:t>
      </w:r>
      <w:r w:rsidRPr="00807164">
        <w:rPr>
          <w:b/>
          <w:sz w:val="22"/>
          <w:szCs w:val="22"/>
          <w:shd w:val="clear" w:color="auto" w:fill="FFFFFF"/>
        </w:rPr>
        <w:t>K. Dolijanović</w:t>
      </w:r>
      <w:r w:rsidRPr="00807164">
        <w:rPr>
          <w:b/>
          <w:sz w:val="22"/>
          <w:szCs w:val="22"/>
          <w:shd w:val="clear" w:color="auto" w:fill="FFFFFF"/>
          <w:vertAlign w:val="superscript"/>
        </w:rPr>
        <w:t>2</w:t>
      </w:r>
      <w:r w:rsidRPr="00807164">
        <w:rPr>
          <w:b/>
          <w:sz w:val="22"/>
          <w:szCs w:val="22"/>
          <w:shd w:val="clear" w:color="auto" w:fill="FFFFFF"/>
        </w:rPr>
        <w:t xml:space="preserve">, </w:t>
      </w:r>
      <w:proofErr w:type="spellStart"/>
      <w:r w:rsidRPr="00807164">
        <w:rPr>
          <w:b/>
          <w:sz w:val="22"/>
          <w:szCs w:val="22"/>
          <w:shd w:val="clear" w:color="auto" w:fill="FFFFFF"/>
        </w:rPr>
        <w:t>Branka</w:t>
      </w:r>
      <w:proofErr w:type="spellEnd"/>
      <w:r w:rsidRPr="00807164">
        <w:rPr>
          <w:b/>
          <w:sz w:val="22"/>
          <w:szCs w:val="22"/>
          <w:shd w:val="clear" w:color="auto" w:fill="FFFFFF"/>
        </w:rPr>
        <w:t xml:space="preserve"> J. Kresović</w:t>
      </w:r>
      <w:r w:rsidRPr="00807164">
        <w:rPr>
          <w:b/>
          <w:sz w:val="22"/>
          <w:szCs w:val="22"/>
          <w:shd w:val="clear" w:color="auto" w:fill="FFFFFF"/>
          <w:vertAlign w:val="superscript"/>
        </w:rPr>
        <w:t>1</w:t>
      </w:r>
      <w:r w:rsidRPr="00807164">
        <w:rPr>
          <w:b/>
          <w:sz w:val="22"/>
          <w:szCs w:val="22"/>
          <w:shd w:val="clear" w:color="auto" w:fill="FFFFFF"/>
        </w:rPr>
        <w:t xml:space="preserve"> and Milan</w:t>
      </w:r>
      <w:r w:rsidRPr="0013693B">
        <w:rPr>
          <w:b/>
          <w:sz w:val="22"/>
          <w:szCs w:val="22"/>
          <w:shd w:val="clear" w:color="auto" w:fill="FFFFFF"/>
        </w:rPr>
        <w:t xml:space="preserve"> </w:t>
      </w:r>
      <w:r>
        <w:rPr>
          <w:b/>
          <w:sz w:val="22"/>
          <w:szCs w:val="22"/>
          <w:shd w:val="clear" w:color="auto" w:fill="FFFFFF"/>
        </w:rPr>
        <w:t>Z.</w:t>
      </w:r>
      <w:r>
        <w:rPr>
          <w:b/>
          <w:color w:val="FF0000"/>
          <w:sz w:val="22"/>
          <w:szCs w:val="22"/>
          <w:shd w:val="clear" w:color="auto" w:fill="FFFFFF"/>
        </w:rPr>
        <w:t xml:space="preserve"> </w:t>
      </w:r>
      <w:r w:rsidRPr="0013693B">
        <w:rPr>
          <w:b/>
          <w:sz w:val="22"/>
          <w:szCs w:val="22"/>
          <w:shd w:val="clear" w:color="auto" w:fill="FFFFFF"/>
        </w:rPr>
        <w:t>Brankov</w:t>
      </w:r>
      <w:r w:rsidRPr="00F8479B">
        <w:rPr>
          <w:b/>
          <w:sz w:val="22"/>
          <w:szCs w:val="22"/>
          <w:shd w:val="clear" w:color="auto" w:fill="FFFFFF"/>
          <w:vertAlign w:val="superscript"/>
        </w:rPr>
        <w:t>1</w:t>
      </w:r>
    </w:p>
    <w:p w:rsidR="00831C98" w:rsidRPr="00831C98" w:rsidRDefault="00831C98" w:rsidP="00F171ED">
      <w:pPr>
        <w:widowControl w:val="0"/>
        <w:jc w:val="center"/>
        <w:rPr>
          <w:sz w:val="22"/>
          <w:szCs w:val="22"/>
          <w:lang w:val="pl-PL"/>
        </w:rPr>
      </w:pPr>
    </w:p>
    <w:p w:rsidR="00831C98" w:rsidRPr="00831C98" w:rsidRDefault="0013693B" w:rsidP="00F171ED">
      <w:pPr>
        <w:widowControl w:val="0"/>
        <w:jc w:val="center"/>
        <w:rPr>
          <w:sz w:val="22"/>
          <w:szCs w:val="22"/>
        </w:rPr>
      </w:pPr>
      <w:r w:rsidRPr="00831C98">
        <w:rPr>
          <w:sz w:val="22"/>
          <w:szCs w:val="22"/>
          <w:vertAlign w:val="superscript"/>
        </w:rPr>
        <w:t>1</w:t>
      </w:r>
      <w:r w:rsidRPr="00831C98">
        <w:rPr>
          <w:sz w:val="22"/>
          <w:szCs w:val="22"/>
        </w:rPr>
        <w:t xml:space="preserve">Institut </w:t>
      </w:r>
      <w:proofErr w:type="spellStart"/>
      <w:r w:rsidRPr="00831C98">
        <w:rPr>
          <w:sz w:val="22"/>
          <w:szCs w:val="22"/>
        </w:rPr>
        <w:t>za</w:t>
      </w:r>
      <w:proofErr w:type="spellEnd"/>
      <w:r w:rsidR="0084022C">
        <w:rPr>
          <w:sz w:val="22"/>
          <w:szCs w:val="22"/>
        </w:rPr>
        <w:t xml:space="preserve"> </w:t>
      </w:r>
      <w:proofErr w:type="spellStart"/>
      <w:r w:rsidRPr="00831C98">
        <w:rPr>
          <w:sz w:val="22"/>
          <w:szCs w:val="22"/>
        </w:rPr>
        <w:t>kukuruz</w:t>
      </w:r>
      <w:proofErr w:type="spellEnd"/>
      <w:r w:rsidRPr="00831C98">
        <w:rPr>
          <w:sz w:val="22"/>
          <w:szCs w:val="22"/>
        </w:rPr>
        <w:t xml:space="preserve"> “</w:t>
      </w:r>
      <w:proofErr w:type="spellStart"/>
      <w:r w:rsidRPr="00831C98">
        <w:rPr>
          <w:sz w:val="22"/>
          <w:szCs w:val="22"/>
        </w:rPr>
        <w:t>Zemun</w:t>
      </w:r>
      <w:proofErr w:type="spellEnd"/>
      <w:r w:rsidR="009A406F">
        <w:rPr>
          <w:sz w:val="22"/>
          <w:szCs w:val="22"/>
        </w:rPr>
        <w:t xml:space="preserve"> </w:t>
      </w:r>
      <w:proofErr w:type="spellStart"/>
      <w:r w:rsidRPr="00831C98">
        <w:rPr>
          <w:sz w:val="22"/>
          <w:szCs w:val="22"/>
        </w:rPr>
        <w:t>Polje</w:t>
      </w:r>
      <w:proofErr w:type="spellEnd"/>
      <w:r w:rsidRPr="00831C98">
        <w:rPr>
          <w:sz w:val="22"/>
          <w:szCs w:val="22"/>
        </w:rPr>
        <w:t>”,</w:t>
      </w:r>
    </w:p>
    <w:p w:rsidR="0013693B" w:rsidRPr="00831C98" w:rsidRDefault="0013693B" w:rsidP="00F171ED">
      <w:pPr>
        <w:widowControl w:val="0"/>
        <w:jc w:val="center"/>
        <w:rPr>
          <w:sz w:val="22"/>
          <w:szCs w:val="22"/>
        </w:rPr>
      </w:pPr>
      <w:proofErr w:type="spellStart"/>
      <w:r w:rsidRPr="00831C98">
        <w:rPr>
          <w:sz w:val="22"/>
          <w:szCs w:val="22"/>
        </w:rPr>
        <w:t>Slobodana</w:t>
      </w:r>
      <w:proofErr w:type="spellEnd"/>
      <w:r w:rsidR="009A406F">
        <w:rPr>
          <w:sz w:val="22"/>
          <w:szCs w:val="22"/>
        </w:rPr>
        <w:t xml:space="preserve"> </w:t>
      </w:r>
      <w:proofErr w:type="spellStart"/>
      <w:r w:rsidRPr="00831C98">
        <w:rPr>
          <w:sz w:val="22"/>
          <w:szCs w:val="22"/>
        </w:rPr>
        <w:t>Bajića</w:t>
      </w:r>
      <w:proofErr w:type="spellEnd"/>
      <w:r w:rsidRPr="00831C98">
        <w:rPr>
          <w:sz w:val="22"/>
          <w:szCs w:val="22"/>
        </w:rPr>
        <w:t xml:space="preserve"> 1, 11185 </w:t>
      </w:r>
      <w:proofErr w:type="spellStart"/>
      <w:r w:rsidRPr="00831C98">
        <w:rPr>
          <w:sz w:val="22"/>
          <w:szCs w:val="22"/>
        </w:rPr>
        <w:t>Zemun</w:t>
      </w:r>
      <w:proofErr w:type="spellEnd"/>
      <w:r w:rsidR="0084022C">
        <w:rPr>
          <w:sz w:val="22"/>
          <w:szCs w:val="22"/>
        </w:rPr>
        <w:t xml:space="preserve"> </w:t>
      </w:r>
      <w:proofErr w:type="spellStart"/>
      <w:r w:rsidRPr="00831C98">
        <w:rPr>
          <w:sz w:val="22"/>
          <w:szCs w:val="22"/>
        </w:rPr>
        <w:t>Polje</w:t>
      </w:r>
      <w:proofErr w:type="spellEnd"/>
      <w:r w:rsidRPr="00831C98">
        <w:rPr>
          <w:sz w:val="22"/>
          <w:szCs w:val="22"/>
        </w:rPr>
        <w:t xml:space="preserve">, </w:t>
      </w:r>
      <w:proofErr w:type="spellStart"/>
      <w:r w:rsidRPr="00831C98">
        <w:rPr>
          <w:sz w:val="22"/>
          <w:szCs w:val="22"/>
        </w:rPr>
        <w:t>Srbija</w:t>
      </w:r>
      <w:proofErr w:type="spellEnd"/>
    </w:p>
    <w:p w:rsidR="00831C98" w:rsidRPr="00831C98" w:rsidRDefault="00831C98" w:rsidP="00F171ED">
      <w:pPr>
        <w:widowControl w:val="0"/>
        <w:jc w:val="center"/>
        <w:rPr>
          <w:sz w:val="22"/>
          <w:szCs w:val="22"/>
        </w:rPr>
      </w:pPr>
      <w:r w:rsidRPr="00831C98">
        <w:rPr>
          <w:sz w:val="22"/>
          <w:szCs w:val="22"/>
          <w:vertAlign w:val="superscript"/>
        </w:rPr>
        <w:t>2</w:t>
      </w:r>
      <w:r w:rsidRPr="00831C98">
        <w:rPr>
          <w:sz w:val="22"/>
          <w:szCs w:val="22"/>
        </w:rPr>
        <w:t xml:space="preserve">Univerzitet u </w:t>
      </w:r>
      <w:proofErr w:type="spellStart"/>
      <w:r w:rsidRPr="00831C98">
        <w:rPr>
          <w:sz w:val="22"/>
          <w:szCs w:val="22"/>
        </w:rPr>
        <w:t>Beogradu</w:t>
      </w:r>
      <w:proofErr w:type="spellEnd"/>
      <w:r w:rsidRPr="00831C98">
        <w:rPr>
          <w:sz w:val="22"/>
          <w:szCs w:val="22"/>
        </w:rPr>
        <w:t xml:space="preserve">, </w:t>
      </w:r>
      <w:proofErr w:type="spellStart"/>
      <w:r w:rsidRPr="00831C98">
        <w:rPr>
          <w:sz w:val="22"/>
          <w:szCs w:val="22"/>
        </w:rPr>
        <w:t>Poljoprivredni</w:t>
      </w:r>
      <w:proofErr w:type="spellEnd"/>
      <w:r w:rsidR="009A406F">
        <w:rPr>
          <w:sz w:val="22"/>
          <w:szCs w:val="22"/>
        </w:rPr>
        <w:t xml:space="preserve"> </w:t>
      </w:r>
      <w:proofErr w:type="spellStart"/>
      <w:r w:rsidRPr="00831C98">
        <w:rPr>
          <w:sz w:val="22"/>
          <w:szCs w:val="22"/>
        </w:rPr>
        <w:t>fakultet</w:t>
      </w:r>
      <w:proofErr w:type="spellEnd"/>
      <w:r w:rsidRPr="00831C98">
        <w:rPr>
          <w:sz w:val="22"/>
          <w:szCs w:val="22"/>
        </w:rPr>
        <w:t>,</w:t>
      </w:r>
    </w:p>
    <w:p w:rsidR="0013693B" w:rsidRPr="00831C98" w:rsidRDefault="0013693B" w:rsidP="00F171ED">
      <w:pPr>
        <w:widowControl w:val="0"/>
        <w:jc w:val="center"/>
        <w:rPr>
          <w:sz w:val="22"/>
          <w:szCs w:val="22"/>
        </w:rPr>
      </w:pPr>
      <w:proofErr w:type="spellStart"/>
      <w:r w:rsidRPr="00831C98">
        <w:rPr>
          <w:sz w:val="22"/>
          <w:szCs w:val="22"/>
        </w:rPr>
        <w:t>Nemanjina</w:t>
      </w:r>
      <w:proofErr w:type="spellEnd"/>
      <w:r w:rsidRPr="00831C98">
        <w:rPr>
          <w:sz w:val="22"/>
          <w:szCs w:val="22"/>
        </w:rPr>
        <w:t xml:space="preserve"> 6, </w:t>
      </w:r>
      <w:proofErr w:type="gramStart"/>
      <w:r w:rsidRPr="00831C98">
        <w:rPr>
          <w:sz w:val="22"/>
          <w:szCs w:val="22"/>
        </w:rPr>
        <w:t xml:space="preserve">11080 </w:t>
      </w:r>
      <w:r w:rsidR="00831C98" w:rsidRPr="00831C98">
        <w:rPr>
          <w:sz w:val="22"/>
          <w:szCs w:val="22"/>
        </w:rPr>
        <w:t>Beograd-</w:t>
      </w:r>
      <w:proofErr w:type="spellStart"/>
      <w:r w:rsidRPr="00831C98">
        <w:rPr>
          <w:sz w:val="22"/>
          <w:szCs w:val="22"/>
        </w:rPr>
        <w:t>Zemun</w:t>
      </w:r>
      <w:proofErr w:type="spellEnd"/>
      <w:r w:rsidRPr="00831C98">
        <w:rPr>
          <w:sz w:val="22"/>
          <w:szCs w:val="22"/>
        </w:rPr>
        <w:t>,</w:t>
      </w:r>
      <w:proofErr w:type="gramEnd"/>
      <w:r w:rsidR="009A406F">
        <w:rPr>
          <w:sz w:val="22"/>
          <w:szCs w:val="22"/>
        </w:rPr>
        <w:t xml:space="preserve"> </w:t>
      </w:r>
      <w:proofErr w:type="spellStart"/>
      <w:r w:rsidRPr="00831C98">
        <w:rPr>
          <w:sz w:val="22"/>
          <w:szCs w:val="22"/>
        </w:rPr>
        <w:t>Srbija</w:t>
      </w:r>
      <w:proofErr w:type="spellEnd"/>
    </w:p>
    <w:p w:rsidR="0013693B" w:rsidRPr="00831C98" w:rsidRDefault="0013693B" w:rsidP="00F171ED">
      <w:pPr>
        <w:widowControl w:val="0"/>
        <w:jc w:val="center"/>
        <w:rPr>
          <w:sz w:val="22"/>
          <w:szCs w:val="22"/>
          <w:lang w:val="pl-PL"/>
        </w:rPr>
      </w:pPr>
    </w:p>
    <w:p w:rsidR="0013693B" w:rsidRDefault="0013693B" w:rsidP="00F171ED">
      <w:pPr>
        <w:jc w:val="center"/>
        <w:rPr>
          <w:sz w:val="22"/>
          <w:szCs w:val="22"/>
          <w:lang w:val="pl-PL"/>
        </w:rPr>
      </w:pPr>
      <w:r w:rsidRPr="00831C98">
        <w:rPr>
          <w:sz w:val="22"/>
          <w:szCs w:val="22"/>
          <w:lang w:val="pl-PL"/>
        </w:rPr>
        <w:t>Rezime</w:t>
      </w:r>
    </w:p>
    <w:p w:rsidR="00831C98" w:rsidRPr="00831C98" w:rsidRDefault="00831C98" w:rsidP="00F171ED">
      <w:pPr>
        <w:jc w:val="center"/>
        <w:rPr>
          <w:sz w:val="22"/>
          <w:szCs w:val="22"/>
          <w:lang w:val="pl-PL"/>
        </w:rPr>
      </w:pPr>
    </w:p>
    <w:p w:rsidR="0013693B" w:rsidRPr="00831C98" w:rsidRDefault="0013693B" w:rsidP="00831C98">
      <w:pPr>
        <w:ind w:firstLine="426"/>
        <w:jc w:val="both"/>
        <w:rPr>
          <w:sz w:val="22"/>
          <w:szCs w:val="22"/>
        </w:rPr>
      </w:pPr>
      <w:proofErr w:type="spellStart"/>
      <w:r w:rsidRPr="00831C98">
        <w:rPr>
          <w:sz w:val="22"/>
          <w:szCs w:val="22"/>
        </w:rPr>
        <w:t>Združeni</w:t>
      </w:r>
      <w:proofErr w:type="spellEnd"/>
      <w:r w:rsidR="009A406F">
        <w:rPr>
          <w:sz w:val="22"/>
          <w:szCs w:val="22"/>
        </w:rPr>
        <w:t xml:space="preserve"> </w:t>
      </w:r>
      <w:proofErr w:type="spellStart"/>
      <w:r w:rsidRPr="00831C98">
        <w:rPr>
          <w:sz w:val="22"/>
          <w:szCs w:val="22"/>
        </w:rPr>
        <w:t>usev</w:t>
      </w:r>
      <w:proofErr w:type="spellEnd"/>
      <w:r w:rsidRPr="00831C98">
        <w:rPr>
          <w:sz w:val="22"/>
          <w:szCs w:val="22"/>
        </w:rPr>
        <w:t xml:space="preserve">, </w:t>
      </w:r>
      <w:proofErr w:type="spellStart"/>
      <w:r w:rsidRPr="00831C98">
        <w:rPr>
          <w:sz w:val="22"/>
          <w:szCs w:val="22"/>
        </w:rPr>
        <w:t>kao</w:t>
      </w:r>
      <w:proofErr w:type="spellEnd"/>
      <w:r w:rsidR="009A406F">
        <w:rPr>
          <w:sz w:val="22"/>
          <w:szCs w:val="22"/>
        </w:rPr>
        <w:t xml:space="preserve"> </w:t>
      </w:r>
      <w:proofErr w:type="spellStart"/>
      <w:r w:rsidRPr="00831C98">
        <w:rPr>
          <w:sz w:val="22"/>
          <w:szCs w:val="22"/>
        </w:rPr>
        <w:t>kombinacija</w:t>
      </w:r>
      <w:proofErr w:type="spellEnd"/>
      <w:r w:rsidR="00540D65">
        <w:rPr>
          <w:sz w:val="22"/>
          <w:szCs w:val="22"/>
        </w:rPr>
        <w:t xml:space="preserve"> </w:t>
      </w:r>
      <w:proofErr w:type="spellStart"/>
      <w:r w:rsidRPr="00831C98">
        <w:rPr>
          <w:sz w:val="22"/>
          <w:szCs w:val="22"/>
        </w:rPr>
        <w:t>različitih</w:t>
      </w:r>
      <w:proofErr w:type="spellEnd"/>
      <w:r w:rsidR="009A406F">
        <w:rPr>
          <w:sz w:val="22"/>
          <w:szCs w:val="22"/>
        </w:rPr>
        <w:t xml:space="preserve"> </w:t>
      </w:r>
      <w:proofErr w:type="spellStart"/>
      <w:r w:rsidRPr="00831C98">
        <w:rPr>
          <w:sz w:val="22"/>
          <w:szCs w:val="22"/>
        </w:rPr>
        <w:t>useva</w:t>
      </w:r>
      <w:proofErr w:type="spellEnd"/>
      <w:r w:rsidR="0084022C">
        <w:rPr>
          <w:sz w:val="22"/>
          <w:szCs w:val="22"/>
        </w:rPr>
        <w:t>,</w:t>
      </w:r>
      <w:r w:rsidR="009A406F">
        <w:rPr>
          <w:sz w:val="22"/>
          <w:szCs w:val="22"/>
        </w:rPr>
        <w:t xml:space="preserve"> </w:t>
      </w:r>
      <w:proofErr w:type="spellStart"/>
      <w:r w:rsidRPr="00831C98">
        <w:rPr>
          <w:sz w:val="22"/>
          <w:szCs w:val="22"/>
        </w:rPr>
        <w:t>koji</w:t>
      </w:r>
      <w:proofErr w:type="spellEnd"/>
      <w:r w:rsidRPr="00831C98">
        <w:rPr>
          <w:sz w:val="22"/>
          <w:szCs w:val="22"/>
        </w:rPr>
        <w:t xml:space="preserve"> se </w:t>
      </w:r>
      <w:proofErr w:type="spellStart"/>
      <w:r w:rsidRPr="00831C98">
        <w:rPr>
          <w:sz w:val="22"/>
          <w:szCs w:val="22"/>
        </w:rPr>
        <w:t>gaje</w:t>
      </w:r>
      <w:proofErr w:type="spellEnd"/>
      <w:r w:rsidRPr="00831C98">
        <w:rPr>
          <w:sz w:val="22"/>
          <w:szCs w:val="22"/>
        </w:rPr>
        <w:t xml:space="preserve"> u </w:t>
      </w:r>
      <w:proofErr w:type="spellStart"/>
      <w:r w:rsidRPr="00831C98">
        <w:rPr>
          <w:sz w:val="22"/>
          <w:szCs w:val="22"/>
        </w:rPr>
        <w:t>isto</w:t>
      </w:r>
      <w:proofErr w:type="spellEnd"/>
      <w:r w:rsidR="009A406F">
        <w:rPr>
          <w:sz w:val="22"/>
          <w:szCs w:val="22"/>
        </w:rPr>
        <w:t xml:space="preserve"> </w:t>
      </w:r>
      <w:proofErr w:type="spellStart"/>
      <w:r w:rsidRPr="00831C98">
        <w:rPr>
          <w:sz w:val="22"/>
          <w:szCs w:val="22"/>
        </w:rPr>
        <w:t>vreme</w:t>
      </w:r>
      <w:proofErr w:type="spellEnd"/>
      <w:r w:rsidR="009A406F">
        <w:rPr>
          <w:sz w:val="22"/>
          <w:szCs w:val="22"/>
        </w:rPr>
        <w:t xml:space="preserve"> </w:t>
      </w:r>
      <w:proofErr w:type="spellStart"/>
      <w:r w:rsidRPr="00831C98">
        <w:rPr>
          <w:sz w:val="22"/>
          <w:szCs w:val="22"/>
        </w:rPr>
        <w:t>i</w:t>
      </w:r>
      <w:proofErr w:type="spellEnd"/>
      <w:r w:rsidR="009A406F">
        <w:rPr>
          <w:sz w:val="22"/>
          <w:szCs w:val="22"/>
        </w:rPr>
        <w:t xml:space="preserve"> </w:t>
      </w:r>
      <w:proofErr w:type="spellStart"/>
      <w:proofErr w:type="gramStart"/>
      <w:r w:rsidRPr="00831C98">
        <w:rPr>
          <w:sz w:val="22"/>
          <w:szCs w:val="22"/>
        </w:rPr>
        <w:t>na</w:t>
      </w:r>
      <w:proofErr w:type="spellEnd"/>
      <w:proofErr w:type="gramEnd"/>
      <w:r w:rsidR="009A406F">
        <w:rPr>
          <w:sz w:val="22"/>
          <w:szCs w:val="22"/>
        </w:rPr>
        <w:t xml:space="preserve"> </w:t>
      </w:r>
      <w:proofErr w:type="spellStart"/>
      <w:r w:rsidRPr="00831C98">
        <w:rPr>
          <w:sz w:val="22"/>
          <w:szCs w:val="22"/>
        </w:rPr>
        <w:t>istom</w:t>
      </w:r>
      <w:proofErr w:type="spellEnd"/>
      <w:r w:rsidR="009A406F">
        <w:rPr>
          <w:sz w:val="22"/>
          <w:szCs w:val="22"/>
        </w:rPr>
        <w:t xml:space="preserve"> </w:t>
      </w:r>
      <w:proofErr w:type="spellStart"/>
      <w:r w:rsidRPr="00831C98">
        <w:rPr>
          <w:sz w:val="22"/>
          <w:szCs w:val="22"/>
        </w:rPr>
        <w:t>polju</w:t>
      </w:r>
      <w:proofErr w:type="spellEnd"/>
      <w:r w:rsidR="0084022C">
        <w:rPr>
          <w:sz w:val="22"/>
          <w:szCs w:val="22"/>
        </w:rPr>
        <w:t>,</w:t>
      </w:r>
      <w:r w:rsidR="009A406F">
        <w:rPr>
          <w:sz w:val="22"/>
          <w:szCs w:val="22"/>
        </w:rPr>
        <w:t xml:space="preserve"> </w:t>
      </w:r>
      <w:proofErr w:type="spellStart"/>
      <w:r w:rsidRPr="00831C98">
        <w:rPr>
          <w:sz w:val="22"/>
          <w:szCs w:val="22"/>
        </w:rPr>
        <w:t>omogućava</w:t>
      </w:r>
      <w:proofErr w:type="spellEnd"/>
      <w:r w:rsidR="009A406F">
        <w:rPr>
          <w:sz w:val="22"/>
          <w:szCs w:val="22"/>
        </w:rPr>
        <w:t xml:space="preserve"> </w:t>
      </w:r>
      <w:proofErr w:type="spellStart"/>
      <w:r w:rsidRPr="00831C98">
        <w:rPr>
          <w:sz w:val="22"/>
          <w:szCs w:val="22"/>
        </w:rPr>
        <w:t>interakciju</w:t>
      </w:r>
      <w:proofErr w:type="spellEnd"/>
      <w:r w:rsidR="009A406F">
        <w:rPr>
          <w:sz w:val="22"/>
          <w:szCs w:val="22"/>
        </w:rPr>
        <w:t xml:space="preserve"> </w:t>
      </w:r>
      <w:proofErr w:type="spellStart"/>
      <w:r w:rsidRPr="00831C98">
        <w:rPr>
          <w:sz w:val="22"/>
          <w:szCs w:val="22"/>
        </w:rPr>
        <w:t>njihovih</w:t>
      </w:r>
      <w:proofErr w:type="spellEnd"/>
      <w:r w:rsidR="009A406F">
        <w:rPr>
          <w:sz w:val="22"/>
          <w:szCs w:val="22"/>
        </w:rPr>
        <w:t xml:space="preserve"> </w:t>
      </w:r>
      <w:proofErr w:type="spellStart"/>
      <w:r w:rsidRPr="00831C98">
        <w:rPr>
          <w:sz w:val="22"/>
          <w:szCs w:val="22"/>
        </w:rPr>
        <w:t>korenova</w:t>
      </w:r>
      <w:proofErr w:type="spellEnd"/>
      <w:r w:rsidRPr="00831C98">
        <w:rPr>
          <w:sz w:val="22"/>
          <w:szCs w:val="22"/>
        </w:rPr>
        <w:t xml:space="preserve">, </w:t>
      </w:r>
      <w:proofErr w:type="spellStart"/>
      <w:r w:rsidRPr="00831C98">
        <w:rPr>
          <w:sz w:val="22"/>
          <w:szCs w:val="22"/>
        </w:rPr>
        <w:t>poboljšava</w:t>
      </w:r>
      <w:proofErr w:type="spellEnd"/>
      <w:r w:rsidR="004C42B7">
        <w:rPr>
          <w:sz w:val="22"/>
          <w:szCs w:val="22"/>
        </w:rPr>
        <w:t xml:space="preserve"> </w:t>
      </w:r>
      <w:proofErr w:type="spellStart"/>
      <w:r w:rsidRPr="00831C98">
        <w:rPr>
          <w:sz w:val="22"/>
          <w:szCs w:val="22"/>
        </w:rPr>
        <w:t>rast</w:t>
      </w:r>
      <w:proofErr w:type="spellEnd"/>
      <w:r w:rsidR="004C42B7">
        <w:rPr>
          <w:sz w:val="22"/>
          <w:szCs w:val="22"/>
        </w:rPr>
        <w:t xml:space="preserve"> </w:t>
      </w:r>
      <w:proofErr w:type="spellStart"/>
      <w:r w:rsidRPr="00831C98">
        <w:rPr>
          <w:sz w:val="22"/>
          <w:szCs w:val="22"/>
        </w:rPr>
        <w:t>i</w:t>
      </w:r>
      <w:proofErr w:type="spellEnd"/>
      <w:r w:rsidR="004C42B7">
        <w:rPr>
          <w:sz w:val="22"/>
          <w:szCs w:val="22"/>
        </w:rPr>
        <w:t xml:space="preserve"> </w:t>
      </w:r>
      <w:proofErr w:type="spellStart"/>
      <w:r w:rsidRPr="00831C98">
        <w:rPr>
          <w:sz w:val="22"/>
          <w:szCs w:val="22"/>
        </w:rPr>
        <w:t>tolerantnost</w:t>
      </w:r>
      <w:proofErr w:type="spellEnd"/>
      <w:r w:rsidR="004C42B7">
        <w:rPr>
          <w:sz w:val="22"/>
          <w:szCs w:val="22"/>
        </w:rPr>
        <w:t xml:space="preserve"> </w:t>
      </w:r>
      <w:proofErr w:type="spellStart"/>
      <w:r w:rsidRPr="00831C98">
        <w:rPr>
          <w:sz w:val="22"/>
          <w:szCs w:val="22"/>
        </w:rPr>
        <w:t>na</w:t>
      </w:r>
      <w:proofErr w:type="spellEnd"/>
      <w:r w:rsidR="004C42B7">
        <w:rPr>
          <w:sz w:val="22"/>
          <w:szCs w:val="22"/>
        </w:rPr>
        <w:t xml:space="preserve"> </w:t>
      </w:r>
      <w:proofErr w:type="spellStart"/>
      <w:r w:rsidRPr="00831C98">
        <w:rPr>
          <w:sz w:val="22"/>
          <w:szCs w:val="22"/>
        </w:rPr>
        <w:t>stres</w:t>
      </w:r>
      <w:proofErr w:type="spellEnd"/>
      <w:r w:rsidRPr="00831C98">
        <w:rPr>
          <w:sz w:val="22"/>
          <w:szCs w:val="22"/>
        </w:rPr>
        <w:t xml:space="preserve">, </w:t>
      </w:r>
      <w:proofErr w:type="spellStart"/>
      <w:r w:rsidRPr="00831C98">
        <w:rPr>
          <w:sz w:val="22"/>
          <w:szCs w:val="22"/>
        </w:rPr>
        <w:t>poboljšavajući</w:t>
      </w:r>
      <w:proofErr w:type="spellEnd"/>
      <w:r w:rsidR="004C42B7">
        <w:rPr>
          <w:sz w:val="22"/>
          <w:szCs w:val="22"/>
        </w:rPr>
        <w:t xml:space="preserve"> </w:t>
      </w:r>
      <w:proofErr w:type="spellStart"/>
      <w:r w:rsidRPr="00831C98">
        <w:rPr>
          <w:sz w:val="22"/>
          <w:szCs w:val="22"/>
        </w:rPr>
        <w:t>tako</w:t>
      </w:r>
      <w:proofErr w:type="spellEnd"/>
      <w:r w:rsidR="004C42B7">
        <w:rPr>
          <w:sz w:val="22"/>
          <w:szCs w:val="22"/>
        </w:rPr>
        <w:t xml:space="preserve"> </w:t>
      </w:r>
      <w:proofErr w:type="spellStart"/>
      <w:r w:rsidRPr="00831C98">
        <w:rPr>
          <w:sz w:val="22"/>
          <w:szCs w:val="22"/>
        </w:rPr>
        <w:t>nutritivni</w:t>
      </w:r>
      <w:proofErr w:type="spellEnd"/>
      <w:r w:rsidR="004C42B7">
        <w:rPr>
          <w:sz w:val="22"/>
          <w:szCs w:val="22"/>
        </w:rPr>
        <w:t xml:space="preserve"> </w:t>
      </w:r>
      <w:proofErr w:type="spellStart"/>
      <w:r w:rsidRPr="00831C98">
        <w:rPr>
          <w:sz w:val="22"/>
          <w:szCs w:val="22"/>
        </w:rPr>
        <w:t>kvalitet</w:t>
      </w:r>
      <w:proofErr w:type="spellEnd"/>
      <w:r w:rsidR="004C42B7">
        <w:rPr>
          <w:sz w:val="22"/>
          <w:szCs w:val="22"/>
        </w:rPr>
        <w:t xml:space="preserve"> </w:t>
      </w:r>
      <w:proofErr w:type="spellStart"/>
      <w:r w:rsidRPr="00831C98">
        <w:rPr>
          <w:sz w:val="22"/>
          <w:szCs w:val="22"/>
        </w:rPr>
        <w:t>proizvedenog</w:t>
      </w:r>
      <w:proofErr w:type="spellEnd"/>
      <w:r w:rsidR="004C42B7">
        <w:rPr>
          <w:sz w:val="22"/>
          <w:szCs w:val="22"/>
        </w:rPr>
        <w:t xml:space="preserve"> </w:t>
      </w:r>
      <w:proofErr w:type="spellStart"/>
      <w:r w:rsidRPr="00831C98">
        <w:rPr>
          <w:sz w:val="22"/>
          <w:szCs w:val="22"/>
        </w:rPr>
        <w:t>zrna</w:t>
      </w:r>
      <w:proofErr w:type="spellEnd"/>
      <w:r w:rsidRPr="00831C98">
        <w:rPr>
          <w:sz w:val="22"/>
          <w:szCs w:val="22"/>
        </w:rPr>
        <w:t xml:space="preserve">. </w:t>
      </w:r>
      <w:proofErr w:type="spellStart"/>
      <w:r w:rsidRPr="00831C98">
        <w:rPr>
          <w:sz w:val="22"/>
          <w:szCs w:val="22"/>
        </w:rPr>
        <w:t>Cilj</w:t>
      </w:r>
      <w:proofErr w:type="spellEnd"/>
      <w:r w:rsidR="004C42B7">
        <w:rPr>
          <w:sz w:val="22"/>
          <w:szCs w:val="22"/>
        </w:rPr>
        <w:t xml:space="preserve"> </w:t>
      </w:r>
      <w:proofErr w:type="spellStart"/>
      <w:r w:rsidRPr="00831C98">
        <w:rPr>
          <w:sz w:val="22"/>
          <w:szCs w:val="22"/>
        </w:rPr>
        <w:t>istraživanja</w:t>
      </w:r>
      <w:proofErr w:type="spellEnd"/>
      <w:r w:rsidRPr="00831C98">
        <w:rPr>
          <w:sz w:val="22"/>
          <w:szCs w:val="22"/>
        </w:rPr>
        <w:t xml:space="preserve"> je bio da se </w:t>
      </w:r>
      <w:proofErr w:type="spellStart"/>
      <w:r w:rsidRPr="00831C98">
        <w:rPr>
          <w:sz w:val="22"/>
          <w:szCs w:val="22"/>
        </w:rPr>
        <w:t>ispita</w:t>
      </w:r>
      <w:proofErr w:type="spellEnd"/>
      <w:r w:rsidR="004C42B7">
        <w:rPr>
          <w:sz w:val="22"/>
          <w:szCs w:val="22"/>
        </w:rPr>
        <w:t xml:space="preserve"> </w:t>
      </w:r>
      <w:proofErr w:type="spellStart"/>
      <w:r w:rsidRPr="00831C98">
        <w:rPr>
          <w:sz w:val="22"/>
          <w:szCs w:val="22"/>
        </w:rPr>
        <w:t>efekat</w:t>
      </w:r>
      <w:proofErr w:type="spellEnd"/>
      <w:r w:rsidR="004C42B7">
        <w:rPr>
          <w:sz w:val="22"/>
          <w:szCs w:val="22"/>
        </w:rPr>
        <w:t xml:space="preserve"> </w:t>
      </w:r>
      <w:proofErr w:type="spellStart"/>
      <w:r w:rsidRPr="00831C98">
        <w:rPr>
          <w:sz w:val="22"/>
          <w:szCs w:val="22"/>
        </w:rPr>
        <w:t>različitih</w:t>
      </w:r>
      <w:proofErr w:type="spellEnd"/>
      <w:r w:rsidR="004C42B7">
        <w:rPr>
          <w:sz w:val="22"/>
          <w:szCs w:val="22"/>
        </w:rPr>
        <w:t xml:space="preserve"> </w:t>
      </w:r>
      <w:proofErr w:type="spellStart"/>
      <w:r w:rsidRPr="00831C98">
        <w:rPr>
          <w:sz w:val="22"/>
          <w:szCs w:val="22"/>
        </w:rPr>
        <w:t>sistema</w:t>
      </w:r>
      <w:proofErr w:type="spellEnd"/>
      <w:r w:rsidR="004C42B7">
        <w:rPr>
          <w:sz w:val="22"/>
          <w:szCs w:val="22"/>
        </w:rPr>
        <w:t xml:space="preserve"> </w:t>
      </w:r>
      <w:proofErr w:type="spellStart"/>
      <w:r w:rsidRPr="00831C98">
        <w:rPr>
          <w:sz w:val="22"/>
          <w:szCs w:val="22"/>
        </w:rPr>
        <w:t>gajenja</w:t>
      </w:r>
      <w:proofErr w:type="spellEnd"/>
      <w:r w:rsidRPr="00831C98">
        <w:rPr>
          <w:sz w:val="22"/>
          <w:szCs w:val="22"/>
        </w:rPr>
        <w:t xml:space="preserve">: </w:t>
      </w:r>
      <w:proofErr w:type="spellStart"/>
      <w:r w:rsidRPr="00831C98">
        <w:rPr>
          <w:sz w:val="22"/>
          <w:szCs w:val="22"/>
        </w:rPr>
        <w:t>združeni</w:t>
      </w:r>
      <w:proofErr w:type="spellEnd"/>
      <w:r w:rsidR="004C42B7">
        <w:rPr>
          <w:sz w:val="22"/>
          <w:szCs w:val="22"/>
        </w:rPr>
        <w:t xml:space="preserve"> </w:t>
      </w:r>
      <w:proofErr w:type="spellStart"/>
      <w:r w:rsidRPr="00831C98">
        <w:rPr>
          <w:sz w:val="22"/>
          <w:szCs w:val="22"/>
        </w:rPr>
        <w:t>usev</w:t>
      </w:r>
      <w:proofErr w:type="spellEnd"/>
      <w:r w:rsidR="004C42B7">
        <w:rPr>
          <w:sz w:val="22"/>
          <w:szCs w:val="22"/>
        </w:rPr>
        <w:t xml:space="preserve"> </w:t>
      </w:r>
      <w:proofErr w:type="spellStart"/>
      <w:r w:rsidRPr="00831C98">
        <w:rPr>
          <w:sz w:val="22"/>
          <w:szCs w:val="22"/>
        </w:rPr>
        <w:t>kombinujući</w:t>
      </w:r>
      <w:proofErr w:type="spellEnd"/>
      <w:r w:rsidR="004C42B7">
        <w:rPr>
          <w:sz w:val="22"/>
          <w:szCs w:val="22"/>
        </w:rPr>
        <w:t xml:space="preserve"> </w:t>
      </w:r>
      <w:proofErr w:type="spellStart"/>
      <w:r w:rsidRPr="00831C98">
        <w:rPr>
          <w:sz w:val="22"/>
          <w:szCs w:val="22"/>
        </w:rPr>
        <w:t>naizmenične</w:t>
      </w:r>
      <w:proofErr w:type="spellEnd"/>
      <w:r w:rsidR="004C42B7">
        <w:rPr>
          <w:sz w:val="22"/>
          <w:szCs w:val="22"/>
        </w:rPr>
        <w:t xml:space="preserve"> </w:t>
      </w:r>
      <w:proofErr w:type="spellStart"/>
      <w:r w:rsidRPr="00831C98">
        <w:rPr>
          <w:sz w:val="22"/>
          <w:szCs w:val="22"/>
        </w:rPr>
        <w:t>redove</w:t>
      </w:r>
      <w:proofErr w:type="spellEnd"/>
      <w:r w:rsidR="004C42B7">
        <w:rPr>
          <w:sz w:val="22"/>
          <w:szCs w:val="22"/>
        </w:rPr>
        <w:t xml:space="preserve"> </w:t>
      </w:r>
      <w:proofErr w:type="spellStart"/>
      <w:r w:rsidRPr="00831C98">
        <w:rPr>
          <w:sz w:val="22"/>
          <w:szCs w:val="22"/>
        </w:rPr>
        <w:t>i</w:t>
      </w:r>
      <w:proofErr w:type="spellEnd"/>
      <w:r w:rsidR="004C42B7">
        <w:rPr>
          <w:sz w:val="22"/>
          <w:szCs w:val="22"/>
        </w:rPr>
        <w:t xml:space="preserve"> </w:t>
      </w:r>
      <w:proofErr w:type="spellStart"/>
      <w:r w:rsidRPr="00831C98">
        <w:rPr>
          <w:sz w:val="22"/>
          <w:szCs w:val="22"/>
        </w:rPr>
        <w:t>naizmenične</w:t>
      </w:r>
      <w:proofErr w:type="spellEnd"/>
      <w:r w:rsidR="004C42B7">
        <w:rPr>
          <w:sz w:val="22"/>
          <w:szCs w:val="22"/>
        </w:rPr>
        <w:t xml:space="preserve"> </w:t>
      </w:r>
      <w:proofErr w:type="spellStart"/>
      <w:r w:rsidRPr="00831C98">
        <w:rPr>
          <w:sz w:val="22"/>
          <w:szCs w:val="22"/>
        </w:rPr>
        <w:t>trake</w:t>
      </w:r>
      <w:proofErr w:type="spellEnd"/>
      <w:r w:rsidR="004C42B7">
        <w:rPr>
          <w:sz w:val="22"/>
          <w:szCs w:val="22"/>
        </w:rPr>
        <w:t xml:space="preserve"> </w:t>
      </w:r>
      <w:proofErr w:type="spellStart"/>
      <w:r w:rsidRPr="00831C98">
        <w:rPr>
          <w:sz w:val="22"/>
          <w:szCs w:val="22"/>
        </w:rPr>
        <w:t>kukuruza</w:t>
      </w:r>
      <w:proofErr w:type="spellEnd"/>
      <w:r w:rsidR="004C42B7">
        <w:rPr>
          <w:sz w:val="22"/>
          <w:szCs w:val="22"/>
        </w:rPr>
        <w:t xml:space="preserve"> </w:t>
      </w:r>
      <w:proofErr w:type="spellStart"/>
      <w:r w:rsidRPr="00831C98">
        <w:rPr>
          <w:sz w:val="22"/>
          <w:szCs w:val="22"/>
        </w:rPr>
        <w:t>i</w:t>
      </w:r>
      <w:proofErr w:type="spellEnd"/>
      <w:r w:rsidR="004C42B7">
        <w:rPr>
          <w:sz w:val="22"/>
          <w:szCs w:val="22"/>
        </w:rPr>
        <w:t xml:space="preserve"> </w:t>
      </w:r>
      <w:proofErr w:type="spellStart"/>
      <w:r w:rsidRPr="00831C98">
        <w:rPr>
          <w:sz w:val="22"/>
          <w:szCs w:val="22"/>
        </w:rPr>
        <w:t>soje</w:t>
      </w:r>
      <w:proofErr w:type="spellEnd"/>
      <w:r w:rsidRPr="00831C98">
        <w:rPr>
          <w:sz w:val="22"/>
          <w:szCs w:val="22"/>
        </w:rPr>
        <w:t xml:space="preserve">, </w:t>
      </w:r>
      <w:proofErr w:type="spellStart"/>
      <w:r w:rsidRPr="00831C98">
        <w:rPr>
          <w:sz w:val="22"/>
          <w:szCs w:val="22"/>
        </w:rPr>
        <w:t>kao</w:t>
      </w:r>
      <w:proofErr w:type="spellEnd"/>
      <w:r w:rsidR="004C42B7">
        <w:rPr>
          <w:sz w:val="22"/>
          <w:szCs w:val="22"/>
        </w:rPr>
        <w:t xml:space="preserve"> </w:t>
      </w:r>
      <w:proofErr w:type="spellStart"/>
      <w:r w:rsidRPr="00831C98">
        <w:rPr>
          <w:sz w:val="22"/>
          <w:szCs w:val="22"/>
        </w:rPr>
        <w:t>i</w:t>
      </w:r>
      <w:proofErr w:type="spellEnd"/>
      <w:r w:rsidR="004C42B7">
        <w:rPr>
          <w:sz w:val="22"/>
          <w:szCs w:val="22"/>
        </w:rPr>
        <w:t xml:space="preserve"> </w:t>
      </w:r>
      <w:proofErr w:type="spellStart"/>
      <w:r w:rsidRPr="00831C98">
        <w:rPr>
          <w:sz w:val="22"/>
          <w:szCs w:val="22"/>
        </w:rPr>
        <w:t>pojedinačne</w:t>
      </w:r>
      <w:proofErr w:type="spellEnd"/>
      <w:r w:rsidR="004C42B7">
        <w:rPr>
          <w:sz w:val="22"/>
          <w:szCs w:val="22"/>
        </w:rPr>
        <w:t xml:space="preserve"> </w:t>
      </w:r>
      <w:proofErr w:type="spellStart"/>
      <w:r w:rsidRPr="00831C98">
        <w:rPr>
          <w:sz w:val="22"/>
          <w:szCs w:val="22"/>
        </w:rPr>
        <w:t>useve</w:t>
      </w:r>
      <w:proofErr w:type="spellEnd"/>
      <w:r w:rsidRPr="00831C98">
        <w:rPr>
          <w:sz w:val="22"/>
          <w:szCs w:val="22"/>
        </w:rPr>
        <w:t xml:space="preserve">, </w:t>
      </w:r>
      <w:proofErr w:type="spellStart"/>
      <w:r w:rsidRPr="00831C98">
        <w:rPr>
          <w:sz w:val="22"/>
          <w:szCs w:val="22"/>
        </w:rPr>
        <w:t>zajedno</w:t>
      </w:r>
      <w:proofErr w:type="spellEnd"/>
      <w:r w:rsidR="004C42B7">
        <w:rPr>
          <w:sz w:val="22"/>
          <w:szCs w:val="22"/>
        </w:rPr>
        <w:t xml:space="preserve"> </w:t>
      </w:r>
      <w:proofErr w:type="spellStart"/>
      <w:proofErr w:type="gramStart"/>
      <w:r w:rsidRPr="00831C98">
        <w:rPr>
          <w:sz w:val="22"/>
          <w:szCs w:val="22"/>
        </w:rPr>
        <w:t>sa</w:t>
      </w:r>
      <w:proofErr w:type="spellEnd"/>
      <w:proofErr w:type="gramEnd"/>
      <w:r w:rsidR="004C42B7">
        <w:rPr>
          <w:sz w:val="22"/>
          <w:szCs w:val="22"/>
        </w:rPr>
        <w:t xml:space="preserve"> </w:t>
      </w:r>
      <w:proofErr w:type="spellStart"/>
      <w:r w:rsidRPr="00831C98">
        <w:rPr>
          <w:sz w:val="22"/>
          <w:szCs w:val="22"/>
        </w:rPr>
        <w:t>različitim</w:t>
      </w:r>
      <w:proofErr w:type="spellEnd"/>
      <w:r w:rsidR="004C42B7">
        <w:rPr>
          <w:sz w:val="22"/>
          <w:szCs w:val="22"/>
        </w:rPr>
        <w:t xml:space="preserve"> </w:t>
      </w:r>
      <w:proofErr w:type="spellStart"/>
      <w:r w:rsidRPr="00831C98">
        <w:rPr>
          <w:sz w:val="22"/>
          <w:szCs w:val="22"/>
        </w:rPr>
        <w:t>režimima</w:t>
      </w:r>
      <w:proofErr w:type="spellEnd"/>
      <w:r w:rsidR="004C42B7">
        <w:rPr>
          <w:sz w:val="22"/>
          <w:szCs w:val="22"/>
        </w:rPr>
        <w:t xml:space="preserve"> </w:t>
      </w:r>
      <w:proofErr w:type="spellStart"/>
      <w:r w:rsidRPr="00831C98">
        <w:rPr>
          <w:sz w:val="22"/>
          <w:szCs w:val="22"/>
        </w:rPr>
        <w:t>đubrenja</w:t>
      </w:r>
      <w:proofErr w:type="spellEnd"/>
      <w:r w:rsidRPr="00831C98">
        <w:rPr>
          <w:sz w:val="22"/>
          <w:szCs w:val="22"/>
        </w:rPr>
        <w:t xml:space="preserve"> (</w:t>
      </w:r>
      <w:proofErr w:type="spellStart"/>
      <w:r w:rsidRPr="00831C98">
        <w:rPr>
          <w:sz w:val="22"/>
          <w:szCs w:val="22"/>
        </w:rPr>
        <w:t>konvencionalni</w:t>
      </w:r>
      <w:proofErr w:type="spellEnd"/>
      <w:r w:rsidRPr="00831C98">
        <w:rPr>
          <w:sz w:val="22"/>
          <w:szCs w:val="22"/>
        </w:rPr>
        <w:t xml:space="preserve">, </w:t>
      </w:r>
      <w:proofErr w:type="spellStart"/>
      <w:r w:rsidRPr="00831C98">
        <w:rPr>
          <w:sz w:val="22"/>
          <w:szCs w:val="22"/>
        </w:rPr>
        <w:t>upotreba</w:t>
      </w:r>
      <w:proofErr w:type="spellEnd"/>
      <w:r w:rsidR="004C42B7">
        <w:rPr>
          <w:sz w:val="22"/>
          <w:szCs w:val="22"/>
        </w:rPr>
        <w:t xml:space="preserve"> </w:t>
      </w:r>
      <w:proofErr w:type="spellStart"/>
      <w:r w:rsidRPr="00831C98">
        <w:rPr>
          <w:sz w:val="22"/>
          <w:szCs w:val="22"/>
        </w:rPr>
        <w:t>organsk</w:t>
      </w:r>
      <w:r w:rsidR="0084022C">
        <w:rPr>
          <w:sz w:val="22"/>
          <w:szCs w:val="22"/>
        </w:rPr>
        <w:t>o</w:t>
      </w:r>
      <w:r w:rsidRPr="00831C98">
        <w:rPr>
          <w:sz w:val="22"/>
          <w:szCs w:val="22"/>
        </w:rPr>
        <w:t>g</w:t>
      </w:r>
      <w:proofErr w:type="spellEnd"/>
      <w:r w:rsidR="004C42B7">
        <w:rPr>
          <w:sz w:val="22"/>
          <w:szCs w:val="22"/>
        </w:rPr>
        <w:t xml:space="preserve"> </w:t>
      </w:r>
      <w:proofErr w:type="spellStart"/>
      <w:r w:rsidRPr="00831C98">
        <w:rPr>
          <w:sz w:val="22"/>
          <w:szCs w:val="22"/>
        </w:rPr>
        <w:t>đubriva</w:t>
      </w:r>
      <w:proofErr w:type="spellEnd"/>
      <w:r w:rsidRPr="00831C98">
        <w:rPr>
          <w:sz w:val="22"/>
          <w:szCs w:val="22"/>
        </w:rPr>
        <w:t>, bio-</w:t>
      </w:r>
      <w:proofErr w:type="spellStart"/>
      <w:r w:rsidRPr="00831C98">
        <w:rPr>
          <w:sz w:val="22"/>
          <w:szCs w:val="22"/>
        </w:rPr>
        <w:t>đubriva</w:t>
      </w:r>
      <w:proofErr w:type="spellEnd"/>
      <w:r w:rsidR="004C42B7">
        <w:rPr>
          <w:sz w:val="22"/>
          <w:szCs w:val="22"/>
        </w:rPr>
        <w:t xml:space="preserve"> </w:t>
      </w:r>
      <w:proofErr w:type="spellStart"/>
      <w:r w:rsidRPr="00831C98">
        <w:rPr>
          <w:sz w:val="22"/>
          <w:szCs w:val="22"/>
        </w:rPr>
        <w:t>i</w:t>
      </w:r>
      <w:proofErr w:type="spellEnd"/>
      <w:r w:rsidR="004C42B7">
        <w:rPr>
          <w:sz w:val="22"/>
          <w:szCs w:val="22"/>
        </w:rPr>
        <w:t xml:space="preserve"> </w:t>
      </w:r>
      <w:proofErr w:type="spellStart"/>
      <w:r w:rsidRPr="00831C98">
        <w:rPr>
          <w:sz w:val="22"/>
          <w:szCs w:val="22"/>
        </w:rPr>
        <w:t>kontrola</w:t>
      </w:r>
      <w:proofErr w:type="spellEnd"/>
      <w:r w:rsidRPr="00831C98">
        <w:rPr>
          <w:sz w:val="22"/>
          <w:szCs w:val="22"/>
        </w:rPr>
        <w:t xml:space="preserve">) </w:t>
      </w:r>
      <w:proofErr w:type="spellStart"/>
      <w:r w:rsidRPr="00831C98">
        <w:rPr>
          <w:sz w:val="22"/>
          <w:szCs w:val="22"/>
        </w:rPr>
        <w:t>na</w:t>
      </w:r>
      <w:proofErr w:type="spellEnd"/>
      <w:r w:rsidR="004C42B7">
        <w:rPr>
          <w:sz w:val="22"/>
          <w:szCs w:val="22"/>
        </w:rPr>
        <w:t xml:space="preserve"> </w:t>
      </w:r>
      <w:proofErr w:type="spellStart"/>
      <w:r w:rsidRPr="00831C98">
        <w:rPr>
          <w:sz w:val="22"/>
          <w:szCs w:val="22"/>
        </w:rPr>
        <w:t>sadržaj</w:t>
      </w:r>
      <w:proofErr w:type="spellEnd"/>
      <w:r w:rsidR="004C42B7">
        <w:rPr>
          <w:sz w:val="22"/>
          <w:szCs w:val="22"/>
        </w:rPr>
        <w:t xml:space="preserve"> </w:t>
      </w:r>
      <w:proofErr w:type="spellStart"/>
      <w:r w:rsidRPr="00831C98">
        <w:rPr>
          <w:sz w:val="22"/>
          <w:szCs w:val="22"/>
        </w:rPr>
        <w:t>antioksidanta</w:t>
      </w:r>
      <w:proofErr w:type="spellEnd"/>
      <w:r w:rsidRPr="00831C98">
        <w:rPr>
          <w:sz w:val="22"/>
          <w:szCs w:val="22"/>
        </w:rPr>
        <w:t xml:space="preserve"> (</w:t>
      </w:r>
      <w:proofErr w:type="spellStart"/>
      <w:r w:rsidRPr="00831C98">
        <w:rPr>
          <w:sz w:val="22"/>
          <w:szCs w:val="22"/>
        </w:rPr>
        <w:t>glutationa</w:t>
      </w:r>
      <w:proofErr w:type="spellEnd"/>
      <w:r w:rsidRPr="00831C98">
        <w:rPr>
          <w:sz w:val="22"/>
          <w:szCs w:val="22"/>
        </w:rPr>
        <w:t xml:space="preserve"> [GSH], </w:t>
      </w:r>
      <w:proofErr w:type="spellStart"/>
      <w:r w:rsidRPr="00831C98">
        <w:rPr>
          <w:sz w:val="22"/>
          <w:szCs w:val="22"/>
        </w:rPr>
        <w:t>fenola</w:t>
      </w:r>
      <w:proofErr w:type="spellEnd"/>
      <w:r w:rsidR="004C42B7">
        <w:rPr>
          <w:sz w:val="22"/>
          <w:szCs w:val="22"/>
        </w:rPr>
        <w:t xml:space="preserve"> </w:t>
      </w:r>
      <w:proofErr w:type="spellStart"/>
      <w:r w:rsidRPr="00831C98">
        <w:rPr>
          <w:sz w:val="22"/>
          <w:szCs w:val="22"/>
        </w:rPr>
        <w:t>i</w:t>
      </w:r>
      <w:proofErr w:type="spellEnd"/>
      <w:r w:rsidR="004C42B7">
        <w:rPr>
          <w:sz w:val="22"/>
          <w:szCs w:val="22"/>
        </w:rPr>
        <w:t xml:space="preserve"> </w:t>
      </w:r>
      <w:proofErr w:type="spellStart"/>
      <w:r w:rsidRPr="00831C98">
        <w:rPr>
          <w:sz w:val="22"/>
          <w:szCs w:val="22"/>
        </w:rPr>
        <w:t>žutog</w:t>
      </w:r>
      <w:proofErr w:type="spellEnd"/>
      <w:r w:rsidR="004C42B7">
        <w:rPr>
          <w:sz w:val="22"/>
          <w:szCs w:val="22"/>
        </w:rPr>
        <w:t xml:space="preserve"> </w:t>
      </w:r>
      <w:proofErr w:type="spellStart"/>
      <w:r w:rsidRPr="00831C98">
        <w:rPr>
          <w:sz w:val="22"/>
          <w:szCs w:val="22"/>
        </w:rPr>
        <w:t>pigmenta</w:t>
      </w:r>
      <w:proofErr w:type="spellEnd"/>
      <w:r w:rsidRPr="00831C98">
        <w:rPr>
          <w:sz w:val="22"/>
          <w:szCs w:val="22"/>
        </w:rPr>
        <w:t xml:space="preserve"> [YP]) u </w:t>
      </w:r>
      <w:proofErr w:type="spellStart"/>
      <w:r w:rsidRPr="00831C98">
        <w:rPr>
          <w:sz w:val="22"/>
          <w:szCs w:val="22"/>
        </w:rPr>
        <w:t>zrnu</w:t>
      </w:r>
      <w:proofErr w:type="spellEnd"/>
      <w:r w:rsidR="004C42B7">
        <w:rPr>
          <w:sz w:val="22"/>
          <w:szCs w:val="22"/>
        </w:rPr>
        <w:t xml:space="preserve"> </w:t>
      </w:r>
      <w:proofErr w:type="spellStart"/>
      <w:r w:rsidRPr="00831C98">
        <w:rPr>
          <w:sz w:val="22"/>
          <w:szCs w:val="22"/>
        </w:rPr>
        <w:t>crvenog</w:t>
      </w:r>
      <w:proofErr w:type="spellEnd"/>
      <w:r w:rsidR="004C42B7">
        <w:rPr>
          <w:sz w:val="22"/>
          <w:szCs w:val="22"/>
        </w:rPr>
        <w:t xml:space="preserve"> </w:t>
      </w:r>
      <w:proofErr w:type="spellStart"/>
      <w:r w:rsidRPr="00831C98">
        <w:rPr>
          <w:sz w:val="22"/>
          <w:szCs w:val="22"/>
        </w:rPr>
        <w:t>kukuruza</w:t>
      </w:r>
      <w:proofErr w:type="spellEnd"/>
      <w:r w:rsidR="004C42B7">
        <w:rPr>
          <w:sz w:val="22"/>
          <w:szCs w:val="22"/>
        </w:rPr>
        <w:t xml:space="preserve"> </w:t>
      </w:r>
      <w:proofErr w:type="spellStart"/>
      <w:r w:rsidRPr="00831C98">
        <w:rPr>
          <w:sz w:val="22"/>
          <w:szCs w:val="22"/>
        </w:rPr>
        <w:t>i</w:t>
      </w:r>
      <w:proofErr w:type="spellEnd"/>
      <w:r w:rsidR="004C42B7">
        <w:rPr>
          <w:sz w:val="22"/>
          <w:szCs w:val="22"/>
        </w:rPr>
        <w:t xml:space="preserve"> </w:t>
      </w:r>
      <w:proofErr w:type="spellStart"/>
      <w:r w:rsidRPr="00831C98">
        <w:rPr>
          <w:sz w:val="22"/>
          <w:szCs w:val="22"/>
        </w:rPr>
        <w:t>crne</w:t>
      </w:r>
      <w:proofErr w:type="spellEnd"/>
      <w:r w:rsidR="004C42B7">
        <w:rPr>
          <w:sz w:val="22"/>
          <w:szCs w:val="22"/>
        </w:rPr>
        <w:t xml:space="preserve"> </w:t>
      </w:r>
      <w:proofErr w:type="spellStart"/>
      <w:r w:rsidRPr="00831C98">
        <w:rPr>
          <w:sz w:val="22"/>
          <w:szCs w:val="22"/>
        </w:rPr>
        <w:t>soje</w:t>
      </w:r>
      <w:proofErr w:type="spellEnd"/>
      <w:r w:rsidRPr="00831C98">
        <w:rPr>
          <w:sz w:val="22"/>
          <w:szCs w:val="22"/>
        </w:rPr>
        <w:t xml:space="preserve">. </w:t>
      </w:r>
      <w:proofErr w:type="spellStart"/>
      <w:r w:rsidRPr="00831C98">
        <w:rPr>
          <w:sz w:val="22"/>
          <w:szCs w:val="22"/>
        </w:rPr>
        <w:t>Zrno</w:t>
      </w:r>
      <w:proofErr w:type="spellEnd"/>
      <w:r w:rsidR="004C42B7">
        <w:rPr>
          <w:sz w:val="22"/>
          <w:szCs w:val="22"/>
        </w:rPr>
        <w:t xml:space="preserve"> </w:t>
      </w:r>
      <w:proofErr w:type="spellStart"/>
      <w:r w:rsidRPr="00831C98">
        <w:rPr>
          <w:sz w:val="22"/>
          <w:szCs w:val="22"/>
        </w:rPr>
        <w:t>crne</w:t>
      </w:r>
      <w:proofErr w:type="spellEnd"/>
      <w:r w:rsidR="004C42B7">
        <w:rPr>
          <w:sz w:val="22"/>
          <w:szCs w:val="22"/>
        </w:rPr>
        <w:t xml:space="preserve"> </w:t>
      </w:r>
      <w:proofErr w:type="spellStart"/>
      <w:r w:rsidRPr="00831C98">
        <w:rPr>
          <w:sz w:val="22"/>
          <w:szCs w:val="22"/>
        </w:rPr>
        <w:t>soje</w:t>
      </w:r>
      <w:proofErr w:type="spellEnd"/>
      <w:r w:rsidRPr="00831C98">
        <w:rPr>
          <w:sz w:val="22"/>
          <w:szCs w:val="22"/>
        </w:rPr>
        <w:t xml:space="preserve"> je </w:t>
      </w:r>
      <w:proofErr w:type="spellStart"/>
      <w:r w:rsidRPr="00831C98">
        <w:rPr>
          <w:sz w:val="22"/>
          <w:szCs w:val="22"/>
        </w:rPr>
        <w:t>bogatije</w:t>
      </w:r>
      <w:proofErr w:type="spellEnd"/>
      <w:r w:rsidR="004C42B7">
        <w:rPr>
          <w:sz w:val="22"/>
          <w:szCs w:val="22"/>
        </w:rPr>
        <w:t xml:space="preserve"> </w:t>
      </w:r>
      <w:proofErr w:type="spellStart"/>
      <w:r w:rsidRPr="00831C98">
        <w:rPr>
          <w:sz w:val="22"/>
          <w:szCs w:val="22"/>
        </w:rPr>
        <w:t>antioksidantima</w:t>
      </w:r>
      <w:proofErr w:type="spellEnd"/>
      <w:r w:rsidR="004C42B7">
        <w:rPr>
          <w:sz w:val="22"/>
          <w:szCs w:val="22"/>
        </w:rPr>
        <w:t xml:space="preserve"> </w:t>
      </w:r>
      <w:proofErr w:type="spellStart"/>
      <w:proofErr w:type="gramStart"/>
      <w:r w:rsidRPr="00831C98">
        <w:rPr>
          <w:sz w:val="22"/>
          <w:szCs w:val="22"/>
        </w:rPr>
        <w:t>od</w:t>
      </w:r>
      <w:proofErr w:type="spellEnd"/>
      <w:proofErr w:type="gramEnd"/>
      <w:r w:rsidR="004C42B7">
        <w:rPr>
          <w:sz w:val="22"/>
          <w:szCs w:val="22"/>
        </w:rPr>
        <w:t xml:space="preserve"> </w:t>
      </w:r>
      <w:proofErr w:type="spellStart"/>
      <w:r w:rsidRPr="00831C98">
        <w:rPr>
          <w:sz w:val="22"/>
          <w:szCs w:val="22"/>
        </w:rPr>
        <w:t>crvenog</w:t>
      </w:r>
      <w:proofErr w:type="spellEnd"/>
      <w:r w:rsidR="004C42B7">
        <w:rPr>
          <w:sz w:val="22"/>
          <w:szCs w:val="22"/>
        </w:rPr>
        <w:t xml:space="preserve"> </w:t>
      </w:r>
      <w:proofErr w:type="spellStart"/>
      <w:r w:rsidRPr="00831C98">
        <w:rPr>
          <w:sz w:val="22"/>
          <w:szCs w:val="22"/>
        </w:rPr>
        <w:t>kukuruza</w:t>
      </w:r>
      <w:proofErr w:type="spellEnd"/>
      <w:r w:rsidRPr="00831C98">
        <w:rPr>
          <w:sz w:val="22"/>
          <w:szCs w:val="22"/>
        </w:rPr>
        <w:t xml:space="preserve">. </w:t>
      </w:r>
      <w:proofErr w:type="spellStart"/>
      <w:r w:rsidRPr="00831C98">
        <w:rPr>
          <w:sz w:val="22"/>
          <w:szCs w:val="22"/>
        </w:rPr>
        <w:t>Sezona</w:t>
      </w:r>
      <w:proofErr w:type="spellEnd"/>
      <w:r w:rsidRPr="00831C98">
        <w:rPr>
          <w:sz w:val="22"/>
          <w:szCs w:val="22"/>
        </w:rPr>
        <w:t xml:space="preserve"> je </w:t>
      </w:r>
      <w:proofErr w:type="spellStart"/>
      <w:r w:rsidRPr="00831C98">
        <w:rPr>
          <w:sz w:val="22"/>
          <w:szCs w:val="22"/>
        </w:rPr>
        <w:t>pokazala</w:t>
      </w:r>
      <w:proofErr w:type="spellEnd"/>
      <w:r w:rsidR="004C42B7">
        <w:rPr>
          <w:sz w:val="22"/>
          <w:szCs w:val="22"/>
        </w:rPr>
        <w:t xml:space="preserve"> </w:t>
      </w:r>
      <w:proofErr w:type="spellStart"/>
      <w:r w:rsidRPr="00831C98">
        <w:rPr>
          <w:sz w:val="22"/>
          <w:szCs w:val="22"/>
        </w:rPr>
        <w:t>najveći</w:t>
      </w:r>
      <w:proofErr w:type="spellEnd"/>
      <w:r w:rsidR="004C42B7">
        <w:rPr>
          <w:sz w:val="22"/>
          <w:szCs w:val="22"/>
        </w:rPr>
        <w:t xml:space="preserve"> </w:t>
      </w:r>
      <w:proofErr w:type="spellStart"/>
      <w:r w:rsidRPr="00831C98">
        <w:rPr>
          <w:sz w:val="22"/>
          <w:szCs w:val="22"/>
        </w:rPr>
        <w:t>uticaj</w:t>
      </w:r>
      <w:proofErr w:type="spellEnd"/>
      <w:r w:rsidR="004C42B7">
        <w:rPr>
          <w:sz w:val="22"/>
          <w:szCs w:val="22"/>
        </w:rPr>
        <w:t xml:space="preserve"> </w:t>
      </w:r>
      <w:proofErr w:type="spellStart"/>
      <w:proofErr w:type="gramStart"/>
      <w:r w:rsidRPr="00831C98">
        <w:rPr>
          <w:sz w:val="22"/>
          <w:szCs w:val="22"/>
        </w:rPr>
        <w:t>na</w:t>
      </w:r>
      <w:proofErr w:type="spellEnd"/>
      <w:proofErr w:type="gramEnd"/>
      <w:r w:rsidR="004C42B7">
        <w:rPr>
          <w:sz w:val="22"/>
          <w:szCs w:val="22"/>
        </w:rPr>
        <w:t xml:space="preserve"> </w:t>
      </w:r>
      <w:proofErr w:type="spellStart"/>
      <w:r w:rsidRPr="00831C98">
        <w:rPr>
          <w:sz w:val="22"/>
          <w:szCs w:val="22"/>
        </w:rPr>
        <w:t>sadržaj</w:t>
      </w:r>
      <w:proofErr w:type="spellEnd"/>
      <w:r w:rsidRPr="00831C98">
        <w:rPr>
          <w:sz w:val="22"/>
          <w:szCs w:val="22"/>
        </w:rPr>
        <w:t xml:space="preserve"> GSH, </w:t>
      </w:r>
      <w:proofErr w:type="spellStart"/>
      <w:r w:rsidRPr="00831C98">
        <w:rPr>
          <w:sz w:val="22"/>
          <w:szCs w:val="22"/>
        </w:rPr>
        <w:t>fenola</w:t>
      </w:r>
      <w:proofErr w:type="spellEnd"/>
      <w:r w:rsidR="004C42B7">
        <w:rPr>
          <w:sz w:val="22"/>
          <w:szCs w:val="22"/>
        </w:rPr>
        <w:t xml:space="preserve"> </w:t>
      </w:r>
      <w:proofErr w:type="spellStart"/>
      <w:r w:rsidRPr="00831C98">
        <w:rPr>
          <w:sz w:val="22"/>
          <w:szCs w:val="22"/>
        </w:rPr>
        <w:t>i</w:t>
      </w:r>
      <w:proofErr w:type="spellEnd"/>
      <w:r w:rsidRPr="00831C98">
        <w:rPr>
          <w:sz w:val="22"/>
          <w:szCs w:val="22"/>
        </w:rPr>
        <w:t xml:space="preserve"> YP </w:t>
      </w:r>
      <w:proofErr w:type="spellStart"/>
      <w:r w:rsidRPr="00831C98">
        <w:rPr>
          <w:sz w:val="22"/>
          <w:szCs w:val="22"/>
        </w:rPr>
        <w:t>kod</w:t>
      </w:r>
      <w:proofErr w:type="spellEnd"/>
      <w:r w:rsidR="004C42B7">
        <w:rPr>
          <w:sz w:val="22"/>
          <w:szCs w:val="22"/>
        </w:rPr>
        <w:t xml:space="preserve"> </w:t>
      </w:r>
      <w:proofErr w:type="spellStart"/>
      <w:r w:rsidRPr="00831C98">
        <w:rPr>
          <w:sz w:val="22"/>
          <w:szCs w:val="22"/>
        </w:rPr>
        <w:t>kukuruza</w:t>
      </w:r>
      <w:proofErr w:type="spellEnd"/>
      <w:r w:rsidR="004C42B7">
        <w:rPr>
          <w:sz w:val="22"/>
          <w:szCs w:val="22"/>
        </w:rPr>
        <w:t xml:space="preserve"> </w:t>
      </w:r>
      <w:proofErr w:type="spellStart"/>
      <w:r w:rsidRPr="00831C98">
        <w:rPr>
          <w:sz w:val="22"/>
          <w:szCs w:val="22"/>
        </w:rPr>
        <w:t>i</w:t>
      </w:r>
      <w:proofErr w:type="spellEnd"/>
      <w:r w:rsidR="004C42B7">
        <w:rPr>
          <w:sz w:val="22"/>
          <w:szCs w:val="22"/>
        </w:rPr>
        <w:t xml:space="preserve"> </w:t>
      </w:r>
      <w:proofErr w:type="spellStart"/>
      <w:r w:rsidRPr="00831C98">
        <w:rPr>
          <w:sz w:val="22"/>
          <w:szCs w:val="22"/>
        </w:rPr>
        <w:t>soje</w:t>
      </w:r>
      <w:proofErr w:type="spellEnd"/>
      <w:r w:rsidRPr="00831C98">
        <w:rPr>
          <w:sz w:val="22"/>
          <w:szCs w:val="22"/>
        </w:rPr>
        <w:t xml:space="preserve">, </w:t>
      </w:r>
      <w:proofErr w:type="spellStart"/>
      <w:r w:rsidRPr="00831C98">
        <w:rPr>
          <w:sz w:val="22"/>
          <w:szCs w:val="22"/>
        </w:rPr>
        <w:t>dok</w:t>
      </w:r>
      <w:proofErr w:type="spellEnd"/>
      <w:r w:rsidR="004C42B7">
        <w:rPr>
          <w:sz w:val="22"/>
          <w:szCs w:val="22"/>
        </w:rPr>
        <w:t xml:space="preserve"> </w:t>
      </w:r>
      <w:proofErr w:type="spellStart"/>
      <w:r w:rsidRPr="00831C98">
        <w:rPr>
          <w:sz w:val="22"/>
          <w:szCs w:val="22"/>
        </w:rPr>
        <w:t>su</w:t>
      </w:r>
      <w:proofErr w:type="spellEnd"/>
      <w:r w:rsidR="004C42B7">
        <w:rPr>
          <w:sz w:val="22"/>
          <w:szCs w:val="22"/>
        </w:rPr>
        <w:t xml:space="preserve"> </w:t>
      </w:r>
      <w:proofErr w:type="spellStart"/>
      <w:r w:rsidR="004C42B7">
        <w:rPr>
          <w:sz w:val="22"/>
          <w:szCs w:val="22"/>
        </w:rPr>
        <w:t>sistem</w:t>
      </w:r>
      <w:proofErr w:type="spellEnd"/>
      <w:r w:rsidR="004C42B7">
        <w:rPr>
          <w:sz w:val="22"/>
          <w:szCs w:val="22"/>
        </w:rPr>
        <w:t xml:space="preserve"> </w:t>
      </w:r>
      <w:proofErr w:type="spellStart"/>
      <w:r w:rsidRPr="00831C98">
        <w:rPr>
          <w:sz w:val="22"/>
          <w:szCs w:val="22"/>
        </w:rPr>
        <w:t>gajenja</w:t>
      </w:r>
      <w:proofErr w:type="spellEnd"/>
      <w:r w:rsidR="004C42B7">
        <w:rPr>
          <w:sz w:val="22"/>
          <w:szCs w:val="22"/>
        </w:rPr>
        <w:t xml:space="preserve"> </w:t>
      </w:r>
      <w:proofErr w:type="spellStart"/>
      <w:r w:rsidRPr="00831C98">
        <w:rPr>
          <w:sz w:val="22"/>
          <w:szCs w:val="22"/>
        </w:rPr>
        <w:t>i</w:t>
      </w:r>
      <w:proofErr w:type="spellEnd"/>
      <w:r w:rsidR="004C42B7">
        <w:rPr>
          <w:sz w:val="22"/>
          <w:szCs w:val="22"/>
        </w:rPr>
        <w:t xml:space="preserve"> </w:t>
      </w:r>
      <w:proofErr w:type="spellStart"/>
      <w:r w:rsidRPr="00831C98">
        <w:rPr>
          <w:sz w:val="22"/>
          <w:szCs w:val="22"/>
        </w:rPr>
        <w:t>đubrenje</w:t>
      </w:r>
      <w:proofErr w:type="spellEnd"/>
      <w:r w:rsidR="004C42B7">
        <w:rPr>
          <w:sz w:val="22"/>
          <w:szCs w:val="22"/>
        </w:rPr>
        <w:t xml:space="preserve"> </w:t>
      </w:r>
      <w:proofErr w:type="spellStart"/>
      <w:r w:rsidRPr="00831C98">
        <w:rPr>
          <w:sz w:val="22"/>
          <w:szCs w:val="22"/>
        </w:rPr>
        <w:t>uticali</w:t>
      </w:r>
      <w:proofErr w:type="spellEnd"/>
      <w:r w:rsidR="004C42B7">
        <w:rPr>
          <w:sz w:val="22"/>
          <w:szCs w:val="22"/>
        </w:rPr>
        <w:t xml:space="preserve"> </w:t>
      </w:r>
      <w:proofErr w:type="spellStart"/>
      <w:r w:rsidRPr="00831C98">
        <w:rPr>
          <w:sz w:val="22"/>
          <w:szCs w:val="22"/>
        </w:rPr>
        <w:t>na</w:t>
      </w:r>
      <w:proofErr w:type="spellEnd"/>
      <w:r w:rsidR="004C42B7">
        <w:rPr>
          <w:sz w:val="22"/>
          <w:szCs w:val="22"/>
        </w:rPr>
        <w:t xml:space="preserve"> </w:t>
      </w:r>
      <w:proofErr w:type="spellStart"/>
      <w:r w:rsidRPr="00831C98">
        <w:rPr>
          <w:sz w:val="22"/>
          <w:szCs w:val="22"/>
        </w:rPr>
        <w:t>promene</w:t>
      </w:r>
      <w:proofErr w:type="spellEnd"/>
      <w:r w:rsidRPr="00831C98">
        <w:rPr>
          <w:sz w:val="22"/>
          <w:szCs w:val="22"/>
        </w:rPr>
        <w:t xml:space="preserve"> u </w:t>
      </w:r>
      <w:proofErr w:type="spellStart"/>
      <w:r w:rsidRPr="00831C98">
        <w:rPr>
          <w:sz w:val="22"/>
          <w:szCs w:val="22"/>
        </w:rPr>
        <w:t>sadržaju</w:t>
      </w:r>
      <w:proofErr w:type="spellEnd"/>
      <w:r w:rsidRPr="00831C98">
        <w:rPr>
          <w:sz w:val="22"/>
          <w:szCs w:val="22"/>
        </w:rPr>
        <w:t xml:space="preserve"> GSH </w:t>
      </w:r>
      <w:proofErr w:type="spellStart"/>
      <w:r w:rsidRPr="00831C98">
        <w:rPr>
          <w:sz w:val="22"/>
          <w:szCs w:val="22"/>
        </w:rPr>
        <w:t>i</w:t>
      </w:r>
      <w:proofErr w:type="spellEnd"/>
      <w:r w:rsidR="004C42B7">
        <w:rPr>
          <w:sz w:val="22"/>
          <w:szCs w:val="22"/>
        </w:rPr>
        <w:t xml:space="preserve"> </w:t>
      </w:r>
      <w:proofErr w:type="spellStart"/>
      <w:r w:rsidRPr="00831C98">
        <w:rPr>
          <w:sz w:val="22"/>
          <w:szCs w:val="22"/>
        </w:rPr>
        <w:t>fenola</w:t>
      </w:r>
      <w:proofErr w:type="spellEnd"/>
      <w:r w:rsidRPr="00831C98">
        <w:rPr>
          <w:sz w:val="22"/>
          <w:szCs w:val="22"/>
        </w:rPr>
        <w:t xml:space="preserve">. </w:t>
      </w:r>
      <w:proofErr w:type="spellStart"/>
      <w:r w:rsidRPr="00831C98">
        <w:rPr>
          <w:sz w:val="22"/>
          <w:szCs w:val="22"/>
        </w:rPr>
        <w:t>Sadržaj</w:t>
      </w:r>
      <w:proofErr w:type="spellEnd"/>
      <w:r w:rsidR="004C42B7">
        <w:rPr>
          <w:sz w:val="22"/>
          <w:szCs w:val="22"/>
        </w:rPr>
        <w:t xml:space="preserve"> </w:t>
      </w:r>
      <w:proofErr w:type="spellStart"/>
      <w:r w:rsidRPr="00831C98">
        <w:rPr>
          <w:sz w:val="22"/>
          <w:szCs w:val="22"/>
        </w:rPr>
        <w:t>antioksidanata</w:t>
      </w:r>
      <w:proofErr w:type="spellEnd"/>
      <w:r w:rsidRPr="00831C98">
        <w:rPr>
          <w:sz w:val="22"/>
          <w:szCs w:val="22"/>
        </w:rPr>
        <w:t xml:space="preserve"> u </w:t>
      </w:r>
      <w:proofErr w:type="spellStart"/>
      <w:r w:rsidRPr="00831C98">
        <w:rPr>
          <w:sz w:val="22"/>
          <w:szCs w:val="22"/>
        </w:rPr>
        <w:t>zrnima</w:t>
      </w:r>
      <w:proofErr w:type="spellEnd"/>
      <w:r w:rsidR="004C42B7">
        <w:rPr>
          <w:sz w:val="22"/>
          <w:szCs w:val="22"/>
        </w:rPr>
        <w:t xml:space="preserve"> </w:t>
      </w:r>
      <w:proofErr w:type="spellStart"/>
      <w:proofErr w:type="gramStart"/>
      <w:r w:rsidRPr="00831C98">
        <w:rPr>
          <w:sz w:val="22"/>
          <w:szCs w:val="22"/>
        </w:rPr>
        <w:t>sa</w:t>
      </w:r>
      <w:proofErr w:type="spellEnd"/>
      <w:proofErr w:type="gramEnd"/>
      <w:r w:rsidR="004C42B7">
        <w:rPr>
          <w:sz w:val="22"/>
          <w:szCs w:val="22"/>
        </w:rPr>
        <w:t xml:space="preserve"> </w:t>
      </w:r>
      <w:proofErr w:type="spellStart"/>
      <w:r w:rsidRPr="00831C98">
        <w:rPr>
          <w:sz w:val="22"/>
          <w:szCs w:val="22"/>
        </w:rPr>
        <w:t>većom</w:t>
      </w:r>
      <w:proofErr w:type="spellEnd"/>
      <w:r w:rsidR="004C42B7">
        <w:rPr>
          <w:sz w:val="22"/>
          <w:szCs w:val="22"/>
        </w:rPr>
        <w:t xml:space="preserve"> </w:t>
      </w:r>
      <w:proofErr w:type="spellStart"/>
      <w:r w:rsidRPr="00831C98">
        <w:rPr>
          <w:sz w:val="22"/>
          <w:szCs w:val="22"/>
        </w:rPr>
        <w:t>masom</w:t>
      </w:r>
      <w:proofErr w:type="spellEnd"/>
      <w:r w:rsidRPr="00831C98">
        <w:rPr>
          <w:sz w:val="22"/>
          <w:szCs w:val="22"/>
        </w:rPr>
        <w:t xml:space="preserve"> je </w:t>
      </w:r>
      <w:proofErr w:type="spellStart"/>
      <w:r w:rsidRPr="00831C98">
        <w:rPr>
          <w:sz w:val="22"/>
          <w:szCs w:val="22"/>
        </w:rPr>
        <w:t>odgovarao</w:t>
      </w:r>
      <w:proofErr w:type="spellEnd"/>
      <w:r w:rsidR="004C42B7">
        <w:rPr>
          <w:sz w:val="22"/>
          <w:szCs w:val="22"/>
        </w:rPr>
        <w:t xml:space="preserve"> </w:t>
      </w:r>
      <w:proofErr w:type="spellStart"/>
      <w:r w:rsidRPr="00831C98">
        <w:rPr>
          <w:sz w:val="22"/>
          <w:szCs w:val="22"/>
        </w:rPr>
        <w:t>povećanom</w:t>
      </w:r>
      <w:proofErr w:type="spellEnd"/>
      <w:r w:rsidR="004C42B7">
        <w:rPr>
          <w:sz w:val="22"/>
          <w:szCs w:val="22"/>
        </w:rPr>
        <w:t xml:space="preserve"> </w:t>
      </w:r>
      <w:proofErr w:type="spellStart"/>
      <w:r w:rsidRPr="00831C98">
        <w:rPr>
          <w:sz w:val="22"/>
          <w:szCs w:val="22"/>
        </w:rPr>
        <w:t>nivou</w:t>
      </w:r>
      <w:proofErr w:type="spellEnd"/>
      <w:r w:rsidRPr="00831C98">
        <w:rPr>
          <w:sz w:val="22"/>
          <w:szCs w:val="22"/>
        </w:rPr>
        <w:t xml:space="preserve"> GSH </w:t>
      </w:r>
      <w:proofErr w:type="spellStart"/>
      <w:r w:rsidRPr="00831C98">
        <w:rPr>
          <w:sz w:val="22"/>
          <w:szCs w:val="22"/>
        </w:rPr>
        <w:t>kod</w:t>
      </w:r>
      <w:proofErr w:type="spellEnd"/>
      <w:r w:rsidR="004C42B7">
        <w:rPr>
          <w:sz w:val="22"/>
          <w:szCs w:val="22"/>
        </w:rPr>
        <w:t xml:space="preserve"> </w:t>
      </w:r>
      <w:proofErr w:type="spellStart"/>
      <w:r w:rsidRPr="00831C98">
        <w:rPr>
          <w:sz w:val="22"/>
          <w:szCs w:val="22"/>
        </w:rPr>
        <w:t>kukurza</w:t>
      </w:r>
      <w:proofErr w:type="spellEnd"/>
      <w:r w:rsidRPr="00831C98">
        <w:rPr>
          <w:sz w:val="22"/>
          <w:szCs w:val="22"/>
        </w:rPr>
        <w:t xml:space="preserve">, </w:t>
      </w:r>
      <w:proofErr w:type="spellStart"/>
      <w:r w:rsidRPr="00831C98">
        <w:rPr>
          <w:sz w:val="22"/>
          <w:szCs w:val="22"/>
        </w:rPr>
        <w:t>kao</w:t>
      </w:r>
      <w:proofErr w:type="spellEnd"/>
      <w:r w:rsidR="004C42B7">
        <w:rPr>
          <w:sz w:val="22"/>
          <w:szCs w:val="22"/>
        </w:rPr>
        <w:t xml:space="preserve"> </w:t>
      </w:r>
      <w:proofErr w:type="spellStart"/>
      <w:r w:rsidRPr="00831C98">
        <w:rPr>
          <w:sz w:val="22"/>
          <w:szCs w:val="22"/>
        </w:rPr>
        <w:t>i</w:t>
      </w:r>
      <w:proofErr w:type="spellEnd"/>
      <w:r w:rsidR="004C42B7">
        <w:rPr>
          <w:sz w:val="22"/>
          <w:szCs w:val="22"/>
        </w:rPr>
        <w:t xml:space="preserve"> </w:t>
      </w:r>
      <w:proofErr w:type="spellStart"/>
      <w:r w:rsidRPr="00831C98">
        <w:rPr>
          <w:sz w:val="22"/>
          <w:szCs w:val="22"/>
        </w:rPr>
        <w:t>povećanju</w:t>
      </w:r>
      <w:proofErr w:type="spellEnd"/>
      <w:r w:rsidR="004C42B7">
        <w:rPr>
          <w:sz w:val="22"/>
          <w:szCs w:val="22"/>
        </w:rPr>
        <w:t xml:space="preserve"> </w:t>
      </w:r>
      <w:proofErr w:type="spellStart"/>
      <w:r w:rsidRPr="00831C98">
        <w:rPr>
          <w:sz w:val="22"/>
          <w:szCs w:val="22"/>
        </w:rPr>
        <w:t>nivoa</w:t>
      </w:r>
      <w:proofErr w:type="spellEnd"/>
      <w:r w:rsidRPr="00831C98">
        <w:rPr>
          <w:sz w:val="22"/>
          <w:szCs w:val="22"/>
        </w:rPr>
        <w:t xml:space="preserve"> GSH </w:t>
      </w:r>
      <w:proofErr w:type="spellStart"/>
      <w:r w:rsidRPr="00831C98">
        <w:rPr>
          <w:sz w:val="22"/>
          <w:szCs w:val="22"/>
        </w:rPr>
        <w:t>i</w:t>
      </w:r>
      <w:proofErr w:type="spellEnd"/>
      <w:r w:rsidR="004C42B7">
        <w:rPr>
          <w:sz w:val="22"/>
          <w:szCs w:val="22"/>
        </w:rPr>
        <w:t xml:space="preserve"> </w:t>
      </w:r>
      <w:proofErr w:type="spellStart"/>
      <w:r w:rsidRPr="00831C98">
        <w:rPr>
          <w:sz w:val="22"/>
          <w:szCs w:val="22"/>
        </w:rPr>
        <w:t>fenola</w:t>
      </w:r>
      <w:proofErr w:type="spellEnd"/>
      <w:r w:rsidR="004C42B7">
        <w:rPr>
          <w:sz w:val="22"/>
          <w:szCs w:val="22"/>
        </w:rPr>
        <w:t xml:space="preserve"> </w:t>
      </w:r>
      <w:proofErr w:type="spellStart"/>
      <w:r w:rsidRPr="00831C98">
        <w:rPr>
          <w:sz w:val="22"/>
          <w:szCs w:val="22"/>
        </w:rPr>
        <w:t>kod</w:t>
      </w:r>
      <w:proofErr w:type="spellEnd"/>
      <w:r w:rsidR="004C42B7">
        <w:rPr>
          <w:sz w:val="22"/>
          <w:szCs w:val="22"/>
        </w:rPr>
        <w:t xml:space="preserve"> </w:t>
      </w:r>
      <w:proofErr w:type="spellStart"/>
      <w:r w:rsidRPr="00831C98">
        <w:rPr>
          <w:sz w:val="22"/>
          <w:szCs w:val="22"/>
        </w:rPr>
        <w:t>soje</w:t>
      </w:r>
      <w:proofErr w:type="spellEnd"/>
      <w:r w:rsidRPr="00831C98">
        <w:rPr>
          <w:sz w:val="22"/>
          <w:szCs w:val="22"/>
        </w:rPr>
        <w:t xml:space="preserve">, </w:t>
      </w:r>
      <w:proofErr w:type="spellStart"/>
      <w:r w:rsidRPr="00831C98">
        <w:rPr>
          <w:sz w:val="22"/>
          <w:szCs w:val="22"/>
        </w:rPr>
        <w:t>dok</w:t>
      </w:r>
      <w:proofErr w:type="spellEnd"/>
      <w:r w:rsidR="004C42B7">
        <w:rPr>
          <w:sz w:val="22"/>
          <w:szCs w:val="22"/>
        </w:rPr>
        <w:t xml:space="preserve"> </w:t>
      </w:r>
      <w:proofErr w:type="spellStart"/>
      <w:r w:rsidRPr="00831C98">
        <w:rPr>
          <w:sz w:val="22"/>
          <w:szCs w:val="22"/>
        </w:rPr>
        <w:t>su</w:t>
      </w:r>
      <w:proofErr w:type="spellEnd"/>
      <w:r w:rsidR="004C42B7">
        <w:rPr>
          <w:sz w:val="22"/>
          <w:szCs w:val="22"/>
        </w:rPr>
        <w:t xml:space="preserve"> </w:t>
      </w:r>
      <w:proofErr w:type="spellStart"/>
      <w:r w:rsidRPr="00831C98">
        <w:rPr>
          <w:sz w:val="22"/>
          <w:szCs w:val="22"/>
        </w:rPr>
        <w:t>zrna</w:t>
      </w:r>
      <w:proofErr w:type="spellEnd"/>
      <w:r w:rsidR="004C42B7">
        <w:rPr>
          <w:sz w:val="22"/>
          <w:szCs w:val="22"/>
        </w:rPr>
        <w:t xml:space="preserve"> </w:t>
      </w:r>
      <w:proofErr w:type="spellStart"/>
      <w:r w:rsidRPr="00831C98">
        <w:rPr>
          <w:sz w:val="22"/>
          <w:szCs w:val="22"/>
        </w:rPr>
        <w:t>manje</w:t>
      </w:r>
      <w:proofErr w:type="spellEnd"/>
      <w:r w:rsidR="004C42B7">
        <w:rPr>
          <w:sz w:val="22"/>
          <w:szCs w:val="22"/>
        </w:rPr>
        <w:t xml:space="preserve"> </w:t>
      </w:r>
      <w:proofErr w:type="spellStart"/>
      <w:r w:rsidRPr="00831C98">
        <w:rPr>
          <w:sz w:val="22"/>
          <w:szCs w:val="22"/>
        </w:rPr>
        <w:t>mase</w:t>
      </w:r>
      <w:proofErr w:type="spellEnd"/>
      <w:r w:rsidR="004C42B7">
        <w:rPr>
          <w:sz w:val="22"/>
          <w:szCs w:val="22"/>
        </w:rPr>
        <w:t xml:space="preserve"> </w:t>
      </w:r>
      <w:proofErr w:type="spellStart"/>
      <w:r w:rsidRPr="00831C98">
        <w:rPr>
          <w:sz w:val="22"/>
          <w:szCs w:val="22"/>
        </w:rPr>
        <w:t>imala</w:t>
      </w:r>
      <w:proofErr w:type="spellEnd"/>
      <w:r w:rsidR="004C42B7">
        <w:rPr>
          <w:sz w:val="22"/>
          <w:szCs w:val="22"/>
        </w:rPr>
        <w:t xml:space="preserve"> </w:t>
      </w:r>
      <w:proofErr w:type="spellStart"/>
      <w:r w:rsidRPr="00831C98">
        <w:rPr>
          <w:sz w:val="22"/>
          <w:szCs w:val="22"/>
        </w:rPr>
        <w:t>veći</w:t>
      </w:r>
      <w:proofErr w:type="spellEnd"/>
      <w:r w:rsidR="004C42B7">
        <w:rPr>
          <w:sz w:val="22"/>
          <w:szCs w:val="22"/>
        </w:rPr>
        <w:t xml:space="preserve"> </w:t>
      </w:r>
      <w:proofErr w:type="spellStart"/>
      <w:r w:rsidRPr="00831C98">
        <w:rPr>
          <w:sz w:val="22"/>
          <w:szCs w:val="22"/>
        </w:rPr>
        <w:t>sadržaj</w:t>
      </w:r>
      <w:proofErr w:type="spellEnd"/>
      <w:r w:rsidRPr="00831C98">
        <w:rPr>
          <w:sz w:val="22"/>
          <w:szCs w:val="22"/>
        </w:rPr>
        <w:t xml:space="preserve"> YP. </w:t>
      </w:r>
      <w:proofErr w:type="spellStart"/>
      <w:proofErr w:type="gramStart"/>
      <w:r w:rsidRPr="00831C98">
        <w:rPr>
          <w:sz w:val="22"/>
          <w:szCs w:val="22"/>
        </w:rPr>
        <w:t>Uopšteno</w:t>
      </w:r>
      <w:proofErr w:type="spellEnd"/>
      <w:r w:rsidRPr="00831C98">
        <w:rPr>
          <w:sz w:val="22"/>
          <w:szCs w:val="22"/>
        </w:rPr>
        <w:t xml:space="preserve">, </w:t>
      </w:r>
      <w:proofErr w:type="spellStart"/>
      <w:r w:rsidRPr="00831C98">
        <w:rPr>
          <w:sz w:val="22"/>
          <w:szCs w:val="22"/>
        </w:rPr>
        <w:t>sadržaj</w:t>
      </w:r>
      <w:proofErr w:type="spellEnd"/>
      <w:r w:rsidR="004C42B7">
        <w:rPr>
          <w:sz w:val="22"/>
          <w:szCs w:val="22"/>
        </w:rPr>
        <w:t xml:space="preserve"> </w:t>
      </w:r>
      <w:proofErr w:type="spellStart"/>
      <w:r w:rsidRPr="00831C98">
        <w:rPr>
          <w:sz w:val="22"/>
          <w:szCs w:val="22"/>
        </w:rPr>
        <w:t>antioksidanata</w:t>
      </w:r>
      <w:proofErr w:type="spellEnd"/>
      <w:r w:rsidRPr="00831C98">
        <w:rPr>
          <w:sz w:val="22"/>
          <w:szCs w:val="22"/>
        </w:rPr>
        <w:t xml:space="preserve"> je </w:t>
      </w:r>
      <w:proofErr w:type="spellStart"/>
      <w:r w:rsidRPr="00831C98">
        <w:rPr>
          <w:sz w:val="22"/>
          <w:szCs w:val="22"/>
        </w:rPr>
        <w:t>uglavnom</w:t>
      </w:r>
      <w:proofErr w:type="spellEnd"/>
      <w:r w:rsidRPr="00831C98">
        <w:rPr>
          <w:sz w:val="22"/>
          <w:szCs w:val="22"/>
        </w:rPr>
        <w:t xml:space="preserve"> bio </w:t>
      </w:r>
      <w:proofErr w:type="spellStart"/>
      <w:r w:rsidRPr="00831C98">
        <w:rPr>
          <w:sz w:val="22"/>
          <w:szCs w:val="22"/>
        </w:rPr>
        <w:t>povećan</w:t>
      </w:r>
      <w:proofErr w:type="spellEnd"/>
      <w:r w:rsidRPr="00831C98">
        <w:rPr>
          <w:sz w:val="22"/>
          <w:szCs w:val="22"/>
        </w:rPr>
        <w:t xml:space="preserve"> u </w:t>
      </w:r>
      <w:proofErr w:type="spellStart"/>
      <w:r w:rsidRPr="00831C98">
        <w:rPr>
          <w:sz w:val="22"/>
          <w:szCs w:val="22"/>
        </w:rPr>
        <w:t>zrnu</w:t>
      </w:r>
      <w:proofErr w:type="spellEnd"/>
      <w:r w:rsidR="004C42B7">
        <w:rPr>
          <w:sz w:val="22"/>
          <w:szCs w:val="22"/>
        </w:rPr>
        <w:t xml:space="preserve"> </w:t>
      </w:r>
      <w:proofErr w:type="spellStart"/>
      <w:r w:rsidRPr="00831C98">
        <w:rPr>
          <w:sz w:val="22"/>
          <w:szCs w:val="22"/>
        </w:rPr>
        <w:t>kukuruza</w:t>
      </w:r>
      <w:proofErr w:type="spellEnd"/>
      <w:r w:rsidR="004C42B7">
        <w:rPr>
          <w:sz w:val="22"/>
          <w:szCs w:val="22"/>
        </w:rPr>
        <w:t xml:space="preserve"> </w:t>
      </w:r>
      <w:proofErr w:type="spellStart"/>
      <w:r w:rsidRPr="00831C98">
        <w:rPr>
          <w:sz w:val="22"/>
          <w:szCs w:val="22"/>
        </w:rPr>
        <w:t>pri</w:t>
      </w:r>
      <w:proofErr w:type="spellEnd"/>
      <w:r w:rsidR="004C42B7">
        <w:rPr>
          <w:sz w:val="22"/>
          <w:szCs w:val="22"/>
        </w:rPr>
        <w:t xml:space="preserve"> </w:t>
      </w:r>
      <w:proofErr w:type="spellStart"/>
      <w:r w:rsidRPr="00831C98">
        <w:rPr>
          <w:sz w:val="22"/>
          <w:szCs w:val="22"/>
        </w:rPr>
        <w:t>gajenju</w:t>
      </w:r>
      <w:proofErr w:type="spellEnd"/>
      <w:r w:rsidRPr="00831C98">
        <w:rPr>
          <w:sz w:val="22"/>
          <w:szCs w:val="22"/>
        </w:rPr>
        <w:t xml:space="preserve"> u </w:t>
      </w:r>
      <w:proofErr w:type="spellStart"/>
      <w:r w:rsidRPr="00831C98">
        <w:rPr>
          <w:sz w:val="22"/>
          <w:szCs w:val="22"/>
        </w:rPr>
        <w:t>naizmeničnim</w:t>
      </w:r>
      <w:proofErr w:type="spellEnd"/>
      <w:r w:rsidR="004C42B7">
        <w:rPr>
          <w:sz w:val="22"/>
          <w:szCs w:val="22"/>
        </w:rPr>
        <w:t xml:space="preserve"> </w:t>
      </w:r>
      <w:proofErr w:type="spellStart"/>
      <w:r w:rsidRPr="00831C98">
        <w:rPr>
          <w:sz w:val="22"/>
          <w:szCs w:val="22"/>
        </w:rPr>
        <w:t>trakama</w:t>
      </w:r>
      <w:proofErr w:type="spellEnd"/>
      <w:r w:rsidRPr="00831C98">
        <w:rPr>
          <w:sz w:val="22"/>
          <w:szCs w:val="22"/>
        </w:rPr>
        <w:t xml:space="preserve">, a u </w:t>
      </w:r>
      <w:proofErr w:type="spellStart"/>
      <w:r w:rsidRPr="00831C98">
        <w:rPr>
          <w:sz w:val="22"/>
          <w:szCs w:val="22"/>
        </w:rPr>
        <w:t>zrnu</w:t>
      </w:r>
      <w:proofErr w:type="spellEnd"/>
      <w:r w:rsidR="004C42B7">
        <w:rPr>
          <w:sz w:val="22"/>
          <w:szCs w:val="22"/>
        </w:rPr>
        <w:t xml:space="preserve"> </w:t>
      </w:r>
      <w:proofErr w:type="spellStart"/>
      <w:r w:rsidRPr="00831C98">
        <w:rPr>
          <w:sz w:val="22"/>
          <w:szCs w:val="22"/>
        </w:rPr>
        <w:t>soje</w:t>
      </w:r>
      <w:proofErr w:type="spellEnd"/>
      <w:r w:rsidR="004C42B7">
        <w:rPr>
          <w:sz w:val="22"/>
          <w:szCs w:val="22"/>
        </w:rPr>
        <w:t xml:space="preserve"> </w:t>
      </w:r>
      <w:proofErr w:type="spellStart"/>
      <w:r w:rsidRPr="00831C98">
        <w:rPr>
          <w:sz w:val="22"/>
          <w:szCs w:val="22"/>
        </w:rPr>
        <w:t>pri</w:t>
      </w:r>
      <w:proofErr w:type="spellEnd"/>
      <w:r w:rsidR="004C42B7">
        <w:rPr>
          <w:sz w:val="22"/>
          <w:szCs w:val="22"/>
        </w:rPr>
        <w:t xml:space="preserve"> </w:t>
      </w:r>
      <w:proofErr w:type="spellStart"/>
      <w:r w:rsidRPr="00831C98">
        <w:rPr>
          <w:sz w:val="22"/>
          <w:szCs w:val="22"/>
        </w:rPr>
        <w:t>gajenju</w:t>
      </w:r>
      <w:proofErr w:type="spellEnd"/>
      <w:r w:rsidRPr="00831C98">
        <w:rPr>
          <w:sz w:val="22"/>
          <w:szCs w:val="22"/>
        </w:rPr>
        <w:t xml:space="preserve"> u </w:t>
      </w:r>
      <w:proofErr w:type="spellStart"/>
      <w:r w:rsidRPr="00831C98">
        <w:rPr>
          <w:sz w:val="22"/>
          <w:szCs w:val="22"/>
        </w:rPr>
        <w:t>naizmeničnim</w:t>
      </w:r>
      <w:proofErr w:type="spellEnd"/>
      <w:r w:rsidR="004C42B7">
        <w:rPr>
          <w:sz w:val="22"/>
          <w:szCs w:val="22"/>
        </w:rPr>
        <w:t xml:space="preserve"> </w:t>
      </w:r>
      <w:proofErr w:type="spellStart"/>
      <w:r w:rsidRPr="00831C98">
        <w:rPr>
          <w:sz w:val="22"/>
          <w:szCs w:val="22"/>
        </w:rPr>
        <w:t>redovima</w:t>
      </w:r>
      <w:proofErr w:type="spellEnd"/>
      <w:r w:rsidRPr="00831C98">
        <w:rPr>
          <w:sz w:val="22"/>
          <w:szCs w:val="22"/>
        </w:rPr>
        <w:t>.</w:t>
      </w:r>
      <w:proofErr w:type="gramEnd"/>
      <w:r w:rsidRPr="00831C98">
        <w:rPr>
          <w:sz w:val="22"/>
          <w:szCs w:val="22"/>
        </w:rPr>
        <w:t xml:space="preserve"> Bio-</w:t>
      </w:r>
      <w:proofErr w:type="spellStart"/>
      <w:r w:rsidRPr="00831C98">
        <w:rPr>
          <w:sz w:val="22"/>
          <w:szCs w:val="22"/>
        </w:rPr>
        <w:t>đubrivo</w:t>
      </w:r>
      <w:proofErr w:type="spellEnd"/>
      <w:r w:rsidRPr="00831C98">
        <w:rPr>
          <w:sz w:val="22"/>
          <w:szCs w:val="22"/>
        </w:rPr>
        <w:t xml:space="preserve"> je </w:t>
      </w:r>
      <w:proofErr w:type="spellStart"/>
      <w:r w:rsidRPr="00831C98">
        <w:rPr>
          <w:sz w:val="22"/>
          <w:szCs w:val="22"/>
        </w:rPr>
        <w:t>pokazalo</w:t>
      </w:r>
      <w:proofErr w:type="spellEnd"/>
      <w:r w:rsidR="004C42B7">
        <w:rPr>
          <w:sz w:val="22"/>
          <w:szCs w:val="22"/>
        </w:rPr>
        <w:t xml:space="preserve"> </w:t>
      </w:r>
      <w:proofErr w:type="spellStart"/>
      <w:r w:rsidRPr="00831C98">
        <w:rPr>
          <w:sz w:val="22"/>
          <w:szCs w:val="22"/>
        </w:rPr>
        <w:t>najveći</w:t>
      </w:r>
      <w:proofErr w:type="spellEnd"/>
      <w:r w:rsidR="004C42B7">
        <w:rPr>
          <w:sz w:val="22"/>
          <w:szCs w:val="22"/>
        </w:rPr>
        <w:t xml:space="preserve"> </w:t>
      </w:r>
      <w:proofErr w:type="spellStart"/>
      <w:r w:rsidRPr="00831C98">
        <w:rPr>
          <w:sz w:val="22"/>
          <w:szCs w:val="22"/>
        </w:rPr>
        <w:t>uticaj</w:t>
      </w:r>
      <w:proofErr w:type="spellEnd"/>
      <w:r w:rsidR="004C42B7">
        <w:rPr>
          <w:sz w:val="22"/>
          <w:szCs w:val="22"/>
        </w:rPr>
        <w:t xml:space="preserve"> </w:t>
      </w:r>
      <w:proofErr w:type="spellStart"/>
      <w:proofErr w:type="gramStart"/>
      <w:r w:rsidRPr="00831C98">
        <w:rPr>
          <w:sz w:val="22"/>
          <w:szCs w:val="22"/>
        </w:rPr>
        <w:t>na</w:t>
      </w:r>
      <w:proofErr w:type="spellEnd"/>
      <w:proofErr w:type="gramEnd"/>
      <w:r w:rsidR="004C42B7">
        <w:rPr>
          <w:sz w:val="22"/>
          <w:szCs w:val="22"/>
        </w:rPr>
        <w:t xml:space="preserve"> </w:t>
      </w:r>
      <w:proofErr w:type="spellStart"/>
      <w:r w:rsidRPr="00831C98">
        <w:rPr>
          <w:sz w:val="22"/>
          <w:szCs w:val="22"/>
        </w:rPr>
        <w:t>povećanje</w:t>
      </w:r>
      <w:proofErr w:type="spellEnd"/>
      <w:r w:rsidR="004C42B7">
        <w:rPr>
          <w:sz w:val="22"/>
          <w:szCs w:val="22"/>
        </w:rPr>
        <w:t xml:space="preserve"> </w:t>
      </w:r>
      <w:proofErr w:type="spellStart"/>
      <w:r w:rsidRPr="00831C98">
        <w:rPr>
          <w:sz w:val="22"/>
          <w:szCs w:val="22"/>
        </w:rPr>
        <w:t>sadržaja</w:t>
      </w:r>
      <w:proofErr w:type="spellEnd"/>
      <w:r w:rsidRPr="00831C98">
        <w:rPr>
          <w:sz w:val="22"/>
          <w:szCs w:val="22"/>
        </w:rPr>
        <w:t xml:space="preserve"> GSH u </w:t>
      </w:r>
      <w:proofErr w:type="spellStart"/>
      <w:r w:rsidRPr="00831C98">
        <w:rPr>
          <w:sz w:val="22"/>
          <w:szCs w:val="22"/>
        </w:rPr>
        <w:t>zrnu</w:t>
      </w:r>
      <w:proofErr w:type="spellEnd"/>
      <w:r w:rsidR="004C42B7">
        <w:rPr>
          <w:sz w:val="22"/>
          <w:szCs w:val="22"/>
        </w:rPr>
        <w:t xml:space="preserve"> </w:t>
      </w:r>
      <w:proofErr w:type="spellStart"/>
      <w:r w:rsidRPr="00831C98">
        <w:rPr>
          <w:sz w:val="22"/>
          <w:szCs w:val="22"/>
        </w:rPr>
        <w:t>kukuruza</w:t>
      </w:r>
      <w:proofErr w:type="spellEnd"/>
      <w:r w:rsidR="004C42B7">
        <w:rPr>
          <w:sz w:val="22"/>
          <w:szCs w:val="22"/>
        </w:rPr>
        <w:t xml:space="preserve"> </w:t>
      </w:r>
      <w:proofErr w:type="spellStart"/>
      <w:r w:rsidRPr="00831C98">
        <w:rPr>
          <w:sz w:val="22"/>
          <w:szCs w:val="22"/>
        </w:rPr>
        <w:t>i</w:t>
      </w:r>
      <w:proofErr w:type="spellEnd"/>
      <w:r w:rsidRPr="00831C98">
        <w:rPr>
          <w:sz w:val="22"/>
          <w:szCs w:val="22"/>
        </w:rPr>
        <w:t xml:space="preserve"> YP u </w:t>
      </w:r>
      <w:proofErr w:type="spellStart"/>
      <w:r w:rsidRPr="00831C98">
        <w:rPr>
          <w:sz w:val="22"/>
          <w:szCs w:val="22"/>
        </w:rPr>
        <w:t>zrnu</w:t>
      </w:r>
      <w:proofErr w:type="spellEnd"/>
      <w:r w:rsidR="004C42B7">
        <w:rPr>
          <w:sz w:val="22"/>
          <w:szCs w:val="22"/>
        </w:rPr>
        <w:t xml:space="preserve"> </w:t>
      </w:r>
      <w:proofErr w:type="spellStart"/>
      <w:r w:rsidRPr="00831C98">
        <w:rPr>
          <w:sz w:val="22"/>
          <w:szCs w:val="22"/>
        </w:rPr>
        <w:t>soje</w:t>
      </w:r>
      <w:proofErr w:type="spellEnd"/>
      <w:r w:rsidRPr="00831C98">
        <w:rPr>
          <w:sz w:val="22"/>
          <w:szCs w:val="22"/>
        </w:rPr>
        <w:t xml:space="preserve">, </w:t>
      </w:r>
      <w:proofErr w:type="spellStart"/>
      <w:r w:rsidRPr="00831C98">
        <w:rPr>
          <w:sz w:val="22"/>
          <w:szCs w:val="22"/>
        </w:rPr>
        <w:t>dok</w:t>
      </w:r>
      <w:proofErr w:type="spellEnd"/>
      <w:r w:rsidRPr="00831C98">
        <w:rPr>
          <w:sz w:val="22"/>
          <w:szCs w:val="22"/>
        </w:rPr>
        <w:t xml:space="preserve"> je </w:t>
      </w:r>
      <w:proofErr w:type="spellStart"/>
      <w:r w:rsidRPr="00831C98">
        <w:rPr>
          <w:sz w:val="22"/>
          <w:szCs w:val="22"/>
        </w:rPr>
        <w:t>organsko</w:t>
      </w:r>
      <w:proofErr w:type="spellEnd"/>
      <w:r w:rsidR="004C42B7">
        <w:rPr>
          <w:sz w:val="22"/>
          <w:szCs w:val="22"/>
        </w:rPr>
        <w:t xml:space="preserve"> </w:t>
      </w:r>
      <w:proofErr w:type="spellStart"/>
      <w:r w:rsidRPr="00831C98">
        <w:rPr>
          <w:sz w:val="22"/>
          <w:szCs w:val="22"/>
        </w:rPr>
        <w:t>đubrivo</w:t>
      </w:r>
      <w:proofErr w:type="spellEnd"/>
      <w:r w:rsidR="004C42B7">
        <w:rPr>
          <w:sz w:val="22"/>
          <w:szCs w:val="22"/>
        </w:rPr>
        <w:t xml:space="preserve"> </w:t>
      </w:r>
      <w:proofErr w:type="spellStart"/>
      <w:r w:rsidRPr="00831C98">
        <w:rPr>
          <w:sz w:val="22"/>
          <w:szCs w:val="22"/>
        </w:rPr>
        <w:t>ispoljilo</w:t>
      </w:r>
      <w:proofErr w:type="spellEnd"/>
      <w:r w:rsidR="004C42B7">
        <w:rPr>
          <w:sz w:val="22"/>
          <w:szCs w:val="22"/>
        </w:rPr>
        <w:t xml:space="preserve"> </w:t>
      </w:r>
      <w:proofErr w:type="spellStart"/>
      <w:r w:rsidRPr="00831C98">
        <w:rPr>
          <w:sz w:val="22"/>
          <w:szCs w:val="22"/>
        </w:rPr>
        <w:t>uticaj</w:t>
      </w:r>
      <w:proofErr w:type="spellEnd"/>
      <w:r w:rsidR="004C42B7">
        <w:rPr>
          <w:sz w:val="22"/>
          <w:szCs w:val="22"/>
        </w:rPr>
        <w:t xml:space="preserve"> </w:t>
      </w:r>
      <w:proofErr w:type="spellStart"/>
      <w:r w:rsidRPr="00831C98">
        <w:rPr>
          <w:sz w:val="22"/>
          <w:szCs w:val="22"/>
        </w:rPr>
        <w:t>na</w:t>
      </w:r>
      <w:proofErr w:type="spellEnd"/>
      <w:r w:rsidR="004C42B7">
        <w:rPr>
          <w:sz w:val="22"/>
          <w:szCs w:val="22"/>
        </w:rPr>
        <w:t xml:space="preserve"> </w:t>
      </w:r>
      <w:proofErr w:type="spellStart"/>
      <w:r w:rsidRPr="00831C98">
        <w:rPr>
          <w:sz w:val="22"/>
          <w:szCs w:val="22"/>
        </w:rPr>
        <w:t>nakupljanje</w:t>
      </w:r>
      <w:proofErr w:type="spellEnd"/>
      <w:r w:rsidRPr="00831C98">
        <w:rPr>
          <w:sz w:val="22"/>
          <w:szCs w:val="22"/>
        </w:rPr>
        <w:t xml:space="preserve"> GSH </w:t>
      </w:r>
      <w:proofErr w:type="spellStart"/>
      <w:r w:rsidRPr="00831C98">
        <w:rPr>
          <w:sz w:val="22"/>
          <w:szCs w:val="22"/>
        </w:rPr>
        <w:t>i</w:t>
      </w:r>
      <w:proofErr w:type="spellEnd"/>
      <w:r w:rsidR="004C42B7">
        <w:rPr>
          <w:sz w:val="22"/>
          <w:szCs w:val="22"/>
        </w:rPr>
        <w:t xml:space="preserve"> </w:t>
      </w:r>
      <w:proofErr w:type="spellStart"/>
      <w:r w:rsidRPr="00831C98">
        <w:rPr>
          <w:sz w:val="22"/>
          <w:szCs w:val="22"/>
        </w:rPr>
        <w:t>fenola</w:t>
      </w:r>
      <w:proofErr w:type="spellEnd"/>
      <w:r w:rsidRPr="00831C98">
        <w:rPr>
          <w:sz w:val="22"/>
          <w:szCs w:val="22"/>
        </w:rPr>
        <w:t xml:space="preserve"> u </w:t>
      </w:r>
      <w:proofErr w:type="spellStart"/>
      <w:r w:rsidRPr="00831C98">
        <w:rPr>
          <w:sz w:val="22"/>
          <w:szCs w:val="22"/>
        </w:rPr>
        <w:t>zrnu</w:t>
      </w:r>
      <w:proofErr w:type="spellEnd"/>
      <w:r w:rsidR="004C42B7">
        <w:rPr>
          <w:sz w:val="22"/>
          <w:szCs w:val="22"/>
        </w:rPr>
        <w:t xml:space="preserve"> </w:t>
      </w:r>
      <w:proofErr w:type="spellStart"/>
      <w:r w:rsidRPr="00831C98">
        <w:rPr>
          <w:sz w:val="22"/>
          <w:szCs w:val="22"/>
        </w:rPr>
        <w:t>soje</w:t>
      </w:r>
      <w:proofErr w:type="spellEnd"/>
      <w:r w:rsidRPr="00831C98">
        <w:rPr>
          <w:sz w:val="22"/>
          <w:szCs w:val="22"/>
        </w:rPr>
        <w:t>.</w:t>
      </w:r>
    </w:p>
    <w:p w:rsidR="0013693B" w:rsidRPr="00831C98" w:rsidRDefault="0013693B" w:rsidP="00831C98">
      <w:pPr>
        <w:ind w:firstLine="426"/>
        <w:jc w:val="both"/>
        <w:rPr>
          <w:sz w:val="22"/>
          <w:szCs w:val="22"/>
        </w:rPr>
      </w:pPr>
      <w:proofErr w:type="spellStart"/>
      <w:r w:rsidRPr="00831C98">
        <w:rPr>
          <w:b/>
          <w:sz w:val="22"/>
          <w:szCs w:val="22"/>
        </w:rPr>
        <w:t>Ključnereči</w:t>
      </w:r>
      <w:proofErr w:type="spellEnd"/>
      <w:r w:rsidRPr="00831C98">
        <w:rPr>
          <w:b/>
          <w:sz w:val="22"/>
          <w:szCs w:val="22"/>
        </w:rPr>
        <w:t>:</w:t>
      </w:r>
      <w:r w:rsidR="004C42B7">
        <w:rPr>
          <w:b/>
          <w:sz w:val="22"/>
          <w:szCs w:val="22"/>
        </w:rPr>
        <w:t xml:space="preserve"> </w:t>
      </w:r>
      <w:proofErr w:type="spellStart"/>
      <w:r w:rsidRPr="00831C98">
        <w:rPr>
          <w:sz w:val="22"/>
          <w:szCs w:val="22"/>
        </w:rPr>
        <w:t>sadržaj</w:t>
      </w:r>
      <w:proofErr w:type="spellEnd"/>
      <w:r w:rsidR="004C42B7">
        <w:rPr>
          <w:sz w:val="22"/>
          <w:szCs w:val="22"/>
        </w:rPr>
        <w:t xml:space="preserve"> </w:t>
      </w:r>
      <w:proofErr w:type="spellStart"/>
      <w:r w:rsidRPr="00831C98">
        <w:rPr>
          <w:sz w:val="22"/>
          <w:szCs w:val="22"/>
        </w:rPr>
        <w:t>antioksidanata</w:t>
      </w:r>
      <w:proofErr w:type="spellEnd"/>
      <w:r w:rsidRPr="00831C98">
        <w:rPr>
          <w:sz w:val="22"/>
          <w:szCs w:val="22"/>
        </w:rPr>
        <w:t xml:space="preserve">, </w:t>
      </w:r>
      <w:proofErr w:type="spellStart"/>
      <w:r w:rsidRPr="00831C98">
        <w:rPr>
          <w:sz w:val="22"/>
          <w:szCs w:val="22"/>
        </w:rPr>
        <w:t>združeni</w:t>
      </w:r>
      <w:proofErr w:type="spellEnd"/>
      <w:r w:rsidR="004C42B7">
        <w:rPr>
          <w:sz w:val="22"/>
          <w:szCs w:val="22"/>
        </w:rPr>
        <w:t xml:space="preserve"> </w:t>
      </w:r>
      <w:proofErr w:type="spellStart"/>
      <w:r w:rsidRPr="00831C98">
        <w:rPr>
          <w:sz w:val="22"/>
          <w:szCs w:val="22"/>
        </w:rPr>
        <w:t>usev</w:t>
      </w:r>
      <w:proofErr w:type="spellEnd"/>
      <w:r w:rsidRPr="00831C98">
        <w:rPr>
          <w:sz w:val="22"/>
          <w:szCs w:val="22"/>
        </w:rPr>
        <w:t xml:space="preserve">, </w:t>
      </w:r>
      <w:proofErr w:type="spellStart"/>
      <w:r w:rsidRPr="00831C98">
        <w:rPr>
          <w:sz w:val="22"/>
          <w:szCs w:val="22"/>
        </w:rPr>
        <w:t>crveni</w:t>
      </w:r>
      <w:proofErr w:type="spellEnd"/>
      <w:r w:rsidR="004C42B7">
        <w:rPr>
          <w:sz w:val="22"/>
          <w:szCs w:val="22"/>
        </w:rPr>
        <w:t xml:space="preserve"> </w:t>
      </w:r>
      <w:proofErr w:type="spellStart"/>
      <w:r w:rsidRPr="00831C98">
        <w:rPr>
          <w:sz w:val="22"/>
          <w:szCs w:val="22"/>
        </w:rPr>
        <w:t>kukuruz</w:t>
      </w:r>
      <w:proofErr w:type="spellEnd"/>
      <w:r w:rsidRPr="00831C98">
        <w:rPr>
          <w:sz w:val="22"/>
          <w:szCs w:val="22"/>
        </w:rPr>
        <w:t xml:space="preserve">, </w:t>
      </w:r>
      <w:proofErr w:type="spellStart"/>
      <w:r w:rsidRPr="00831C98">
        <w:rPr>
          <w:sz w:val="22"/>
          <w:szCs w:val="22"/>
        </w:rPr>
        <w:t>crna</w:t>
      </w:r>
      <w:proofErr w:type="spellEnd"/>
      <w:r w:rsidR="004C42B7">
        <w:rPr>
          <w:sz w:val="22"/>
          <w:szCs w:val="22"/>
        </w:rPr>
        <w:t xml:space="preserve"> </w:t>
      </w:r>
      <w:proofErr w:type="spellStart"/>
      <w:r w:rsidRPr="00831C98">
        <w:rPr>
          <w:sz w:val="22"/>
          <w:szCs w:val="22"/>
        </w:rPr>
        <w:t>soja</w:t>
      </w:r>
      <w:proofErr w:type="spellEnd"/>
      <w:r w:rsidRPr="00831C98">
        <w:rPr>
          <w:sz w:val="22"/>
          <w:szCs w:val="22"/>
        </w:rPr>
        <w:t>.</w:t>
      </w:r>
    </w:p>
    <w:p w:rsidR="0013693B" w:rsidRPr="00831C98" w:rsidRDefault="0013693B" w:rsidP="00987C86">
      <w:pPr>
        <w:pStyle w:val="BodyTextIndent"/>
        <w:ind w:firstLine="426"/>
        <w:rPr>
          <w:rStyle w:val="Strong"/>
          <w:b w:val="0"/>
          <w:szCs w:val="22"/>
        </w:rPr>
      </w:pPr>
    </w:p>
    <w:p w:rsidR="0013693B" w:rsidRPr="00831C98" w:rsidRDefault="0013693B" w:rsidP="00987C86">
      <w:pPr>
        <w:pStyle w:val="BodyTextIndent"/>
        <w:ind w:firstLine="426"/>
        <w:rPr>
          <w:rStyle w:val="Strong"/>
          <w:b w:val="0"/>
          <w:szCs w:val="22"/>
        </w:rPr>
      </w:pPr>
    </w:p>
    <w:p w:rsidR="0013693B" w:rsidRPr="00831C98" w:rsidRDefault="0013693B" w:rsidP="00987C86">
      <w:pPr>
        <w:pStyle w:val="BodyTextIndent"/>
        <w:ind w:firstLine="426"/>
        <w:rPr>
          <w:rStyle w:val="Strong"/>
          <w:b w:val="0"/>
          <w:szCs w:val="22"/>
        </w:rPr>
      </w:pPr>
    </w:p>
    <w:p w:rsidR="0013693B" w:rsidRPr="00831C98" w:rsidRDefault="0013693B" w:rsidP="00987C86">
      <w:pPr>
        <w:pStyle w:val="BodyTextIndent"/>
        <w:ind w:firstLine="426"/>
        <w:rPr>
          <w:rStyle w:val="Strong"/>
          <w:b w:val="0"/>
          <w:szCs w:val="22"/>
        </w:rPr>
      </w:pPr>
    </w:p>
    <w:p w:rsidR="00D31CE6" w:rsidRPr="00FC35E6" w:rsidRDefault="00D31CE6" w:rsidP="00D31CE6">
      <w:pPr>
        <w:autoSpaceDE w:val="0"/>
        <w:autoSpaceDN w:val="0"/>
        <w:adjustRightInd w:val="0"/>
        <w:ind w:left="709" w:hanging="709"/>
        <w:jc w:val="right"/>
        <w:rPr>
          <w:sz w:val="18"/>
          <w:szCs w:val="18"/>
        </w:rPr>
      </w:pPr>
      <w:proofErr w:type="spellStart"/>
      <w:r w:rsidRPr="00FC35E6">
        <w:rPr>
          <w:sz w:val="18"/>
          <w:szCs w:val="18"/>
        </w:rPr>
        <w:t>Primljeno</w:t>
      </w:r>
      <w:proofErr w:type="spellEnd"/>
      <w:r w:rsidRPr="00FC35E6">
        <w:rPr>
          <w:sz w:val="18"/>
          <w:szCs w:val="18"/>
        </w:rPr>
        <w:t xml:space="preserve">: </w:t>
      </w:r>
      <w:r w:rsidR="00FC35E6" w:rsidRPr="00FC35E6">
        <w:rPr>
          <w:sz w:val="18"/>
          <w:szCs w:val="18"/>
        </w:rPr>
        <w:t>6</w:t>
      </w:r>
      <w:r w:rsidRPr="00FC35E6">
        <w:rPr>
          <w:sz w:val="18"/>
          <w:szCs w:val="18"/>
        </w:rPr>
        <w:t xml:space="preserve">. </w:t>
      </w:r>
      <w:proofErr w:type="spellStart"/>
      <w:r w:rsidR="00FC35E6" w:rsidRPr="00FC35E6">
        <w:rPr>
          <w:sz w:val="18"/>
          <w:szCs w:val="18"/>
        </w:rPr>
        <w:t>decembra</w:t>
      </w:r>
      <w:proofErr w:type="spellEnd"/>
      <w:r w:rsidRPr="00FC35E6">
        <w:rPr>
          <w:sz w:val="18"/>
          <w:szCs w:val="18"/>
        </w:rPr>
        <w:t xml:space="preserve"> 201</w:t>
      </w:r>
      <w:r w:rsidR="00FC538E" w:rsidRPr="00FC35E6">
        <w:rPr>
          <w:sz w:val="18"/>
          <w:szCs w:val="18"/>
        </w:rPr>
        <w:t>6</w:t>
      </w:r>
      <w:r w:rsidRPr="00FC35E6">
        <w:rPr>
          <w:sz w:val="18"/>
          <w:szCs w:val="18"/>
        </w:rPr>
        <w:t>.</w:t>
      </w:r>
    </w:p>
    <w:p w:rsidR="00D31CE6" w:rsidRDefault="00D31CE6" w:rsidP="00D31CE6">
      <w:pPr>
        <w:autoSpaceDE w:val="0"/>
        <w:autoSpaceDN w:val="0"/>
        <w:adjustRightInd w:val="0"/>
        <w:ind w:left="709" w:hanging="709"/>
        <w:jc w:val="right"/>
        <w:rPr>
          <w:sz w:val="18"/>
          <w:szCs w:val="18"/>
        </w:rPr>
      </w:pPr>
      <w:proofErr w:type="spellStart"/>
      <w:r w:rsidRPr="00FC35E6">
        <w:rPr>
          <w:sz w:val="18"/>
          <w:szCs w:val="18"/>
        </w:rPr>
        <w:t>Odobreno</w:t>
      </w:r>
      <w:proofErr w:type="spellEnd"/>
      <w:r w:rsidRPr="00FC35E6">
        <w:rPr>
          <w:sz w:val="18"/>
          <w:szCs w:val="18"/>
        </w:rPr>
        <w:t xml:space="preserve">: </w:t>
      </w:r>
      <w:r w:rsidR="00FC35E6" w:rsidRPr="00FC35E6">
        <w:rPr>
          <w:sz w:val="18"/>
          <w:szCs w:val="18"/>
        </w:rPr>
        <w:t>27</w:t>
      </w:r>
      <w:r w:rsidRPr="00FC35E6">
        <w:rPr>
          <w:sz w:val="18"/>
          <w:szCs w:val="18"/>
        </w:rPr>
        <w:t xml:space="preserve">. </w:t>
      </w:r>
      <w:r w:rsidR="00FC35E6">
        <w:rPr>
          <w:sz w:val="18"/>
          <w:szCs w:val="18"/>
        </w:rPr>
        <w:t>f</w:t>
      </w:r>
      <w:r w:rsidR="00FC35E6" w:rsidRPr="00FC35E6">
        <w:rPr>
          <w:sz w:val="18"/>
          <w:szCs w:val="18"/>
        </w:rPr>
        <w:t>ebruara</w:t>
      </w:r>
      <w:r w:rsidR="00757720" w:rsidRPr="00FC35E6">
        <w:rPr>
          <w:sz w:val="18"/>
          <w:szCs w:val="18"/>
        </w:rPr>
        <w:t>201</w:t>
      </w:r>
      <w:r w:rsidR="00FC35E6" w:rsidRPr="00FC35E6">
        <w:rPr>
          <w:sz w:val="18"/>
          <w:szCs w:val="18"/>
        </w:rPr>
        <w:t>7</w:t>
      </w:r>
      <w:r w:rsidRPr="00FC35E6">
        <w:rPr>
          <w:sz w:val="18"/>
          <w:szCs w:val="18"/>
        </w:rPr>
        <w:t>.</w:t>
      </w:r>
    </w:p>
    <w:sectPr w:rsidR="00D31CE6" w:rsidSect="00EC6D29">
      <w:headerReference w:type="even" r:id="rId13"/>
      <w:headerReference w:type="default" r:id="rId14"/>
      <w:headerReference w:type="first" r:id="rId15"/>
      <w:footnotePr>
        <w:numFmt w:val="chicago"/>
      </w:footnotePr>
      <w:endnotePr>
        <w:numFmt w:val="chicago"/>
      </w:endnotePr>
      <w:pgSz w:w="11907" w:h="16840" w:code="9"/>
      <w:pgMar w:top="3119" w:right="2268" w:bottom="3119" w:left="2268" w:header="2268"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42B7" w:rsidRDefault="004C42B7">
      <w:r>
        <w:separator/>
      </w:r>
    </w:p>
  </w:endnote>
  <w:endnote w:type="continuationSeparator" w:id="0">
    <w:p w:rsidR="004C42B7" w:rsidRDefault="004C4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YuTimes">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JGBZHV+Swiss721BT-LightCondense">
    <w:altName w:val="Arial"/>
    <w:panose1 w:val="00000000000000000000"/>
    <w:charset w:val="00"/>
    <w:family w:val="swiss"/>
    <w:notTrueType/>
    <w:pitch w:val="default"/>
    <w:sig w:usb0="00000003" w:usb1="00000000" w:usb2="00000000" w:usb3="00000000" w:csb0="00000001" w:csb1="00000000"/>
  </w:font>
  <w:font w:name="Garamond Premr Pro">
    <w:altName w:val="Times New Roman"/>
    <w:panose1 w:val="00000000000000000000"/>
    <w:charset w:val="00"/>
    <w:family w:val="roman"/>
    <w:notTrueType/>
    <w:pitch w:val="variable"/>
    <w:sig w:usb0="E00002BF" w:usb1="5000E07B" w:usb2="00000000" w:usb3="00000000" w:csb0="0000019F" w:csb1="00000000"/>
  </w:font>
  <w:font w:name="Arial">
    <w:panose1 w:val="020B0604020202020204"/>
    <w:charset w:val="00"/>
    <w:family w:val="swiss"/>
    <w:pitch w:val="variable"/>
    <w:sig w:usb0="E0002AFF" w:usb1="C0007843" w:usb2="00000009" w:usb3="00000000" w:csb0="000001FF" w:csb1="00000000"/>
  </w:font>
  <w:font w:name="Garamond Premr Pro Smbd">
    <w:altName w:val="Times New Roman"/>
    <w:panose1 w:val="00000000000000000000"/>
    <w:charset w:val="00"/>
    <w:family w:val="roman"/>
    <w:notTrueType/>
    <w:pitch w:val="variable"/>
    <w:sig w:usb0="00000001" w:usb1="5000E07B" w:usb2="00000000" w:usb3="00000000" w:csb0="0000019F" w:csb1="00000000"/>
  </w:font>
  <w:font w:name="B Nazanin">
    <w:altName w:val="Courier New"/>
    <w:charset w:val="B2"/>
    <w:family w:val="auto"/>
    <w:pitch w:val="variable"/>
    <w:sig w:usb0="00002000" w:usb1="80000000"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42B7" w:rsidRDefault="004C42B7">
      <w:r>
        <w:separator/>
      </w:r>
    </w:p>
  </w:footnote>
  <w:footnote w:type="continuationSeparator" w:id="0">
    <w:p w:rsidR="004C42B7" w:rsidRDefault="004C42B7">
      <w:r>
        <w:continuationSeparator/>
      </w:r>
    </w:p>
  </w:footnote>
  <w:footnote w:id="1">
    <w:p w:rsidR="004C42B7" w:rsidRPr="00F8479B" w:rsidRDefault="004C42B7">
      <w:pPr>
        <w:pStyle w:val="FootnoteText"/>
        <w:rPr>
          <w:lang w:val="en-US"/>
        </w:rPr>
      </w:pPr>
      <w:r>
        <w:rPr>
          <w:rStyle w:val="FootnoteReference"/>
        </w:rPr>
        <w:footnoteRef/>
      </w:r>
      <w:r w:rsidRPr="00F8479B">
        <w:rPr>
          <w:bCs/>
          <w:sz w:val="18"/>
          <w:szCs w:val="18"/>
        </w:rPr>
        <w:t xml:space="preserve">Corresponding author: e-mail: </w:t>
      </w:r>
      <w:r w:rsidRPr="00F8479B">
        <w:rPr>
          <w:sz w:val="18"/>
          <w:szCs w:val="18"/>
          <w:lang w:val="sr-Latn-CS"/>
        </w:rPr>
        <w:t>vdragicevic@mrizp.rs</w:t>
      </w:r>
    </w:p>
  </w:footnote>
  <w:footnote w:id="2">
    <w:p w:rsidR="004C42B7" w:rsidRPr="00F8479B" w:rsidRDefault="004C42B7" w:rsidP="009A406F">
      <w:pPr>
        <w:pStyle w:val="FootnoteText"/>
        <w:rPr>
          <w:lang w:val="en-US"/>
        </w:rPr>
      </w:pPr>
      <w:r>
        <w:rPr>
          <w:rStyle w:val="FootnoteReference"/>
        </w:rPr>
        <w:footnoteRef/>
      </w:r>
      <w:r w:rsidRPr="00F8479B">
        <w:rPr>
          <w:bCs/>
          <w:sz w:val="18"/>
          <w:szCs w:val="18"/>
        </w:rPr>
        <w:t xml:space="preserve">Corresponding author: e-mail: </w:t>
      </w:r>
      <w:r w:rsidRPr="00F8479B">
        <w:rPr>
          <w:sz w:val="18"/>
          <w:szCs w:val="18"/>
          <w:lang w:val="sr-Latn-CS"/>
        </w:rPr>
        <w:t>vdragicevic@mrizp.rs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2B7" w:rsidRDefault="004C42B7" w:rsidP="003E2BC8">
    <w:pPr>
      <w:pStyle w:val="Header"/>
      <w:framePr w:wrap="around" w:vAnchor="text" w:hAnchor="page" w:x="2264" w:y="24"/>
      <w:rPr>
        <w:rStyle w:val="PageNumber"/>
        <w:sz w:val="18"/>
      </w:rPr>
    </w:pPr>
    <w:r w:rsidRPr="004D3E6C">
      <w:rPr>
        <w:rStyle w:val="PageNumber"/>
        <w:sz w:val="18"/>
      </w:rPr>
      <w:fldChar w:fldCharType="begin"/>
    </w:r>
    <w:r w:rsidRPr="004D3E6C">
      <w:rPr>
        <w:rStyle w:val="PageNumber"/>
        <w:sz w:val="18"/>
      </w:rPr>
      <w:instrText xml:space="preserve">PAGE  </w:instrText>
    </w:r>
    <w:r w:rsidRPr="004D3E6C">
      <w:rPr>
        <w:rStyle w:val="PageNumber"/>
        <w:sz w:val="18"/>
      </w:rPr>
      <w:fldChar w:fldCharType="separate"/>
    </w:r>
    <w:r w:rsidR="00C07152">
      <w:rPr>
        <w:rStyle w:val="PageNumber"/>
        <w:noProof/>
        <w:sz w:val="18"/>
      </w:rPr>
      <w:t>10</w:t>
    </w:r>
    <w:r w:rsidRPr="004D3E6C">
      <w:rPr>
        <w:rStyle w:val="PageNumber"/>
        <w:sz w:val="18"/>
      </w:rPr>
      <w:fldChar w:fldCharType="end"/>
    </w:r>
  </w:p>
  <w:p w:rsidR="004C42B7" w:rsidRPr="0013693B" w:rsidRDefault="004C42B7" w:rsidP="007873B0">
    <w:pPr>
      <w:pStyle w:val="Header"/>
      <w:pBdr>
        <w:bottom w:val="single" w:sz="4" w:space="1" w:color="auto"/>
      </w:pBdr>
      <w:jc w:val="center"/>
      <w:rPr>
        <w:sz w:val="18"/>
        <w:szCs w:val="18"/>
        <w:lang w:val="en-US"/>
      </w:rPr>
    </w:pPr>
    <w:proofErr w:type="spellStart"/>
    <w:r w:rsidRPr="0013693B">
      <w:rPr>
        <w:sz w:val="18"/>
        <w:szCs w:val="18"/>
        <w:shd w:val="clear" w:color="auto" w:fill="FFFFFF"/>
      </w:rPr>
      <w:t>Vesna</w:t>
    </w:r>
    <w:proofErr w:type="spellEnd"/>
    <w:r w:rsidRPr="0013693B">
      <w:rPr>
        <w:sz w:val="18"/>
        <w:szCs w:val="18"/>
        <w:shd w:val="clear" w:color="auto" w:fill="FFFFFF"/>
      </w:rPr>
      <w:t xml:space="preserve"> D. </w:t>
    </w:r>
    <w:proofErr w:type="spellStart"/>
    <w:r w:rsidRPr="0013693B">
      <w:rPr>
        <w:sz w:val="18"/>
        <w:szCs w:val="18"/>
        <w:shd w:val="clear" w:color="auto" w:fill="FFFFFF"/>
      </w:rPr>
      <w:t>Dragičević</w:t>
    </w:r>
    <w:proofErr w:type="spellEnd"/>
    <w:r w:rsidRPr="0013693B">
      <w:rPr>
        <w:sz w:val="18"/>
        <w:szCs w:val="18"/>
        <w:shd w:val="clear" w:color="auto" w:fill="FFFFFF"/>
      </w:rPr>
      <w:t xml:space="preserve"> et 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2B7" w:rsidRPr="009C09D1" w:rsidRDefault="004C42B7">
    <w:pPr>
      <w:pStyle w:val="Header"/>
      <w:framePr w:wrap="around" w:vAnchor="text" w:hAnchor="margin" w:xAlign="outside" w:y="1"/>
      <w:rPr>
        <w:rStyle w:val="PageNumber"/>
        <w:color w:val="FF0000"/>
        <w:sz w:val="18"/>
      </w:rPr>
    </w:pPr>
    <w:r w:rsidRPr="004D3E6C">
      <w:rPr>
        <w:rStyle w:val="PageNumber"/>
        <w:sz w:val="18"/>
      </w:rPr>
      <w:fldChar w:fldCharType="begin"/>
    </w:r>
    <w:r w:rsidRPr="004D3E6C">
      <w:rPr>
        <w:rStyle w:val="PageNumber"/>
        <w:sz w:val="18"/>
      </w:rPr>
      <w:instrText xml:space="preserve">PAGE  </w:instrText>
    </w:r>
    <w:r w:rsidRPr="004D3E6C">
      <w:rPr>
        <w:rStyle w:val="PageNumber"/>
        <w:sz w:val="18"/>
      </w:rPr>
      <w:fldChar w:fldCharType="separate"/>
    </w:r>
    <w:r w:rsidR="00C07152">
      <w:rPr>
        <w:rStyle w:val="PageNumber"/>
        <w:noProof/>
        <w:sz w:val="18"/>
      </w:rPr>
      <w:t>9</w:t>
    </w:r>
    <w:r w:rsidRPr="004D3E6C">
      <w:rPr>
        <w:rStyle w:val="PageNumber"/>
        <w:sz w:val="18"/>
      </w:rPr>
      <w:fldChar w:fldCharType="end"/>
    </w:r>
  </w:p>
  <w:p w:rsidR="004C42B7" w:rsidRPr="0013693B" w:rsidRDefault="004C42B7" w:rsidP="00BB1401">
    <w:pPr>
      <w:pStyle w:val="Header"/>
      <w:pBdr>
        <w:bottom w:val="single" w:sz="4" w:space="1" w:color="auto"/>
      </w:pBdr>
      <w:jc w:val="center"/>
      <w:rPr>
        <w:sz w:val="18"/>
        <w:szCs w:val="18"/>
      </w:rPr>
    </w:pPr>
    <w:r w:rsidRPr="0013693B">
      <w:rPr>
        <w:sz w:val="18"/>
        <w:szCs w:val="18"/>
        <w:lang w:val="sr-Latn-CS"/>
      </w:rPr>
      <w:t>Content</w:t>
    </w:r>
    <w:r w:rsidRPr="0013693B">
      <w:rPr>
        <w:sz w:val="18"/>
        <w:szCs w:val="18"/>
      </w:rPr>
      <w:t xml:space="preserve"> of some antioxidants in intercropped maize and soybean grain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371" w:type="dxa"/>
      <w:tblCellMar>
        <w:left w:w="0" w:type="dxa"/>
        <w:right w:w="0" w:type="dxa"/>
      </w:tblCellMar>
      <w:tblLook w:val="0000" w:firstRow="0" w:lastRow="0" w:firstColumn="0" w:lastColumn="0" w:noHBand="0" w:noVBand="0"/>
    </w:tblPr>
    <w:tblGrid>
      <w:gridCol w:w="3686"/>
      <w:gridCol w:w="3685"/>
    </w:tblGrid>
    <w:tr w:rsidR="004C42B7" w:rsidRPr="001320CA" w:rsidTr="00623218">
      <w:tc>
        <w:tcPr>
          <w:tcW w:w="3686" w:type="dxa"/>
        </w:tcPr>
        <w:p w:rsidR="004C42B7" w:rsidRPr="004D3E6C" w:rsidRDefault="004C42B7">
          <w:pPr>
            <w:rPr>
              <w:sz w:val="18"/>
              <w:szCs w:val="18"/>
              <w:lang w:val="en-US"/>
            </w:rPr>
          </w:pPr>
          <w:r w:rsidRPr="004D3E6C">
            <w:rPr>
              <w:sz w:val="18"/>
              <w:szCs w:val="18"/>
              <w:lang w:val="en-US"/>
            </w:rPr>
            <w:t>Journal of Agricultural Sciences</w:t>
          </w:r>
        </w:p>
        <w:p w:rsidR="004C42B7" w:rsidRPr="004D3E6C" w:rsidRDefault="004C42B7" w:rsidP="006211A0">
          <w:pPr>
            <w:rPr>
              <w:sz w:val="18"/>
              <w:szCs w:val="18"/>
              <w:lang w:val="en-US"/>
            </w:rPr>
          </w:pPr>
          <w:r>
            <w:rPr>
              <w:sz w:val="18"/>
              <w:szCs w:val="18"/>
              <w:lang w:val="en-US"/>
            </w:rPr>
            <w:t>Vol. 62</w:t>
          </w:r>
          <w:r w:rsidRPr="004D3E6C">
            <w:rPr>
              <w:sz w:val="18"/>
              <w:szCs w:val="18"/>
              <w:lang w:val="en-US"/>
            </w:rPr>
            <w:t xml:space="preserve">, No. </w:t>
          </w:r>
          <w:r>
            <w:rPr>
              <w:sz w:val="18"/>
              <w:szCs w:val="18"/>
              <w:lang w:val="en-US"/>
            </w:rPr>
            <w:t>1</w:t>
          </w:r>
          <w:r w:rsidRPr="004D3E6C">
            <w:rPr>
              <w:sz w:val="18"/>
              <w:szCs w:val="18"/>
              <w:lang w:val="en-US"/>
            </w:rPr>
            <w:t>, 201</w:t>
          </w:r>
          <w:r>
            <w:rPr>
              <w:sz w:val="18"/>
              <w:szCs w:val="18"/>
              <w:lang w:val="en-US"/>
            </w:rPr>
            <w:t>7</w:t>
          </w:r>
        </w:p>
        <w:p w:rsidR="004C42B7" w:rsidRPr="00621E03" w:rsidRDefault="004C42B7" w:rsidP="00EC6D29">
          <w:pPr>
            <w:tabs>
              <w:tab w:val="left" w:pos="1377"/>
            </w:tabs>
            <w:rPr>
              <w:sz w:val="18"/>
              <w:szCs w:val="18"/>
            </w:rPr>
          </w:pPr>
          <w:r w:rsidRPr="004D3E6C">
            <w:rPr>
              <w:sz w:val="18"/>
              <w:szCs w:val="18"/>
              <w:lang w:val="en-US"/>
            </w:rPr>
            <w:t xml:space="preserve">Pages </w:t>
          </w:r>
          <w:r>
            <w:rPr>
              <w:sz w:val="18"/>
              <w:szCs w:val="18"/>
              <w:lang w:val="en-US"/>
            </w:rPr>
            <w:t>XX-XX</w:t>
          </w:r>
        </w:p>
      </w:tc>
      <w:tc>
        <w:tcPr>
          <w:tcW w:w="3685" w:type="dxa"/>
        </w:tcPr>
        <w:p w:rsidR="004C42B7" w:rsidRPr="00502BDF" w:rsidRDefault="004C42B7" w:rsidP="00502BDF">
          <w:pPr>
            <w:tabs>
              <w:tab w:val="right" w:leader="dot" w:pos="7371"/>
            </w:tabs>
            <w:jc w:val="right"/>
            <w:rPr>
              <w:sz w:val="18"/>
              <w:szCs w:val="18"/>
            </w:rPr>
          </w:pPr>
          <w:r w:rsidRPr="00502BDF">
            <w:rPr>
              <w:sz w:val="18"/>
              <w:szCs w:val="18"/>
            </w:rPr>
            <w:t xml:space="preserve">DOI: </w:t>
          </w:r>
        </w:p>
        <w:p w:rsidR="004C42B7" w:rsidRPr="00502BDF" w:rsidRDefault="004C42B7" w:rsidP="00502BDF">
          <w:pPr>
            <w:pStyle w:val="BodyText"/>
            <w:tabs>
              <w:tab w:val="right" w:leader="dot" w:pos="7371"/>
            </w:tabs>
            <w:spacing w:after="0"/>
            <w:jc w:val="right"/>
            <w:rPr>
              <w:sz w:val="18"/>
              <w:szCs w:val="18"/>
              <w:lang w:val="sr-Latn-CS"/>
            </w:rPr>
          </w:pPr>
          <w:r w:rsidRPr="00502BDF">
            <w:rPr>
              <w:sz w:val="18"/>
              <w:szCs w:val="18"/>
              <w:lang w:val="en-US"/>
            </w:rPr>
            <w:t>UDC:</w:t>
          </w:r>
        </w:p>
        <w:p w:rsidR="004C42B7" w:rsidRPr="00502BDF" w:rsidRDefault="004C42B7" w:rsidP="002C2784">
          <w:pPr>
            <w:jc w:val="right"/>
            <w:rPr>
              <w:sz w:val="18"/>
              <w:szCs w:val="18"/>
            </w:rPr>
          </w:pPr>
          <w:r w:rsidRPr="00502BDF">
            <w:rPr>
              <w:sz w:val="18"/>
              <w:szCs w:val="18"/>
              <w:lang w:val="en-US"/>
            </w:rPr>
            <w:t>Original scientific paper</w:t>
          </w:r>
        </w:p>
      </w:tc>
    </w:tr>
  </w:tbl>
  <w:p w:rsidR="004C42B7" w:rsidRPr="00621E03" w:rsidRDefault="004C42B7">
    <w:pPr>
      <w:pStyle w:val="Header"/>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9474F"/>
    <w:multiLevelType w:val="hybridMultilevel"/>
    <w:tmpl w:val="D938E70C"/>
    <w:lvl w:ilvl="0" w:tplc="FA622FB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D926C5"/>
    <w:multiLevelType w:val="hybridMultilevel"/>
    <w:tmpl w:val="D3AADD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3C7381"/>
    <w:multiLevelType w:val="hybridMultilevel"/>
    <w:tmpl w:val="565684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D71BE7"/>
    <w:multiLevelType w:val="hybridMultilevel"/>
    <w:tmpl w:val="527E05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0A1CFD"/>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2207F7"/>
    <w:multiLevelType w:val="hybridMultilevel"/>
    <w:tmpl w:val="5A4EEBEA"/>
    <w:lvl w:ilvl="0" w:tplc="081A000F">
      <w:start w:val="1"/>
      <w:numFmt w:val="decimal"/>
      <w:lvlText w:val="%1."/>
      <w:lvlJc w:val="left"/>
      <w:pPr>
        <w:tabs>
          <w:tab w:val="num" w:pos="720"/>
        </w:tabs>
        <w:ind w:left="720" w:hanging="360"/>
      </w:p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6">
    <w:nsid w:val="0E923615"/>
    <w:multiLevelType w:val="hybridMultilevel"/>
    <w:tmpl w:val="E55EF19E"/>
    <w:lvl w:ilvl="0" w:tplc="081A000F">
      <w:start w:val="1"/>
      <w:numFmt w:val="decimal"/>
      <w:lvlText w:val="%1."/>
      <w:lvlJc w:val="left"/>
      <w:pPr>
        <w:tabs>
          <w:tab w:val="num" w:pos="1440"/>
        </w:tabs>
        <w:ind w:left="1440" w:hanging="360"/>
      </w:pPr>
    </w:lvl>
    <w:lvl w:ilvl="1" w:tplc="081A0019" w:tentative="1">
      <w:start w:val="1"/>
      <w:numFmt w:val="lowerLetter"/>
      <w:lvlText w:val="%2."/>
      <w:lvlJc w:val="left"/>
      <w:pPr>
        <w:tabs>
          <w:tab w:val="num" w:pos="2160"/>
        </w:tabs>
        <w:ind w:left="2160" w:hanging="360"/>
      </w:pPr>
    </w:lvl>
    <w:lvl w:ilvl="2" w:tplc="081A001B" w:tentative="1">
      <w:start w:val="1"/>
      <w:numFmt w:val="lowerRoman"/>
      <w:lvlText w:val="%3."/>
      <w:lvlJc w:val="right"/>
      <w:pPr>
        <w:tabs>
          <w:tab w:val="num" w:pos="2880"/>
        </w:tabs>
        <w:ind w:left="2880" w:hanging="180"/>
      </w:pPr>
    </w:lvl>
    <w:lvl w:ilvl="3" w:tplc="081A000F" w:tentative="1">
      <w:start w:val="1"/>
      <w:numFmt w:val="decimal"/>
      <w:lvlText w:val="%4."/>
      <w:lvlJc w:val="left"/>
      <w:pPr>
        <w:tabs>
          <w:tab w:val="num" w:pos="3600"/>
        </w:tabs>
        <w:ind w:left="3600" w:hanging="360"/>
      </w:pPr>
    </w:lvl>
    <w:lvl w:ilvl="4" w:tplc="081A0019" w:tentative="1">
      <w:start w:val="1"/>
      <w:numFmt w:val="lowerLetter"/>
      <w:lvlText w:val="%5."/>
      <w:lvlJc w:val="left"/>
      <w:pPr>
        <w:tabs>
          <w:tab w:val="num" w:pos="4320"/>
        </w:tabs>
        <w:ind w:left="4320" w:hanging="360"/>
      </w:pPr>
    </w:lvl>
    <w:lvl w:ilvl="5" w:tplc="081A001B" w:tentative="1">
      <w:start w:val="1"/>
      <w:numFmt w:val="lowerRoman"/>
      <w:lvlText w:val="%6."/>
      <w:lvlJc w:val="right"/>
      <w:pPr>
        <w:tabs>
          <w:tab w:val="num" w:pos="5040"/>
        </w:tabs>
        <w:ind w:left="5040" w:hanging="180"/>
      </w:pPr>
    </w:lvl>
    <w:lvl w:ilvl="6" w:tplc="081A000F" w:tentative="1">
      <w:start w:val="1"/>
      <w:numFmt w:val="decimal"/>
      <w:lvlText w:val="%7."/>
      <w:lvlJc w:val="left"/>
      <w:pPr>
        <w:tabs>
          <w:tab w:val="num" w:pos="5760"/>
        </w:tabs>
        <w:ind w:left="5760" w:hanging="360"/>
      </w:pPr>
    </w:lvl>
    <w:lvl w:ilvl="7" w:tplc="081A0019" w:tentative="1">
      <w:start w:val="1"/>
      <w:numFmt w:val="lowerLetter"/>
      <w:lvlText w:val="%8."/>
      <w:lvlJc w:val="left"/>
      <w:pPr>
        <w:tabs>
          <w:tab w:val="num" w:pos="6480"/>
        </w:tabs>
        <w:ind w:left="6480" w:hanging="360"/>
      </w:pPr>
    </w:lvl>
    <w:lvl w:ilvl="8" w:tplc="081A001B" w:tentative="1">
      <w:start w:val="1"/>
      <w:numFmt w:val="lowerRoman"/>
      <w:lvlText w:val="%9."/>
      <w:lvlJc w:val="right"/>
      <w:pPr>
        <w:tabs>
          <w:tab w:val="num" w:pos="7200"/>
        </w:tabs>
        <w:ind w:left="7200" w:hanging="180"/>
      </w:pPr>
    </w:lvl>
  </w:abstractNum>
  <w:abstractNum w:abstractNumId="7">
    <w:nsid w:val="0F7D6ACD"/>
    <w:multiLevelType w:val="hybridMultilevel"/>
    <w:tmpl w:val="07905838"/>
    <w:lvl w:ilvl="0" w:tplc="0409000F">
      <w:start w:val="1"/>
      <w:numFmt w:val="decimal"/>
      <w:lvlText w:val="%1."/>
      <w:lvlJc w:val="left"/>
      <w:pPr>
        <w:tabs>
          <w:tab w:val="num" w:pos="1980"/>
        </w:tabs>
        <w:ind w:left="1980" w:hanging="360"/>
      </w:pPr>
      <w:rPr>
        <w:rFonts w:cs="Times New Roman"/>
      </w:rPr>
    </w:lvl>
    <w:lvl w:ilvl="1" w:tplc="04090019">
      <w:start w:val="1"/>
      <w:numFmt w:val="lowerLetter"/>
      <w:lvlText w:val="%2."/>
      <w:lvlJc w:val="left"/>
      <w:pPr>
        <w:tabs>
          <w:tab w:val="num" w:pos="2340"/>
        </w:tabs>
        <w:ind w:left="2340" w:hanging="360"/>
      </w:pPr>
      <w:rPr>
        <w:rFonts w:cs="Times New Roman"/>
      </w:rPr>
    </w:lvl>
    <w:lvl w:ilvl="2" w:tplc="0409001B">
      <w:start w:val="1"/>
      <w:numFmt w:val="lowerRoman"/>
      <w:lvlText w:val="%3."/>
      <w:lvlJc w:val="right"/>
      <w:pPr>
        <w:tabs>
          <w:tab w:val="num" w:pos="3060"/>
        </w:tabs>
        <w:ind w:left="3060" w:hanging="180"/>
      </w:pPr>
      <w:rPr>
        <w:rFonts w:cs="Times New Roman"/>
      </w:rPr>
    </w:lvl>
    <w:lvl w:ilvl="3" w:tplc="0409000F">
      <w:start w:val="1"/>
      <w:numFmt w:val="decimal"/>
      <w:lvlText w:val="%4."/>
      <w:lvlJc w:val="left"/>
      <w:pPr>
        <w:tabs>
          <w:tab w:val="num" w:pos="3780"/>
        </w:tabs>
        <w:ind w:left="3780" w:hanging="360"/>
      </w:pPr>
      <w:rPr>
        <w:rFonts w:cs="Times New Roman"/>
      </w:rPr>
    </w:lvl>
    <w:lvl w:ilvl="4" w:tplc="04090019">
      <w:start w:val="1"/>
      <w:numFmt w:val="lowerLetter"/>
      <w:lvlText w:val="%5."/>
      <w:lvlJc w:val="left"/>
      <w:pPr>
        <w:tabs>
          <w:tab w:val="num" w:pos="4500"/>
        </w:tabs>
        <w:ind w:left="4500" w:hanging="360"/>
      </w:pPr>
      <w:rPr>
        <w:rFonts w:cs="Times New Roman"/>
      </w:rPr>
    </w:lvl>
    <w:lvl w:ilvl="5" w:tplc="0409001B">
      <w:start w:val="1"/>
      <w:numFmt w:val="lowerRoman"/>
      <w:lvlText w:val="%6."/>
      <w:lvlJc w:val="right"/>
      <w:pPr>
        <w:tabs>
          <w:tab w:val="num" w:pos="5220"/>
        </w:tabs>
        <w:ind w:left="5220" w:hanging="180"/>
      </w:pPr>
      <w:rPr>
        <w:rFonts w:cs="Times New Roman"/>
      </w:rPr>
    </w:lvl>
    <w:lvl w:ilvl="6" w:tplc="0409000F">
      <w:start w:val="1"/>
      <w:numFmt w:val="decimal"/>
      <w:lvlText w:val="%7."/>
      <w:lvlJc w:val="left"/>
      <w:pPr>
        <w:tabs>
          <w:tab w:val="num" w:pos="5940"/>
        </w:tabs>
        <w:ind w:left="5940" w:hanging="360"/>
      </w:pPr>
      <w:rPr>
        <w:rFonts w:cs="Times New Roman"/>
      </w:rPr>
    </w:lvl>
    <w:lvl w:ilvl="7" w:tplc="04090019">
      <w:start w:val="1"/>
      <w:numFmt w:val="lowerLetter"/>
      <w:lvlText w:val="%8."/>
      <w:lvlJc w:val="left"/>
      <w:pPr>
        <w:tabs>
          <w:tab w:val="num" w:pos="6660"/>
        </w:tabs>
        <w:ind w:left="6660" w:hanging="360"/>
      </w:pPr>
      <w:rPr>
        <w:rFonts w:cs="Times New Roman"/>
      </w:rPr>
    </w:lvl>
    <w:lvl w:ilvl="8" w:tplc="0409001B">
      <w:start w:val="1"/>
      <w:numFmt w:val="lowerRoman"/>
      <w:lvlText w:val="%9."/>
      <w:lvlJc w:val="right"/>
      <w:pPr>
        <w:tabs>
          <w:tab w:val="num" w:pos="7380"/>
        </w:tabs>
        <w:ind w:left="7380" w:hanging="180"/>
      </w:pPr>
      <w:rPr>
        <w:rFonts w:cs="Times New Roman"/>
      </w:rPr>
    </w:lvl>
  </w:abstractNum>
  <w:abstractNum w:abstractNumId="8">
    <w:nsid w:val="107B6662"/>
    <w:multiLevelType w:val="hybridMultilevel"/>
    <w:tmpl w:val="2AA46484"/>
    <w:lvl w:ilvl="0" w:tplc="80CC93F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9">
    <w:nsid w:val="12F870A6"/>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3EF6026"/>
    <w:multiLevelType w:val="hybridMultilevel"/>
    <w:tmpl w:val="AFE8EC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4843402"/>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73804D8"/>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457DEB"/>
    <w:multiLevelType w:val="hybridMultilevel"/>
    <w:tmpl w:val="051E94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D426AA"/>
    <w:multiLevelType w:val="hybridMultilevel"/>
    <w:tmpl w:val="1C4E56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3E1385D"/>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4033F72"/>
    <w:multiLevelType w:val="hybridMultilevel"/>
    <w:tmpl w:val="6A244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4BF6887"/>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6374086"/>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EBC1446"/>
    <w:multiLevelType w:val="hybridMultilevel"/>
    <w:tmpl w:val="7F8C7D3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0294FA2"/>
    <w:multiLevelType w:val="multilevel"/>
    <w:tmpl w:val="4E5A49F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nsid w:val="3BF72512"/>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2FC7CD6"/>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DF4D2B"/>
    <w:multiLevelType w:val="hybridMultilevel"/>
    <w:tmpl w:val="CD3C26B6"/>
    <w:lvl w:ilvl="0" w:tplc="05A2916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D0C0040"/>
    <w:multiLevelType w:val="hybridMultilevel"/>
    <w:tmpl w:val="903007A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5">
    <w:nsid w:val="4E585A4A"/>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42C7539"/>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23504E"/>
    <w:multiLevelType w:val="hybridMultilevel"/>
    <w:tmpl w:val="0E06397C"/>
    <w:lvl w:ilvl="0" w:tplc="081A000F">
      <w:start w:val="1"/>
      <w:numFmt w:val="decimal"/>
      <w:lvlText w:val="%1."/>
      <w:lvlJc w:val="left"/>
      <w:pPr>
        <w:tabs>
          <w:tab w:val="num" w:pos="720"/>
        </w:tabs>
        <w:ind w:left="720" w:hanging="360"/>
      </w:p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28">
    <w:nsid w:val="5F4A6505"/>
    <w:multiLevelType w:val="hybridMultilevel"/>
    <w:tmpl w:val="57F02B58"/>
    <w:lvl w:ilvl="0" w:tplc="0409000F">
      <w:start w:val="1"/>
      <w:numFmt w:val="decimal"/>
      <w:lvlText w:val="%1."/>
      <w:lvlJc w:val="left"/>
      <w:pPr>
        <w:tabs>
          <w:tab w:val="num" w:pos="1381"/>
        </w:tabs>
        <w:ind w:left="1381" w:hanging="360"/>
      </w:pPr>
    </w:lvl>
    <w:lvl w:ilvl="1" w:tplc="04090019" w:tentative="1">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29">
    <w:nsid w:val="65D1547A"/>
    <w:multiLevelType w:val="hybridMultilevel"/>
    <w:tmpl w:val="A942ECB4"/>
    <w:lvl w:ilvl="0" w:tplc="3ABA713C">
      <w:start w:val="1"/>
      <w:numFmt w:val="decimal"/>
      <w:lvlText w:val="%1."/>
      <w:lvlJc w:val="left"/>
      <w:pPr>
        <w:tabs>
          <w:tab w:val="num" w:pos="785"/>
        </w:tabs>
        <w:ind w:left="785" w:hanging="360"/>
      </w:pPr>
      <w:rPr>
        <w:b w:val="0"/>
        <w:color w:val="auto"/>
        <w:sz w:val="28"/>
        <w:szCs w:val="28"/>
      </w:rPr>
    </w:lvl>
    <w:lvl w:ilvl="1" w:tplc="04190019">
      <w:start w:val="1"/>
      <w:numFmt w:val="lowerLetter"/>
      <w:lvlText w:val="%2."/>
      <w:lvlJc w:val="left"/>
      <w:pPr>
        <w:tabs>
          <w:tab w:val="num" w:pos="1505"/>
        </w:tabs>
        <w:ind w:left="1505" w:hanging="360"/>
      </w:pPr>
    </w:lvl>
    <w:lvl w:ilvl="2" w:tplc="0419001B" w:tentative="1">
      <w:start w:val="1"/>
      <w:numFmt w:val="lowerRoman"/>
      <w:lvlText w:val="%3."/>
      <w:lvlJc w:val="right"/>
      <w:pPr>
        <w:tabs>
          <w:tab w:val="num" w:pos="2225"/>
        </w:tabs>
        <w:ind w:left="2225" w:hanging="180"/>
      </w:pPr>
    </w:lvl>
    <w:lvl w:ilvl="3" w:tplc="0419000F" w:tentative="1">
      <w:start w:val="1"/>
      <w:numFmt w:val="decimal"/>
      <w:lvlText w:val="%4."/>
      <w:lvlJc w:val="left"/>
      <w:pPr>
        <w:tabs>
          <w:tab w:val="num" w:pos="2945"/>
        </w:tabs>
        <w:ind w:left="2945" w:hanging="360"/>
      </w:pPr>
    </w:lvl>
    <w:lvl w:ilvl="4" w:tplc="04190019" w:tentative="1">
      <w:start w:val="1"/>
      <w:numFmt w:val="lowerLetter"/>
      <w:lvlText w:val="%5."/>
      <w:lvlJc w:val="left"/>
      <w:pPr>
        <w:tabs>
          <w:tab w:val="num" w:pos="3665"/>
        </w:tabs>
        <w:ind w:left="3665" w:hanging="360"/>
      </w:pPr>
    </w:lvl>
    <w:lvl w:ilvl="5" w:tplc="0419001B" w:tentative="1">
      <w:start w:val="1"/>
      <w:numFmt w:val="lowerRoman"/>
      <w:lvlText w:val="%6."/>
      <w:lvlJc w:val="right"/>
      <w:pPr>
        <w:tabs>
          <w:tab w:val="num" w:pos="4385"/>
        </w:tabs>
        <w:ind w:left="4385" w:hanging="180"/>
      </w:pPr>
    </w:lvl>
    <w:lvl w:ilvl="6" w:tplc="0419000F" w:tentative="1">
      <w:start w:val="1"/>
      <w:numFmt w:val="decimal"/>
      <w:lvlText w:val="%7."/>
      <w:lvlJc w:val="left"/>
      <w:pPr>
        <w:tabs>
          <w:tab w:val="num" w:pos="5105"/>
        </w:tabs>
        <w:ind w:left="5105" w:hanging="360"/>
      </w:pPr>
    </w:lvl>
    <w:lvl w:ilvl="7" w:tplc="04190019" w:tentative="1">
      <w:start w:val="1"/>
      <w:numFmt w:val="lowerLetter"/>
      <w:lvlText w:val="%8."/>
      <w:lvlJc w:val="left"/>
      <w:pPr>
        <w:tabs>
          <w:tab w:val="num" w:pos="5825"/>
        </w:tabs>
        <w:ind w:left="5825" w:hanging="360"/>
      </w:pPr>
    </w:lvl>
    <w:lvl w:ilvl="8" w:tplc="0419001B" w:tentative="1">
      <w:start w:val="1"/>
      <w:numFmt w:val="lowerRoman"/>
      <w:lvlText w:val="%9."/>
      <w:lvlJc w:val="right"/>
      <w:pPr>
        <w:tabs>
          <w:tab w:val="num" w:pos="6545"/>
        </w:tabs>
        <w:ind w:left="6545" w:hanging="180"/>
      </w:pPr>
    </w:lvl>
  </w:abstractNum>
  <w:abstractNum w:abstractNumId="30">
    <w:nsid w:val="680E2536"/>
    <w:multiLevelType w:val="hybridMultilevel"/>
    <w:tmpl w:val="6CB855F6"/>
    <w:lvl w:ilvl="0" w:tplc="0409000F">
      <w:start w:val="1"/>
      <w:numFmt w:val="decimal"/>
      <w:lvlText w:val="%1."/>
      <w:lvlJc w:val="left"/>
      <w:pPr>
        <w:tabs>
          <w:tab w:val="num" w:pos="1004"/>
        </w:tabs>
        <w:ind w:left="1004" w:hanging="360"/>
      </w:pPr>
      <w:rPr>
        <w:rFonts w:cs="Times New Roman"/>
      </w:rPr>
    </w:lvl>
    <w:lvl w:ilvl="1" w:tplc="04090019">
      <w:start w:val="1"/>
      <w:numFmt w:val="lowerLetter"/>
      <w:lvlText w:val="%2."/>
      <w:lvlJc w:val="left"/>
      <w:pPr>
        <w:tabs>
          <w:tab w:val="num" w:pos="1724"/>
        </w:tabs>
        <w:ind w:left="1724" w:hanging="360"/>
      </w:pPr>
      <w:rPr>
        <w:rFonts w:cs="Times New Roman"/>
      </w:rPr>
    </w:lvl>
    <w:lvl w:ilvl="2" w:tplc="0409001B">
      <w:start w:val="1"/>
      <w:numFmt w:val="lowerRoman"/>
      <w:lvlText w:val="%3."/>
      <w:lvlJc w:val="right"/>
      <w:pPr>
        <w:tabs>
          <w:tab w:val="num" w:pos="2444"/>
        </w:tabs>
        <w:ind w:left="2444" w:hanging="180"/>
      </w:pPr>
      <w:rPr>
        <w:rFonts w:cs="Times New Roman"/>
      </w:rPr>
    </w:lvl>
    <w:lvl w:ilvl="3" w:tplc="0409000F">
      <w:start w:val="1"/>
      <w:numFmt w:val="decimal"/>
      <w:lvlText w:val="%4."/>
      <w:lvlJc w:val="left"/>
      <w:pPr>
        <w:tabs>
          <w:tab w:val="num" w:pos="3164"/>
        </w:tabs>
        <w:ind w:left="3164" w:hanging="360"/>
      </w:pPr>
      <w:rPr>
        <w:rFonts w:cs="Times New Roman"/>
      </w:rPr>
    </w:lvl>
    <w:lvl w:ilvl="4" w:tplc="04090019">
      <w:start w:val="1"/>
      <w:numFmt w:val="lowerLetter"/>
      <w:lvlText w:val="%5."/>
      <w:lvlJc w:val="left"/>
      <w:pPr>
        <w:tabs>
          <w:tab w:val="num" w:pos="3884"/>
        </w:tabs>
        <w:ind w:left="3884" w:hanging="360"/>
      </w:pPr>
      <w:rPr>
        <w:rFonts w:cs="Times New Roman"/>
      </w:rPr>
    </w:lvl>
    <w:lvl w:ilvl="5" w:tplc="0409001B">
      <w:start w:val="1"/>
      <w:numFmt w:val="lowerRoman"/>
      <w:lvlText w:val="%6."/>
      <w:lvlJc w:val="right"/>
      <w:pPr>
        <w:tabs>
          <w:tab w:val="num" w:pos="4604"/>
        </w:tabs>
        <w:ind w:left="4604" w:hanging="180"/>
      </w:pPr>
      <w:rPr>
        <w:rFonts w:cs="Times New Roman"/>
      </w:rPr>
    </w:lvl>
    <w:lvl w:ilvl="6" w:tplc="0409000F">
      <w:start w:val="1"/>
      <w:numFmt w:val="decimal"/>
      <w:lvlText w:val="%7."/>
      <w:lvlJc w:val="left"/>
      <w:pPr>
        <w:tabs>
          <w:tab w:val="num" w:pos="5324"/>
        </w:tabs>
        <w:ind w:left="5324" w:hanging="360"/>
      </w:pPr>
      <w:rPr>
        <w:rFonts w:cs="Times New Roman"/>
      </w:rPr>
    </w:lvl>
    <w:lvl w:ilvl="7" w:tplc="04090019">
      <w:start w:val="1"/>
      <w:numFmt w:val="lowerLetter"/>
      <w:lvlText w:val="%8."/>
      <w:lvlJc w:val="left"/>
      <w:pPr>
        <w:tabs>
          <w:tab w:val="num" w:pos="6044"/>
        </w:tabs>
        <w:ind w:left="6044" w:hanging="360"/>
      </w:pPr>
      <w:rPr>
        <w:rFonts w:cs="Times New Roman"/>
      </w:rPr>
    </w:lvl>
    <w:lvl w:ilvl="8" w:tplc="0409001B">
      <w:start w:val="1"/>
      <w:numFmt w:val="lowerRoman"/>
      <w:lvlText w:val="%9."/>
      <w:lvlJc w:val="right"/>
      <w:pPr>
        <w:tabs>
          <w:tab w:val="num" w:pos="6764"/>
        </w:tabs>
        <w:ind w:left="6764" w:hanging="180"/>
      </w:pPr>
      <w:rPr>
        <w:rFonts w:cs="Times New Roman"/>
      </w:rPr>
    </w:lvl>
  </w:abstractNum>
  <w:abstractNum w:abstractNumId="31">
    <w:nsid w:val="68513F8A"/>
    <w:multiLevelType w:val="hybridMultilevel"/>
    <w:tmpl w:val="98D24330"/>
    <w:lvl w:ilvl="0" w:tplc="D3DA11C0">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2">
    <w:nsid w:val="71866731"/>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1EF1CF4"/>
    <w:multiLevelType w:val="hybridMultilevel"/>
    <w:tmpl w:val="DB84194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4">
    <w:nsid w:val="73FC4EF0"/>
    <w:multiLevelType w:val="hybridMultilevel"/>
    <w:tmpl w:val="C2AAAB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4A4762E"/>
    <w:multiLevelType w:val="hybridMultilevel"/>
    <w:tmpl w:val="32AC6204"/>
    <w:lvl w:ilvl="0" w:tplc="081A000F">
      <w:start w:val="1"/>
      <w:numFmt w:val="decimal"/>
      <w:lvlText w:val="%1."/>
      <w:lvlJc w:val="left"/>
      <w:pPr>
        <w:tabs>
          <w:tab w:val="num" w:pos="720"/>
        </w:tabs>
        <w:ind w:left="720" w:hanging="360"/>
      </w:p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36">
    <w:nsid w:val="75B31769"/>
    <w:multiLevelType w:val="hybridMultilevel"/>
    <w:tmpl w:val="B1CA471C"/>
    <w:lvl w:ilvl="0" w:tplc="A53094F4">
      <w:start w:val="1"/>
      <w:numFmt w:val="decimal"/>
      <w:lvlText w:val="%1."/>
      <w:lvlJc w:val="left"/>
      <w:pPr>
        <w:tabs>
          <w:tab w:val="num" w:pos="57"/>
        </w:tabs>
        <w:ind w:left="964" w:hanging="964"/>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7">
    <w:nsid w:val="7BA96785"/>
    <w:multiLevelType w:val="hybridMultilevel"/>
    <w:tmpl w:val="8514B8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27"/>
  </w:num>
  <w:num w:numId="3">
    <w:abstractNumId w:val="6"/>
  </w:num>
  <w:num w:numId="4">
    <w:abstractNumId w:val="5"/>
  </w:num>
  <w:num w:numId="5">
    <w:abstractNumId w:val="28"/>
  </w:num>
  <w:num w:numId="6">
    <w:abstractNumId w:val="34"/>
  </w:num>
  <w:num w:numId="7">
    <w:abstractNumId w:val="10"/>
  </w:num>
  <w:num w:numId="8">
    <w:abstractNumId w:val="3"/>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31"/>
  </w:num>
  <w:num w:numId="12">
    <w:abstractNumId w:val="36"/>
  </w:num>
  <w:num w:numId="13">
    <w:abstractNumId w:val="7"/>
  </w:num>
  <w:num w:numId="14">
    <w:abstractNumId w:val="33"/>
  </w:num>
  <w:num w:numId="15">
    <w:abstractNumId w:val="30"/>
  </w:num>
  <w:num w:numId="16">
    <w:abstractNumId w:val="20"/>
  </w:num>
  <w:num w:numId="17">
    <w:abstractNumId w:val="24"/>
  </w:num>
  <w:num w:numId="18">
    <w:abstractNumId w:val="8"/>
  </w:num>
  <w:num w:numId="19">
    <w:abstractNumId w:val="2"/>
  </w:num>
  <w:num w:numId="20">
    <w:abstractNumId w:val="37"/>
  </w:num>
  <w:num w:numId="21">
    <w:abstractNumId w:val="13"/>
  </w:num>
  <w:num w:numId="22">
    <w:abstractNumId w:val="1"/>
  </w:num>
  <w:num w:numId="23">
    <w:abstractNumId w:val="14"/>
  </w:num>
  <w:num w:numId="24">
    <w:abstractNumId w:val="23"/>
  </w:num>
  <w:num w:numId="25">
    <w:abstractNumId w:val="0"/>
  </w:num>
  <w:num w:numId="26">
    <w:abstractNumId w:val="11"/>
  </w:num>
  <w:num w:numId="27">
    <w:abstractNumId w:val="9"/>
  </w:num>
  <w:num w:numId="28">
    <w:abstractNumId w:val="15"/>
  </w:num>
  <w:num w:numId="29">
    <w:abstractNumId w:val="26"/>
  </w:num>
  <w:num w:numId="30">
    <w:abstractNumId w:val="4"/>
  </w:num>
  <w:num w:numId="31">
    <w:abstractNumId w:val="12"/>
  </w:num>
  <w:num w:numId="32">
    <w:abstractNumId w:val="17"/>
  </w:num>
  <w:num w:numId="33">
    <w:abstractNumId w:val="25"/>
  </w:num>
  <w:num w:numId="34">
    <w:abstractNumId w:val="32"/>
  </w:num>
  <w:num w:numId="35">
    <w:abstractNumId w:val="22"/>
  </w:num>
  <w:num w:numId="36">
    <w:abstractNumId w:val="21"/>
  </w:num>
  <w:num w:numId="37">
    <w:abstractNumId w:val="18"/>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425"/>
  <w:hyphenationZone w:val="425"/>
  <w:evenAndOddHeaders/>
  <w:drawingGridHorizontalSpacing w:val="100"/>
  <w:displayHorizontalDrawingGridEvery w:val="2"/>
  <w:characterSpacingControl w:val="doNotCompress"/>
  <w:hdrShapeDefaults>
    <o:shapedefaults v:ext="edit" spidmax="6145"/>
  </w:hdrShapeDefaults>
  <w:footnotePr>
    <w:numFmt w:val="chicago"/>
    <w:footnote w:id="-1"/>
    <w:footnote w:id="0"/>
  </w:footnotePr>
  <w:endnotePr>
    <w:numFmt w:val="chicago"/>
    <w:endnote w:id="-1"/>
    <w:endnote w:id="0"/>
  </w:endnotePr>
  <w:compat>
    <w:compatSetting w:name="compatibilityMode" w:uri="http://schemas.microsoft.com/office/word" w:val="12"/>
  </w:compat>
  <w:rsids>
    <w:rsidRoot w:val="00864A51"/>
    <w:rsid w:val="00000392"/>
    <w:rsid w:val="00001280"/>
    <w:rsid w:val="0000183B"/>
    <w:rsid w:val="0000417E"/>
    <w:rsid w:val="000058A0"/>
    <w:rsid w:val="00006BE4"/>
    <w:rsid w:val="00007AC9"/>
    <w:rsid w:val="00007C2C"/>
    <w:rsid w:val="00014355"/>
    <w:rsid w:val="00014B65"/>
    <w:rsid w:val="00016C42"/>
    <w:rsid w:val="0002071D"/>
    <w:rsid w:val="00020E31"/>
    <w:rsid w:val="00021B32"/>
    <w:rsid w:val="00023D8E"/>
    <w:rsid w:val="00024A75"/>
    <w:rsid w:val="00025986"/>
    <w:rsid w:val="000259E9"/>
    <w:rsid w:val="000262DE"/>
    <w:rsid w:val="000309D7"/>
    <w:rsid w:val="0003458B"/>
    <w:rsid w:val="00035D82"/>
    <w:rsid w:val="00035EC8"/>
    <w:rsid w:val="00037094"/>
    <w:rsid w:val="000402F6"/>
    <w:rsid w:val="00040FA1"/>
    <w:rsid w:val="0004639B"/>
    <w:rsid w:val="00050B5D"/>
    <w:rsid w:val="00051095"/>
    <w:rsid w:val="00052689"/>
    <w:rsid w:val="000535F1"/>
    <w:rsid w:val="000536D8"/>
    <w:rsid w:val="00054A00"/>
    <w:rsid w:val="00060E84"/>
    <w:rsid w:val="0006179A"/>
    <w:rsid w:val="00065EDB"/>
    <w:rsid w:val="000668EF"/>
    <w:rsid w:val="00067337"/>
    <w:rsid w:val="0007089C"/>
    <w:rsid w:val="000734D9"/>
    <w:rsid w:val="00077104"/>
    <w:rsid w:val="00077346"/>
    <w:rsid w:val="00084783"/>
    <w:rsid w:val="00086180"/>
    <w:rsid w:val="00087A3D"/>
    <w:rsid w:val="000908F4"/>
    <w:rsid w:val="00092547"/>
    <w:rsid w:val="00093FEB"/>
    <w:rsid w:val="00094C83"/>
    <w:rsid w:val="00094CF6"/>
    <w:rsid w:val="000A71D5"/>
    <w:rsid w:val="000B1E22"/>
    <w:rsid w:val="000B2777"/>
    <w:rsid w:val="000B365F"/>
    <w:rsid w:val="000B4472"/>
    <w:rsid w:val="000B52C0"/>
    <w:rsid w:val="000B69DD"/>
    <w:rsid w:val="000C2AD1"/>
    <w:rsid w:val="000C60B1"/>
    <w:rsid w:val="000C6E7A"/>
    <w:rsid w:val="000D1FFB"/>
    <w:rsid w:val="000D20CD"/>
    <w:rsid w:val="000D219A"/>
    <w:rsid w:val="000D35CB"/>
    <w:rsid w:val="000D5967"/>
    <w:rsid w:val="000D7789"/>
    <w:rsid w:val="000E2F35"/>
    <w:rsid w:val="000E5E4E"/>
    <w:rsid w:val="000E62B7"/>
    <w:rsid w:val="000E734C"/>
    <w:rsid w:val="000F0A5C"/>
    <w:rsid w:val="000F1184"/>
    <w:rsid w:val="000F430C"/>
    <w:rsid w:val="000F4FEB"/>
    <w:rsid w:val="000F54D7"/>
    <w:rsid w:val="000F5631"/>
    <w:rsid w:val="0010112D"/>
    <w:rsid w:val="00101949"/>
    <w:rsid w:val="0010338D"/>
    <w:rsid w:val="001039D2"/>
    <w:rsid w:val="001070DF"/>
    <w:rsid w:val="00110411"/>
    <w:rsid w:val="00110D1C"/>
    <w:rsid w:val="00111D81"/>
    <w:rsid w:val="00112DCB"/>
    <w:rsid w:val="001148FD"/>
    <w:rsid w:val="0011790C"/>
    <w:rsid w:val="00121ABE"/>
    <w:rsid w:val="00121B41"/>
    <w:rsid w:val="00123384"/>
    <w:rsid w:val="00125C4A"/>
    <w:rsid w:val="00125ED4"/>
    <w:rsid w:val="0012717F"/>
    <w:rsid w:val="001274EB"/>
    <w:rsid w:val="00127EA6"/>
    <w:rsid w:val="00130AB4"/>
    <w:rsid w:val="0013134B"/>
    <w:rsid w:val="001317FE"/>
    <w:rsid w:val="00131ADC"/>
    <w:rsid w:val="00131D44"/>
    <w:rsid w:val="001320CA"/>
    <w:rsid w:val="00134C75"/>
    <w:rsid w:val="001362C8"/>
    <w:rsid w:val="0013693B"/>
    <w:rsid w:val="00137717"/>
    <w:rsid w:val="00137C2E"/>
    <w:rsid w:val="001407C6"/>
    <w:rsid w:val="00140F88"/>
    <w:rsid w:val="00141D2A"/>
    <w:rsid w:val="00142433"/>
    <w:rsid w:val="00142DE1"/>
    <w:rsid w:val="00142E24"/>
    <w:rsid w:val="001435A3"/>
    <w:rsid w:val="001435AF"/>
    <w:rsid w:val="00144AB1"/>
    <w:rsid w:val="0014608F"/>
    <w:rsid w:val="00146295"/>
    <w:rsid w:val="00146837"/>
    <w:rsid w:val="001523F8"/>
    <w:rsid w:val="001546E9"/>
    <w:rsid w:val="00154C08"/>
    <w:rsid w:val="00155C51"/>
    <w:rsid w:val="00155C7F"/>
    <w:rsid w:val="001566F5"/>
    <w:rsid w:val="0015685B"/>
    <w:rsid w:val="001572BD"/>
    <w:rsid w:val="001604C0"/>
    <w:rsid w:val="00164F54"/>
    <w:rsid w:val="001651CA"/>
    <w:rsid w:val="00165B4B"/>
    <w:rsid w:val="001703CB"/>
    <w:rsid w:val="00171A27"/>
    <w:rsid w:val="00174159"/>
    <w:rsid w:val="00175021"/>
    <w:rsid w:val="0017778B"/>
    <w:rsid w:val="00177B58"/>
    <w:rsid w:val="00180AB6"/>
    <w:rsid w:val="00180BE7"/>
    <w:rsid w:val="00181846"/>
    <w:rsid w:val="00183645"/>
    <w:rsid w:val="001858A7"/>
    <w:rsid w:val="00185C45"/>
    <w:rsid w:val="00187E8B"/>
    <w:rsid w:val="00191CF5"/>
    <w:rsid w:val="001923D4"/>
    <w:rsid w:val="0019272C"/>
    <w:rsid w:val="00195D68"/>
    <w:rsid w:val="0019645B"/>
    <w:rsid w:val="0019713E"/>
    <w:rsid w:val="00197F4A"/>
    <w:rsid w:val="001A1230"/>
    <w:rsid w:val="001A3703"/>
    <w:rsid w:val="001A5B51"/>
    <w:rsid w:val="001A5CDE"/>
    <w:rsid w:val="001A678F"/>
    <w:rsid w:val="001A6AA7"/>
    <w:rsid w:val="001A715D"/>
    <w:rsid w:val="001A72B6"/>
    <w:rsid w:val="001B0A89"/>
    <w:rsid w:val="001B1F31"/>
    <w:rsid w:val="001B20D5"/>
    <w:rsid w:val="001B4F0F"/>
    <w:rsid w:val="001B5731"/>
    <w:rsid w:val="001B6EAE"/>
    <w:rsid w:val="001C2948"/>
    <w:rsid w:val="001C2F84"/>
    <w:rsid w:val="001C3835"/>
    <w:rsid w:val="001C3E7F"/>
    <w:rsid w:val="001C4938"/>
    <w:rsid w:val="001C5C0A"/>
    <w:rsid w:val="001C733F"/>
    <w:rsid w:val="001D0468"/>
    <w:rsid w:val="001D72E6"/>
    <w:rsid w:val="001D742E"/>
    <w:rsid w:val="001E2AF3"/>
    <w:rsid w:val="001E5108"/>
    <w:rsid w:val="001E5401"/>
    <w:rsid w:val="001E5955"/>
    <w:rsid w:val="001E64D9"/>
    <w:rsid w:val="001E71EA"/>
    <w:rsid w:val="001E73D9"/>
    <w:rsid w:val="001F320C"/>
    <w:rsid w:val="001F66ED"/>
    <w:rsid w:val="00200718"/>
    <w:rsid w:val="00200962"/>
    <w:rsid w:val="00202F7A"/>
    <w:rsid w:val="002050B2"/>
    <w:rsid w:val="00206FBE"/>
    <w:rsid w:val="0020733E"/>
    <w:rsid w:val="0020776E"/>
    <w:rsid w:val="0021095B"/>
    <w:rsid w:val="002133A4"/>
    <w:rsid w:val="002146D9"/>
    <w:rsid w:val="00214D74"/>
    <w:rsid w:val="00217B59"/>
    <w:rsid w:val="0022110B"/>
    <w:rsid w:val="00221494"/>
    <w:rsid w:val="00224466"/>
    <w:rsid w:val="00224893"/>
    <w:rsid w:val="00224C1D"/>
    <w:rsid w:val="002305A2"/>
    <w:rsid w:val="00230FDE"/>
    <w:rsid w:val="0023306B"/>
    <w:rsid w:val="00233596"/>
    <w:rsid w:val="002364FE"/>
    <w:rsid w:val="002377A8"/>
    <w:rsid w:val="00244D67"/>
    <w:rsid w:val="00245ED9"/>
    <w:rsid w:val="00247469"/>
    <w:rsid w:val="002477FE"/>
    <w:rsid w:val="00247C75"/>
    <w:rsid w:val="002515CC"/>
    <w:rsid w:val="002543E7"/>
    <w:rsid w:val="00254AED"/>
    <w:rsid w:val="00254D3F"/>
    <w:rsid w:val="00256A44"/>
    <w:rsid w:val="002603D6"/>
    <w:rsid w:val="00262E4A"/>
    <w:rsid w:val="0026355A"/>
    <w:rsid w:val="00265709"/>
    <w:rsid w:val="00265AED"/>
    <w:rsid w:val="00266DE8"/>
    <w:rsid w:val="00267380"/>
    <w:rsid w:val="0026738F"/>
    <w:rsid w:val="0027098E"/>
    <w:rsid w:val="002726B5"/>
    <w:rsid w:val="0027405E"/>
    <w:rsid w:val="00275415"/>
    <w:rsid w:val="00277376"/>
    <w:rsid w:val="002803E5"/>
    <w:rsid w:val="0028466A"/>
    <w:rsid w:val="00285196"/>
    <w:rsid w:val="00285245"/>
    <w:rsid w:val="002858EF"/>
    <w:rsid w:val="0029021E"/>
    <w:rsid w:val="002902EC"/>
    <w:rsid w:val="00290863"/>
    <w:rsid w:val="002909E5"/>
    <w:rsid w:val="002926FD"/>
    <w:rsid w:val="00293489"/>
    <w:rsid w:val="00293E95"/>
    <w:rsid w:val="002947C5"/>
    <w:rsid w:val="0029632B"/>
    <w:rsid w:val="00296AE9"/>
    <w:rsid w:val="00296D87"/>
    <w:rsid w:val="00297580"/>
    <w:rsid w:val="00297803"/>
    <w:rsid w:val="00297B33"/>
    <w:rsid w:val="00297EE6"/>
    <w:rsid w:val="002A2342"/>
    <w:rsid w:val="002A372D"/>
    <w:rsid w:val="002B1184"/>
    <w:rsid w:val="002B352C"/>
    <w:rsid w:val="002B4D87"/>
    <w:rsid w:val="002B4EEA"/>
    <w:rsid w:val="002C0382"/>
    <w:rsid w:val="002C0D5E"/>
    <w:rsid w:val="002C1DF0"/>
    <w:rsid w:val="002C2784"/>
    <w:rsid w:val="002C3A18"/>
    <w:rsid w:val="002C4CD4"/>
    <w:rsid w:val="002C4E3F"/>
    <w:rsid w:val="002C5621"/>
    <w:rsid w:val="002C65B4"/>
    <w:rsid w:val="002C6FFA"/>
    <w:rsid w:val="002D16BB"/>
    <w:rsid w:val="002D2DE6"/>
    <w:rsid w:val="002D41E8"/>
    <w:rsid w:val="002D69EF"/>
    <w:rsid w:val="002E204F"/>
    <w:rsid w:val="002E2B30"/>
    <w:rsid w:val="002E2DA4"/>
    <w:rsid w:val="002E357B"/>
    <w:rsid w:val="002E3AE3"/>
    <w:rsid w:val="002E4BAE"/>
    <w:rsid w:val="002E5157"/>
    <w:rsid w:val="002E5831"/>
    <w:rsid w:val="002E6660"/>
    <w:rsid w:val="002E746A"/>
    <w:rsid w:val="002F1017"/>
    <w:rsid w:val="002F1527"/>
    <w:rsid w:val="002F18D9"/>
    <w:rsid w:val="002F6623"/>
    <w:rsid w:val="0030070D"/>
    <w:rsid w:val="00300E3E"/>
    <w:rsid w:val="0030448E"/>
    <w:rsid w:val="00306CCB"/>
    <w:rsid w:val="00315827"/>
    <w:rsid w:val="003175DC"/>
    <w:rsid w:val="00320918"/>
    <w:rsid w:val="0032520F"/>
    <w:rsid w:val="0032797E"/>
    <w:rsid w:val="00330389"/>
    <w:rsid w:val="00332631"/>
    <w:rsid w:val="00334CD0"/>
    <w:rsid w:val="00341C52"/>
    <w:rsid w:val="00343CA3"/>
    <w:rsid w:val="00344572"/>
    <w:rsid w:val="00345062"/>
    <w:rsid w:val="00347495"/>
    <w:rsid w:val="00347C0A"/>
    <w:rsid w:val="00353031"/>
    <w:rsid w:val="003543CF"/>
    <w:rsid w:val="00354809"/>
    <w:rsid w:val="003557B9"/>
    <w:rsid w:val="00356585"/>
    <w:rsid w:val="00357F92"/>
    <w:rsid w:val="003602BA"/>
    <w:rsid w:val="00360938"/>
    <w:rsid w:val="00361020"/>
    <w:rsid w:val="00364F8E"/>
    <w:rsid w:val="003672C1"/>
    <w:rsid w:val="003714DF"/>
    <w:rsid w:val="003720F5"/>
    <w:rsid w:val="003729A7"/>
    <w:rsid w:val="00376847"/>
    <w:rsid w:val="0037750B"/>
    <w:rsid w:val="00381308"/>
    <w:rsid w:val="00383B59"/>
    <w:rsid w:val="003849E8"/>
    <w:rsid w:val="00386298"/>
    <w:rsid w:val="00390EB7"/>
    <w:rsid w:val="00390FEC"/>
    <w:rsid w:val="00391156"/>
    <w:rsid w:val="0039348C"/>
    <w:rsid w:val="003936E8"/>
    <w:rsid w:val="0039631A"/>
    <w:rsid w:val="003A1DCA"/>
    <w:rsid w:val="003A21E7"/>
    <w:rsid w:val="003A30DA"/>
    <w:rsid w:val="003A6E32"/>
    <w:rsid w:val="003A76D9"/>
    <w:rsid w:val="003A7767"/>
    <w:rsid w:val="003B03F3"/>
    <w:rsid w:val="003B2519"/>
    <w:rsid w:val="003B35FA"/>
    <w:rsid w:val="003B702E"/>
    <w:rsid w:val="003C0D55"/>
    <w:rsid w:val="003C1BE0"/>
    <w:rsid w:val="003C445B"/>
    <w:rsid w:val="003C62E4"/>
    <w:rsid w:val="003D037F"/>
    <w:rsid w:val="003D06DF"/>
    <w:rsid w:val="003D283D"/>
    <w:rsid w:val="003D433E"/>
    <w:rsid w:val="003D737D"/>
    <w:rsid w:val="003D780C"/>
    <w:rsid w:val="003E09D0"/>
    <w:rsid w:val="003E0DC9"/>
    <w:rsid w:val="003E2BC8"/>
    <w:rsid w:val="003E44B4"/>
    <w:rsid w:val="003E4707"/>
    <w:rsid w:val="003E4C1E"/>
    <w:rsid w:val="003E5ED0"/>
    <w:rsid w:val="003F0E1D"/>
    <w:rsid w:val="003F1CAF"/>
    <w:rsid w:val="003F4D00"/>
    <w:rsid w:val="0040230D"/>
    <w:rsid w:val="00402C5C"/>
    <w:rsid w:val="0040436E"/>
    <w:rsid w:val="004137CF"/>
    <w:rsid w:val="00414BE9"/>
    <w:rsid w:val="00422B06"/>
    <w:rsid w:val="00423DEC"/>
    <w:rsid w:val="00424819"/>
    <w:rsid w:val="004254B6"/>
    <w:rsid w:val="004271D0"/>
    <w:rsid w:val="004301F0"/>
    <w:rsid w:val="0043112D"/>
    <w:rsid w:val="00432A68"/>
    <w:rsid w:val="00432E5C"/>
    <w:rsid w:val="00436406"/>
    <w:rsid w:val="0043669D"/>
    <w:rsid w:val="00443BDD"/>
    <w:rsid w:val="00444D1C"/>
    <w:rsid w:val="00445C0F"/>
    <w:rsid w:val="004468AB"/>
    <w:rsid w:val="004474A8"/>
    <w:rsid w:val="00450137"/>
    <w:rsid w:val="00450F2B"/>
    <w:rsid w:val="00452330"/>
    <w:rsid w:val="00452570"/>
    <w:rsid w:val="00453E8F"/>
    <w:rsid w:val="00455B69"/>
    <w:rsid w:val="00462CD6"/>
    <w:rsid w:val="00463915"/>
    <w:rsid w:val="00464F68"/>
    <w:rsid w:val="0046534D"/>
    <w:rsid w:val="004662BB"/>
    <w:rsid w:val="00467F50"/>
    <w:rsid w:val="00471B41"/>
    <w:rsid w:val="00472923"/>
    <w:rsid w:val="00477547"/>
    <w:rsid w:val="004779C9"/>
    <w:rsid w:val="0048091D"/>
    <w:rsid w:val="004814CA"/>
    <w:rsid w:val="00482CCE"/>
    <w:rsid w:val="004845FE"/>
    <w:rsid w:val="004877D0"/>
    <w:rsid w:val="004878F2"/>
    <w:rsid w:val="00487C4F"/>
    <w:rsid w:val="004917BA"/>
    <w:rsid w:val="004919B2"/>
    <w:rsid w:val="00492E22"/>
    <w:rsid w:val="00495F7E"/>
    <w:rsid w:val="004A0319"/>
    <w:rsid w:val="004A127D"/>
    <w:rsid w:val="004A3AC5"/>
    <w:rsid w:val="004A4F37"/>
    <w:rsid w:val="004A73DA"/>
    <w:rsid w:val="004B149C"/>
    <w:rsid w:val="004B2694"/>
    <w:rsid w:val="004B6C6B"/>
    <w:rsid w:val="004C0B0D"/>
    <w:rsid w:val="004C1146"/>
    <w:rsid w:val="004C2D0D"/>
    <w:rsid w:val="004C42B7"/>
    <w:rsid w:val="004C6D10"/>
    <w:rsid w:val="004D16FA"/>
    <w:rsid w:val="004D1DE3"/>
    <w:rsid w:val="004D3E6C"/>
    <w:rsid w:val="004D49A0"/>
    <w:rsid w:val="004D5895"/>
    <w:rsid w:val="004D69D5"/>
    <w:rsid w:val="004E00BB"/>
    <w:rsid w:val="004E27AF"/>
    <w:rsid w:val="004E7C02"/>
    <w:rsid w:val="004F0D80"/>
    <w:rsid w:val="004F4232"/>
    <w:rsid w:val="004F5382"/>
    <w:rsid w:val="00500CFE"/>
    <w:rsid w:val="005012CC"/>
    <w:rsid w:val="00502BDF"/>
    <w:rsid w:val="005048B0"/>
    <w:rsid w:val="00504F0C"/>
    <w:rsid w:val="00514373"/>
    <w:rsid w:val="00515087"/>
    <w:rsid w:val="00516C2D"/>
    <w:rsid w:val="0052224A"/>
    <w:rsid w:val="005278ED"/>
    <w:rsid w:val="005279A8"/>
    <w:rsid w:val="00527AFA"/>
    <w:rsid w:val="00532C8D"/>
    <w:rsid w:val="00533506"/>
    <w:rsid w:val="00534D87"/>
    <w:rsid w:val="00540672"/>
    <w:rsid w:val="0054077F"/>
    <w:rsid w:val="005408C3"/>
    <w:rsid w:val="00540D65"/>
    <w:rsid w:val="0054273B"/>
    <w:rsid w:val="0054325E"/>
    <w:rsid w:val="00543705"/>
    <w:rsid w:val="00545825"/>
    <w:rsid w:val="00547315"/>
    <w:rsid w:val="00550A20"/>
    <w:rsid w:val="00555FC3"/>
    <w:rsid w:val="005568B0"/>
    <w:rsid w:val="00560D9E"/>
    <w:rsid w:val="00564A31"/>
    <w:rsid w:val="00566BA3"/>
    <w:rsid w:val="00566E23"/>
    <w:rsid w:val="005701BF"/>
    <w:rsid w:val="00570C77"/>
    <w:rsid w:val="005718B8"/>
    <w:rsid w:val="00571DA7"/>
    <w:rsid w:val="005721ED"/>
    <w:rsid w:val="0057425E"/>
    <w:rsid w:val="005769F7"/>
    <w:rsid w:val="00580758"/>
    <w:rsid w:val="00581408"/>
    <w:rsid w:val="00582EB3"/>
    <w:rsid w:val="00586175"/>
    <w:rsid w:val="005878A4"/>
    <w:rsid w:val="005922DE"/>
    <w:rsid w:val="00595E90"/>
    <w:rsid w:val="005977CD"/>
    <w:rsid w:val="005977EA"/>
    <w:rsid w:val="00597BD3"/>
    <w:rsid w:val="00597CEC"/>
    <w:rsid w:val="005A2507"/>
    <w:rsid w:val="005B0DA8"/>
    <w:rsid w:val="005B1332"/>
    <w:rsid w:val="005B32A1"/>
    <w:rsid w:val="005B5DA9"/>
    <w:rsid w:val="005B6D55"/>
    <w:rsid w:val="005C0CCD"/>
    <w:rsid w:val="005C3211"/>
    <w:rsid w:val="005C4877"/>
    <w:rsid w:val="005C6333"/>
    <w:rsid w:val="005D155E"/>
    <w:rsid w:val="005D33B7"/>
    <w:rsid w:val="005D652A"/>
    <w:rsid w:val="005E09F2"/>
    <w:rsid w:val="005E37E5"/>
    <w:rsid w:val="005E6D25"/>
    <w:rsid w:val="005F0C25"/>
    <w:rsid w:val="005F199C"/>
    <w:rsid w:val="005F208F"/>
    <w:rsid w:val="005F4FC8"/>
    <w:rsid w:val="005F5D22"/>
    <w:rsid w:val="005F64EC"/>
    <w:rsid w:val="00604F07"/>
    <w:rsid w:val="00605F2F"/>
    <w:rsid w:val="00606666"/>
    <w:rsid w:val="00606C9A"/>
    <w:rsid w:val="006073C5"/>
    <w:rsid w:val="00607488"/>
    <w:rsid w:val="00611D95"/>
    <w:rsid w:val="00612461"/>
    <w:rsid w:val="00612B09"/>
    <w:rsid w:val="00613F7F"/>
    <w:rsid w:val="006173F5"/>
    <w:rsid w:val="00617497"/>
    <w:rsid w:val="00617E26"/>
    <w:rsid w:val="006211A0"/>
    <w:rsid w:val="0062191C"/>
    <w:rsid w:val="00621E03"/>
    <w:rsid w:val="00623218"/>
    <w:rsid w:val="006232A9"/>
    <w:rsid w:val="00625851"/>
    <w:rsid w:val="00630109"/>
    <w:rsid w:val="0063062C"/>
    <w:rsid w:val="00633B76"/>
    <w:rsid w:val="006340DC"/>
    <w:rsid w:val="00634E04"/>
    <w:rsid w:val="00635399"/>
    <w:rsid w:val="006353FE"/>
    <w:rsid w:val="00636420"/>
    <w:rsid w:val="00636F1B"/>
    <w:rsid w:val="0063701B"/>
    <w:rsid w:val="00642B53"/>
    <w:rsid w:val="006451EA"/>
    <w:rsid w:val="006455D7"/>
    <w:rsid w:val="00646B72"/>
    <w:rsid w:val="00651560"/>
    <w:rsid w:val="00652429"/>
    <w:rsid w:val="0065321F"/>
    <w:rsid w:val="0065457B"/>
    <w:rsid w:val="006551FB"/>
    <w:rsid w:val="00655780"/>
    <w:rsid w:val="00656F57"/>
    <w:rsid w:val="006571BF"/>
    <w:rsid w:val="00657FBA"/>
    <w:rsid w:val="006613EB"/>
    <w:rsid w:val="00661FD0"/>
    <w:rsid w:val="00663042"/>
    <w:rsid w:val="006635DE"/>
    <w:rsid w:val="006638FB"/>
    <w:rsid w:val="0066394C"/>
    <w:rsid w:val="00665B12"/>
    <w:rsid w:val="00667131"/>
    <w:rsid w:val="00667C62"/>
    <w:rsid w:val="00667D63"/>
    <w:rsid w:val="00670569"/>
    <w:rsid w:val="00670B16"/>
    <w:rsid w:val="00670E61"/>
    <w:rsid w:val="00681447"/>
    <w:rsid w:val="0068162E"/>
    <w:rsid w:val="0068279C"/>
    <w:rsid w:val="00682935"/>
    <w:rsid w:val="00683D05"/>
    <w:rsid w:val="006843C0"/>
    <w:rsid w:val="00685E5F"/>
    <w:rsid w:val="00686BBB"/>
    <w:rsid w:val="006912AB"/>
    <w:rsid w:val="006913E4"/>
    <w:rsid w:val="006922D7"/>
    <w:rsid w:val="00692BA4"/>
    <w:rsid w:val="00692F35"/>
    <w:rsid w:val="00693BEE"/>
    <w:rsid w:val="00693EE9"/>
    <w:rsid w:val="0069469B"/>
    <w:rsid w:val="006950EE"/>
    <w:rsid w:val="0069544A"/>
    <w:rsid w:val="006971F3"/>
    <w:rsid w:val="00697616"/>
    <w:rsid w:val="006A0DEE"/>
    <w:rsid w:val="006A1B85"/>
    <w:rsid w:val="006A2BFF"/>
    <w:rsid w:val="006A3692"/>
    <w:rsid w:val="006A4BB5"/>
    <w:rsid w:val="006A4EB6"/>
    <w:rsid w:val="006A515F"/>
    <w:rsid w:val="006A5F33"/>
    <w:rsid w:val="006A7DFF"/>
    <w:rsid w:val="006B18DD"/>
    <w:rsid w:val="006B7F8B"/>
    <w:rsid w:val="006C41C0"/>
    <w:rsid w:val="006C465E"/>
    <w:rsid w:val="006C4894"/>
    <w:rsid w:val="006C6477"/>
    <w:rsid w:val="006C7C5F"/>
    <w:rsid w:val="006D0126"/>
    <w:rsid w:val="006D0857"/>
    <w:rsid w:val="006D1AA9"/>
    <w:rsid w:val="006D2829"/>
    <w:rsid w:val="006D4B9F"/>
    <w:rsid w:val="006D5625"/>
    <w:rsid w:val="006D6E6D"/>
    <w:rsid w:val="006D7CB0"/>
    <w:rsid w:val="006E242A"/>
    <w:rsid w:val="006E4720"/>
    <w:rsid w:val="006E519E"/>
    <w:rsid w:val="006E5657"/>
    <w:rsid w:val="006E6B21"/>
    <w:rsid w:val="006E7389"/>
    <w:rsid w:val="006F16F7"/>
    <w:rsid w:val="006F24B9"/>
    <w:rsid w:val="006F4388"/>
    <w:rsid w:val="006F5D18"/>
    <w:rsid w:val="006F6BE1"/>
    <w:rsid w:val="00700CCA"/>
    <w:rsid w:val="00700E54"/>
    <w:rsid w:val="00702E5B"/>
    <w:rsid w:val="00705FF4"/>
    <w:rsid w:val="00706C1B"/>
    <w:rsid w:val="00706F3E"/>
    <w:rsid w:val="007070FB"/>
    <w:rsid w:val="007102A9"/>
    <w:rsid w:val="00711578"/>
    <w:rsid w:val="00711A35"/>
    <w:rsid w:val="00712A9D"/>
    <w:rsid w:val="00713171"/>
    <w:rsid w:val="00714BE3"/>
    <w:rsid w:val="00715585"/>
    <w:rsid w:val="00715877"/>
    <w:rsid w:val="00716D56"/>
    <w:rsid w:val="00717A3A"/>
    <w:rsid w:val="00717D74"/>
    <w:rsid w:val="00720DFC"/>
    <w:rsid w:val="00720FE6"/>
    <w:rsid w:val="00721FF0"/>
    <w:rsid w:val="0072623C"/>
    <w:rsid w:val="0072664E"/>
    <w:rsid w:val="00733BAB"/>
    <w:rsid w:val="00734B61"/>
    <w:rsid w:val="007435BF"/>
    <w:rsid w:val="00753D32"/>
    <w:rsid w:val="00756D80"/>
    <w:rsid w:val="00757720"/>
    <w:rsid w:val="007610A9"/>
    <w:rsid w:val="007640C6"/>
    <w:rsid w:val="0076468A"/>
    <w:rsid w:val="0076533E"/>
    <w:rsid w:val="00767435"/>
    <w:rsid w:val="0077178E"/>
    <w:rsid w:val="00771BE3"/>
    <w:rsid w:val="00772705"/>
    <w:rsid w:val="00772765"/>
    <w:rsid w:val="00773044"/>
    <w:rsid w:val="007739E3"/>
    <w:rsid w:val="00774372"/>
    <w:rsid w:val="00774728"/>
    <w:rsid w:val="00777796"/>
    <w:rsid w:val="0077798F"/>
    <w:rsid w:val="0078271A"/>
    <w:rsid w:val="00783406"/>
    <w:rsid w:val="00784AA9"/>
    <w:rsid w:val="007851A6"/>
    <w:rsid w:val="00785B16"/>
    <w:rsid w:val="007873B0"/>
    <w:rsid w:val="00787F61"/>
    <w:rsid w:val="00792385"/>
    <w:rsid w:val="00793BF6"/>
    <w:rsid w:val="007952AB"/>
    <w:rsid w:val="00795306"/>
    <w:rsid w:val="00795876"/>
    <w:rsid w:val="00797EE8"/>
    <w:rsid w:val="007A24B8"/>
    <w:rsid w:val="007A34A0"/>
    <w:rsid w:val="007A4B8C"/>
    <w:rsid w:val="007B0091"/>
    <w:rsid w:val="007B0164"/>
    <w:rsid w:val="007B02C0"/>
    <w:rsid w:val="007B0BFF"/>
    <w:rsid w:val="007B60C4"/>
    <w:rsid w:val="007B722F"/>
    <w:rsid w:val="007B74B6"/>
    <w:rsid w:val="007C0719"/>
    <w:rsid w:val="007C0BF5"/>
    <w:rsid w:val="007C1953"/>
    <w:rsid w:val="007C28BD"/>
    <w:rsid w:val="007C39B9"/>
    <w:rsid w:val="007C57C9"/>
    <w:rsid w:val="007C5AD2"/>
    <w:rsid w:val="007D07F3"/>
    <w:rsid w:val="007D3126"/>
    <w:rsid w:val="007D540C"/>
    <w:rsid w:val="007D603D"/>
    <w:rsid w:val="007D65BE"/>
    <w:rsid w:val="007D6765"/>
    <w:rsid w:val="007D71E0"/>
    <w:rsid w:val="007E0565"/>
    <w:rsid w:val="007E0739"/>
    <w:rsid w:val="007E0867"/>
    <w:rsid w:val="007E73DA"/>
    <w:rsid w:val="007E7C6B"/>
    <w:rsid w:val="007F3590"/>
    <w:rsid w:val="007F3593"/>
    <w:rsid w:val="007F3A85"/>
    <w:rsid w:val="007F5C1A"/>
    <w:rsid w:val="007F5ED9"/>
    <w:rsid w:val="007F7A49"/>
    <w:rsid w:val="008033F0"/>
    <w:rsid w:val="00803D5D"/>
    <w:rsid w:val="00807164"/>
    <w:rsid w:val="008125F4"/>
    <w:rsid w:val="00813FC7"/>
    <w:rsid w:val="0081634C"/>
    <w:rsid w:val="0082347E"/>
    <w:rsid w:val="00823AF6"/>
    <w:rsid w:val="0082566C"/>
    <w:rsid w:val="00831867"/>
    <w:rsid w:val="00831C98"/>
    <w:rsid w:val="00833166"/>
    <w:rsid w:val="00834AE3"/>
    <w:rsid w:val="008379C6"/>
    <w:rsid w:val="00837A24"/>
    <w:rsid w:val="0084022C"/>
    <w:rsid w:val="00844730"/>
    <w:rsid w:val="00846243"/>
    <w:rsid w:val="008464B4"/>
    <w:rsid w:val="00852E7F"/>
    <w:rsid w:val="00854799"/>
    <w:rsid w:val="00857AF9"/>
    <w:rsid w:val="00860A64"/>
    <w:rsid w:val="00861F1C"/>
    <w:rsid w:val="00862BA4"/>
    <w:rsid w:val="00863E2C"/>
    <w:rsid w:val="00864A51"/>
    <w:rsid w:val="00865DF1"/>
    <w:rsid w:val="00867166"/>
    <w:rsid w:val="008677E9"/>
    <w:rsid w:val="008678B9"/>
    <w:rsid w:val="008709E1"/>
    <w:rsid w:val="00871BED"/>
    <w:rsid w:val="00872C71"/>
    <w:rsid w:val="008738E4"/>
    <w:rsid w:val="00873AC1"/>
    <w:rsid w:val="00875670"/>
    <w:rsid w:val="00886F15"/>
    <w:rsid w:val="0089166F"/>
    <w:rsid w:val="00892888"/>
    <w:rsid w:val="008929DF"/>
    <w:rsid w:val="00893E4F"/>
    <w:rsid w:val="00896017"/>
    <w:rsid w:val="00897FE3"/>
    <w:rsid w:val="008A0D57"/>
    <w:rsid w:val="008A123F"/>
    <w:rsid w:val="008A1D83"/>
    <w:rsid w:val="008A304F"/>
    <w:rsid w:val="008A37C1"/>
    <w:rsid w:val="008A40BD"/>
    <w:rsid w:val="008A7970"/>
    <w:rsid w:val="008B1584"/>
    <w:rsid w:val="008B566D"/>
    <w:rsid w:val="008C3672"/>
    <w:rsid w:val="008C3919"/>
    <w:rsid w:val="008C4ECF"/>
    <w:rsid w:val="008D12B7"/>
    <w:rsid w:val="008D4381"/>
    <w:rsid w:val="008D54DB"/>
    <w:rsid w:val="008D5C5F"/>
    <w:rsid w:val="008E6EE1"/>
    <w:rsid w:val="008E768F"/>
    <w:rsid w:val="008F0342"/>
    <w:rsid w:val="008F07C5"/>
    <w:rsid w:val="008F3CE6"/>
    <w:rsid w:val="008F5530"/>
    <w:rsid w:val="008F67B3"/>
    <w:rsid w:val="008F68F2"/>
    <w:rsid w:val="008F751C"/>
    <w:rsid w:val="008F7F36"/>
    <w:rsid w:val="0090027D"/>
    <w:rsid w:val="00900DD3"/>
    <w:rsid w:val="0090329C"/>
    <w:rsid w:val="009037F7"/>
    <w:rsid w:val="0090553D"/>
    <w:rsid w:val="00915C0B"/>
    <w:rsid w:val="00915CF9"/>
    <w:rsid w:val="009172DE"/>
    <w:rsid w:val="00917C8E"/>
    <w:rsid w:val="0092026F"/>
    <w:rsid w:val="00921859"/>
    <w:rsid w:val="00922274"/>
    <w:rsid w:val="00924CEF"/>
    <w:rsid w:val="0092541A"/>
    <w:rsid w:val="00926BAD"/>
    <w:rsid w:val="009276D2"/>
    <w:rsid w:val="00927EE1"/>
    <w:rsid w:val="0093135D"/>
    <w:rsid w:val="00934029"/>
    <w:rsid w:val="00934EEA"/>
    <w:rsid w:val="009355FB"/>
    <w:rsid w:val="009356E0"/>
    <w:rsid w:val="00942ED6"/>
    <w:rsid w:val="009447B8"/>
    <w:rsid w:val="0094532C"/>
    <w:rsid w:val="009469A8"/>
    <w:rsid w:val="00946F42"/>
    <w:rsid w:val="00950F9E"/>
    <w:rsid w:val="00952EDD"/>
    <w:rsid w:val="00954586"/>
    <w:rsid w:val="009563A2"/>
    <w:rsid w:val="00961664"/>
    <w:rsid w:val="00961BAF"/>
    <w:rsid w:val="00967BAD"/>
    <w:rsid w:val="00974F86"/>
    <w:rsid w:val="00977327"/>
    <w:rsid w:val="00981C9A"/>
    <w:rsid w:val="00982DC7"/>
    <w:rsid w:val="00983320"/>
    <w:rsid w:val="00985653"/>
    <w:rsid w:val="00987177"/>
    <w:rsid w:val="00987597"/>
    <w:rsid w:val="00987C86"/>
    <w:rsid w:val="009918FD"/>
    <w:rsid w:val="00991D17"/>
    <w:rsid w:val="00992EED"/>
    <w:rsid w:val="00997500"/>
    <w:rsid w:val="009978C0"/>
    <w:rsid w:val="00997B96"/>
    <w:rsid w:val="009A05D2"/>
    <w:rsid w:val="009A1132"/>
    <w:rsid w:val="009A3C70"/>
    <w:rsid w:val="009A406F"/>
    <w:rsid w:val="009A5BFD"/>
    <w:rsid w:val="009A5CA7"/>
    <w:rsid w:val="009A61A5"/>
    <w:rsid w:val="009B00D6"/>
    <w:rsid w:val="009B06B5"/>
    <w:rsid w:val="009B1EFF"/>
    <w:rsid w:val="009B31B1"/>
    <w:rsid w:val="009B4963"/>
    <w:rsid w:val="009B512C"/>
    <w:rsid w:val="009B56C3"/>
    <w:rsid w:val="009B79F1"/>
    <w:rsid w:val="009C09D1"/>
    <w:rsid w:val="009C2C52"/>
    <w:rsid w:val="009C31C8"/>
    <w:rsid w:val="009C459C"/>
    <w:rsid w:val="009C5B6C"/>
    <w:rsid w:val="009C691F"/>
    <w:rsid w:val="009C748C"/>
    <w:rsid w:val="009D0393"/>
    <w:rsid w:val="009D28A7"/>
    <w:rsid w:val="009D4071"/>
    <w:rsid w:val="009D7A69"/>
    <w:rsid w:val="009E014D"/>
    <w:rsid w:val="009E0F74"/>
    <w:rsid w:val="009E59C8"/>
    <w:rsid w:val="009E6A46"/>
    <w:rsid w:val="009F1776"/>
    <w:rsid w:val="009F2345"/>
    <w:rsid w:val="009F3E64"/>
    <w:rsid w:val="009F64D8"/>
    <w:rsid w:val="00A0090E"/>
    <w:rsid w:val="00A02B44"/>
    <w:rsid w:val="00A03DBC"/>
    <w:rsid w:val="00A058EC"/>
    <w:rsid w:val="00A05CC6"/>
    <w:rsid w:val="00A062E2"/>
    <w:rsid w:val="00A10BD5"/>
    <w:rsid w:val="00A127DD"/>
    <w:rsid w:val="00A12CF5"/>
    <w:rsid w:val="00A15D57"/>
    <w:rsid w:val="00A167D4"/>
    <w:rsid w:val="00A219EB"/>
    <w:rsid w:val="00A24693"/>
    <w:rsid w:val="00A25ADE"/>
    <w:rsid w:val="00A26053"/>
    <w:rsid w:val="00A30EAD"/>
    <w:rsid w:val="00A3172D"/>
    <w:rsid w:val="00A35FC9"/>
    <w:rsid w:val="00A363AB"/>
    <w:rsid w:val="00A37900"/>
    <w:rsid w:val="00A37F4C"/>
    <w:rsid w:val="00A4220A"/>
    <w:rsid w:val="00A43300"/>
    <w:rsid w:val="00A4394A"/>
    <w:rsid w:val="00A43A2D"/>
    <w:rsid w:val="00A469C0"/>
    <w:rsid w:val="00A47BAA"/>
    <w:rsid w:val="00A51EA7"/>
    <w:rsid w:val="00A54C9D"/>
    <w:rsid w:val="00A55273"/>
    <w:rsid w:val="00A609BA"/>
    <w:rsid w:val="00A61122"/>
    <w:rsid w:val="00A63B37"/>
    <w:rsid w:val="00A640E8"/>
    <w:rsid w:val="00A657C0"/>
    <w:rsid w:val="00A67B05"/>
    <w:rsid w:val="00A67E1E"/>
    <w:rsid w:val="00A70C9C"/>
    <w:rsid w:val="00A71699"/>
    <w:rsid w:val="00A7224B"/>
    <w:rsid w:val="00A7551D"/>
    <w:rsid w:val="00A76EA2"/>
    <w:rsid w:val="00A8196C"/>
    <w:rsid w:val="00A8230A"/>
    <w:rsid w:val="00A844DC"/>
    <w:rsid w:val="00A85910"/>
    <w:rsid w:val="00A870B2"/>
    <w:rsid w:val="00A877A4"/>
    <w:rsid w:val="00A90C15"/>
    <w:rsid w:val="00A913A2"/>
    <w:rsid w:val="00A9248E"/>
    <w:rsid w:val="00A949EF"/>
    <w:rsid w:val="00A94BAD"/>
    <w:rsid w:val="00A95353"/>
    <w:rsid w:val="00A95CEF"/>
    <w:rsid w:val="00A965A2"/>
    <w:rsid w:val="00AA0079"/>
    <w:rsid w:val="00AA1F4C"/>
    <w:rsid w:val="00AA4E61"/>
    <w:rsid w:val="00AA5638"/>
    <w:rsid w:val="00AA5CA5"/>
    <w:rsid w:val="00AA68ED"/>
    <w:rsid w:val="00AA6F64"/>
    <w:rsid w:val="00AB1791"/>
    <w:rsid w:val="00AB358A"/>
    <w:rsid w:val="00AB4338"/>
    <w:rsid w:val="00AB4EFA"/>
    <w:rsid w:val="00AB56D8"/>
    <w:rsid w:val="00AB71F6"/>
    <w:rsid w:val="00AB737B"/>
    <w:rsid w:val="00AB749C"/>
    <w:rsid w:val="00AC1AD1"/>
    <w:rsid w:val="00AC2BAE"/>
    <w:rsid w:val="00AC4652"/>
    <w:rsid w:val="00AC4D87"/>
    <w:rsid w:val="00AD19C9"/>
    <w:rsid w:val="00AD24A9"/>
    <w:rsid w:val="00AD65F4"/>
    <w:rsid w:val="00AE0119"/>
    <w:rsid w:val="00AE2F13"/>
    <w:rsid w:val="00AE53B6"/>
    <w:rsid w:val="00AE7325"/>
    <w:rsid w:val="00AF0364"/>
    <w:rsid w:val="00AF084A"/>
    <w:rsid w:val="00AF0976"/>
    <w:rsid w:val="00AF1E3D"/>
    <w:rsid w:val="00AF2080"/>
    <w:rsid w:val="00AF24EF"/>
    <w:rsid w:val="00AF283F"/>
    <w:rsid w:val="00AF6A40"/>
    <w:rsid w:val="00B003F9"/>
    <w:rsid w:val="00B010C5"/>
    <w:rsid w:val="00B011CE"/>
    <w:rsid w:val="00B017CE"/>
    <w:rsid w:val="00B0763A"/>
    <w:rsid w:val="00B1002E"/>
    <w:rsid w:val="00B1025C"/>
    <w:rsid w:val="00B13B7F"/>
    <w:rsid w:val="00B17A44"/>
    <w:rsid w:val="00B17E64"/>
    <w:rsid w:val="00B2084D"/>
    <w:rsid w:val="00B225AE"/>
    <w:rsid w:val="00B24B31"/>
    <w:rsid w:val="00B30468"/>
    <w:rsid w:val="00B320FF"/>
    <w:rsid w:val="00B3497D"/>
    <w:rsid w:val="00B372B7"/>
    <w:rsid w:val="00B37DC9"/>
    <w:rsid w:val="00B4018B"/>
    <w:rsid w:val="00B409E7"/>
    <w:rsid w:val="00B40EFB"/>
    <w:rsid w:val="00B458ED"/>
    <w:rsid w:val="00B45A52"/>
    <w:rsid w:val="00B45DB0"/>
    <w:rsid w:val="00B51C0F"/>
    <w:rsid w:val="00B5219E"/>
    <w:rsid w:val="00B52E44"/>
    <w:rsid w:val="00B52E8D"/>
    <w:rsid w:val="00B57AA6"/>
    <w:rsid w:val="00B57B1A"/>
    <w:rsid w:val="00B57CEE"/>
    <w:rsid w:val="00B60611"/>
    <w:rsid w:val="00B60B83"/>
    <w:rsid w:val="00B60FB8"/>
    <w:rsid w:val="00B674A2"/>
    <w:rsid w:val="00B7107E"/>
    <w:rsid w:val="00B72EB5"/>
    <w:rsid w:val="00B73BF8"/>
    <w:rsid w:val="00B74975"/>
    <w:rsid w:val="00B76A11"/>
    <w:rsid w:val="00B77038"/>
    <w:rsid w:val="00B80DEE"/>
    <w:rsid w:val="00B83292"/>
    <w:rsid w:val="00B85907"/>
    <w:rsid w:val="00B91548"/>
    <w:rsid w:val="00B91A20"/>
    <w:rsid w:val="00B9507F"/>
    <w:rsid w:val="00BA1513"/>
    <w:rsid w:val="00BA45E7"/>
    <w:rsid w:val="00BA4F51"/>
    <w:rsid w:val="00BA547B"/>
    <w:rsid w:val="00BA621C"/>
    <w:rsid w:val="00BA75D6"/>
    <w:rsid w:val="00BB0065"/>
    <w:rsid w:val="00BB01CD"/>
    <w:rsid w:val="00BB0793"/>
    <w:rsid w:val="00BB0F00"/>
    <w:rsid w:val="00BB1401"/>
    <w:rsid w:val="00BB41BF"/>
    <w:rsid w:val="00BB6744"/>
    <w:rsid w:val="00BB6BF0"/>
    <w:rsid w:val="00BB6C99"/>
    <w:rsid w:val="00BC1E89"/>
    <w:rsid w:val="00BC2885"/>
    <w:rsid w:val="00BC374F"/>
    <w:rsid w:val="00BC4156"/>
    <w:rsid w:val="00BC53DC"/>
    <w:rsid w:val="00BC54A3"/>
    <w:rsid w:val="00BC64DA"/>
    <w:rsid w:val="00BC7589"/>
    <w:rsid w:val="00BD0172"/>
    <w:rsid w:val="00BD10E6"/>
    <w:rsid w:val="00BD3528"/>
    <w:rsid w:val="00BD36E7"/>
    <w:rsid w:val="00BD3A97"/>
    <w:rsid w:val="00BD68FD"/>
    <w:rsid w:val="00BE033D"/>
    <w:rsid w:val="00BE1B5B"/>
    <w:rsid w:val="00BE3464"/>
    <w:rsid w:val="00BE3D09"/>
    <w:rsid w:val="00BE3D8A"/>
    <w:rsid w:val="00BE48C5"/>
    <w:rsid w:val="00BF03D7"/>
    <w:rsid w:val="00BF1B57"/>
    <w:rsid w:val="00BF2242"/>
    <w:rsid w:val="00BF24F6"/>
    <w:rsid w:val="00BF45C7"/>
    <w:rsid w:val="00BF4963"/>
    <w:rsid w:val="00BF5398"/>
    <w:rsid w:val="00BF6AF1"/>
    <w:rsid w:val="00C03B4C"/>
    <w:rsid w:val="00C054E6"/>
    <w:rsid w:val="00C0588D"/>
    <w:rsid w:val="00C07152"/>
    <w:rsid w:val="00C10587"/>
    <w:rsid w:val="00C114F2"/>
    <w:rsid w:val="00C11650"/>
    <w:rsid w:val="00C118BC"/>
    <w:rsid w:val="00C11EB3"/>
    <w:rsid w:val="00C2149B"/>
    <w:rsid w:val="00C21ABF"/>
    <w:rsid w:val="00C252DF"/>
    <w:rsid w:val="00C255C5"/>
    <w:rsid w:val="00C2665B"/>
    <w:rsid w:val="00C30EB3"/>
    <w:rsid w:val="00C31FBC"/>
    <w:rsid w:val="00C373E1"/>
    <w:rsid w:val="00C41300"/>
    <w:rsid w:val="00C41475"/>
    <w:rsid w:val="00C421C1"/>
    <w:rsid w:val="00C42917"/>
    <w:rsid w:val="00C5046D"/>
    <w:rsid w:val="00C52B76"/>
    <w:rsid w:val="00C55C1E"/>
    <w:rsid w:val="00C5685E"/>
    <w:rsid w:val="00C56E4F"/>
    <w:rsid w:val="00C576B9"/>
    <w:rsid w:val="00C604B8"/>
    <w:rsid w:val="00C639B2"/>
    <w:rsid w:val="00C63AEF"/>
    <w:rsid w:val="00C662F8"/>
    <w:rsid w:val="00C66764"/>
    <w:rsid w:val="00C66C37"/>
    <w:rsid w:val="00C67305"/>
    <w:rsid w:val="00C7265C"/>
    <w:rsid w:val="00C73DDC"/>
    <w:rsid w:val="00C749D6"/>
    <w:rsid w:val="00C74BB7"/>
    <w:rsid w:val="00C7688F"/>
    <w:rsid w:val="00C80FF1"/>
    <w:rsid w:val="00C828AD"/>
    <w:rsid w:val="00C85591"/>
    <w:rsid w:val="00C91E64"/>
    <w:rsid w:val="00C949E3"/>
    <w:rsid w:val="00C96B26"/>
    <w:rsid w:val="00CA4429"/>
    <w:rsid w:val="00CA46BD"/>
    <w:rsid w:val="00CA5E03"/>
    <w:rsid w:val="00CB149D"/>
    <w:rsid w:val="00CB31B6"/>
    <w:rsid w:val="00CB3971"/>
    <w:rsid w:val="00CB4974"/>
    <w:rsid w:val="00CB5069"/>
    <w:rsid w:val="00CB51E3"/>
    <w:rsid w:val="00CB6242"/>
    <w:rsid w:val="00CB74FC"/>
    <w:rsid w:val="00CC26F0"/>
    <w:rsid w:val="00CC2C31"/>
    <w:rsid w:val="00CC3AE7"/>
    <w:rsid w:val="00CC3BB5"/>
    <w:rsid w:val="00CC4187"/>
    <w:rsid w:val="00CC4704"/>
    <w:rsid w:val="00CC78FF"/>
    <w:rsid w:val="00CD330D"/>
    <w:rsid w:val="00CD4FFE"/>
    <w:rsid w:val="00CD70E3"/>
    <w:rsid w:val="00CD7F42"/>
    <w:rsid w:val="00CE072A"/>
    <w:rsid w:val="00CE07DE"/>
    <w:rsid w:val="00CE1169"/>
    <w:rsid w:val="00CE4FEA"/>
    <w:rsid w:val="00CE7E73"/>
    <w:rsid w:val="00CE7FB5"/>
    <w:rsid w:val="00CF0C4A"/>
    <w:rsid w:val="00CF260B"/>
    <w:rsid w:val="00CF36FE"/>
    <w:rsid w:val="00CF3969"/>
    <w:rsid w:val="00CF7F6D"/>
    <w:rsid w:val="00D02C82"/>
    <w:rsid w:val="00D07876"/>
    <w:rsid w:val="00D132E4"/>
    <w:rsid w:val="00D1736D"/>
    <w:rsid w:val="00D201AE"/>
    <w:rsid w:val="00D21B13"/>
    <w:rsid w:val="00D2274D"/>
    <w:rsid w:val="00D22A6D"/>
    <w:rsid w:val="00D2710B"/>
    <w:rsid w:val="00D30950"/>
    <w:rsid w:val="00D31CE6"/>
    <w:rsid w:val="00D361B4"/>
    <w:rsid w:val="00D37C5D"/>
    <w:rsid w:val="00D41687"/>
    <w:rsid w:val="00D442CC"/>
    <w:rsid w:val="00D444B7"/>
    <w:rsid w:val="00D46427"/>
    <w:rsid w:val="00D466C5"/>
    <w:rsid w:val="00D47BF4"/>
    <w:rsid w:val="00D51636"/>
    <w:rsid w:val="00D52BD7"/>
    <w:rsid w:val="00D540A1"/>
    <w:rsid w:val="00D544D2"/>
    <w:rsid w:val="00D56644"/>
    <w:rsid w:val="00D56A36"/>
    <w:rsid w:val="00D57C28"/>
    <w:rsid w:val="00D61146"/>
    <w:rsid w:val="00D63ADE"/>
    <w:rsid w:val="00D643DE"/>
    <w:rsid w:val="00D65A10"/>
    <w:rsid w:val="00D6723E"/>
    <w:rsid w:val="00D7088C"/>
    <w:rsid w:val="00D71432"/>
    <w:rsid w:val="00D7233E"/>
    <w:rsid w:val="00D72ADA"/>
    <w:rsid w:val="00D7318D"/>
    <w:rsid w:val="00D7515F"/>
    <w:rsid w:val="00D75E02"/>
    <w:rsid w:val="00D76EE9"/>
    <w:rsid w:val="00D77169"/>
    <w:rsid w:val="00D82336"/>
    <w:rsid w:val="00D82547"/>
    <w:rsid w:val="00D82E0B"/>
    <w:rsid w:val="00D83C3D"/>
    <w:rsid w:val="00D85C19"/>
    <w:rsid w:val="00D85E38"/>
    <w:rsid w:val="00D87948"/>
    <w:rsid w:val="00D912EF"/>
    <w:rsid w:val="00D96020"/>
    <w:rsid w:val="00D976DF"/>
    <w:rsid w:val="00DA4E53"/>
    <w:rsid w:val="00DA533D"/>
    <w:rsid w:val="00DA5511"/>
    <w:rsid w:val="00DA5BB3"/>
    <w:rsid w:val="00DA78F3"/>
    <w:rsid w:val="00DA7FDB"/>
    <w:rsid w:val="00DB1EC3"/>
    <w:rsid w:val="00DB21B1"/>
    <w:rsid w:val="00DB317C"/>
    <w:rsid w:val="00DB4D07"/>
    <w:rsid w:val="00DB643E"/>
    <w:rsid w:val="00DB6D99"/>
    <w:rsid w:val="00DC0D53"/>
    <w:rsid w:val="00DC2E94"/>
    <w:rsid w:val="00DC36EF"/>
    <w:rsid w:val="00DC5541"/>
    <w:rsid w:val="00DC5715"/>
    <w:rsid w:val="00DC5E26"/>
    <w:rsid w:val="00DC73FC"/>
    <w:rsid w:val="00DD1F35"/>
    <w:rsid w:val="00DD362A"/>
    <w:rsid w:val="00DD39AC"/>
    <w:rsid w:val="00DD4027"/>
    <w:rsid w:val="00DD5D23"/>
    <w:rsid w:val="00DD618C"/>
    <w:rsid w:val="00DD6572"/>
    <w:rsid w:val="00DD7FBC"/>
    <w:rsid w:val="00DE14F3"/>
    <w:rsid w:val="00DE7796"/>
    <w:rsid w:val="00DF52EB"/>
    <w:rsid w:val="00DF5F81"/>
    <w:rsid w:val="00E0048F"/>
    <w:rsid w:val="00E10641"/>
    <w:rsid w:val="00E13530"/>
    <w:rsid w:val="00E17013"/>
    <w:rsid w:val="00E216BB"/>
    <w:rsid w:val="00E2365E"/>
    <w:rsid w:val="00E24BF0"/>
    <w:rsid w:val="00E31EF1"/>
    <w:rsid w:val="00E32705"/>
    <w:rsid w:val="00E32DB8"/>
    <w:rsid w:val="00E33213"/>
    <w:rsid w:val="00E3574C"/>
    <w:rsid w:val="00E3727D"/>
    <w:rsid w:val="00E40007"/>
    <w:rsid w:val="00E429E5"/>
    <w:rsid w:val="00E45D1E"/>
    <w:rsid w:val="00E468FA"/>
    <w:rsid w:val="00E47B49"/>
    <w:rsid w:val="00E520B8"/>
    <w:rsid w:val="00E53426"/>
    <w:rsid w:val="00E53924"/>
    <w:rsid w:val="00E53ED2"/>
    <w:rsid w:val="00E561D5"/>
    <w:rsid w:val="00E608ED"/>
    <w:rsid w:val="00E612DD"/>
    <w:rsid w:val="00E643C1"/>
    <w:rsid w:val="00E7011D"/>
    <w:rsid w:val="00E74001"/>
    <w:rsid w:val="00E74FA6"/>
    <w:rsid w:val="00E754A8"/>
    <w:rsid w:val="00E8415F"/>
    <w:rsid w:val="00E846A0"/>
    <w:rsid w:val="00E84DB9"/>
    <w:rsid w:val="00E8527E"/>
    <w:rsid w:val="00E86297"/>
    <w:rsid w:val="00E863F0"/>
    <w:rsid w:val="00E86C96"/>
    <w:rsid w:val="00E91051"/>
    <w:rsid w:val="00E92FA5"/>
    <w:rsid w:val="00E93FB0"/>
    <w:rsid w:val="00E951D8"/>
    <w:rsid w:val="00E955DB"/>
    <w:rsid w:val="00E9671B"/>
    <w:rsid w:val="00E96DC2"/>
    <w:rsid w:val="00EA141C"/>
    <w:rsid w:val="00EA23AD"/>
    <w:rsid w:val="00EA2BD8"/>
    <w:rsid w:val="00EA4E9B"/>
    <w:rsid w:val="00EA4F2B"/>
    <w:rsid w:val="00EA7B9E"/>
    <w:rsid w:val="00EB6F7B"/>
    <w:rsid w:val="00EB770E"/>
    <w:rsid w:val="00EC1B40"/>
    <w:rsid w:val="00EC5081"/>
    <w:rsid w:val="00EC6D29"/>
    <w:rsid w:val="00ED0F2A"/>
    <w:rsid w:val="00ED2A13"/>
    <w:rsid w:val="00ED3AC6"/>
    <w:rsid w:val="00ED5C5D"/>
    <w:rsid w:val="00EE28C9"/>
    <w:rsid w:val="00EE32E4"/>
    <w:rsid w:val="00EE4997"/>
    <w:rsid w:val="00EE4DF9"/>
    <w:rsid w:val="00EF47AD"/>
    <w:rsid w:val="00EF5FB1"/>
    <w:rsid w:val="00EF64EA"/>
    <w:rsid w:val="00EF669B"/>
    <w:rsid w:val="00F00303"/>
    <w:rsid w:val="00F03ECD"/>
    <w:rsid w:val="00F04679"/>
    <w:rsid w:val="00F05A5C"/>
    <w:rsid w:val="00F07861"/>
    <w:rsid w:val="00F1322A"/>
    <w:rsid w:val="00F149F7"/>
    <w:rsid w:val="00F16C0E"/>
    <w:rsid w:val="00F171ED"/>
    <w:rsid w:val="00F217F8"/>
    <w:rsid w:val="00F2321F"/>
    <w:rsid w:val="00F26015"/>
    <w:rsid w:val="00F2638F"/>
    <w:rsid w:val="00F27164"/>
    <w:rsid w:val="00F33675"/>
    <w:rsid w:val="00F370C5"/>
    <w:rsid w:val="00F37CB0"/>
    <w:rsid w:val="00F37D3D"/>
    <w:rsid w:val="00F4019E"/>
    <w:rsid w:val="00F440A5"/>
    <w:rsid w:val="00F441F7"/>
    <w:rsid w:val="00F47F2C"/>
    <w:rsid w:val="00F51A3A"/>
    <w:rsid w:val="00F51C2E"/>
    <w:rsid w:val="00F5212E"/>
    <w:rsid w:val="00F56C10"/>
    <w:rsid w:val="00F57F01"/>
    <w:rsid w:val="00F62F1B"/>
    <w:rsid w:val="00F62F8F"/>
    <w:rsid w:val="00F656E1"/>
    <w:rsid w:val="00F70A2F"/>
    <w:rsid w:val="00F71F16"/>
    <w:rsid w:val="00F72132"/>
    <w:rsid w:val="00F73F51"/>
    <w:rsid w:val="00F743FC"/>
    <w:rsid w:val="00F83EE0"/>
    <w:rsid w:val="00F8479B"/>
    <w:rsid w:val="00F879DE"/>
    <w:rsid w:val="00F913BA"/>
    <w:rsid w:val="00F91C95"/>
    <w:rsid w:val="00F93E41"/>
    <w:rsid w:val="00F942F1"/>
    <w:rsid w:val="00F97E69"/>
    <w:rsid w:val="00FA10B6"/>
    <w:rsid w:val="00FA3E3E"/>
    <w:rsid w:val="00FA5B67"/>
    <w:rsid w:val="00FA798E"/>
    <w:rsid w:val="00FB4015"/>
    <w:rsid w:val="00FB62B6"/>
    <w:rsid w:val="00FB647B"/>
    <w:rsid w:val="00FB6AAD"/>
    <w:rsid w:val="00FC35E6"/>
    <w:rsid w:val="00FC3DF3"/>
    <w:rsid w:val="00FC475D"/>
    <w:rsid w:val="00FC538E"/>
    <w:rsid w:val="00FC73F4"/>
    <w:rsid w:val="00FD0D9C"/>
    <w:rsid w:val="00FD2775"/>
    <w:rsid w:val="00FD3E32"/>
    <w:rsid w:val="00FD6067"/>
    <w:rsid w:val="00FD683A"/>
    <w:rsid w:val="00FE139C"/>
    <w:rsid w:val="00FE1D23"/>
    <w:rsid w:val="00FE41C8"/>
    <w:rsid w:val="00FE4621"/>
    <w:rsid w:val="00FE4A3C"/>
    <w:rsid w:val="00FE4BC0"/>
    <w:rsid w:val="00FE63DC"/>
    <w:rsid w:val="00FE7065"/>
    <w:rsid w:val="00FF3D2F"/>
    <w:rsid w:val="00FF42B3"/>
    <w:rsid w:val="00FF527D"/>
    <w:rsid w:val="00FF675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342"/>
    <w:rPr>
      <w:lang w:val="en-GB" w:eastAsia="en-GB"/>
    </w:rPr>
  </w:style>
  <w:style w:type="paragraph" w:styleId="Heading1">
    <w:name w:val="heading 1"/>
    <w:basedOn w:val="Normal"/>
    <w:next w:val="Normal"/>
    <w:link w:val="Heading1Char"/>
    <w:uiPriority w:val="9"/>
    <w:qFormat/>
    <w:rsid w:val="002A2342"/>
    <w:pPr>
      <w:keepNext/>
      <w:jc w:val="center"/>
      <w:outlineLvl w:val="0"/>
    </w:pPr>
    <w:rPr>
      <w:b/>
      <w:sz w:val="22"/>
      <w:szCs w:val="22"/>
    </w:rPr>
  </w:style>
  <w:style w:type="paragraph" w:styleId="Heading2">
    <w:name w:val="heading 2"/>
    <w:basedOn w:val="Normal"/>
    <w:next w:val="Normal"/>
    <w:link w:val="Heading2Char"/>
    <w:uiPriority w:val="9"/>
    <w:unhideWhenUsed/>
    <w:qFormat/>
    <w:rsid w:val="0037684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376847"/>
    <w:pPr>
      <w:keepNext/>
      <w:spacing w:before="120" w:after="120"/>
      <w:outlineLvl w:val="2"/>
    </w:pPr>
    <w:rPr>
      <w:rFonts w:ascii="YuTimes" w:hAnsi="YuTimes"/>
      <w:sz w:val="24"/>
      <w:szCs w:val="24"/>
    </w:rPr>
  </w:style>
  <w:style w:type="paragraph" w:styleId="Heading4">
    <w:name w:val="heading 4"/>
    <w:basedOn w:val="Normal"/>
    <w:next w:val="Normal"/>
    <w:link w:val="Heading4Char"/>
    <w:uiPriority w:val="9"/>
    <w:qFormat/>
    <w:rsid w:val="00376847"/>
    <w:pPr>
      <w:keepNext/>
      <w:spacing w:before="120"/>
      <w:jc w:val="center"/>
      <w:outlineLvl w:val="3"/>
    </w:pPr>
    <w:rPr>
      <w:rFonts w:ascii="YuTimes" w:hAnsi="YuTimes"/>
      <w:spacing w:val="-10"/>
      <w:sz w:val="24"/>
      <w:szCs w:val="24"/>
    </w:rPr>
  </w:style>
  <w:style w:type="paragraph" w:styleId="Heading5">
    <w:name w:val="heading 5"/>
    <w:basedOn w:val="Normal"/>
    <w:next w:val="Normal"/>
    <w:link w:val="Heading5Char"/>
    <w:uiPriority w:val="9"/>
    <w:qFormat/>
    <w:rsid w:val="00376847"/>
    <w:pPr>
      <w:keepNext/>
      <w:tabs>
        <w:tab w:val="left" w:pos="540"/>
      </w:tabs>
      <w:spacing w:line="360" w:lineRule="auto"/>
      <w:ind w:firstLine="720"/>
      <w:jc w:val="both"/>
      <w:outlineLvl w:val="4"/>
    </w:pPr>
    <w:rPr>
      <w:b/>
      <w:bCs/>
      <w:sz w:val="24"/>
      <w:szCs w:val="24"/>
    </w:rPr>
  </w:style>
  <w:style w:type="paragraph" w:styleId="Heading6">
    <w:name w:val="heading 6"/>
    <w:basedOn w:val="Normal"/>
    <w:next w:val="Normal"/>
    <w:link w:val="Heading6Char"/>
    <w:uiPriority w:val="9"/>
    <w:unhideWhenUsed/>
    <w:qFormat/>
    <w:rsid w:val="0019645B"/>
    <w:pPr>
      <w:spacing w:before="240" w:after="60"/>
      <w:outlineLvl w:val="5"/>
    </w:pPr>
    <w:rPr>
      <w:rFonts w:ascii="Calibri" w:hAnsi="Calibri"/>
      <w:b/>
      <w:bCs/>
      <w:sz w:val="22"/>
      <w:szCs w:val="22"/>
    </w:rPr>
  </w:style>
  <w:style w:type="paragraph" w:styleId="Heading7">
    <w:name w:val="heading 7"/>
    <w:basedOn w:val="Normal"/>
    <w:next w:val="Normal"/>
    <w:link w:val="Heading7Char"/>
    <w:uiPriority w:val="99"/>
    <w:qFormat/>
    <w:rsid w:val="00376847"/>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A4EB6"/>
    <w:rPr>
      <w:b/>
      <w:sz w:val="22"/>
      <w:szCs w:val="22"/>
      <w:lang w:eastAsia="en-GB"/>
    </w:rPr>
  </w:style>
  <w:style w:type="character" w:customStyle="1" w:styleId="Heading2Char">
    <w:name w:val="Heading 2 Char"/>
    <w:link w:val="Heading2"/>
    <w:uiPriority w:val="9"/>
    <w:semiHidden/>
    <w:rsid w:val="00376847"/>
    <w:rPr>
      <w:rFonts w:ascii="Cambria" w:eastAsia="Times New Roman" w:hAnsi="Cambria" w:cs="Times New Roman"/>
      <w:b/>
      <w:bCs/>
      <w:i/>
      <w:iCs/>
      <w:sz w:val="28"/>
      <w:szCs w:val="28"/>
      <w:lang w:val="en-GB" w:eastAsia="en-GB"/>
    </w:rPr>
  </w:style>
  <w:style w:type="character" w:customStyle="1" w:styleId="Heading3Char">
    <w:name w:val="Heading 3 Char"/>
    <w:link w:val="Heading3"/>
    <w:uiPriority w:val="9"/>
    <w:rsid w:val="00376847"/>
    <w:rPr>
      <w:rFonts w:ascii="YuTimes" w:hAnsi="YuTimes" w:cs="YuTimes"/>
      <w:sz w:val="24"/>
      <w:szCs w:val="24"/>
      <w:lang w:val="en-GB"/>
    </w:rPr>
  </w:style>
  <w:style w:type="character" w:customStyle="1" w:styleId="Heading4Char">
    <w:name w:val="Heading 4 Char"/>
    <w:link w:val="Heading4"/>
    <w:uiPriority w:val="9"/>
    <w:rsid w:val="00376847"/>
    <w:rPr>
      <w:rFonts w:ascii="YuTimes" w:hAnsi="YuTimes" w:cs="YuTimes"/>
      <w:spacing w:val="-10"/>
      <w:sz w:val="24"/>
      <w:szCs w:val="24"/>
      <w:lang w:val="en-GB"/>
    </w:rPr>
  </w:style>
  <w:style w:type="character" w:customStyle="1" w:styleId="Heading5Char">
    <w:name w:val="Heading 5 Char"/>
    <w:link w:val="Heading5"/>
    <w:uiPriority w:val="9"/>
    <w:rsid w:val="00376847"/>
    <w:rPr>
      <w:b/>
      <w:bCs/>
      <w:sz w:val="24"/>
      <w:szCs w:val="24"/>
      <w:lang w:val="en-GB"/>
    </w:rPr>
  </w:style>
  <w:style w:type="character" w:customStyle="1" w:styleId="Heading7Char">
    <w:name w:val="Heading 7 Char"/>
    <w:link w:val="Heading7"/>
    <w:uiPriority w:val="99"/>
    <w:rsid w:val="00376847"/>
    <w:rPr>
      <w:sz w:val="24"/>
      <w:szCs w:val="24"/>
      <w:lang w:val="en-GB"/>
    </w:rPr>
  </w:style>
  <w:style w:type="paragraph" w:styleId="BodyTextIndent">
    <w:name w:val="Body Text Indent"/>
    <w:basedOn w:val="Normal"/>
    <w:link w:val="BodyTextIndentChar"/>
    <w:uiPriority w:val="99"/>
    <w:semiHidden/>
    <w:rsid w:val="002A2342"/>
    <w:pPr>
      <w:ind w:firstLine="720"/>
      <w:jc w:val="both"/>
    </w:pPr>
    <w:rPr>
      <w:sz w:val="22"/>
      <w:szCs w:val="24"/>
    </w:rPr>
  </w:style>
  <w:style w:type="character" w:customStyle="1" w:styleId="BodyTextIndentChar">
    <w:name w:val="Body Text Indent Char"/>
    <w:link w:val="BodyTextIndent"/>
    <w:uiPriority w:val="99"/>
    <w:semiHidden/>
    <w:rsid w:val="00961BAF"/>
    <w:rPr>
      <w:sz w:val="22"/>
      <w:szCs w:val="24"/>
    </w:rPr>
  </w:style>
  <w:style w:type="paragraph" w:customStyle="1" w:styleId="Literatura">
    <w:name w:val="Literatura"/>
    <w:basedOn w:val="Normal"/>
    <w:rsid w:val="002A2342"/>
    <w:pPr>
      <w:widowControl w:val="0"/>
      <w:spacing w:after="120"/>
      <w:ind w:left="1418" w:hanging="1418"/>
      <w:jc w:val="both"/>
    </w:pPr>
    <w:rPr>
      <w:sz w:val="22"/>
      <w:lang w:val="en-US" w:eastAsia="en-US"/>
    </w:rPr>
  </w:style>
  <w:style w:type="character" w:styleId="Hyperlink">
    <w:name w:val="Hyperlink"/>
    <w:uiPriority w:val="99"/>
    <w:rsid w:val="002A2342"/>
    <w:rPr>
      <w:color w:val="0000FF"/>
      <w:u w:val="single"/>
    </w:rPr>
  </w:style>
  <w:style w:type="character" w:styleId="FootnoteReference">
    <w:name w:val="footnote reference"/>
    <w:uiPriority w:val="99"/>
    <w:rsid w:val="002A2342"/>
    <w:rPr>
      <w:vertAlign w:val="superscript"/>
    </w:rPr>
  </w:style>
  <w:style w:type="paragraph" w:styleId="BodyTextIndent3">
    <w:name w:val="Body Text Indent 3"/>
    <w:basedOn w:val="Normal"/>
    <w:link w:val="BodyTextIndent3Char"/>
    <w:uiPriority w:val="99"/>
    <w:rsid w:val="002A2342"/>
    <w:pPr>
      <w:spacing w:after="120"/>
      <w:ind w:left="283"/>
    </w:pPr>
    <w:rPr>
      <w:sz w:val="16"/>
      <w:szCs w:val="16"/>
    </w:rPr>
  </w:style>
  <w:style w:type="character" w:customStyle="1" w:styleId="BodyTextIndent3Char">
    <w:name w:val="Body Text Indent 3 Char"/>
    <w:link w:val="BodyTextIndent3"/>
    <w:uiPriority w:val="99"/>
    <w:locked/>
    <w:rsid w:val="00376847"/>
    <w:rPr>
      <w:sz w:val="16"/>
      <w:szCs w:val="16"/>
      <w:lang w:val="en-GB" w:eastAsia="en-GB"/>
    </w:rPr>
  </w:style>
  <w:style w:type="paragraph" w:styleId="BodyTextIndent2">
    <w:name w:val="Body Text Indent 2"/>
    <w:basedOn w:val="Normal"/>
    <w:link w:val="BodyTextIndent2Char"/>
    <w:uiPriority w:val="99"/>
    <w:rsid w:val="002A2342"/>
    <w:pPr>
      <w:ind w:firstLine="426"/>
      <w:jc w:val="both"/>
    </w:pPr>
    <w:rPr>
      <w:sz w:val="22"/>
      <w:szCs w:val="22"/>
    </w:rPr>
  </w:style>
  <w:style w:type="character" w:customStyle="1" w:styleId="BodyTextIndent2Char">
    <w:name w:val="Body Text Indent 2 Char"/>
    <w:link w:val="BodyTextIndent2"/>
    <w:uiPriority w:val="99"/>
    <w:rsid w:val="00961BAF"/>
    <w:rPr>
      <w:sz w:val="22"/>
      <w:szCs w:val="22"/>
      <w:lang w:eastAsia="en-GB"/>
    </w:rPr>
  </w:style>
  <w:style w:type="paragraph" w:customStyle="1" w:styleId="Literaturaruska">
    <w:name w:val="Literatura_ruska"/>
    <w:basedOn w:val="Literatura"/>
    <w:rsid w:val="002A2342"/>
  </w:style>
  <w:style w:type="paragraph" w:styleId="FootnoteText">
    <w:name w:val="footnote text"/>
    <w:basedOn w:val="Normal"/>
    <w:link w:val="FootnoteTextChar"/>
    <w:uiPriority w:val="99"/>
    <w:rsid w:val="002A2342"/>
  </w:style>
  <w:style w:type="character" w:customStyle="1" w:styleId="FootnoteTextChar">
    <w:name w:val="Footnote Text Char"/>
    <w:link w:val="FootnoteText"/>
    <w:uiPriority w:val="99"/>
    <w:rsid w:val="006A4EB6"/>
    <w:rPr>
      <w:lang w:val="en-GB" w:eastAsia="en-GB"/>
    </w:rPr>
  </w:style>
  <w:style w:type="character" w:customStyle="1" w:styleId="apple-converted-space">
    <w:name w:val="apple-converted-space"/>
    <w:basedOn w:val="DefaultParagraphFont"/>
    <w:rsid w:val="002A2342"/>
  </w:style>
  <w:style w:type="paragraph" w:styleId="BalloonText">
    <w:name w:val="Balloon Text"/>
    <w:basedOn w:val="Normal"/>
    <w:link w:val="BalloonTextChar"/>
    <w:uiPriority w:val="99"/>
    <w:semiHidden/>
    <w:rsid w:val="002A2342"/>
    <w:rPr>
      <w:rFonts w:ascii="Tahoma" w:hAnsi="Tahoma"/>
      <w:sz w:val="16"/>
      <w:szCs w:val="16"/>
    </w:rPr>
  </w:style>
  <w:style w:type="character" w:customStyle="1" w:styleId="BalloonTextChar">
    <w:name w:val="Balloon Text Char"/>
    <w:link w:val="BalloonText"/>
    <w:uiPriority w:val="99"/>
    <w:semiHidden/>
    <w:rsid w:val="00F4019E"/>
    <w:rPr>
      <w:rFonts w:ascii="Tahoma" w:hAnsi="Tahoma" w:cs="Tahoma"/>
      <w:sz w:val="16"/>
      <w:szCs w:val="16"/>
      <w:lang w:val="en-GB" w:eastAsia="en-GB"/>
    </w:rPr>
  </w:style>
  <w:style w:type="character" w:styleId="CommentReference">
    <w:name w:val="annotation reference"/>
    <w:uiPriority w:val="99"/>
    <w:rsid w:val="002A2342"/>
    <w:rPr>
      <w:sz w:val="16"/>
      <w:szCs w:val="16"/>
    </w:rPr>
  </w:style>
  <w:style w:type="paragraph" w:styleId="CommentText">
    <w:name w:val="annotation text"/>
    <w:basedOn w:val="Normal"/>
    <w:link w:val="CommentTextChar"/>
    <w:uiPriority w:val="99"/>
    <w:rsid w:val="002A2342"/>
  </w:style>
  <w:style w:type="character" w:customStyle="1" w:styleId="CommentTextChar">
    <w:name w:val="Comment Text Char"/>
    <w:link w:val="CommentText"/>
    <w:uiPriority w:val="99"/>
    <w:rsid w:val="00E468FA"/>
    <w:rPr>
      <w:lang w:val="en-GB" w:eastAsia="en-GB"/>
    </w:rPr>
  </w:style>
  <w:style w:type="paragraph" w:styleId="CommentSubject">
    <w:name w:val="annotation subject"/>
    <w:basedOn w:val="CommentText"/>
    <w:next w:val="CommentText"/>
    <w:link w:val="CommentSubjectChar"/>
    <w:uiPriority w:val="99"/>
    <w:rsid w:val="002A2342"/>
    <w:rPr>
      <w:b/>
      <w:bCs/>
    </w:rPr>
  </w:style>
  <w:style w:type="character" w:customStyle="1" w:styleId="CommentSubjectChar">
    <w:name w:val="Comment Subject Char"/>
    <w:link w:val="CommentSubject"/>
    <w:uiPriority w:val="99"/>
    <w:rsid w:val="00F4019E"/>
    <w:rPr>
      <w:b/>
      <w:bCs/>
      <w:lang w:val="en-GB" w:eastAsia="en-GB"/>
    </w:rPr>
  </w:style>
  <w:style w:type="paragraph" w:styleId="Header">
    <w:name w:val="header"/>
    <w:basedOn w:val="Normal"/>
    <w:link w:val="HeaderChar"/>
    <w:uiPriority w:val="99"/>
    <w:rsid w:val="002A2342"/>
    <w:pPr>
      <w:tabs>
        <w:tab w:val="center" w:pos="4320"/>
        <w:tab w:val="right" w:pos="8640"/>
      </w:tabs>
    </w:pPr>
  </w:style>
  <w:style w:type="character" w:customStyle="1" w:styleId="HeaderChar">
    <w:name w:val="Header Char"/>
    <w:link w:val="Header"/>
    <w:uiPriority w:val="99"/>
    <w:rsid w:val="00D72ADA"/>
    <w:rPr>
      <w:lang w:val="en-GB" w:eastAsia="en-GB"/>
    </w:rPr>
  </w:style>
  <w:style w:type="paragraph" w:styleId="Footer">
    <w:name w:val="footer"/>
    <w:basedOn w:val="Normal"/>
    <w:link w:val="FooterChar"/>
    <w:uiPriority w:val="99"/>
    <w:rsid w:val="002A2342"/>
    <w:pPr>
      <w:tabs>
        <w:tab w:val="center" w:pos="4320"/>
        <w:tab w:val="right" w:pos="8640"/>
      </w:tabs>
    </w:pPr>
  </w:style>
  <w:style w:type="character" w:customStyle="1" w:styleId="FooterChar">
    <w:name w:val="Footer Char"/>
    <w:link w:val="Footer"/>
    <w:uiPriority w:val="99"/>
    <w:rsid w:val="00D72ADA"/>
    <w:rPr>
      <w:lang w:val="en-GB" w:eastAsia="en-GB"/>
    </w:rPr>
  </w:style>
  <w:style w:type="character" w:styleId="PageNumber">
    <w:name w:val="page number"/>
    <w:basedOn w:val="DefaultParagraphFont"/>
    <w:uiPriority w:val="99"/>
    <w:rsid w:val="002A2342"/>
  </w:style>
  <w:style w:type="character" w:customStyle="1" w:styleId="pixel2">
    <w:name w:val="pixel2"/>
    <w:basedOn w:val="DefaultParagraphFont"/>
    <w:rsid w:val="002E2B30"/>
  </w:style>
  <w:style w:type="character" w:styleId="Strong">
    <w:name w:val="Strong"/>
    <w:uiPriority w:val="22"/>
    <w:qFormat/>
    <w:rsid w:val="002E2B30"/>
    <w:rPr>
      <w:b/>
      <w:bCs/>
    </w:rPr>
  </w:style>
  <w:style w:type="character" w:customStyle="1" w:styleId="note">
    <w:name w:val="note"/>
    <w:basedOn w:val="DefaultParagraphFont"/>
    <w:rsid w:val="002E2B30"/>
  </w:style>
  <w:style w:type="character" w:customStyle="1" w:styleId="nickname">
    <w:name w:val="nickname"/>
    <w:basedOn w:val="DefaultParagraphFont"/>
    <w:rsid w:val="002E2B30"/>
  </w:style>
  <w:style w:type="character" w:customStyle="1" w:styleId="binomial">
    <w:name w:val="binomial"/>
    <w:basedOn w:val="DefaultParagraphFont"/>
    <w:rsid w:val="002E2B30"/>
  </w:style>
  <w:style w:type="character" w:customStyle="1" w:styleId="citation-publication-date">
    <w:name w:val="citation-publication-date"/>
    <w:basedOn w:val="DefaultParagraphFont"/>
    <w:rsid w:val="00B4018B"/>
  </w:style>
  <w:style w:type="paragraph" w:styleId="EndnoteText">
    <w:name w:val="endnote text"/>
    <w:basedOn w:val="Normal"/>
    <w:link w:val="EndnoteTextChar"/>
    <w:uiPriority w:val="99"/>
    <w:unhideWhenUsed/>
    <w:rsid w:val="00A37F4C"/>
  </w:style>
  <w:style w:type="character" w:customStyle="1" w:styleId="EndnoteTextChar">
    <w:name w:val="Endnote Text Char"/>
    <w:link w:val="EndnoteText"/>
    <w:uiPriority w:val="99"/>
    <w:rsid w:val="00A37F4C"/>
    <w:rPr>
      <w:lang w:val="en-GB" w:eastAsia="en-GB"/>
    </w:rPr>
  </w:style>
  <w:style w:type="character" w:styleId="EndnoteReference">
    <w:name w:val="endnote reference"/>
    <w:uiPriority w:val="99"/>
    <w:unhideWhenUsed/>
    <w:rsid w:val="00A37F4C"/>
    <w:rPr>
      <w:vertAlign w:val="superscript"/>
    </w:rPr>
  </w:style>
  <w:style w:type="character" w:customStyle="1" w:styleId="mediumtext1">
    <w:name w:val="medium_text1"/>
    <w:rsid w:val="006A4EB6"/>
    <w:rPr>
      <w:sz w:val="22"/>
      <w:szCs w:val="22"/>
    </w:rPr>
  </w:style>
  <w:style w:type="character" w:customStyle="1" w:styleId="longtext1">
    <w:name w:val="long_text1"/>
    <w:rsid w:val="006A4EB6"/>
    <w:rPr>
      <w:sz w:val="18"/>
      <w:szCs w:val="18"/>
    </w:rPr>
  </w:style>
  <w:style w:type="character" w:customStyle="1" w:styleId="shorttext1">
    <w:name w:val="short_text1"/>
    <w:rsid w:val="006A4EB6"/>
    <w:rPr>
      <w:sz w:val="26"/>
      <w:szCs w:val="26"/>
    </w:rPr>
  </w:style>
  <w:style w:type="paragraph" w:customStyle="1" w:styleId="Default">
    <w:name w:val="Default"/>
    <w:rsid w:val="006A4EB6"/>
    <w:pPr>
      <w:autoSpaceDE w:val="0"/>
      <w:autoSpaceDN w:val="0"/>
      <w:adjustRightInd w:val="0"/>
    </w:pPr>
    <w:rPr>
      <w:rFonts w:ascii="JGBZHV+Swiss721BT-LightCondense" w:hAnsi="JGBZHV+Swiss721BT-LightCondense" w:cs="JGBZHV+Swiss721BT-LightCondense"/>
      <w:color w:val="000000"/>
      <w:sz w:val="24"/>
      <w:szCs w:val="24"/>
    </w:rPr>
  </w:style>
  <w:style w:type="character" w:customStyle="1" w:styleId="shorttext">
    <w:name w:val="short_text"/>
    <w:basedOn w:val="DefaultParagraphFont"/>
    <w:rsid w:val="0028466A"/>
  </w:style>
  <w:style w:type="paragraph" w:styleId="BodyText3">
    <w:name w:val="Body Text 3"/>
    <w:basedOn w:val="Normal"/>
    <w:link w:val="BodyText3Char"/>
    <w:rsid w:val="0028466A"/>
    <w:pPr>
      <w:spacing w:after="120"/>
    </w:pPr>
    <w:rPr>
      <w:sz w:val="16"/>
      <w:szCs w:val="16"/>
    </w:rPr>
  </w:style>
  <w:style w:type="character" w:customStyle="1" w:styleId="BodyText3Char">
    <w:name w:val="Body Text 3 Char"/>
    <w:link w:val="BodyText3"/>
    <w:rsid w:val="0028466A"/>
    <w:rPr>
      <w:sz w:val="16"/>
      <w:szCs w:val="16"/>
    </w:rPr>
  </w:style>
  <w:style w:type="paragraph" w:styleId="BodyText">
    <w:name w:val="Body Text"/>
    <w:aliases w:val="Body Text Char Char,Body Text Char Char Char"/>
    <w:basedOn w:val="Normal"/>
    <w:link w:val="BodyTextChar"/>
    <w:uiPriority w:val="99"/>
    <w:rsid w:val="0028466A"/>
    <w:pPr>
      <w:spacing w:after="120"/>
    </w:pPr>
    <w:rPr>
      <w:sz w:val="24"/>
      <w:szCs w:val="24"/>
    </w:rPr>
  </w:style>
  <w:style w:type="character" w:customStyle="1" w:styleId="BodyTextChar">
    <w:name w:val="Body Text Char"/>
    <w:aliases w:val="Body Text Char Char Char1,Body Text Char Char Char Char"/>
    <w:link w:val="BodyText"/>
    <w:uiPriority w:val="99"/>
    <w:rsid w:val="0028466A"/>
    <w:rPr>
      <w:sz w:val="24"/>
      <w:szCs w:val="24"/>
    </w:rPr>
  </w:style>
  <w:style w:type="table" w:styleId="TableGrid">
    <w:name w:val="Table Grid"/>
    <w:basedOn w:val="TableNormal"/>
    <w:uiPriority w:val="59"/>
    <w:rsid w:val="00284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3F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rPr>
  </w:style>
  <w:style w:type="character" w:customStyle="1" w:styleId="HTMLPreformattedChar">
    <w:name w:val="HTML Preformatted Char"/>
    <w:link w:val="HTMLPreformatted"/>
    <w:uiPriority w:val="99"/>
    <w:rsid w:val="003F0E1D"/>
    <w:rPr>
      <w:rFonts w:ascii="Courier New" w:hAnsi="Courier New" w:cs="Courier New"/>
      <w:color w:val="000000"/>
    </w:rPr>
  </w:style>
  <w:style w:type="character" w:customStyle="1" w:styleId="hps">
    <w:name w:val="hps"/>
    <w:rsid w:val="00DC5715"/>
    <w:rPr>
      <w:rFonts w:cs="Times New Roman"/>
    </w:rPr>
  </w:style>
  <w:style w:type="character" w:styleId="Emphasis">
    <w:name w:val="Emphasis"/>
    <w:uiPriority w:val="20"/>
    <w:qFormat/>
    <w:rsid w:val="00DC5715"/>
    <w:rPr>
      <w:rFonts w:cs="Times New Roman"/>
      <w:i/>
      <w:iCs/>
    </w:rPr>
  </w:style>
  <w:style w:type="character" w:customStyle="1" w:styleId="atn">
    <w:name w:val="atn"/>
    <w:rsid w:val="00DC5715"/>
    <w:rPr>
      <w:rFonts w:cs="Times New Roman"/>
    </w:rPr>
  </w:style>
  <w:style w:type="paragraph" w:styleId="Caption">
    <w:name w:val="caption"/>
    <w:basedOn w:val="Normal"/>
    <w:next w:val="Normal"/>
    <w:uiPriority w:val="35"/>
    <w:qFormat/>
    <w:rsid w:val="00A24693"/>
    <w:pPr>
      <w:spacing w:after="200"/>
      <w:ind w:firstLine="720"/>
      <w:jc w:val="both"/>
    </w:pPr>
    <w:rPr>
      <w:rFonts w:eastAsia="Calibri"/>
      <w:b/>
      <w:bCs/>
      <w:color w:val="4F81BD"/>
      <w:sz w:val="18"/>
      <w:szCs w:val="18"/>
      <w:lang w:val="hr-HR" w:eastAsia="en-US"/>
    </w:rPr>
  </w:style>
  <w:style w:type="character" w:customStyle="1" w:styleId="st">
    <w:name w:val="st"/>
    <w:basedOn w:val="DefaultParagraphFont"/>
    <w:rsid w:val="00E468FA"/>
  </w:style>
  <w:style w:type="character" w:styleId="BookTitle">
    <w:name w:val="Book Title"/>
    <w:uiPriority w:val="33"/>
    <w:qFormat/>
    <w:rsid w:val="00F4019E"/>
    <w:rPr>
      <w:b/>
      <w:bCs/>
      <w:smallCaps/>
      <w:spacing w:val="5"/>
    </w:rPr>
  </w:style>
  <w:style w:type="paragraph" w:styleId="ListParagraph">
    <w:name w:val="List Paragraph"/>
    <w:basedOn w:val="Normal"/>
    <w:uiPriority w:val="34"/>
    <w:qFormat/>
    <w:rsid w:val="00D72ADA"/>
    <w:pPr>
      <w:spacing w:after="200" w:line="276" w:lineRule="auto"/>
      <w:ind w:left="720"/>
      <w:contextualSpacing/>
    </w:pPr>
    <w:rPr>
      <w:rFonts w:ascii="Calibri" w:eastAsia="Calibri" w:hAnsi="Calibri"/>
      <w:sz w:val="22"/>
      <w:szCs w:val="22"/>
      <w:lang w:eastAsia="en-US"/>
    </w:rPr>
  </w:style>
  <w:style w:type="character" w:styleId="LineNumber">
    <w:name w:val="line number"/>
    <w:basedOn w:val="DefaultParagraphFont"/>
    <w:uiPriority w:val="99"/>
    <w:unhideWhenUsed/>
    <w:rsid w:val="00D72ADA"/>
  </w:style>
  <w:style w:type="paragraph" w:customStyle="1" w:styleId="Style1">
    <w:name w:val="Style 1"/>
    <w:basedOn w:val="Normal"/>
    <w:rsid w:val="00140F88"/>
    <w:pPr>
      <w:widowControl w:val="0"/>
      <w:autoSpaceDE w:val="0"/>
      <w:autoSpaceDN w:val="0"/>
      <w:spacing w:before="216"/>
      <w:ind w:left="792" w:hanging="720"/>
      <w:jc w:val="both"/>
    </w:pPr>
    <w:rPr>
      <w:sz w:val="24"/>
      <w:szCs w:val="24"/>
      <w:lang w:val="en-US" w:eastAsia="en-US"/>
    </w:rPr>
  </w:style>
  <w:style w:type="paragraph" w:styleId="NormalIndent">
    <w:name w:val="Normal Indent"/>
    <w:basedOn w:val="Normal"/>
    <w:semiHidden/>
    <w:rsid w:val="002603D6"/>
    <w:pPr>
      <w:ind w:left="708"/>
    </w:pPr>
    <w:rPr>
      <w:sz w:val="24"/>
      <w:szCs w:val="24"/>
      <w:lang w:val="ru-RU" w:eastAsia="ru-RU"/>
    </w:rPr>
  </w:style>
  <w:style w:type="character" w:customStyle="1" w:styleId="longtext">
    <w:name w:val="long_text"/>
    <w:basedOn w:val="DefaultParagraphFont"/>
    <w:uiPriority w:val="99"/>
    <w:rsid w:val="002603D6"/>
  </w:style>
  <w:style w:type="paragraph" w:customStyle="1" w:styleId="2">
    <w:name w:val="Знак2"/>
    <w:basedOn w:val="Normal"/>
    <w:rsid w:val="002603D6"/>
    <w:pPr>
      <w:pageBreakBefore/>
      <w:spacing w:after="160" w:line="360" w:lineRule="auto"/>
    </w:pPr>
    <w:rPr>
      <w:sz w:val="28"/>
      <w:lang w:val="en-US" w:eastAsia="en-US"/>
    </w:rPr>
  </w:style>
  <w:style w:type="paragraph" w:customStyle="1" w:styleId="3">
    <w:name w:val="Знак3"/>
    <w:basedOn w:val="Normal"/>
    <w:rsid w:val="002603D6"/>
    <w:pPr>
      <w:pageBreakBefore/>
      <w:spacing w:after="160" w:line="360" w:lineRule="auto"/>
    </w:pPr>
    <w:rPr>
      <w:sz w:val="28"/>
      <w:lang w:val="en-US" w:eastAsia="en-US"/>
    </w:rPr>
  </w:style>
  <w:style w:type="paragraph" w:styleId="BodyText2">
    <w:name w:val="Body Text 2"/>
    <w:basedOn w:val="Normal"/>
    <w:link w:val="BodyText2Char"/>
    <w:uiPriority w:val="99"/>
    <w:unhideWhenUsed/>
    <w:rsid w:val="00961BAF"/>
    <w:pPr>
      <w:spacing w:after="120" w:line="480" w:lineRule="auto"/>
    </w:pPr>
  </w:style>
  <w:style w:type="character" w:customStyle="1" w:styleId="BodyText2Char">
    <w:name w:val="Body Text 2 Char"/>
    <w:link w:val="BodyText2"/>
    <w:uiPriority w:val="99"/>
    <w:semiHidden/>
    <w:rsid w:val="00961BAF"/>
    <w:rPr>
      <w:lang w:val="en-GB" w:eastAsia="en-GB"/>
    </w:rPr>
  </w:style>
  <w:style w:type="paragraph" w:styleId="NoSpacing">
    <w:name w:val="No Spacing"/>
    <w:uiPriority w:val="1"/>
    <w:qFormat/>
    <w:rsid w:val="00961BAF"/>
    <w:pPr>
      <w:ind w:left="284" w:right="284" w:hanging="284"/>
      <w:jc w:val="right"/>
    </w:pPr>
    <w:rPr>
      <w:rFonts w:ascii="Calibri" w:eastAsia="Calibri" w:hAnsi="Calibri"/>
      <w:sz w:val="22"/>
      <w:szCs w:val="22"/>
      <w:lang w:bidi="fa-IR"/>
    </w:rPr>
  </w:style>
  <w:style w:type="paragraph" w:styleId="NormalWeb">
    <w:name w:val="Normal (Web)"/>
    <w:basedOn w:val="Normal"/>
    <w:uiPriority w:val="99"/>
    <w:unhideWhenUsed/>
    <w:rsid w:val="00961BAF"/>
    <w:pPr>
      <w:spacing w:before="100" w:beforeAutospacing="1" w:after="100" w:afterAutospacing="1"/>
      <w:jc w:val="right"/>
    </w:pPr>
    <w:rPr>
      <w:sz w:val="24"/>
      <w:szCs w:val="24"/>
      <w:lang w:val="en-US" w:eastAsia="en-US" w:bidi="fa-IR"/>
    </w:rPr>
  </w:style>
  <w:style w:type="paragraph" w:customStyle="1" w:styleId="Pa15">
    <w:name w:val="Pa15"/>
    <w:basedOn w:val="Default"/>
    <w:next w:val="Default"/>
    <w:uiPriority w:val="99"/>
    <w:rsid w:val="00961BAF"/>
    <w:pPr>
      <w:spacing w:line="201" w:lineRule="atLeast"/>
    </w:pPr>
    <w:rPr>
      <w:rFonts w:ascii="Garamond Premr Pro" w:eastAsia="Calibri" w:hAnsi="Garamond Premr Pro" w:cs="Arial"/>
      <w:color w:val="auto"/>
      <w:lang w:val="en-GB"/>
    </w:rPr>
  </w:style>
  <w:style w:type="character" w:customStyle="1" w:styleId="A11">
    <w:name w:val="A11"/>
    <w:uiPriority w:val="99"/>
    <w:rsid w:val="00961BAF"/>
    <w:rPr>
      <w:rFonts w:cs="Garamond Premr Pro"/>
      <w:color w:val="000000"/>
      <w:sz w:val="11"/>
      <w:szCs w:val="11"/>
    </w:rPr>
  </w:style>
  <w:style w:type="paragraph" w:customStyle="1" w:styleId="Pa3">
    <w:name w:val="Pa3"/>
    <w:basedOn w:val="Default"/>
    <w:next w:val="Default"/>
    <w:uiPriority w:val="99"/>
    <w:rsid w:val="00961BAF"/>
    <w:pPr>
      <w:spacing w:line="321" w:lineRule="atLeast"/>
    </w:pPr>
    <w:rPr>
      <w:rFonts w:ascii="Garamond Premr Pro Smbd" w:eastAsia="Calibri" w:hAnsi="Garamond Premr Pro Smbd" w:cs="Arial"/>
      <w:color w:val="auto"/>
      <w:lang w:val="en-GB"/>
    </w:rPr>
  </w:style>
  <w:style w:type="character" w:styleId="IntenseReference">
    <w:name w:val="Intense Reference"/>
    <w:uiPriority w:val="32"/>
    <w:qFormat/>
    <w:rsid w:val="00961BAF"/>
    <w:rPr>
      <w:b/>
      <w:bCs/>
      <w:smallCaps/>
      <w:color w:val="C0504D"/>
      <w:spacing w:val="5"/>
      <w:u w:val="single"/>
    </w:rPr>
  </w:style>
  <w:style w:type="character" w:customStyle="1" w:styleId="st1">
    <w:name w:val="st1"/>
    <w:basedOn w:val="DefaultParagraphFont"/>
    <w:rsid w:val="00961BAF"/>
  </w:style>
  <w:style w:type="paragraph" w:styleId="Quote">
    <w:name w:val="Quote"/>
    <w:basedOn w:val="Normal"/>
    <w:next w:val="Normal"/>
    <w:link w:val="QuoteChar"/>
    <w:uiPriority w:val="29"/>
    <w:qFormat/>
    <w:rsid w:val="00961BAF"/>
    <w:pPr>
      <w:spacing w:after="200" w:line="276" w:lineRule="auto"/>
    </w:pPr>
    <w:rPr>
      <w:rFonts w:ascii="Calibri" w:eastAsia="Calibri" w:hAnsi="Calibri"/>
      <w:i/>
      <w:iCs/>
      <w:color w:val="000000"/>
      <w:sz w:val="22"/>
      <w:szCs w:val="22"/>
    </w:rPr>
  </w:style>
  <w:style w:type="character" w:customStyle="1" w:styleId="QuoteChar">
    <w:name w:val="Quote Char"/>
    <w:link w:val="Quote"/>
    <w:uiPriority w:val="29"/>
    <w:rsid w:val="00961BAF"/>
    <w:rPr>
      <w:rFonts w:ascii="Calibri" w:eastAsia="Calibri" w:hAnsi="Calibri" w:cs="Arial"/>
      <w:i/>
      <w:iCs/>
      <w:color w:val="000000"/>
      <w:sz w:val="22"/>
      <w:szCs w:val="22"/>
      <w:lang w:val="en-GB"/>
    </w:rPr>
  </w:style>
  <w:style w:type="paragraph" w:styleId="IntenseQuote">
    <w:name w:val="Intense Quote"/>
    <w:basedOn w:val="Normal"/>
    <w:next w:val="Normal"/>
    <w:link w:val="IntenseQuoteChar"/>
    <w:uiPriority w:val="30"/>
    <w:qFormat/>
    <w:rsid w:val="00961BAF"/>
    <w:pPr>
      <w:pBdr>
        <w:bottom w:val="single" w:sz="4" w:space="4" w:color="4F81BD"/>
      </w:pBdr>
      <w:spacing w:before="200" w:after="280" w:line="276" w:lineRule="auto"/>
      <w:ind w:left="936" w:right="936"/>
    </w:pPr>
    <w:rPr>
      <w:rFonts w:ascii="Calibri" w:eastAsia="Calibri" w:hAnsi="Calibri"/>
      <w:b/>
      <w:bCs/>
      <w:i/>
      <w:iCs/>
      <w:color w:val="4F81BD"/>
      <w:sz w:val="22"/>
      <w:szCs w:val="22"/>
    </w:rPr>
  </w:style>
  <w:style w:type="character" w:customStyle="1" w:styleId="IntenseQuoteChar">
    <w:name w:val="Intense Quote Char"/>
    <w:link w:val="IntenseQuote"/>
    <w:uiPriority w:val="30"/>
    <w:rsid w:val="00961BAF"/>
    <w:rPr>
      <w:rFonts w:ascii="Calibri" w:eastAsia="Calibri" w:hAnsi="Calibri" w:cs="Arial"/>
      <w:b/>
      <w:bCs/>
      <w:i/>
      <w:iCs/>
      <w:color w:val="4F81BD"/>
      <w:sz w:val="22"/>
      <w:szCs w:val="22"/>
      <w:lang w:val="en-GB"/>
    </w:rPr>
  </w:style>
  <w:style w:type="paragraph" w:customStyle="1" w:styleId="NormalJustified">
    <w:name w:val="Normal + Justified"/>
    <w:aliases w:val="Left:  0&quot;,Hanging:  0.5&quot;"/>
    <w:basedOn w:val="Normal"/>
    <w:rsid w:val="007873B0"/>
    <w:pPr>
      <w:ind w:left="720" w:hanging="720"/>
      <w:jc w:val="both"/>
    </w:pPr>
    <w:rPr>
      <w:spacing w:val="6"/>
      <w:sz w:val="24"/>
      <w:szCs w:val="24"/>
      <w:lang w:val="en-US" w:eastAsia="en-US"/>
    </w:rPr>
  </w:style>
  <w:style w:type="paragraph" w:styleId="DocumentMap">
    <w:name w:val="Document Map"/>
    <w:basedOn w:val="Normal"/>
    <w:link w:val="DocumentMapChar"/>
    <w:uiPriority w:val="99"/>
    <w:semiHidden/>
    <w:unhideWhenUsed/>
    <w:rsid w:val="00084783"/>
    <w:rPr>
      <w:rFonts w:ascii="Tahoma" w:hAnsi="Tahoma"/>
      <w:sz w:val="16"/>
      <w:szCs w:val="16"/>
    </w:rPr>
  </w:style>
  <w:style w:type="character" w:customStyle="1" w:styleId="DocumentMapChar">
    <w:name w:val="Document Map Char"/>
    <w:link w:val="DocumentMap"/>
    <w:uiPriority w:val="99"/>
    <w:semiHidden/>
    <w:rsid w:val="00084783"/>
    <w:rPr>
      <w:rFonts w:ascii="Tahoma" w:hAnsi="Tahoma" w:cs="Tahoma"/>
      <w:sz w:val="16"/>
      <w:szCs w:val="16"/>
      <w:lang w:val="en-GB" w:eastAsia="en-GB"/>
    </w:rPr>
  </w:style>
  <w:style w:type="paragraph" w:styleId="Title">
    <w:name w:val="Title"/>
    <w:basedOn w:val="Normal"/>
    <w:link w:val="TitleChar"/>
    <w:qFormat/>
    <w:rsid w:val="00FA3E3E"/>
    <w:pPr>
      <w:spacing w:line="480" w:lineRule="auto"/>
      <w:jc w:val="center"/>
    </w:pPr>
    <w:rPr>
      <w:b/>
      <w:bCs/>
      <w:sz w:val="28"/>
      <w:szCs w:val="28"/>
      <w:lang w:bidi="fa-IR"/>
    </w:rPr>
  </w:style>
  <w:style w:type="character" w:customStyle="1" w:styleId="TitleChar">
    <w:name w:val="Title Char"/>
    <w:link w:val="Title"/>
    <w:rsid w:val="00FA3E3E"/>
    <w:rPr>
      <w:b/>
      <w:bCs/>
      <w:sz w:val="28"/>
      <w:szCs w:val="28"/>
      <w:lang w:bidi="fa-IR"/>
    </w:rPr>
  </w:style>
  <w:style w:type="paragraph" w:customStyle="1" w:styleId="pavadin">
    <w:name w:val="pavadin"/>
    <w:basedOn w:val="Normal"/>
    <w:uiPriority w:val="99"/>
    <w:rsid w:val="00376847"/>
    <w:pPr>
      <w:spacing w:before="100" w:beforeAutospacing="1" w:after="100" w:afterAutospacing="1"/>
    </w:pPr>
    <w:rPr>
      <w:sz w:val="24"/>
      <w:szCs w:val="24"/>
      <w:lang w:val="en-US" w:eastAsia="en-US"/>
    </w:rPr>
  </w:style>
  <w:style w:type="paragraph" w:customStyle="1" w:styleId="pavarde">
    <w:name w:val="pavarde"/>
    <w:basedOn w:val="Normal"/>
    <w:uiPriority w:val="99"/>
    <w:rsid w:val="00376847"/>
    <w:pPr>
      <w:spacing w:before="100" w:beforeAutospacing="1" w:after="100" w:afterAutospacing="1"/>
    </w:pPr>
    <w:rPr>
      <w:sz w:val="24"/>
      <w:szCs w:val="24"/>
      <w:lang w:val="en-US" w:eastAsia="en-US"/>
    </w:rPr>
  </w:style>
  <w:style w:type="character" w:customStyle="1" w:styleId="spelle">
    <w:name w:val="spelle"/>
    <w:uiPriority w:val="99"/>
    <w:rsid w:val="00376847"/>
    <w:rPr>
      <w:rFonts w:cs="Times New Roman"/>
    </w:rPr>
  </w:style>
  <w:style w:type="paragraph" w:customStyle="1" w:styleId="CharCharCharCharCharCharCharCharCharChar">
    <w:name w:val="Char Char Char Char Char Char Char Char Char Char"/>
    <w:basedOn w:val="Normal"/>
    <w:rsid w:val="00376847"/>
    <w:pPr>
      <w:spacing w:after="160" w:line="240" w:lineRule="exact"/>
    </w:pPr>
    <w:rPr>
      <w:rFonts w:ascii="Arial" w:hAnsi="Arial" w:cs="Arial"/>
      <w:lang w:val="en-US" w:eastAsia="en-US"/>
    </w:rPr>
  </w:style>
  <w:style w:type="paragraph" w:customStyle="1" w:styleId="Char">
    <w:name w:val="Char"/>
    <w:basedOn w:val="Normal"/>
    <w:uiPriority w:val="99"/>
    <w:rsid w:val="00376847"/>
    <w:pPr>
      <w:spacing w:after="160" w:line="240" w:lineRule="exact"/>
    </w:pPr>
    <w:rPr>
      <w:rFonts w:ascii="Arial" w:hAnsi="Arial" w:cs="Arial"/>
      <w:lang w:val="en-US" w:eastAsia="en-US"/>
    </w:rPr>
  </w:style>
  <w:style w:type="character" w:customStyle="1" w:styleId="book-details-italic">
    <w:name w:val="book-details-italic"/>
    <w:rsid w:val="00376847"/>
    <w:rPr>
      <w:rFonts w:cs="Times New Roman"/>
    </w:rPr>
  </w:style>
  <w:style w:type="character" w:customStyle="1" w:styleId="cit-auth">
    <w:name w:val="cit-auth"/>
    <w:rsid w:val="008E768F"/>
    <w:rPr>
      <w:rFonts w:cs="Times New Roman"/>
    </w:rPr>
  </w:style>
  <w:style w:type="character" w:customStyle="1" w:styleId="cit-name-surname">
    <w:name w:val="cit-name-surname"/>
    <w:rsid w:val="008E768F"/>
    <w:rPr>
      <w:rFonts w:cs="Times New Roman"/>
    </w:rPr>
  </w:style>
  <w:style w:type="character" w:customStyle="1" w:styleId="cit-name-given-names">
    <w:name w:val="cit-name-given-names"/>
    <w:rsid w:val="008E768F"/>
    <w:rPr>
      <w:rFonts w:cs="Times New Roman"/>
    </w:rPr>
  </w:style>
  <w:style w:type="character" w:customStyle="1" w:styleId="cit-pub-date">
    <w:name w:val="cit-pub-date"/>
    <w:rsid w:val="008E768F"/>
    <w:rPr>
      <w:rFonts w:cs="Times New Roman"/>
    </w:rPr>
  </w:style>
  <w:style w:type="character" w:customStyle="1" w:styleId="cit-article-title">
    <w:name w:val="cit-article-title"/>
    <w:rsid w:val="008E768F"/>
    <w:rPr>
      <w:rFonts w:cs="Times New Roman"/>
    </w:rPr>
  </w:style>
  <w:style w:type="character" w:customStyle="1" w:styleId="cit-vol">
    <w:name w:val="cit-vol"/>
    <w:rsid w:val="008E768F"/>
    <w:rPr>
      <w:rFonts w:cs="Times New Roman"/>
    </w:rPr>
  </w:style>
  <w:style w:type="character" w:customStyle="1" w:styleId="cit-fpage">
    <w:name w:val="cit-fpage"/>
    <w:rsid w:val="008E768F"/>
    <w:rPr>
      <w:rFonts w:cs="Times New Roman"/>
    </w:rPr>
  </w:style>
  <w:style w:type="character" w:customStyle="1" w:styleId="cit-lpage">
    <w:name w:val="cit-lpage"/>
    <w:rsid w:val="008E768F"/>
    <w:rPr>
      <w:rFonts w:cs="Times New Roman"/>
    </w:rPr>
  </w:style>
  <w:style w:type="paragraph" w:customStyle="1" w:styleId="CharCharCharChar">
    <w:name w:val="Char Char Char Char"/>
    <w:basedOn w:val="Normal"/>
    <w:rsid w:val="008E768F"/>
    <w:pPr>
      <w:spacing w:after="160" w:line="240" w:lineRule="exact"/>
    </w:pPr>
    <w:rPr>
      <w:rFonts w:ascii="Arial" w:hAnsi="Arial" w:cs="Arial"/>
      <w:lang w:val="en-US" w:eastAsia="en-US"/>
    </w:rPr>
  </w:style>
  <w:style w:type="paragraph" w:customStyle="1" w:styleId="CharCharCharCharCharCharCharCharCharChar0">
    <w:name w:val="Char Char Char Char Char Char Char Char Char Char"/>
    <w:basedOn w:val="Normal"/>
    <w:rsid w:val="008E768F"/>
    <w:pPr>
      <w:spacing w:after="160" w:line="240" w:lineRule="exact"/>
    </w:pPr>
    <w:rPr>
      <w:rFonts w:ascii="Arial" w:hAnsi="Arial" w:cs="Arial"/>
      <w:lang w:val="en-US" w:eastAsia="en-US"/>
    </w:rPr>
  </w:style>
  <w:style w:type="paragraph" w:styleId="TOCHeading">
    <w:name w:val="TOC Heading"/>
    <w:basedOn w:val="Heading1"/>
    <w:next w:val="Normal"/>
    <w:uiPriority w:val="39"/>
    <w:semiHidden/>
    <w:unhideWhenUsed/>
    <w:qFormat/>
    <w:rsid w:val="008E768F"/>
    <w:pPr>
      <w:keepLines/>
      <w:spacing w:before="480" w:line="276" w:lineRule="auto"/>
      <w:jc w:val="left"/>
      <w:outlineLvl w:val="9"/>
    </w:pPr>
    <w:rPr>
      <w:rFonts w:ascii="Cambria" w:hAnsi="Cambria"/>
      <w:bCs/>
      <w:color w:val="365F91"/>
      <w:sz w:val="28"/>
      <w:szCs w:val="28"/>
      <w:lang w:eastAsia="en-US"/>
    </w:rPr>
  </w:style>
  <w:style w:type="character" w:customStyle="1" w:styleId="Heading6Char">
    <w:name w:val="Heading 6 Char"/>
    <w:link w:val="Heading6"/>
    <w:uiPriority w:val="9"/>
    <w:semiHidden/>
    <w:rsid w:val="0019645B"/>
    <w:rPr>
      <w:rFonts w:ascii="Calibri" w:eastAsia="Times New Roman" w:hAnsi="Calibri" w:cs="Times New Roman"/>
      <w:b/>
      <w:bCs/>
      <w:sz w:val="22"/>
      <w:szCs w:val="22"/>
      <w:lang w:val="en-GB" w:eastAsia="en-GB"/>
    </w:rPr>
  </w:style>
  <w:style w:type="paragraph" w:styleId="Revision">
    <w:name w:val="Revision"/>
    <w:hidden/>
    <w:uiPriority w:val="99"/>
    <w:semiHidden/>
    <w:rsid w:val="00EC5081"/>
    <w:rPr>
      <w:lang w:val="en-GB" w:eastAsia="en-GB"/>
    </w:rPr>
  </w:style>
  <w:style w:type="paragraph" w:customStyle="1" w:styleId="heading30">
    <w:name w:val="heading3"/>
    <w:basedOn w:val="Normal"/>
    <w:next w:val="Normal"/>
    <w:link w:val="heading3Char0"/>
    <w:uiPriority w:val="99"/>
    <w:rsid w:val="002C0D5E"/>
    <w:pPr>
      <w:keepNext/>
      <w:overflowPunct w:val="0"/>
      <w:autoSpaceDE w:val="0"/>
      <w:autoSpaceDN w:val="0"/>
      <w:adjustRightInd w:val="0"/>
      <w:spacing w:before="240" w:after="180" w:line="360" w:lineRule="auto"/>
      <w:textAlignment w:val="baseline"/>
    </w:pPr>
    <w:rPr>
      <w:rFonts w:ascii="Arial" w:hAnsi="Arial"/>
      <w:i/>
      <w:iCs/>
      <w:sz w:val="24"/>
      <w:szCs w:val="24"/>
      <w:lang w:eastAsia="de-DE"/>
    </w:rPr>
  </w:style>
  <w:style w:type="character" w:customStyle="1" w:styleId="heading3Char0">
    <w:name w:val="heading3 Char"/>
    <w:link w:val="heading30"/>
    <w:uiPriority w:val="99"/>
    <w:rsid w:val="002C0D5E"/>
    <w:rPr>
      <w:rFonts w:ascii="Arial" w:hAnsi="Arial"/>
      <w:i/>
      <w:iCs/>
      <w:sz w:val="24"/>
      <w:szCs w:val="24"/>
      <w:lang w:eastAsia="de-DE"/>
    </w:rPr>
  </w:style>
  <w:style w:type="character" w:styleId="PlaceholderText">
    <w:name w:val="Placeholder Text"/>
    <w:uiPriority w:val="99"/>
    <w:semiHidden/>
    <w:rsid w:val="000D7789"/>
    <w:rPr>
      <w:color w:val="808080"/>
    </w:rPr>
  </w:style>
  <w:style w:type="character" w:customStyle="1" w:styleId="ref-journal">
    <w:name w:val="ref-journal"/>
    <w:basedOn w:val="DefaultParagraphFont"/>
    <w:rsid w:val="000D7789"/>
  </w:style>
  <w:style w:type="character" w:customStyle="1" w:styleId="ref-vol">
    <w:name w:val="ref-vol"/>
    <w:basedOn w:val="DefaultParagraphFont"/>
    <w:rsid w:val="000D7789"/>
  </w:style>
  <w:style w:type="paragraph" w:customStyle="1" w:styleId="Style10">
    <w:name w:val="Style1"/>
    <w:basedOn w:val="Normal"/>
    <w:link w:val="Style1Char"/>
    <w:qFormat/>
    <w:rsid w:val="00F70A2F"/>
    <w:pPr>
      <w:bidi/>
      <w:spacing w:line="276" w:lineRule="auto"/>
      <w:jc w:val="right"/>
    </w:pPr>
    <w:rPr>
      <w:rFonts w:ascii="B Nazanin" w:eastAsia="Calibri" w:hAnsi="B Nazanin" w:cs="B Nazanin"/>
      <w:sz w:val="24"/>
      <w:szCs w:val="24"/>
      <w:lang w:bidi="fa-IR"/>
    </w:rPr>
  </w:style>
  <w:style w:type="character" w:customStyle="1" w:styleId="Style1Char">
    <w:name w:val="Style1 Char"/>
    <w:link w:val="Style10"/>
    <w:rsid w:val="00F70A2F"/>
    <w:rPr>
      <w:rFonts w:ascii="B Nazanin" w:eastAsia="Calibri" w:hAnsi="B Nazanin" w:cs="B Nazanin"/>
      <w:sz w:val="24"/>
      <w:szCs w:val="24"/>
      <w:lang w:bidi="fa-IR"/>
    </w:rPr>
  </w:style>
  <w:style w:type="character" w:customStyle="1" w:styleId="alt-edited">
    <w:name w:val="alt-edited"/>
    <w:basedOn w:val="DefaultParagraphFont"/>
    <w:rsid w:val="001566F5"/>
  </w:style>
  <w:style w:type="character" w:customStyle="1" w:styleId="mceitemhidden">
    <w:name w:val="mceitemhidden"/>
    <w:basedOn w:val="DefaultParagraphFont"/>
    <w:rsid w:val="001566F5"/>
  </w:style>
  <w:style w:type="character" w:customStyle="1" w:styleId="gt-baf-back">
    <w:name w:val="gt-baf-back"/>
    <w:basedOn w:val="DefaultParagraphFont"/>
    <w:rsid w:val="000F5631"/>
  </w:style>
  <w:style w:type="character" w:styleId="FollowedHyperlink">
    <w:name w:val="FollowedHyperlink"/>
    <w:basedOn w:val="DefaultParagraphFont"/>
    <w:uiPriority w:val="99"/>
    <w:semiHidden/>
    <w:unhideWhenUsed/>
    <w:rsid w:val="00FC35E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342"/>
    <w:rPr>
      <w:lang w:val="en-GB" w:eastAsia="en-GB"/>
    </w:rPr>
  </w:style>
  <w:style w:type="paragraph" w:styleId="Heading1">
    <w:name w:val="heading 1"/>
    <w:basedOn w:val="Normal"/>
    <w:next w:val="Normal"/>
    <w:link w:val="Heading1Char"/>
    <w:uiPriority w:val="9"/>
    <w:qFormat/>
    <w:rsid w:val="002A2342"/>
    <w:pPr>
      <w:keepNext/>
      <w:jc w:val="center"/>
      <w:outlineLvl w:val="0"/>
    </w:pPr>
    <w:rPr>
      <w:b/>
      <w:sz w:val="22"/>
      <w:szCs w:val="22"/>
    </w:rPr>
  </w:style>
  <w:style w:type="paragraph" w:styleId="Heading2">
    <w:name w:val="heading 2"/>
    <w:basedOn w:val="Normal"/>
    <w:next w:val="Normal"/>
    <w:link w:val="Heading2Char"/>
    <w:uiPriority w:val="9"/>
    <w:unhideWhenUsed/>
    <w:qFormat/>
    <w:rsid w:val="0037684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376847"/>
    <w:pPr>
      <w:keepNext/>
      <w:spacing w:before="120" w:after="120"/>
      <w:outlineLvl w:val="2"/>
    </w:pPr>
    <w:rPr>
      <w:rFonts w:ascii="YuTimes" w:hAnsi="YuTimes"/>
      <w:sz w:val="24"/>
      <w:szCs w:val="24"/>
    </w:rPr>
  </w:style>
  <w:style w:type="paragraph" w:styleId="Heading4">
    <w:name w:val="heading 4"/>
    <w:basedOn w:val="Normal"/>
    <w:next w:val="Normal"/>
    <w:link w:val="Heading4Char"/>
    <w:uiPriority w:val="9"/>
    <w:qFormat/>
    <w:rsid w:val="00376847"/>
    <w:pPr>
      <w:keepNext/>
      <w:spacing w:before="120"/>
      <w:jc w:val="center"/>
      <w:outlineLvl w:val="3"/>
    </w:pPr>
    <w:rPr>
      <w:rFonts w:ascii="YuTimes" w:hAnsi="YuTimes"/>
      <w:spacing w:val="-10"/>
      <w:sz w:val="24"/>
      <w:szCs w:val="24"/>
    </w:rPr>
  </w:style>
  <w:style w:type="paragraph" w:styleId="Heading5">
    <w:name w:val="heading 5"/>
    <w:basedOn w:val="Normal"/>
    <w:next w:val="Normal"/>
    <w:link w:val="Heading5Char"/>
    <w:uiPriority w:val="9"/>
    <w:qFormat/>
    <w:rsid w:val="00376847"/>
    <w:pPr>
      <w:keepNext/>
      <w:tabs>
        <w:tab w:val="left" w:pos="540"/>
      </w:tabs>
      <w:spacing w:line="360" w:lineRule="auto"/>
      <w:ind w:firstLine="720"/>
      <w:jc w:val="both"/>
      <w:outlineLvl w:val="4"/>
    </w:pPr>
    <w:rPr>
      <w:b/>
      <w:bCs/>
      <w:sz w:val="24"/>
      <w:szCs w:val="24"/>
    </w:rPr>
  </w:style>
  <w:style w:type="paragraph" w:styleId="Heading6">
    <w:name w:val="heading 6"/>
    <w:basedOn w:val="Normal"/>
    <w:next w:val="Normal"/>
    <w:link w:val="Heading6Char"/>
    <w:uiPriority w:val="9"/>
    <w:unhideWhenUsed/>
    <w:qFormat/>
    <w:rsid w:val="0019645B"/>
    <w:pPr>
      <w:spacing w:before="240" w:after="60"/>
      <w:outlineLvl w:val="5"/>
    </w:pPr>
    <w:rPr>
      <w:rFonts w:ascii="Calibri" w:hAnsi="Calibri"/>
      <w:b/>
      <w:bCs/>
      <w:sz w:val="22"/>
      <w:szCs w:val="22"/>
    </w:rPr>
  </w:style>
  <w:style w:type="paragraph" w:styleId="Heading7">
    <w:name w:val="heading 7"/>
    <w:basedOn w:val="Normal"/>
    <w:next w:val="Normal"/>
    <w:link w:val="Heading7Char"/>
    <w:uiPriority w:val="99"/>
    <w:qFormat/>
    <w:rsid w:val="00376847"/>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A4EB6"/>
    <w:rPr>
      <w:b/>
      <w:sz w:val="22"/>
      <w:szCs w:val="22"/>
      <w:lang w:eastAsia="en-GB"/>
    </w:rPr>
  </w:style>
  <w:style w:type="character" w:customStyle="1" w:styleId="Heading2Char">
    <w:name w:val="Heading 2 Char"/>
    <w:link w:val="Heading2"/>
    <w:uiPriority w:val="9"/>
    <w:semiHidden/>
    <w:rsid w:val="00376847"/>
    <w:rPr>
      <w:rFonts w:ascii="Cambria" w:eastAsia="Times New Roman" w:hAnsi="Cambria" w:cs="Times New Roman"/>
      <w:b/>
      <w:bCs/>
      <w:i/>
      <w:iCs/>
      <w:sz w:val="28"/>
      <w:szCs w:val="28"/>
      <w:lang w:val="en-GB" w:eastAsia="en-GB"/>
    </w:rPr>
  </w:style>
  <w:style w:type="character" w:customStyle="1" w:styleId="Heading3Char">
    <w:name w:val="Heading 3 Char"/>
    <w:link w:val="Heading3"/>
    <w:uiPriority w:val="9"/>
    <w:rsid w:val="00376847"/>
    <w:rPr>
      <w:rFonts w:ascii="YuTimes" w:hAnsi="YuTimes" w:cs="YuTimes"/>
      <w:sz w:val="24"/>
      <w:szCs w:val="24"/>
      <w:lang w:val="en-GB"/>
    </w:rPr>
  </w:style>
  <w:style w:type="character" w:customStyle="1" w:styleId="Heading4Char">
    <w:name w:val="Heading 4 Char"/>
    <w:link w:val="Heading4"/>
    <w:uiPriority w:val="9"/>
    <w:rsid w:val="00376847"/>
    <w:rPr>
      <w:rFonts w:ascii="YuTimes" w:hAnsi="YuTimes" w:cs="YuTimes"/>
      <w:spacing w:val="-10"/>
      <w:sz w:val="24"/>
      <w:szCs w:val="24"/>
      <w:lang w:val="en-GB"/>
    </w:rPr>
  </w:style>
  <w:style w:type="character" w:customStyle="1" w:styleId="Heading5Char">
    <w:name w:val="Heading 5 Char"/>
    <w:link w:val="Heading5"/>
    <w:uiPriority w:val="9"/>
    <w:rsid w:val="00376847"/>
    <w:rPr>
      <w:b/>
      <w:bCs/>
      <w:sz w:val="24"/>
      <w:szCs w:val="24"/>
      <w:lang w:val="en-GB"/>
    </w:rPr>
  </w:style>
  <w:style w:type="character" w:customStyle="1" w:styleId="Heading7Char">
    <w:name w:val="Heading 7 Char"/>
    <w:link w:val="Heading7"/>
    <w:uiPriority w:val="99"/>
    <w:rsid w:val="00376847"/>
    <w:rPr>
      <w:sz w:val="24"/>
      <w:szCs w:val="24"/>
      <w:lang w:val="en-GB"/>
    </w:rPr>
  </w:style>
  <w:style w:type="paragraph" w:styleId="BodyTextIndent">
    <w:name w:val="Body Text Indent"/>
    <w:basedOn w:val="Normal"/>
    <w:link w:val="BodyTextIndentChar"/>
    <w:uiPriority w:val="99"/>
    <w:semiHidden/>
    <w:rsid w:val="002A2342"/>
    <w:pPr>
      <w:ind w:firstLine="720"/>
      <w:jc w:val="both"/>
    </w:pPr>
    <w:rPr>
      <w:sz w:val="22"/>
      <w:szCs w:val="24"/>
    </w:rPr>
  </w:style>
  <w:style w:type="character" w:customStyle="1" w:styleId="BodyTextIndentChar">
    <w:name w:val="Body Text Indent Char"/>
    <w:link w:val="BodyTextIndent"/>
    <w:uiPriority w:val="99"/>
    <w:semiHidden/>
    <w:rsid w:val="00961BAF"/>
    <w:rPr>
      <w:sz w:val="22"/>
      <w:szCs w:val="24"/>
    </w:rPr>
  </w:style>
  <w:style w:type="paragraph" w:customStyle="1" w:styleId="Literatura">
    <w:name w:val="Literatura"/>
    <w:basedOn w:val="Normal"/>
    <w:rsid w:val="002A2342"/>
    <w:pPr>
      <w:widowControl w:val="0"/>
      <w:spacing w:after="120"/>
      <w:ind w:left="1418" w:hanging="1418"/>
      <w:jc w:val="both"/>
    </w:pPr>
    <w:rPr>
      <w:sz w:val="22"/>
      <w:lang w:val="en-US" w:eastAsia="en-US"/>
    </w:rPr>
  </w:style>
  <w:style w:type="character" w:styleId="Hyperlink">
    <w:name w:val="Hyperlink"/>
    <w:uiPriority w:val="99"/>
    <w:rsid w:val="002A2342"/>
    <w:rPr>
      <w:color w:val="0000FF"/>
      <w:u w:val="single"/>
    </w:rPr>
  </w:style>
  <w:style w:type="character" w:styleId="FootnoteReference">
    <w:name w:val="footnote reference"/>
    <w:uiPriority w:val="99"/>
    <w:rsid w:val="002A2342"/>
    <w:rPr>
      <w:vertAlign w:val="superscript"/>
    </w:rPr>
  </w:style>
  <w:style w:type="paragraph" w:styleId="BodyTextIndent3">
    <w:name w:val="Body Text Indent 3"/>
    <w:basedOn w:val="Normal"/>
    <w:link w:val="BodyTextIndent3Char"/>
    <w:uiPriority w:val="99"/>
    <w:rsid w:val="002A2342"/>
    <w:pPr>
      <w:spacing w:after="120"/>
      <w:ind w:left="283"/>
    </w:pPr>
    <w:rPr>
      <w:sz w:val="16"/>
      <w:szCs w:val="16"/>
    </w:rPr>
  </w:style>
  <w:style w:type="character" w:customStyle="1" w:styleId="BodyTextIndent3Char">
    <w:name w:val="Body Text Indent 3 Char"/>
    <w:link w:val="BodyTextIndent3"/>
    <w:uiPriority w:val="99"/>
    <w:locked/>
    <w:rsid w:val="00376847"/>
    <w:rPr>
      <w:sz w:val="16"/>
      <w:szCs w:val="16"/>
      <w:lang w:val="en-GB" w:eastAsia="en-GB"/>
    </w:rPr>
  </w:style>
  <w:style w:type="paragraph" w:styleId="BodyTextIndent2">
    <w:name w:val="Body Text Indent 2"/>
    <w:basedOn w:val="Normal"/>
    <w:link w:val="BodyTextIndent2Char"/>
    <w:uiPriority w:val="99"/>
    <w:rsid w:val="002A2342"/>
    <w:pPr>
      <w:ind w:firstLine="426"/>
      <w:jc w:val="both"/>
    </w:pPr>
    <w:rPr>
      <w:sz w:val="22"/>
      <w:szCs w:val="22"/>
    </w:rPr>
  </w:style>
  <w:style w:type="character" w:customStyle="1" w:styleId="BodyTextIndent2Char">
    <w:name w:val="Body Text Indent 2 Char"/>
    <w:link w:val="BodyTextIndent2"/>
    <w:uiPriority w:val="99"/>
    <w:rsid w:val="00961BAF"/>
    <w:rPr>
      <w:sz w:val="22"/>
      <w:szCs w:val="22"/>
      <w:lang w:eastAsia="en-GB"/>
    </w:rPr>
  </w:style>
  <w:style w:type="paragraph" w:customStyle="1" w:styleId="Literaturaruska">
    <w:name w:val="Literatura_ruska"/>
    <w:basedOn w:val="Literatura"/>
    <w:rsid w:val="002A2342"/>
  </w:style>
  <w:style w:type="paragraph" w:styleId="FootnoteText">
    <w:name w:val="footnote text"/>
    <w:basedOn w:val="Normal"/>
    <w:link w:val="FootnoteTextChar"/>
    <w:uiPriority w:val="99"/>
    <w:rsid w:val="002A2342"/>
  </w:style>
  <w:style w:type="character" w:customStyle="1" w:styleId="FootnoteTextChar">
    <w:name w:val="Footnote Text Char"/>
    <w:link w:val="FootnoteText"/>
    <w:uiPriority w:val="99"/>
    <w:rsid w:val="006A4EB6"/>
    <w:rPr>
      <w:lang w:val="en-GB" w:eastAsia="en-GB"/>
    </w:rPr>
  </w:style>
  <w:style w:type="character" w:customStyle="1" w:styleId="apple-converted-space">
    <w:name w:val="apple-converted-space"/>
    <w:basedOn w:val="DefaultParagraphFont"/>
    <w:rsid w:val="002A2342"/>
  </w:style>
  <w:style w:type="paragraph" w:styleId="BalloonText">
    <w:name w:val="Balloon Text"/>
    <w:basedOn w:val="Normal"/>
    <w:link w:val="BalloonTextChar"/>
    <w:uiPriority w:val="99"/>
    <w:semiHidden/>
    <w:rsid w:val="002A2342"/>
    <w:rPr>
      <w:rFonts w:ascii="Tahoma" w:hAnsi="Tahoma"/>
      <w:sz w:val="16"/>
      <w:szCs w:val="16"/>
    </w:rPr>
  </w:style>
  <w:style w:type="character" w:customStyle="1" w:styleId="BalloonTextChar">
    <w:name w:val="Balloon Text Char"/>
    <w:link w:val="BalloonText"/>
    <w:uiPriority w:val="99"/>
    <w:semiHidden/>
    <w:rsid w:val="00F4019E"/>
    <w:rPr>
      <w:rFonts w:ascii="Tahoma" w:hAnsi="Tahoma" w:cs="Tahoma"/>
      <w:sz w:val="16"/>
      <w:szCs w:val="16"/>
      <w:lang w:val="en-GB" w:eastAsia="en-GB"/>
    </w:rPr>
  </w:style>
  <w:style w:type="character" w:styleId="CommentReference">
    <w:name w:val="annotation reference"/>
    <w:uiPriority w:val="99"/>
    <w:rsid w:val="002A2342"/>
    <w:rPr>
      <w:sz w:val="16"/>
      <w:szCs w:val="16"/>
    </w:rPr>
  </w:style>
  <w:style w:type="paragraph" w:styleId="CommentText">
    <w:name w:val="annotation text"/>
    <w:basedOn w:val="Normal"/>
    <w:link w:val="CommentTextChar"/>
    <w:uiPriority w:val="99"/>
    <w:rsid w:val="002A2342"/>
  </w:style>
  <w:style w:type="character" w:customStyle="1" w:styleId="CommentTextChar">
    <w:name w:val="Comment Text Char"/>
    <w:link w:val="CommentText"/>
    <w:uiPriority w:val="99"/>
    <w:rsid w:val="00E468FA"/>
    <w:rPr>
      <w:lang w:val="en-GB" w:eastAsia="en-GB"/>
    </w:rPr>
  </w:style>
  <w:style w:type="paragraph" w:styleId="CommentSubject">
    <w:name w:val="annotation subject"/>
    <w:basedOn w:val="CommentText"/>
    <w:next w:val="CommentText"/>
    <w:link w:val="CommentSubjectChar"/>
    <w:uiPriority w:val="99"/>
    <w:rsid w:val="002A2342"/>
    <w:rPr>
      <w:b/>
      <w:bCs/>
    </w:rPr>
  </w:style>
  <w:style w:type="character" w:customStyle="1" w:styleId="CommentSubjectChar">
    <w:name w:val="Comment Subject Char"/>
    <w:link w:val="CommentSubject"/>
    <w:uiPriority w:val="99"/>
    <w:rsid w:val="00F4019E"/>
    <w:rPr>
      <w:b/>
      <w:bCs/>
      <w:lang w:val="en-GB" w:eastAsia="en-GB"/>
    </w:rPr>
  </w:style>
  <w:style w:type="paragraph" w:styleId="Header">
    <w:name w:val="header"/>
    <w:basedOn w:val="Normal"/>
    <w:link w:val="HeaderChar"/>
    <w:uiPriority w:val="99"/>
    <w:rsid w:val="002A2342"/>
    <w:pPr>
      <w:tabs>
        <w:tab w:val="center" w:pos="4320"/>
        <w:tab w:val="right" w:pos="8640"/>
      </w:tabs>
    </w:pPr>
  </w:style>
  <w:style w:type="character" w:customStyle="1" w:styleId="HeaderChar">
    <w:name w:val="Header Char"/>
    <w:link w:val="Header"/>
    <w:uiPriority w:val="99"/>
    <w:rsid w:val="00D72ADA"/>
    <w:rPr>
      <w:lang w:val="en-GB" w:eastAsia="en-GB"/>
    </w:rPr>
  </w:style>
  <w:style w:type="paragraph" w:styleId="Footer">
    <w:name w:val="footer"/>
    <w:basedOn w:val="Normal"/>
    <w:link w:val="FooterChar"/>
    <w:uiPriority w:val="99"/>
    <w:rsid w:val="002A2342"/>
    <w:pPr>
      <w:tabs>
        <w:tab w:val="center" w:pos="4320"/>
        <w:tab w:val="right" w:pos="8640"/>
      </w:tabs>
    </w:pPr>
  </w:style>
  <w:style w:type="character" w:customStyle="1" w:styleId="FooterChar">
    <w:name w:val="Footer Char"/>
    <w:link w:val="Footer"/>
    <w:uiPriority w:val="99"/>
    <w:rsid w:val="00D72ADA"/>
    <w:rPr>
      <w:lang w:val="en-GB" w:eastAsia="en-GB"/>
    </w:rPr>
  </w:style>
  <w:style w:type="character" w:styleId="PageNumber">
    <w:name w:val="page number"/>
    <w:basedOn w:val="DefaultParagraphFont"/>
    <w:uiPriority w:val="99"/>
    <w:rsid w:val="002A2342"/>
  </w:style>
  <w:style w:type="character" w:customStyle="1" w:styleId="pixel2">
    <w:name w:val="pixel2"/>
    <w:basedOn w:val="DefaultParagraphFont"/>
    <w:rsid w:val="002E2B30"/>
  </w:style>
  <w:style w:type="character" w:styleId="Strong">
    <w:name w:val="Strong"/>
    <w:uiPriority w:val="22"/>
    <w:qFormat/>
    <w:rsid w:val="002E2B30"/>
    <w:rPr>
      <w:b/>
      <w:bCs/>
    </w:rPr>
  </w:style>
  <w:style w:type="character" w:customStyle="1" w:styleId="note">
    <w:name w:val="note"/>
    <w:basedOn w:val="DefaultParagraphFont"/>
    <w:rsid w:val="002E2B30"/>
  </w:style>
  <w:style w:type="character" w:customStyle="1" w:styleId="nickname">
    <w:name w:val="nickname"/>
    <w:basedOn w:val="DefaultParagraphFont"/>
    <w:rsid w:val="002E2B30"/>
  </w:style>
  <w:style w:type="character" w:customStyle="1" w:styleId="binomial">
    <w:name w:val="binomial"/>
    <w:basedOn w:val="DefaultParagraphFont"/>
    <w:rsid w:val="002E2B30"/>
  </w:style>
  <w:style w:type="character" w:customStyle="1" w:styleId="citation-publication-date">
    <w:name w:val="citation-publication-date"/>
    <w:basedOn w:val="DefaultParagraphFont"/>
    <w:rsid w:val="00B4018B"/>
  </w:style>
  <w:style w:type="paragraph" w:styleId="EndnoteText">
    <w:name w:val="endnote text"/>
    <w:basedOn w:val="Normal"/>
    <w:link w:val="EndnoteTextChar"/>
    <w:uiPriority w:val="99"/>
    <w:unhideWhenUsed/>
    <w:rsid w:val="00A37F4C"/>
  </w:style>
  <w:style w:type="character" w:customStyle="1" w:styleId="EndnoteTextChar">
    <w:name w:val="Endnote Text Char"/>
    <w:link w:val="EndnoteText"/>
    <w:uiPriority w:val="99"/>
    <w:rsid w:val="00A37F4C"/>
    <w:rPr>
      <w:lang w:val="en-GB" w:eastAsia="en-GB"/>
    </w:rPr>
  </w:style>
  <w:style w:type="character" w:styleId="EndnoteReference">
    <w:name w:val="endnote reference"/>
    <w:uiPriority w:val="99"/>
    <w:unhideWhenUsed/>
    <w:rsid w:val="00A37F4C"/>
    <w:rPr>
      <w:vertAlign w:val="superscript"/>
    </w:rPr>
  </w:style>
  <w:style w:type="character" w:customStyle="1" w:styleId="mediumtext1">
    <w:name w:val="medium_text1"/>
    <w:rsid w:val="006A4EB6"/>
    <w:rPr>
      <w:sz w:val="22"/>
      <w:szCs w:val="22"/>
    </w:rPr>
  </w:style>
  <w:style w:type="character" w:customStyle="1" w:styleId="longtext1">
    <w:name w:val="long_text1"/>
    <w:rsid w:val="006A4EB6"/>
    <w:rPr>
      <w:sz w:val="18"/>
      <w:szCs w:val="18"/>
    </w:rPr>
  </w:style>
  <w:style w:type="character" w:customStyle="1" w:styleId="shorttext1">
    <w:name w:val="short_text1"/>
    <w:rsid w:val="006A4EB6"/>
    <w:rPr>
      <w:sz w:val="26"/>
      <w:szCs w:val="26"/>
    </w:rPr>
  </w:style>
  <w:style w:type="paragraph" w:customStyle="1" w:styleId="Default">
    <w:name w:val="Default"/>
    <w:rsid w:val="006A4EB6"/>
    <w:pPr>
      <w:autoSpaceDE w:val="0"/>
      <w:autoSpaceDN w:val="0"/>
      <w:adjustRightInd w:val="0"/>
    </w:pPr>
    <w:rPr>
      <w:rFonts w:ascii="JGBZHV+Swiss721BT-LightCondense" w:hAnsi="JGBZHV+Swiss721BT-LightCondense" w:cs="JGBZHV+Swiss721BT-LightCondense"/>
      <w:color w:val="000000"/>
      <w:sz w:val="24"/>
      <w:szCs w:val="24"/>
    </w:rPr>
  </w:style>
  <w:style w:type="character" w:customStyle="1" w:styleId="shorttext">
    <w:name w:val="short_text"/>
    <w:basedOn w:val="DefaultParagraphFont"/>
    <w:rsid w:val="0028466A"/>
  </w:style>
  <w:style w:type="paragraph" w:styleId="BodyText3">
    <w:name w:val="Body Text 3"/>
    <w:basedOn w:val="Normal"/>
    <w:link w:val="BodyText3Char"/>
    <w:rsid w:val="0028466A"/>
    <w:pPr>
      <w:spacing w:after="120"/>
    </w:pPr>
    <w:rPr>
      <w:sz w:val="16"/>
      <w:szCs w:val="16"/>
    </w:rPr>
  </w:style>
  <w:style w:type="character" w:customStyle="1" w:styleId="BodyText3Char">
    <w:name w:val="Body Text 3 Char"/>
    <w:link w:val="BodyText3"/>
    <w:rsid w:val="0028466A"/>
    <w:rPr>
      <w:sz w:val="16"/>
      <w:szCs w:val="16"/>
    </w:rPr>
  </w:style>
  <w:style w:type="paragraph" w:styleId="BodyText">
    <w:name w:val="Body Text"/>
    <w:aliases w:val="Body Text Char Char,Body Text Char Char Char"/>
    <w:basedOn w:val="Normal"/>
    <w:link w:val="BodyTextChar"/>
    <w:uiPriority w:val="99"/>
    <w:rsid w:val="0028466A"/>
    <w:pPr>
      <w:spacing w:after="120"/>
    </w:pPr>
    <w:rPr>
      <w:sz w:val="24"/>
      <w:szCs w:val="24"/>
    </w:rPr>
  </w:style>
  <w:style w:type="character" w:customStyle="1" w:styleId="BodyTextChar">
    <w:name w:val="Body Text Char"/>
    <w:aliases w:val="Body Text Char Char Char1,Body Text Char Char Char Char"/>
    <w:link w:val="BodyText"/>
    <w:uiPriority w:val="99"/>
    <w:rsid w:val="0028466A"/>
    <w:rPr>
      <w:sz w:val="24"/>
      <w:szCs w:val="24"/>
    </w:rPr>
  </w:style>
  <w:style w:type="table" w:styleId="TableGrid">
    <w:name w:val="Table Grid"/>
    <w:basedOn w:val="TableNormal"/>
    <w:uiPriority w:val="59"/>
    <w:rsid w:val="00284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3F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rPr>
  </w:style>
  <w:style w:type="character" w:customStyle="1" w:styleId="HTMLPreformattedChar">
    <w:name w:val="HTML Preformatted Char"/>
    <w:link w:val="HTMLPreformatted"/>
    <w:uiPriority w:val="99"/>
    <w:rsid w:val="003F0E1D"/>
    <w:rPr>
      <w:rFonts w:ascii="Courier New" w:hAnsi="Courier New" w:cs="Courier New"/>
      <w:color w:val="000000"/>
    </w:rPr>
  </w:style>
  <w:style w:type="character" w:customStyle="1" w:styleId="hps">
    <w:name w:val="hps"/>
    <w:rsid w:val="00DC5715"/>
    <w:rPr>
      <w:rFonts w:cs="Times New Roman"/>
    </w:rPr>
  </w:style>
  <w:style w:type="character" w:styleId="Emphasis">
    <w:name w:val="Emphasis"/>
    <w:uiPriority w:val="20"/>
    <w:qFormat/>
    <w:rsid w:val="00DC5715"/>
    <w:rPr>
      <w:rFonts w:cs="Times New Roman"/>
      <w:i/>
      <w:iCs/>
    </w:rPr>
  </w:style>
  <w:style w:type="character" w:customStyle="1" w:styleId="atn">
    <w:name w:val="atn"/>
    <w:rsid w:val="00DC5715"/>
    <w:rPr>
      <w:rFonts w:cs="Times New Roman"/>
    </w:rPr>
  </w:style>
  <w:style w:type="paragraph" w:styleId="Caption">
    <w:name w:val="caption"/>
    <w:basedOn w:val="Normal"/>
    <w:next w:val="Normal"/>
    <w:uiPriority w:val="35"/>
    <w:qFormat/>
    <w:rsid w:val="00A24693"/>
    <w:pPr>
      <w:spacing w:after="200"/>
      <w:ind w:firstLine="720"/>
      <w:jc w:val="both"/>
    </w:pPr>
    <w:rPr>
      <w:rFonts w:eastAsia="Calibri"/>
      <w:b/>
      <w:bCs/>
      <w:color w:val="4F81BD"/>
      <w:sz w:val="18"/>
      <w:szCs w:val="18"/>
      <w:lang w:val="hr-HR" w:eastAsia="en-US"/>
    </w:rPr>
  </w:style>
  <w:style w:type="character" w:customStyle="1" w:styleId="st">
    <w:name w:val="st"/>
    <w:basedOn w:val="DefaultParagraphFont"/>
    <w:rsid w:val="00E468FA"/>
  </w:style>
  <w:style w:type="character" w:styleId="BookTitle">
    <w:name w:val="Book Title"/>
    <w:uiPriority w:val="33"/>
    <w:qFormat/>
    <w:rsid w:val="00F4019E"/>
    <w:rPr>
      <w:b/>
      <w:bCs/>
      <w:smallCaps/>
      <w:spacing w:val="5"/>
    </w:rPr>
  </w:style>
  <w:style w:type="paragraph" w:styleId="ListParagraph">
    <w:name w:val="List Paragraph"/>
    <w:basedOn w:val="Normal"/>
    <w:uiPriority w:val="34"/>
    <w:qFormat/>
    <w:rsid w:val="00D72ADA"/>
    <w:pPr>
      <w:spacing w:after="200" w:line="276" w:lineRule="auto"/>
      <w:ind w:left="720"/>
      <w:contextualSpacing/>
    </w:pPr>
    <w:rPr>
      <w:rFonts w:ascii="Calibri" w:eastAsia="Calibri" w:hAnsi="Calibri"/>
      <w:sz w:val="22"/>
      <w:szCs w:val="22"/>
      <w:lang w:eastAsia="en-US"/>
    </w:rPr>
  </w:style>
  <w:style w:type="character" w:styleId="LineNumber">
    <w:name w:val="line number"/>
    <w:basedOn w:val="DefaultParagraphFont"/>
    <w:uiPriority w:val="99"/>
    <w:unhideWhenUsed/>
    <w:rsid w:val="00D72ADA"/>
  </w:style>
  <w:style w:type="paragraph" w:customStyle="1" w:styleId="Style1">
    <w:name w:val="Style 1"/>
    <w:basedOn w:val="Normal"/>
    <w:rsid w:val="00140F88"/>
    <w:pPr>
      <w:widowControl w:val="0"/>
      <w:autoSpaceDE w:val="0"/>
      <w:autoSpaceDN w:val="0"/>
      <w:spacing w:before="216"/>
      <w:ind w:left="792" w:hanging="720"/>
      <w:jc w:val="both"/>
    </w:pPr>
    <w:rPr>
      <w:sz w:val="24"/>
      <w:szCs w:val="24"/>
      <w:lang w:val="en-US" w:eastAsia="en-US"/>
    </w:rPr>
  </w:style>
  <w:style w:type="paragraph" w:styleId="NormalIndent">
    <w:name w:val="Normal Indent"/>
    <w:basedOn w:val="Normal"/>
    <w:semiHidden/>
    <w:rsid w:val="002603D6"/>
    <w:pPr>
      <w:ind w:left="708"/>
    </w:pPr>
    <w:rPr>
      <w:sz w:val="24"/>
      <w:szCs w:val="24"/>
      <w:lang w:val="ru-RU" w:eastAsia="ru-RU"/>
    </w:rPr>
  </w:style>
  <w:style w:type="character" w:customStyle="1" w:styleId="longtext">
    <w:name w:val="long_text"/>
    <w:basedOn w:val="DefaultParagraphFont"/>
    <w:uiPriority w:val="99"/>
    <w:rsid w:val="002603D6"/>
  </w:style>
  <w:style w:type="paragraph" w:customStyle="1" w:styleId="2">
    <w:name w:val="Знак2"/>
    <w:basedOn w:val="Normal"/>
    <w:rsid w:val="002603D6"/>
    <w:pPr>
      <w:pageBreakBefore/>
      <w:spacing w:after="160" w:line="360" w:lineRule="auto"/>
    </w:pPr>
    <w:rPr>
      <w:sz w:val="28"/>
      <w:lang w:val="en-US" w:eastAsia="en-US"/>
    </w:rPr>
  </w:style>
  <w:style w:type="paragraph" w:customStyle="1" w:styleId="3">
    <w:name w:val="Знак3"/>
    <w:basedOn w:val="Normal"/>
    <w:rsid w:val="002603D6"/>
    <w:pPr>
      <w:pageBreakBefore/>
      <w:spacing w:after="160" w:line="360" w:lineRule="auto"/>
    </w:pPr>
    <w:rPr>
      <w:sz w:val="28"/>
      <w:lang w:val="en-US" w:eastAsia="en-US"/>
    </w:rPr>
  </w:style>
  <w:style w:type="paragraph" w:styleId="BodyText2">
    <w:name w:val="Body Text 2"/>
    <w:basedOn w:val="Normal"/>
    <w:link w:val="BodyText2Char"/>
    <w:uiPriority w:val="99"/>
    <w:unhideWhenUsed/>
    <w:rsid w:val="00961BAF"/>
    <w:pPr>
      <w:spacing w:after="120" w:line="480" w:lineRule="auto"/>
    </w:pPr>
  </w:style>
  <w:style w:type="character" w:customStyle="1" w:styleId="BodyText2Char">
    <w:name w:val="Body Text 2 Char"/>
    <w:link w:val="BodyText2"/>
    <w:uiPriority w:val="99"/>
    <w:semiHidden/>
    <w:rsid w:val="00961BAF"/>
    <w:rPr>
      <w:lang w:val="en-GB" w:eastAsia="en-GB"/>
    </w:rPr>
  </w:style>
  <w:style w:type="paragraph" w:styleId="NoSpacing">
    <w:name w:val="No Spacing"/>
    <w:uiPriority w:val="1"/>
    <w:qFormat/>
    <w:rsid w:val="00961BAF"/>
    <w:pPr>
      <w:ind w:left="284" w:right="284" w:hanging="284"/>
      <w:jc w:val="right"/>
    </w:pPr>
    <w:rPr>
      <w:rFonts w:ascii="Calibri" w:eastAsia="Calibri" w:hAnsi="Calibri"/>
      <w:sz w:val="22"/>
      <w:szCs w:val="22"/>
      <w:lang w:bidi="fa-IR"/>
    </w:rPr>
  </w:style>
  <w:style w:type="paragraph" w:styleId="NormalWeb">
    <w:name w:val="Normal (Web)"/>
    <w:basedOn w:val="Normal"/>
    <w:uiPriority w:val="99"/>
    <w:unhideWhenUsed/>
    <w:rsid w:val="00961BAF"/>
    <w:pPr>
      <w:spacing w:before="100" w:beforeAutospacing="1" w:after="100" w:afterAutospacing="1"/>
      <w:jc w:val="right"/>
    </w:pPr>
    <w:rPr>
      <w:sz w:val="24"/>
      <w:szCs w:val="24"/>
      <w:lang w:val="en-US" w:eastAsia="en-US" w:bidi="fa-IR"/>
    </w:rPr>
  </w:style>
  <w:style w:type="paragraph" w:customStyle="1" w:styleId="Pa15">
    <w:name w:val="Pa15"/>
    <w:basedOn w:val="Default"/>
    <w:next w:val="Default"/>
    <w:uiPriority w:val="99"/>
    <w:rsid w:val="00961BAF"/>
    <w:pPr>
      <w:spacing w:line="201" w:lineRule="atLeast"/>
    </w:pPr>
    <w:rPr>
      <w:rFonts w:ascii="Garamond Premr Pro" w:eastAsia="Calibri" w:hAnsi="Garamond Premr Pro" w:cs="Arial"/>
      <w:color w:val="auto"/>
      <w:lang w:val="en-GB"/>
    </w:rPr>
  </w:style>
  <w:style w:type="character" w:customStyle="1" w:styleId="A11">
    <w:name w:val="A11"/>
    <w:uiPriority w:val="99"/>
    <w:rsid w:val="00961BAF"/>
    <w:rPr>
      <w:rFonts w:cs="Garamond Premr Pro"/>
      <w:color w:val="000000"/>
      <w:sz w:val="11"/>
      <w:szCs w:val="11"/>
    </w:rPr>
  </w:style>
  <w:style w:type="paragraph" w:customStyle="1" w:styleId="Pa3">
    <w:name w:val="Pa3"/>
    <w:basedOn w:val="Default"/>
    <w:next w:val="Default"/>
    <w:uiPriority w:val="99"/>
    <w:rsid w:val="00961BAF"/>
    <w:pPr>
      <w:spacing w:line="321" w:lineRule="atLeast"/>
    </w:pPr>
    <w:rPr>
      <w:rFonts w:ascii="Garamond Premr Pro Smbd" w:eastAsia="Calibri" w:hAnsi="Garamond Premr Pro Smbd" w:cs="Arial"/>
      <w:color w:val="auto"/>
      <w:lang w:val="en-GB"/>
    </w:rPr>
  </w:style>
  <w:style w:type="character" w:styleId="IntenseReference">
    <w:name w:val="Intense Reference"/>
    <w:uiPriority w:val="32"/>
    <w:qFormat/>
    <w:rsid w:val="00961BAF"/>
    <w:rPr>
      <w:b/>
      <w:bCs/>
      <w:smallCaps/>
      <w:color w:val="C0504D"/>
      <w:spacing w:val="5"/>
      <w:u w:val="single"/>
    </w:rPr>
  </w:style>
  <w:style w:type="character" w:customStyle="1" w:styleId="st1">
    <w:name w:val="st1"/>
    <w:basedOn w:val="DefaultParagraphFont"/>
    <w:rsid w:val="00961BAF"/>
  </w:style>
  <w:style w:type="paragraph" w:styleId="Quote">
    <w:name w:val="Quote"/>
    <w:basedOn w:val="Normal"/>
    <w:next w:val="Normal"/>
    <w:link w:val="QuoteChar"/>
    <w:uiPriority w:val="29"/>
    <w:qFormat/>
    <w:rsid w:val="00961BAF"/>
    <w:pPr>
      <w:spacing w:after="200" w:line="276" w:lineRule="auto"/>
    </w:pPr>
    <w:rPr>
      <w:rFonts w:ascii="Calibri" w:eastAsia="Calibri" w:hAnsi="Calibri"/>
      <w:i/>
      <w:iCs/>
      <w:color w:val="000000"/>
      <w:sz w:val="22"/>
      <w:szCs w:val="22"/>
    </w:rPr>
  </w:style>
  <w:style w:type="character" w:customStyle="1" w:styleId="QuoteChar">
    <w:name w:val="Quote Char"/>
    <w:link w:val="Quote"/>
    <w:uiPriority w:val="29"/>
    <w:rsid w:val="00961BAF"/>
    <w:rPr>
      <w:rFonts w:ascii="Calibri" w:eastAsia="Calibri" w:hAnsi="Calibri" w:cs="Arial"/>
      <w:i/>
      <w:iCs/>
      <w:color w:val="000000"/>
      <w:sz w:val="22"/>
      <w:szCs w:val="22"/>
      <w:lang w:val="en-GB"/>
    </w:rPr>
  </w:style>
  <w:style w:type="paragraph" w:styleId="IntenseQuote">
    <w:name w:val="Intense Quote"/>
    <w:basedOn w:val="Normal"/>
    <w:next w:val="Normal"/>
    <w:link w:val="IntenseQuoteChar"/>
    <w:uiPriority w:val="30"/>
    <w:qFormat/>
    <w:rsid w:val="00961BAF"/>
    <w:pPr>
      <w:pBdr>
        <w:bottom w:val="single" w:sz="4" w:space="4" w:color="4F81BD"/>
      </w:pBdr>
      <w:spacing w:before="200" w:after="280" w:line="276" w:lineRule="auto"/>
      <w:ind w:left="936" w:right="936"/>
    </w:pPr>
    <w:rPr>
      <w:rFonts w:ascii="Calibri" w:eastAsia="Calibri" w:hAnsi="Calibri"/>
      <w:b/>
      <w:bCs/>
      <w:i/>
      <w:iCs/>
      <w:color w:val="4F81BD"/>
      <w:sz w:val="22"/>
      <w:szCs w:val="22"/>
    </w:rPr>
  </w:style>
  <w:style w:type="character" w:customStyle="1" w:styleId="IntenseQuoteChar">
    <w:name w:val="Intense Quote Char"/>
    <w:link w:val="IntenseQuote"/>
    <w:uiPriority w:val="30"/>
    <w:rsid w:val="00961BAF"/>
    <w:rPr>
      <w:rFonts w:ascii="Calibri" w:eastAsia="Calibri" w:hAnsi="Calibri" w:cs="Arial"/>
      <w:b/>
      <w:bCs/>
      <w:i/>
      <w:iCs/>
      <w:color w:val="4F81BD"/>
      <w:sz w:val="22"/>
      <w:szCs w:val="22"/>
      <w:lang w:val="en-GB"/>
    </w:rPr>
  </w:style>
  <w:style w:type="paragraph" w:customStyle="1" w:styleId="NormalJustified">
    <w:name w:val="Normal + Justified"/>
    <w:aliases w:val="Left:  0&quot;,Hanging:  0.5&quot;"/>
    <w:basedOn w:val="Normal"/>
    <w:rsid w:val="007873B0"/>
    <w:pPr>
      <w:ind w:left="720" w:hanging="720"/>
      <w:jc w:val="both"/>
    </w:pPr>
    <w:rPr>
      <w:spacing w:val="6"/>
      <w:sz w:val="24"/>
      <w:szCs w:val="24"/>
      <w:lang w:val="en-US" w:eastAsia="en-US"/>
    </w:rPr>
  </w:style>
  <w:style w:type="paragraph" w:styleId="DocumentMap">
    <w:name w:val="Document Map"/>
    <w:basedOn w:val="Normal"/>
    <w:link w:val="DocumentMapChar"/>
    <w:uiPriority w:val="99"/>
    <w:semiHidden/>
    <w:unhideWhenUsed/>
    <w:rsid w:val="00084783"/>
    <w:rPr>
      <w:rFonts w:ascii="Tahoma" w:hAnsi="Tahoma"/>
      <w:sz w:val="16"/>
      <w:szCs w:val="16"/>
    </w:rPr>
  </w:style>
  <w:style w:type="character" w:customStyle="1" w:styleId="DocumentMapChar">
    <w:name w:val="Document Map Char"/>
    <w:link w:val="DocumentMap"/>
    <w:uiPriority w:val="99"/>
    <w:semiHidden/>
    <w:rsid w:val="00084783"/>
    <w:rPr>
      <w:rFonts w:ascii="Tahoma" w:hAnsi="Tahoma" w:cs="Tahoma"/>
      <w:sz w:val="16"/>
      <w:szCs w:val="16"/>
      <w:lang w:val="en-GB" w:eastAsia="en-GB"/>
    </w:rPr>
  </w:style>
  <w:style w:type="paragraph" w:styleId="Title">
    <w:name w:val="Title"/>
    <w:basedOn w:val="Normal"/>
    <w:link w:val="TitleChar"/>
    <w:qFormat/>
    <w:rsid w:val="00FA3E3E"/>
    <w:pPr>
      <w:spacing w:line="480" w:lineRule="auto"/>
      <w:jc w:val="center"/>
    </w:pPr>
    <w:rPr>
      <w:b/>
      <w:bCs/>
      <w:sz w:val="28"/>
      <w:szCs w:val="28"/>
      <w:lang w:bidi="fa-IR"/>
    </w:rPr>
  </w:style>
  <w:style w:type="character" w:customStyle="1" w:styleId="TitleChar">
    <w:name w:val="Title Char"/>
    <w:link w:val="Title"/>
    <w:rsid w:val="00FA3E3E"/>
    <w:rPr>
      <w:b/>
      <w:bCs/>
      <w:sz w:val="28"/>
      <w:szCs w:val="28"/>
      <w:lang w:bidi="fa-IR"/>
    </w:rPr>
  </w:style>
  <w:style w:type="paragraph" w:customStyle="1" w:styleId="pavadin">
    <w:name w:val="pavadin"/>
    <w:basedOn w:val="Normal"/>
    <w:uiPriority w:val="99"/>
    <w:rsid w:val="00376847"/>
    <w:pPr>
      <w:spacing w:before="100" w:beforeAutospacing="1" w:after="100" w:afterAutospacing="1"/>
    </w:pPr>
    <w:rPr>
      <w:sz w:val="24"/>
      <w:szCs w:val="24"/>
      <w:lang w:val="en-US" w:eastAsia="en-US"/>
    </w:rPr>
  </w:style>
  <w:style w:type="paragraph" w:customStyle="1" w:styleId="pavarde">
    <w:name w:val="pavarde"/>
    <w:basedOn w:val="Normal"/>
    <w:uiPriority w:val="99"/>
    <w:rsid w:val="00376847"/>
    <w:pPr>
      <w:spacing w:before="100" w:beforeAutospacing="1" w:after="100" w:afterAutospacing="1"/>
    </w:pPr>
    <w:rPr>
      <w:sz w:val="24"/>
      <w:szCs w:val="24"/>
      <w:lang w:val="en-US" w:eastAsia="en-US"/>
    </w:rPr>
  </w:style>
  <w:style w:type="character" w:customStyle="1" w:styleId="spelle">
    <w:name w:val="spelle"/>
    <w:uiPriority w:val="99"/>
    <w:rsid w:val="00376847"/>
    <w:rPr>
      <w:rFonts w:cs="Times New Roman"/>
    </w:rPr>
  </w:style>
  <w:style w:type="paragraph" w:customStyle="1" w:styleId="CharCharCharCharCharCharCharCharCharChar">
    <w:name w:val="Char Char Char Char Char Char Char Char Char Char"/>
    <w:basedOn w:val="Normal"/>
    <w:rsid w:val="00376847"/>
    <w:pPr>
      <w:spacing w:after="160" w:line="240" w:lineRule="exact"/>
    </w:pPr>
    <w:rPr>
      <w:rFonts w:ascii="Arial" w:hAnsi="Arial" w:cs="Arial"/>
      <w:lang w:val="en-US" w:eastAsia="en-US"/>
    </w:rPr>
  </w:style>
  <w:style w:type="paragraph" w:customStyle="1" w:styleId="Char">
    <w:name w:val="Char"/>
    <w:basedOn w:val="Normal"/>
    <w:uiPriority w:val="99"/>
    <w:rsid w:val="00376847"/>
    <w:pPr>
      <w:spacing w:after="160" w:line="240" w:lineRule="exact"/>
    </w:pPr>
    <w:rPr>
      <w:rFonts w:ascii="Arial" w:hAnsi="Arial" w:cs="Arial"/>
      <w:lang w:val="en-US" w:eastAsia="en-US"/>
    </w:rPr>
  </w:style>
  <w:style w:type="character" w:customStyle="1" w:styleId="book-details-italic">
    <w:name w:val="book-details-italic"/>
    <w:rsid w:val="00376847"/>
    <w:rPr>
      <w:rFonts w:cs="Times New Roman"/>
    </w:rPr>
  </w:style>
  <w:style w:type="character" w:customStyle="1" w:styleId="cit-auth">
    <w:name w:val="cit-auth"/>
    <w:rsid w:val="008E768F"/>
    <w:rPr>
      <w:rFonts w:cs="Times New Roman"/>
    </w:rPr>
  </w:style>
  <w:style w:type="character" w:customStyle="1" w:styleId="cit-name-surname">
    <w:name w:val="cit-name-surname"/>
    <w:rsid w:val="008E768F"/>
    <w:rPr>
      <w:rFonts w:cs="Times New Roman"/>
    </w:rPr>
  </w:style>
  <w:style w:type="character" w:customStyle="1" w:styleId="cit-name-given-names">
    <w:name w:val="cit-name-given-names"/>
    <w:rsid w:val="008E768F"/>
    <w:rPr>
      <w:rFonts w:cs="Times New Roman"/>
    </w:rPr>
  </w:style>
  <w:style w:type="character" w:customStyle="1" w:styleId="cit-pub-date">
    <w:name w:val="cit-pub-date"/>
    <w:rsid w:val="008E768F"/>
    <w:rPr>
      <w:rFonts w:cs="Times New Roman"/>
    </w:rPr>
  </w:style>
  <w:style w:type="character" w:customStyle="1" w:styleId="cit-article-title">
    <w:name w:val="cit-article-title"/>
    <w:rsid w:val="008E768F"/>
    <w:rPr>
      <w:rFonts w:cs="Times New Roman"/>
    </w:rPr>
  </w:style>
  <w:style w:type="character" w:customStyle="1" w:styleId="cit-vol">
    <w:name w:val="cit-vol"/>
    <w:rsid w:val="008E768F"/>
    <w:rPr>
      <w:rFonts w:cs="Times New Roman"/>
    </w:rPr>
  </w:style>
  <w:style w:type="character" w:customStyle="1" w:styleId="cit-fpage">
    <w:name w:val="cit-fpage"/>
    <w:rsid w:val="008E768F"/>
    <w:rPr>
      <w:rFonts w:cs="Times New Roman"/>
    </w:rPr>
  </w:style>
  <w:style w:type="character" w:customStyle="1" w:styleId="cit-lpage">
    <w:name w:val="cit-lpage"/>
    <w:rsid w:val="008E768F"/>
    <w:rPr>
      <w:rFonts w:cs="Times New Roman"/>
    </w:rPr>
  </w:style>
  <w:style w:type="paragraph" w:customStyle="1" w:styleId="CharCharCharChar">
    <w:name w:val="Char Char Char Char"/>
    <w:basedOn w:val="Normal"/>
    <w:rsid w:val="008E768F"/>
    <w:pPr>
      <w:spacing w:after="160" w:line="240" w:lineRule="exact"/>
    </w:pPr>
    <w:rPr>
      <w:rFonts w:ascii="Arial" w:hAnsi="Arial" w:cs="Arial"/>
      <w:lang w:val="en-US" w:eastAsia="en-US"/>
    </w:rPr>
  </w:style>
  <w:style w:type="paragraph" w:customStyle="1" w:styleId="CharCharCharCharCharCharCharCharCharChar0">
    <w:name w:val="Char Char Char Char Char Char Char Char Char Char"/>
    <w:basedOn w:val="Normal"/>
    <w:rsid w:val="008E768F"/>
    <w:pPr>
      <w:spacing w:after="160" w:line="240" w:lineRule="exact"/>
    </w:pPr>
    <w:rPr>
      <w:rFonts w:ascii="Arial" w:hAnsi="Arial" w:cs="Arial"/>
      <w:lang w:val="en-US" w:eastAsia="en-US"/>
    </w:rPr>
  </w:style>
  <w:style w:type="paragraph" w:styleId="TOCHeading">
    <w:name w:val="TOC Heading"/>
    <w:basedOn w:val="Heading1"/>
    <w:next w:val="Normal"/>
    <w:uiPriority w:val="39"/>
    <w:semiHidden/>
    <w:unhideWhenUsed/>
    <w:qFormat/>
    <w:rsid w:val="008E768F"/>
    <w:pPr>
      <w:keepLines/>
      <w:spacing w:before="480" w:line="276" w:lineRule="auto"/>
      <w:jc w:val="left"/>
      <w:outlineLvl w:val="9"/>
    </w:pPr>
    <w:rPr>
      <w:rFonts w:ascii="Cambria" w:hAnsi="Cambria"/>
      <w:bCs/>
      <w:color w:val="365F91"/>
      <w:sz w:val="28"/>
      <w:szCs w:val="28"/>
      <w:lang w:eastAsia="en-US"/>
    </w:rPr>
  </w:style>
  <w:style w:type="character" w:customStyle="1" w:styleId="Heading6Char">
    <w:name w:val="Heading 6 Char"/>
    <w:link w:val="Heading6"/>
    <w:uiPriority w:val="9"/>
    <w:semiHidden/>
    <w:rsid w:val="0019645B"/>
    <w:rPr>
      <w:rFonts w:ascii="Calibri" w:eastAsia="Times New Roman" w:hAnsi="Calibri" w:cs="Times New Roman"/>
      <w:b/>
      <w:bCs/>
      <w:sz w:val="22"/>
      <w:szCs w:val="22"/>
      <w:lang w:val="en-GB" w:eastAsia="en-GB"/>
    </w:rPr>
  </w:style>
  <w:style w:type="paragraph" w:styleId="Revision">
    <w:name w:val="Revision"/>
    <w:hidden/>
    <w:uiPriority w:val="99"/>
    <w:semiHidden/>
    <w:rsid w:val="00EC5081"/>
    <w:rPr>
      <w:lang w:val="en-GB" w:eastAsia="en-GB"/>
    </w:rPr>
  </w:style>
  <w:style w:type="paragraph" w:customStyle="1" w:styleId="heading30">
    <w:name w:val="heading3"/>
    <w:basedOn w:val="Normal"/>
    <w:next w:val="Normal"/>
    <w:link w:val="heading3Char0"/>
    <w:uiPriority w:val="99"/>
    <w:rsid w:val="002C0D5E"/>
    <w:pPr>
      <w:keepNext/>
      <w:overflowPunct w:val="0"/>
      <w:autoSpaceDE w:val="0"/>
      <w:autoSpaceDN w:val="0"/>
      <w:adjustRightInd w:val="0"/>
      <w:spacing w:before="240" w:after="180" w:line="360" w:lineRule="auto"/>
      <w:textAlignment w:val="baseline"/>
    </w:pPr>
    <w:rPr>
      <w:rFonts w:ascii="Arial" w:hAnsi="Arial"/>
      <w:i/>
      <w:iCs/>
      <w:sz w:val="24"/>
      <w:szCs w:val="24"/>
      <w:lang w:eastAsia="de-DE"/>
    </w:rPr>
  </w:style>
  <w:style w:type="character" w:customStyle="1" w:styleId="heading3Char0">
    <w:name w:val="heading3 Char"/>
    <w:link w:val="heading30"/>
    <w:uiPriority w:val="99"/>
    <w:rsid w:val="002C0D5E"/>
    <w:rPr>
      <w:rFonts w:ascii="Arial" w:hAnsi="Arial"/>
      <w:i/>
      <w:iCs/>
      <w:sz w:val="24"/>
      <w:szCs w:val="24"/>
      <w:lang w:eastAsia="de-DE"/>
    </w:rPr>
  </w:style>
  <w:style w:type="character" w:styleId="PlaceholderText">
    <w:name w:val="Placeholder Text"/>
    <w:uiPriority w:val="99"/>
    <w:semiHidden/>
    <w:rsid w:val="000D7789"/>
    <w:rPr>
      <w:color w:val="808080"/>
    </w:rPr>
  </w:style>
  <w:style w:type="character" w:customStyle="1" w:styleId="ref-journal">
    <w:name w:val="ref-journal"/>
    <w:basedOn w:val="DefaultParagraphFont"/>
    <w:rsid w:val="000D7789"/>
  </w:style>
  <w:style w:type="character" w:customStyle="1" w:styleId="ref-vol">
    <w:name w:val="ref-vol"/>
    <w:basedOn w:val="DefaultParagraphFont"/>
    <w:rsid w:val="000D7789"/>
  </w:style>
  <w:style w:type="paragraph" w:customStyle="1" w:styleId="Style10">
    <w:name w:val="Style1"/>
    <w:basedOn w:val="Normal"/>
    <w:link w:val="Style1Char"/>
    <w:qFormat/>
    <w:rsid w:val="00F70A2F"/>
    <w:pPr>
      <w:bidi/>
      <w:spacing w:line="276" w:lineRule="auto"/>
      <w:jc w:val="right"/>
    </w:pPr>
    <w:rPr>
      <w:rFonts w:ascii="B Nazanin" w:eastAsia="Calibri" w:hAnsi="B Nazanin" w:cs="B Nazanin"/>
      <w:sz w:val="24"/>
      <w:szCs w:val="24"/>
      <w:lang w:bidi="fa-IR"/>
    </w:rPr>
  </w:style>
  <w:style w:type="character" w:customStyle="1" w:styleId="Style1Char">
    <w:name w:val="Style1 Char"/>
    <w:link w:val="Style10"/>
    <w:rsid w:val="00F70A2F"/>
    <w:rPr>
      <w:rFonts w:ascii="B Nazanin" w:eastAsia="Calibri" w:hAnsi="B Nazanin" w:cs="B Nazanin"/>
      <w:sz w:val="24"/>
      <w:szCs w:val="24"/>
      <w:lang w:bidi="fa-IR"/>
    </w:rPr>
  </w:style>
  <w:style w:type="character" w:customStyle="1" w:styleId="alt-edited">
    <w:name w:val="alt-edited"/>
    <w:basedOn w:val="DefaultParagraphFont"/>
    <w:rsid w:val="001566F5"/>
  </w:style>
  <w:style w:type="character" w:customStyle="1" w:styleId="mceitemhidden">
    <w:name w:val="mceitemhidden"/>
    <w:basedOn w:val="DefaultParagraphFont"/>
    <w:rsid w:val="001566F5"/>
  </w:style>
  <w:style w:type="character" w:customStyle="1" w:styleId="gt-baf-back">
    <w:name w:val="gt-baf-back"/>
    <w:basedOn w:val="DefaultParagraphFont"/>
    <w:rsid w:val="000F5631"/>
  </w:style>
  <w:style w:type="character" w:styleId="FollowedHyperlink">
    <w:name w:val="FollowedHyperlink"/>
    <w:basedOn w:val="DefaultParagraphFont"/>
    <w:uiPriority w:val="99"/>
    <w:semiHidden/>
    <w:unhideWhenUsed/>
    <w:rsid w:val="00FC35E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314786">
      <w:bodyDiv w:val="1"/>
      <w:marLeft w:val="0"/>
      <w:marRight w:val="0"/>
      <w:marTop w:val="0"/>
      <w:marBottom w:val="0"/>
      <w:divBdr>
        <w:top w:val="none" w:sz="0" w:space="0" w:color="auto"/>
        <w:left w:val="none" w:sz="0" w:space="0" w:color="auto"/>
        <w:bottom w:val="none" w:sz="0" w:space="0" w:color="auto"/>
        <w:right w:val="none" w:sz="0" w:space="0" w:color="auto"/>
      </w:divBdr>
    </w:div>
    <w:div w:id="1529872429">
      <w:bodyDiv w:val="1"/>
      <w:marLeft w:val="0"/>
      <w:marRight w:val="0"/>
      <w:marTop w:val="0"/>
      <w:marBottom w:val="0"/>
      <w:divBdr>
        <w:top w:val="none" w:sz="0" w:space="0" w:color="auto"/>
        <w:left w:val="none" w:sz="0" w:space="0" w:color="auto"/>
        <w:bottom w:val="none" w:sz="0" w:space="0" w:color="auto"/>
        <w:right w:val="none" w:sz="0" w:space="0" w:color="auto"/>
      </w:divBdr>
    </w:div>
    <w:div w:id="213944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E:\RADOVI\Journal%20of%20Agric.%20Sci.%202017\Book1.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oleObject" Target="file:///E:\RADOVI\Journal%20of%20Agric.%20Sci.%202017\Book1.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1" Type="http://schemas.openxmlformats.org/officeDocument/2006/relationships/oleObject" Target="file:///G:\RADOVI\Journal%20of%20Agric.%20Sci.%202017\Book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G:\RADOVI\Journal%20of%20Agric.%20Sci.%202017\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221493146690023"/>
          <c:y val="4.5087993425040176E-2"/>
          <c:w val="0.75403525080198353"/>
          <c:h val="0.76500276381056742"/>
        </c:manualLayout>
      </c:layout>
      <c:barChart>
        <c:barDir val="col"/>
        <c:grouping val="clustered"/>
        <c:varyColors val="1"/>
        <c:ser>
          <c:idx val="0"/>
          <c:order val="0"/>
          <c:tx>
            <c:strRef>
              <c:f>Sheet5!$H$3</c:f>
              <c:strCache>
                <c:ptCount val="1"/>
                <c:pt idx="0">
                  <c:v>GSH</c:v>
                </c:pt>
              </c:strCache>
            </c:strRef>
          </c:tx>
          <c:spPr>
            <a:solidFill>
              <a:srgbClr val="7F7F7F"/>
            </a:solidFill>
            <a:ln>
              <a:solidFill>
                <a:schemeClr val="tx1"/>
              </a:solidFill>
            </a:ln>
          </c:spPr>
          <c:invertIfNegative val="1"/>
          <c:cat>
            <c:strRef>
              <c:f>Sheet5!$C$4:$C$18</c:f>
              <c:strCache>
                <c:ptCount val="15"/>
                <c:pt idx="0">
                  <c:v>SC</c:v>
                </c:pt>
                <c:pt idx="1">
                  <c:v>AR</c:v>
                </c:pt>
                <c:pt idx="2">
                  <c:v>AS</c:v>
                </c:pt>
                <c:pt idx="4">
                  <c:v>SC</c:v>
                </c:pt>
                <c:pt idx="5">
                  <c:v>AR</c:v>
                </c:pt>
                <c:pt idx="6">
                  <c:v>AS</c:v>
                </c:pt>
                <c:pt idx="8">
                  <c:v>SC</c:v>
                </c:pt>
                <c:pt idx="9">
                  <c:v>AR</c:v>
                </c:pt>
                <c:pt idx="10">
                  <c:v>AS</c:v>
                </c:pt>
                <c:pt idx="12">
                  <c:v>SC</c:v>
                </c:pt>
                <c:pt idx="13">
                  <c:v>AR</c:v>
                </c:pt>
                <c:pt idx="14">
                  <c:v>AS</c:v>
                </c:pt>
              </c:strCache>
            </c:strRef>
          </c:cat>
          <c:val>
            <c:numRef>
              <c:f>Sheet5!$H$4:$H$18</c:f>
              <c:numCache>
                <c:formatCode>General</c:formatCode>
                <c:ptCount val="15"/>
                <c:pt idx="0">
                  <c:v>572.53573319216559</c:v>
                </c:pt>
                <c:pt idx="1">
                  <c:v>644.4104968615294</c:v>
                </c:pt>
                <c:pt idx="2">
                  <c:v>609.75799742872289</c:v>
                </c:pt>
                <c:pt idx="4">
                  <c:v>554.1677380322169</c:v>
                </c:pt>
                <c:pt idx="5">
                  <c:v>599.48876956817833</c:v>
                </c:pt>
                <c:pt idx="6">
                  <c:v>536.19904711487652</c:v>
                </c:pt>
                <c:pt idx="8">
                  <c:v>462.32776223247396</c:v>
                </c:pt>
                <c:pt idx="9">
                  <c:v>477.70097557286579</c:v>
                </c:pt>
                <c:pt idx="10">
                  <c:v>554.3673901535202</c:v>
                </c:pt>
                <c:pt idx="12">
                  <c:v>466.32080465854983</c:v>
                </c:pt>
                <c:pt idx="13">
                  <c:v>562.95243136958379</c:v>
                </c:pt>
                <c:pt idx="14">
                  <c:v>590.10511986689903</c:v>
                </c:pt>
              </c:numCache>
            </c:numRef>
          </c:val>
          <c:extLst>
            <c:ext xmlns:c14="http://schemas.microsoft.com/office/drawing/2007/8/2/chart" uri="{6F2FDCE9-48DA-4B69-8628-5D25D57E5C99}">
              <c14:invertSolidFillFmt>
                <c14:spPr xmlns:c14="http://schemas.microsoft.com/office/drawing/2007/8/2/chart">
                  <a:solidFill>
                    <a:srgbClr val="FFFFFF"/>
                  </a:solidFill>
                  <a:ln>
                    <a:solidFill>
                      <a:schemeClr val="tx1"/>
                    </a:solidFill>
                  </a:ln>
                </c14:spPr>
              </c14:invertSolidFillFmt>
            </c:ext>
          </c:extLst>
        </c:ser>
        <c:ser>
          <c:idx val="1"/>
          <c:order val="1"/>
          <c:tx>
            <c:strRef>
              <c:f>Sheet5!$I$3</c:f>
              <c:strCache>
                <c:ptCount val="1"/>
                <c:pt idx="0">
                  <c:v>Phen.</c:v>
                </c:pt>
              </c:strCache>
            </c:strRef>
          </c:tx>
          <c:spPr>
            <a:solidFill>
              <a:srgbClr val="FFFFFF"/>
            </a:solidFill>
            <a:ln>
              <a:solidFill>
                <a:schemeClr val="tx1"/>
              </a:solidFill>
            </a:ln>
          </c:spPr>
          <c:invertIfNegative val="1"/>
          <c:cat>
            <c:strRef>
              <c:f>Sheet5!$C$4:$C$18</c:f>
              <c:strCache>
                <c:ptCount val="15"/>
                <c:pt idx="0">
                  <c:v>SC</c:v>
                </c:pt>
                <c:pt idx="1">
                  <c:v>AR</c:v>
                </c:pt>
                <c:pt idx="2">
                  <c:v>AS</c:v>
                </c:pt>
                <c:pt idx="4">
                  <c:v>SC</c:v>
                </c:pt>
                <c:pt idx="5">
                  <c:v>AR</c:v>
                </c:pt>
                <c:pt idx="6">
                  <c:v>AS</c:v>
                </c:pt>
                <c:pt idx="8">
                  <c:v>SC</c:v>
                </c:pt>
                <c:pt idx="9">
                  <c:v>AR</c:v>
                </c:pt>
                <c:pt idx="10">
                  <c:v>AS</c:v>
                </c:pt>
                <c:pt idx="12">
                  <c:v>SC</c:v>
                </c:pt>
                <c:pt idx="13">
                  <c:v>AR</c:v>
                </c:pt>
                <c:pt idx="14">
                  <c:v>AS</c:v>
                </c:pt>
              </c:strCache>
            </c:strRef>
          </c:cat>
          <c:val>
            <c:numRef>
              <c:f>Sheet5!$I$4:$I$18</c:f>
              <c:numCache>
                <c:formatCode>General</c:formatCode>
                <c:ptCount val="15"/>
                <c:pt idx="0">
                  <c:v>686.57995442275944</c:v>
                </c:pt>
                <c:pt idx="1">
                  <c:v>745.79372778454763</c:v>
                </c:pt>
                <c:pt idx="2">
                  <c:v>978.90111405690322</c:v>
                </c:pt>
                <c:pt idx="4">
                  <c:v>814.00199836584795</c:v>
                </c:pt>
                <c:pt idx="5">
                  <c:v>1064.3488376422697</c:v>
                </c:pt>
                <c:pt idx="6">
                  <c:v>936.92679369918051</c:v>
                </c:pt>
                <c:pt idx="8">
                  <c:v>849.23044580893725</c:v>
                </c:pt>
                <c:pt idx="9">
                  <c:v>804.25795971137643</c:v>
                </c:pt>
                <c:pt idx="10">
                  <c:v>940.67450087397754</c:v>
                </c:pt>
                <c:pt idx="12">
                  <c:v>1036.2589588943008</c:v>
                </c:pt>
                <c:pt idx="13">
                  <c:v>1074.3121524390174</c:v>
                </c:pt>
                <c:pt idx="14">
                  <c:v>1054.8240751300737</c:v>
                </c:pt>
              </c:numCache>
            </c:numRef>
          </c:val>
          <c:extLst>
            <c:ext xmlns:c14="http://schemas.microsoft.com/office/drawing/2007/8/2/chart" uri="{6F2FDCE9-48DA-4B69-8628-5D25D57E5C99}">
              <c14:invertSolidFillFmt>
                <c14:spPr xmlns:c14="http://schemas.microsoft.com/office/drawing/2007/8/2/chart">
                  <a:solidFill>
                    <a:srgbClr val="FFFFFF"/>
                  </a:solidFill>
                  <a:ln>
                    <a:solidFill>
                      <a:schemeClr val="tx1"/>
                    </a:solidFill>
                  </a:ln>
                </c14:spPr>
              </c14:invertSolidFillFmt>
            </c:ext>
          </c:extLst>
        </c:ser>
        <c:dLbls>
          <c:showLegendKey val="0"/>
          <c:showVal val="0"/>
          <c:showCatName val="0"/>
          <c:showSerName val="0"/>
          <c:showPercent val="0"/>
          <c:showBubbleSize val="0"/>
        </c:dLbls>
        <c:gapWidth val="150"/>
        <c:axId val="73548160"/>
        <c:axId val="74057600"/>
      </c:barChart>
      <c:lineChart>
        <c:grouping val="standard"/>
        <c:varyColors val="1"/>
        <c:ser>
          <c:idx val="2"/>
          <c:order val="2"/>
          <c:tx>
            <c:strRef>
              <c:f>Sheet5!$J$3</c:f>
              <c:strCache>
                <c:ptCount val="1"/>
                <c:pt idx="0">
                  <c:v>YP</c:v>
                </c:pt>
              </c:strCache>
            </c:strRef>
          </c:tx>
          <c:spPr>
            <a:ln>
              <a:solidFill>
                <a:schemeClr val="tx1"/>
              </a:solidFill>
            </a:ln>
          </c:spPr>
          <c:marker>
            <c:symbol val="circle"/>
            <c:size val="7"/>
            <c:spPr>
              <a:solidFill>
                <a:schemeClr val="tx1"/>
              </a:solidFill>
              <a:ln>
                <a:solidFill>
                  <a:schemeClr val="tx1"/>
                </a:solidFill>
              </a:ln>
            </c:spPr>
          </c:marker>
          <c:val>
            <c:numRef>
              <c:f>Sheet5!$J$4:$J$18</c:f>
              <c:numCache>
                <c:formatCode>General</c:formatCode>
                <c:ptCount val="15"/>
                <c:pt idx="0">
                  <c:v>8.9886964886964886</c:v>
                </c:pt>
                <c:pt idx="1">
                  <c:v>8.2822270322270324</c:v>
                </c:pt>
                <c:pt idx="2">
                  <c:v>8.6880711880711665</c:v>
                </c:pt>
                <c:pt idx="4">
                  <c:v>8.0116642616642668</c:v>
                </c:pt>
                <c:pt idx="5">
                  <c:v>9.2367123617123639</c:v>
                </c:pt>
                <c:pt idx="6">
                  <c:v>8.1663660413660448</c:v>
                </c:pt>
                <c:pt idx="8">
                  <c:v>8.5903679653679657</c:v>
                </c:pt>
                <c:pt idx="9">
                  <c:v>8.0567580567580563</c:v>
                </c:pt>
                <c:pt idx="10">
                  <c:v>9.5899470899470973</c:v>
                </c:pt>
                <c:pt idx="12">
                  <c:v>7.4630230880230917</c:v>
                </c:pt>
                <c:pt idx="13">
                  <c:v>9.041305916305916</c:v>
                </c:pt>
                <c:pt idx="14">
                  <c:v>8.7857744107744118</c:v>
                </c:pt>
              </c:numCache>
            </c:numRef>
          </c:val>
          <c:smooth val="1"/>
        </c:ser>
        <c:dLbls>
          <c:showLegendKey val="0"/>
          <c:showVal val="0"/>
          <c:showCatName val="0"/>
          <c:showSerName val="0"/>
          <c:showPercent val="0"/>
          <c:showBubbleSize val="0"/>
        </c:dLbls>
        <c:marker val="1"/>
        <c:smooth val="0"/>
        <c:axId val="105664896"/>
        <c:axId val="83330944"/>
      </c:lineChart>
      <c:catAx>
        <c:axId val="73548160"/>
        <c:scaling>
          <c:orientation val="minMax"/>
        </c:scaling>
        <c:delete val="1"/>
        <c:axPos val="b"/>
        <c:majorTickMark val="cross"/>
        <c:minorTickMark val="cross"/>
        <c:tickLblPos val="nextTo"/>
        <c:crossAx val="74057600"/>
        <c:crosses val="autoZero"/>
        <c:auto val="1"/>
        <c:lblAlgn val="ctr"/>
        <c:lblOffset val="100"/>
        <c:noMultiLvlLbl val="1"/>
      </c:catAx>
      <c:valAx>
        <c:axId val="74057600"/>
        <c:scaling>
          <c:orientation val="minMax"/>
          <c:max val="1200"/>
          <c:min val="0"/>
        </c:scaling>
        <c:delete val="0"/>
        <c:axPos val="l"/>
        <c:majorGridlines/>
        <c:title>
          <c:tx>
            <c:rich>
              <a:bodyPr rot="-5400000" vert="horz"/>
              <a:lstStyle/>
              <a:p>
                <a:pPr>
                  <a:defRPr lang="x-none"/>
                </a:pPr>
                <a:r>
                  <a:rPr lang="x-none"/>
                  <a:t>GSH</a:t>
                </a:r>
                <a:r>
                  <a:rPr lang="x-none" baseline="0"/>
                  <a:t> (nmol g</a:t>
                </a:r>
                <a:r>
                  <a:rPr lang="x-none" baseline="30000"/>
                  <a:t>-1</a:t>
                </a:r>
                <a:r>
                  <a:rPr lang="x-none" baseline="0"/>
                  <a:t>); Phen. (</a:t>
                </a:r>
                <a:r>
                  <a:rPr lang="x-none" baseline="0">
                    <a:latin typeface="Calibri"/>
                    <a:cs typeface="Calibri"/>
                  </a:rPr>
                  <a:t>µg g</a:t>
                </a:r>
                <a:r>
                  <a:rPr lang="x-none" baseline="30000">
                    <a:latin typeface="Calibri"/>
                    <a:cs typeface="Calibri"/>
                  </a:rPr>
                  <a:t>-1</a:t>
                </a:r>
                <a:r>
                  <a:rPr lang="x-none" baseline="0">
                    <a:latin typeface="Calibri"/>
                    <a:cs typeface="Calibri"/>
                  </a:rPr>
                  <a:t>)</a:t>
                </a:r>
                <a:endParaRPr lang="x-none"/>
              </a:p>
            </c:rich>
          </c:tx>
          <c:layout>
            <c:manualLayout>
              <c:xMode val="edge"/>
              <c:yMode val="edge"/>
              <c:x val="8.6674821801903442E-3"/>
              <c:y val="0.1376087009082923"/>
            </c:manualLayout>
          </c:layout>
          <c:overlay val="1"/>
        </c:title>
        <c:numFmt formatCode="General" sourceLinked="1"/>
        <c:majorTickMark val="out"/>
        <c:minorTickMark val="cross"/>
        <c:tickLblPos val="nextTo"/>
        <c:crossAx val="73548160"/>
        <c:crosses val="autoZero"/>
        <c:crossBetween val="between"/>
        <c:majorUnit val="200"/>
        <c:minorUnit val="200"/>
      </c:valAx>
      <c:valAx>
        <c:axId val="83330944"/>
        <c:scaling>
          <c:orientation val="minMax"/>
          <c:max val="12"/>
          <c:min val="0"/>
        </c:scaling>
        <c:delete val="0"/>
        <c:axPos val="r"/>
        <c:title>
          <c:tx>
            <c:rich>
              <a:bodyPr rot="-5400000" vert="horz"/>
              <a:lstStyle/>
              <a:p>
                <a:pPr>
                  <a:defRPr lang="x-none" sz="1100"/>
                </a:pPr>
                <a:r>
                  <a:rPr lang="x-none" sz="1100" b="0" i="0" baseline="0">
                    <a:effectLst/>
                  </a:rPr>
                  <a:t>YP (µg g</a:t>
                </a:r>
                <a:r>
                  <a:rPr lang="x-none" sz="1100" b="0" i="0" baseline="30000">
                    <a:effectLst/>
                  </a:rPr>
                  <a:t>-1</a:t>
                </a:r>
                <a:r>
                  <a:rPr lang="x-none" sz="1100" b="0" i="0" baseline="0">
                    <a:effectLst/>
                  </a:rPr>
                  <a:t>)</a:t>
                </a:r>
                <a:endParaRPr lang="x-none" sz="1100">
                  <a:effectLst/>
                </a:endParaRPr>
              </a:p>
            </c:rich>
          </c:tx>
          <c:layout/>
          <c:overlay val="1"/>
        </c:title>
        <c:numFmt formatCode="General" sourceLinked="1"/>
        <c:majorTickMark val="out"/>
        <c:minorTickMark val="cross"/>
        <c:tickLblPos val="nextTo"/>
        <c:crossAx val="105664896"/>
        <c:crosses val="max"/>
        <c:crossBetween val="between"/>
        <c:majorUnit val="2"/>
        <c:minorUnit val="2"/>
      </c:valAx>
      <c:catAx>
        <c:axId val="105664896"/>
        <c:scaling>
          <c:orientation val="minMax"/>
        </c:scaling>
        <c:delete val="1"/>
        <c:axPos val="b"/>
        <c:majorTickMark val="cross"/>
        <c:minorTickMark val="cross"/>
        <c:tickLblPos val="nextTo"/>
        <c:crossAx val="83330944"/>
        <c:crosses val="autoZero"/>
        <c:auto val="1"/>
        <c:lblAlgn val="ctr"/>
        <c:lblOffset val="100"/>
        <c:noMultiLvlLbl val="1"/>
      </c:catAx>
    </c:plotArea>
    <c:legend>
      <c:legendPos val="r"/>
      <c:layout>
        <c:manualLayout>
          <c:xMode val="edge"/>
          <c:yMode val="edge"/>
          <c:x val="0.14468722659667546"/>
          <c:y val="4.9901991377664975E-2"/>
          <c:w val="0.43496367521367563"/>
          <c:h val="8.4237127673501833E-2"/>
        </c:manualLayout>
      </c:layout>
      <c:overlay val="1"/>
      <c:txPr>
        <a:bodyPr/>
        <a:lstStyle/>
        <a:p>
          <a:pPr>
            <a:defRPr lang="x-none"/>
          </a:pPr>
          <a:endParaRPr lang="en-US"/>
        </a:p>
      </c:txPr>
    </c:legend>
    <c:plotVisOnly val="1"/>
    <c:dispBlanksAs val="gap"/>
    <c:showDLblsOverMax val="1"/>
  </c:chart>
  <c:txPr>
    <a:bodyPr/>
    <a:lstStyle/>
    <a:p>
      <a:pPr>
        <a:defRPr sz="1100" b="0"/>
      </a:pPr>
      <a:endParaRPr lang="en-US"/>
    </a:p>
  </c:txPr>
  <c:externalData r:id="rId2">
    <c:autoUpdate val="1"/>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764238934176663"/>
          <c:y val="4.5088007088933832E-2"/>
          <c:w val="0.7393542912622435"/>
          <c:h val="0.76500269259477449"/>
        </c:manualLayout>
      </c:layout>
      <c:barChart>
        <c:barDir val="col"/>
        <c:grouping val="clustered"/>
        <c:varyColors val="1"/>
        <c:ser>
          <c:idx val="0"/>
          <c:order val="0"/>
          <c:tx>
            <c:strRef>
              <c:f>Sheet5!$H$3</c:f>
              <c:strCache>
                <c:ptCount val="1"/>
                <c:pt idx="0">
                  <c:v>GSH</c:v>
                </c:pt>
              </c:strCache>
            </c:strRef>
          </c:tx>
          <c:spPr>
            <a:solidFill>
              <a:srgbClr val="7F7F7F"/>
            </a:solidFill>
            <a:ln>
              <a:solidFill>
                <a:schemeClr val="tx1"/>
              </a:solidFill>
            </a:ln>
          </c:spPr>
          <c:invertIfNegative val="1"/>
          <c:cat>
            <c:strRef>
              <c:f>Sheet5!$C$4:$C$18</c:f>
              <c:strCache>
                <c:ptCount val="15"/>
                <c:pt idx="0">
                  <c:v>SC</c:v>
                </c:pt>
                <c:pt idx="1">
                  <c:v>AR</c:v>
                </c:pt>
                <c:pt idx="2">
                  <c:v>AS</c:v>
                </c:pt>
                <c:pt idx="4">
                  <c:v>SC</c:v>
                </c:pt>
                <c:pt idx="5">
                  <c:v>AR</c:v>
                </c:pt>
                <c:pt idx="6">
                  <c:v>AS</c:v>
                </c:pt>
                <c:pt idx="8">
                  <c:v>SC</c:v>
                </c:pt>
                <c:pt idx="9">
                  <c:v>AR</c:v>
                </c:pt>
                <c:pt idx="10">
                  <c:v>AS</c:v>
                </c:pt>
                <c:pt idx="12">
                  <c:v>SC</c:v>
                </c:pt>
                <c:pt idx="13">
                  <c:v>AR</c:v>
                </c:pt>
                <c:pt idx="14">
                  <c:v>AS</c:v>
                </c:pt>
              </c:strCache>
            </c:strRef>
          </c:cat>
          <c:val>
            <c:numRef>
              <c:f>Sheet5!$H$22:$H$36</c:f>
              <c:numCache>
                <c:formatCode>General</c:formatCode>
                <c:ptCount val="15"/>
                <c:pt idx="0">
                  <c:v>658.95784811951967</c:v>
                </c:pt>
                <c:pt idx="1">
                  <c:v>571.8745030857674</c:v>
                </c:pt>
                <c:pt idx="2">
                  <c:v>593.98823602982645</c:v>
                </c:pt>
                <c:pt idx="4">
                  <c:v>662.59317197059636</c:v>
                </c:pt>
                <c:pt idx="5">
                  <c:v>964.8022693977498</c:v>
                </c:pt>
                <c:pt idx="6">
                  <c:v>605.52987216808651</c:v>
                </c:pt>
                <c:pt idx="8">
                  <c:v>719.84605727747089</c:v>
                </c:pt>
                <c:pt idx="9">
                  <c:v>750.8516453848888</c:v>
                </c:pt>
                <c:pt idx="10">
                  <c:v>586.00839045056739</c:v>
                </c:pt>
                <c:pt idx="12">
                  <c:v>683.7900874457556</c:v>
                </c:pt>
                <c:pt idx="13">
                  <c:v>849.42361524599244</c:v>
                </c:pt>
                <c:pt idx="14">
                  <c:v>703.87552199866252</c:v>
                </c:pt>
              </c:numCache>
            </c:numRef>
          </c:val>
          <c:extLst>
            <c:ext xmlns:c14="http://schemas.microsoft.com/office/drawing/2007/8/2/chart" uri="{6F2FDCE9-48DA-4B69-8628-5D25D57E5C99}">
              <c14:invertSolidFillFmt>
                <c14:spPr xmlns:c14="http://schemas.microsoft.com/office/drawing/2007/8/2/chart">
                  <a:solidFill>
                    <a:srgbClr val="FFFFFF"/>
                  </a:solidFill>
                  <a:ln>
                    <a:solidFill>
                      <a:schemeClr val="tx1"/>
                    </a:solidFill>
                  </a:ln>
                </c14:spPr>
              </c14:invertSolidFillFmt>
            </c:ext>
          </c:extLst>
        </c:ser>
        <c:ser>
          <c:idx val="1"/>
          <c:order val="1"/>
          <c:tx>
            <c:strRef>
              <c:f>Sheet5!$I$3</c:f>
              <c:strCache>
                <c:ptCount val="1"/>
                <c:pt idx="0">
                  <c:v>Phen.</c:v>
                </c:pt>
              </c:strCache>
            </c:strRef>
          </c:tx>
          <c:spPr>
            <a:solidFill>
              <a:srgbClr val="FFFFFF"/>
            </a:solidFill>
            <a:ln>
              <a:solidFill>
                <a:schemeClr val="tx1"/>
              </a:solidFill>
            </a:ln>
          </c:spPr>
          <c:invertIfNegative val="1"/>
          <c:cat>
            <c:strRef>
              <c:f>Sheet5!$C$4:$C$18</c:f>
              <c:strCache>
                <c:ptCount val="15"/>
                <c:pt idx="0">
                  <c:v>SC</c:v>
                </c:pt>
                <c:pt idx="1">
                  <c:v>AR</c:v>
                </c:pt>
                <c:pt idx="2">
                  <c:v>AS</c:v>
                </c:pt>
                <c:pt idx="4">
                  <c:v>SC</c:v>
                </c:pt>
                <c:pt idx="5">
                  <c:v>AR</c:v>
                </c:pt>
                <c:pt idx="6">
                  <c:v>AS</c:v>
                </c:pt>
                <c:pt idx="8">
                  <c:v>SC</c:v>
                </c:pt>
                <c:pt idx="9">
                  <c:v>AR</c:v>
                </c:pt>
                <c:pt idx="10">
                  <c:v>AS</c:v>
                </c:pt>
                <c:pt idx="12">
                  <c:v>SC</c:v>
                </c:pt>
                <c:pt idx="13">
                  <c:v>AR</c:v>
                </c:pt>
                <c:pt idx="14">
                  <c:v>AS</c:v>
                </c:pt>
              </c:strCache>
            </c:strRef>
          </c:cat>
          <c:val>
            <c:numRef>
              <c:f>Sheet5!$I$22:$I$36</c:f>
              <c:numCache>
                <c:formatCode>General</c:formatCode>
                <c:ptCount val="15"/>
                <c:pt idx="0">
                  <c:v>2244.1450965346976</c:v>
                </c:pt>
                <c:pt idx="1">
                  <c:v>2825.8868392707527</c:v>
                </c:pt>
                <c:pt idx="2">
                  <c:v>1884.0624420923255</c:v>
                </c:pt>
                <c:pt idx="4">
                  <c:v>2970.5494642558551</c:v>
                </c:pt>
                <c:pt idx="5">
                  <c:v>3151.8734228755852</c:v>
                </c:pt>
                <c:pt idx="6">
                  <c:v>2463.2520737617397</c:v>
                </c:pt>
                <c:pt idx="8">
                  <c:v>3051.007477807605</c:v>
                </c:pt>
                <c:pt idx="9">
                  <c:v>2356.4639913534861</c:v>
                </c:pt>
                <c:pt idx="10">
                  <c:v>2261.3451010660428</c:v>
                </c:pt>
                <c:pt idx="12">
                  <c:v>2464.2618326377642</c:v>
                </c:pt>
                <c:pt idx="13">
                  <c:v>2928.8524517162141</c:v>
                </c:pt>
                <c:pt idx="14">
                  <c:v>2333.254260282999</c:v>
                </c:pt>
              </c:numCache>
            </c:numRef>
          </c:val>
          <c:extLst>
            <c:ext xmlns:c14="http://schemas.microsoft.com/office/drawing/2007/8/2/chart" uri="{6F2FDCE9-48DA-4B69-8628-5D25D57E5C99}">
              <c14:invertSolidFillFmt>
                <c14:spPr xmlns:c14="http://schemas.microsoft.com/office/drawing/2007/8/2/chart">
                  <a:solidFill>
                    <a:srgbClr val="FFFFFF"/>
                  </a:solidFill>
                  <a:ln>
                    <a:solidFill>
                      <a:schemeClr val="tx1"/>
                    </a:solidFill>
                  </a:ln>
                </c14:spPr>
              </c14:invertSolidFillFmt>
            </c:ext>
          </c:extLst>
        </c:ser>
        <c:dLbls>
          <c:showLegendKey val="0"/>
          <c:showVal val="0"/>
          <c:showCatName val="0"/>
          <c:showSerName val="0"/>
          <c:showPercent val="0"/>
          <c:showBubbleSize val="0"/>
        </c:dLbls>
        <c:gapWidth val="150"/>
        <c:axId val="37942400"/>
        <c:axId val="37943552"/>
      </c:barChart>
      <c:lineChart>
        <c:grouping val="standard"/>
        <c:varyColors val="1"/>
        <c:ser>
          <c:idx val="2"/>
          <c:order val="2"/>
          <c:tx>
            <c:strRef>
              <c:f>Sheet5!$J$3</c:f>
              <c:strCache>
                <c:ptCount val="1"/>
                <c:pt idx="0">
                  <c:v>YP</c:v>
                </c:pt>
              </c:strCache>
            </c:strRef>
          </c:tx>
          <c:spPr>
            <a:ln>
              <a:solidFill>
                <a:schemeClr val="tx1"/>
              </a:solidFill>
            </a:ln>
          </c:spPr>
          <c:marker>
            <c:symbol val="circle"/>
            <c:size val="7"/>
            <c:spPr>
              <a:solidFill>
                <a:schemeClr val="tx1"/>
              </a:solidFill>
              <a:ln>
                <a:solidFill>
                  <a:schemeClr val="tx1"/>
                </a:solidFill>
              </a:ln>
            </c:spPr>
          </c:marker>
          <c:cat>
            <c:strRef>
              <c:f>Sheet5!$C$22:$C$36</c:f>
              <c:strCache>
                <c:ptCount val="15"/>
                <c:pt idx="0">
                  <c:v>AS</c:v>
                </c:pt>
                <c:pt idx="1">
                  <c:v>M</c:v>
                </c:pt>
                <c:pt idx="2">
                  <c:v>AR</c:v>
                </c:pt>
                <c:pt idx="3">
                  <c:v>AS</c:v>
                </c:pt>
                <c:pt idx="4">
                  <c:v>M</c:v>
                </c:pt>
                <c:pt idx="5">
                  <c:v>AR</c:v>
                </c:pt>
                <c:pt idx="6">
                  <c:v>AS</c:v>
                </c:pt>
                <c:pt idx="7">
                  <c:v>M</c:v>
                </c:pt>
                <c:pt idx="8">
                  <c:v>AR</c:v>
                </c:pt>
                <c:pt idx="9">
                  <c:v>AS</c:v>
                </c:pt>
                <c:pt idx="14">
                  <c:v>M</c:v>
                </c:pt>
              </c:strCache>
            </c:strRef>
          </c:cat>
          <c:val>
            <c:numRef>
              <c:f>Sheet5!$J$22:$J$36</c:f>
              <c:numCache>
                <c:formatCode>General</c:formatCode>
                <c:ptCount val="15"/>
                <c:pt idx="0">
                  <c:v>29.288419913419887</c:v>
                </c:pt>
                <c:pt idx="1">
                  <c:v>29.341029341029319</c:v>
                </c:pt>
                <c:pt idx="2">
                  <c:v>26.672979797979799</c:v>
                </c:pt>
                <c:pt idx="4">
                  <c:v>23.080507455507444</c:v>
                </c:pt>
                <c:pt idx="5">
                  <c:v>27.334355459355489</c:v>
                </c:pt>
                <c:pt idx="6">
                  <c:v>24.140211640211643</c:v>
                </c:pt>
                <c:pt idx="8">
                  <c:v>25.515572390572377</c:v>
                </c:pt>
                <c:pt idx="9">
                  <c:v>26.954605579605577</c:v>
                </c:pt>
                <c:pt idx="10">
                  <c:v>24.967943535609653</c:v>
                </c:pt>
                <c:pt idx="12">
                  <c:v>23.040844580327061</c:v>
                </c:pt>
                <c:pt idx="13">
                  <c:v>27.064383309283293</c:v>
                </c:pt>
                <c:pt idx="14">
                  <c:v>25.756191654641654</c:v>
                </c:pt>
              </c:numCache>
            </c:numRef>
          </c:val>
          <c:smooth val="1"/>
        </c:ser>
        <c:dLbls>
          <c:showLegendKey val="0"/>
          <c:showVal val="0"/>
          <c:showCatName val="0"/>
          <c:showSerName val="0"/>
          <c:showPercent val="0"/>
          <c:showBubbleSize val="0"/>
        </c:dLbls>
        <c:marker val="1"/>
        <c:smooth val="0"/>
        <c:axId val="38000896"/>
        <c:axId val="37998976"/>
      </c:lineChart>
      <c:catAx>
        <c:axId val="37942400"/>
        <c:scaling>
          <c:orientation val="minMax"/>
        </c:scaling>
        <c:delete val="1"/>
        <c:axPos val="b"/>
        <c:majorTickMark val="cross"/>
        <c:minorTickMark val="cross"/>
        <c:tickLblPos val="nextTo"/>
        <c:crossAx val="37943552"/>
        <c:crosses val="autoZero"/>
        <c:auto val="1"/>
        <c:lblAlgn val="ctr"/>
        <c:lblOffset val="100"/>
        <c:noMultiLvlLbl val="1"/>
      </c:catAx>
      <c:valAx>
        <c:axId val="37943552"/>
        <c:scaling>
          <c:orientation val="minMax"/>
          <c:max val="3500"/>
          <c:min val="0"/>
        </c:scaling>
        <c:delete val="0"/>
        <c:axPos val="l"/>
        <c:majorGridlines/>
        <c:title>
          <c:tx>
            <c:rich>
              <a:bodyPr rot="-5400000" vert="horz"/>
              <a:lstStyle/>
              <a:p>
                <a:pPr>
                  <a:defRPr lang="x-none" sz="1100"/>
                </a:pPr>
                <a:r>
                  <a:rPr lang="x-none" sz="1100" b="0" i="0" baseline="0">
                    <a:effectLst/>
                  </a:rPr>
                  <a:t>GSH (nmol g</a:t>
                </a:r>
                <a:r>
                  <a:rPr lang="x-none" sz="1100" b="0" i="0" baseline="30000">
                    <a:effectLst/>
                  </a:rPr>
                  <a:t>-1</a:t>
                </a:r>
                <a:r>
                  <a:rPr lang="x-none" sz="1100" b="0" i="0" baseline="0">
                    <a:effectLst/>
                  </a:rPr>
                  <a:t>); Phen. (µg g</a:t>
                </a:r>
                <a:r>
                  <a:rPr lang="x-none" sz="1100" b="0" i="0" baseline="30000">
                    <a:effectLst/>
                  </a:rPr>
                  <a:t>-1</a:t>
                </a:r>
                <a:r>
                  <a:rPr lang="x-none" sz="1100" b="0" i="0" baseline="0">
                    <a:effectLst/>
                  </a:rPr>
                  <a:t>)</a:t>
                </a:r>
                <a:endParaRPr lang="x-none" sz="1100">
                  <a:effectLst/>
                </a:endParaRPr>
              </a:p>
            </c:rich>
          </c:tx>
          <c:layout>
            <c:manualLayout>
              <c:xMode val="edge"/>
              <c:yMode val="edge"/>
              <c:x val="4.3582293820596946E-3"/>
              <c:y val="9.4908518849295756E-2"/>
            </c:manualLayout>
          </c:layout>
          <c:overlay val="1"/>
        </c:title>
        <c:numFmt formatCode="General" sourceLinked="1"/>
        <c:majorTickMark val="out"/>
        <c:minorTickMark val="cross"/>
        <c:tickLblPos val="nextTo"/>
        <c:crossAx val="37942400"/>
        <c:crosses val="autoZero"/>
        <c:crossBetween val="between"/>
        <c:majorUnit val="500"/>
        <c:minorUnit val="500"/>
      </c:valAx>
      <c:valAx>
        <c:axId val="37998976"/>
        <c:scaling>
          <c:orientation val="minMax"/>
          <c:max val="35"/>
          <c:min val="0"/>
        </c:scaling>
        <c:delete val="0"/>
        <c:axPos val="r"/>
        <c:title>
          <c:tx>
            <c:rich>
              <a:bodyPr rot="-5400000" vert="horz"/>
              <a:lstStyle/>
              <a:p>
                <a:pPr>
                  <a:defRPr lang="x-none" sz="1100"/>
                </a:pPr>
                <a:r>
                  <a:rPr lang="x-none" sz="1100" b="0" i="0" baseline="0">
                    <a:effectLst/>
                  </a:rPr>
                  <a:t>YP (µg g</a:t>
                </a:r>
                <a:r>
                  <a:rPr lang="x-none" sz="1100" b="0" i="0" baseline="30000">
                    <a:effectLst/>
                  </a:rPr>
                  <a:t>-1</a:t>
                </a:r>
                <a:r>
                  <a:rPr lang="x-none" sz="1100" b="0" i="0" baseline="0">
                    <a:effectLst/>
                  </a:rPr>
                  <a:t>)</a:t>
                </a:r>
                <a:endParaRPr lang="x-none" sz="1100">
                  <a:effectLst/>
                </a:endParaRPr>
              </a:p>
            </c:rich>
          </c:tx>
          <c:layout>
            <c:manualLayout>
              <c:xMode val="edge"/>
              <c:yMode val="edge"/>
              <c:x val="0.94684638378535968"/>
              <c:y val="0.32923747171080364"/>
            </c:manualLayout>
          </c:layout>
          <c:overlay val="1"/>
        </c:title>
        <c:numFmt formatCode="General" sourceLinked="1"/>
        <c:majorTickMark val="out"/>
        <c:minorTickMark val="cross"/>
        <c:tickLblPos val="nextTo"/>
        <c:crossAx val="38000896"/>
        <c:crosses val="max"/>
        <c:crossBetween val="between"/>
        <c:majorUnit val="5"/>
        <c:minorUnit val="5"/>
      </c:valAx>
      <c:catAx>
        <c:axId val="38000896"/>
        <c:scaling>
          <c:orientation val="minMax"/>
        </c:scaling>
        <c:delete val="1"/>
        <c:axPos val="b"/>
        <c:majorTickMark val="cross"/>
        <c:minorTickMark val="cross"/>
        <c:tickLblPos val="nextTo"/>
        <c:crossAx val="37998976"/>
        <c:crosses val="autoZero"/>
        <c:auto val="1"/>
        <c:lblAlgn val="ctr"/>
        <c:lblOffset val="100"/>
        <c:noMultiLvlLbl val="1"/>
      </c:catAx>
    </c:plotArea>
    <c:legend>
      <c:legendPos val="r"/>
      <c:layout>
        <c:manualLayout>
          <c:xMode val="edge"/>
          <c:yMode val="edge"/>
          <c:x val="0.14931685622630522"/>
          <c:y val="4.9901991377664962E-2"/>
          <c:w val="0.43344658119658147"/>
          <c:h val="7.6539695998928486E-2"/>
        </c:manualLayout>
      </c:layout>
      <c:overlay val="1"/>
      <c:txPr>
        <a:bodyPr/>
        <a:lstStyle/>
        <a:p>
          <a:pPr>
            <a:defRPr lang="x-none"/>
          </a:pPr>
          <a:endParaRPr lang="en-US"/>
        </a:p>
      </c:txPr>
    </c:legend>
    <c:plotVisOnly val="1"/>
    <c:dispBlanksAs val="gap"/>
    <c:showDLblsOverMax val="1"/>
  </c:chart>
  <c:txPr>
    <a:bodyPr/>
    <a:lstStyle/>
    <a:p>
      <a:pPr>
        <a:defRPr sz="1100" b="0"/>
      </a:pPr>
      <a:endParaRPr lang="en-US"/>
    </a:p>
  </c:txPr>
  <c:externalData r:id="rId2">
    <c:autoUpdate val="1"/>
  </c:externalData>
  <c:userShapes r:id="rId3"/>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905796150481191"/>
          <c:y val="5.1400554097404488E-2"/>
          <c:w val="0.71295450568678964"/>
          <c:h val="0.73444808982210552"/>
        </c:manualLayout>
      </c:layout>
      <c:scatterChart>
        <c:scatterStyle val="lineMarker"/>
        <c:varyColors val="1"/>
        <c:ser>
          <c:idx val="0"/>
          <c:order val="0"/>
          <c:tx>
            <c:strRef>
              <c:f>Sheet2!$J$3</c:f>
              <c:strCache>
                <c:ptCount val="1"/>
                <c:pt idx="0">
                  <c:v>GSH</c:v>
                </c:pt>
              </c:strCache>
            </c:strRef>
          </c:tx>
          <c:spPr>
            <a:ln w="28575">
              <a:noFill/>
            </a:ln>
          </c:spPr>
          <c:marker>
            <c:spPr>
              <a:solidFill>
                <a:schemeClr val="tx1"/>
              </a:solidFill>
              <a:ln>
                <a:solidFill>
                  <a:schemeClr val="tx1">
                    <a:shade val="95000"/>
                    <a:satMod val="105000"/>
                  </a:schemeClr>
                </a:solidFill>
              </a:ln>
            </c:spPr>
          </c:marker>
          <c:trendline>
            <c:name>GSH</c:name>
            <c:trendlineType val="linear"/>
            <c:dispRSqr val="1"/>
            <c:dispEq val="1"/>
            <c:trendlineLbl>
              <c:layout>
                <c:manualLayout>
                  <c:x val="1.1961744341122092E-3"/>
                  <c:y val="0.10892690600935052"/>
                </c:manualLayout>
              </c:layout>
              <c:numFmt formatCode="General" sourceLinked="0"/>
            </c:trendlineLbl>
          </c:trendline>
          <c:xVal>
            <c:numRef>
              <c:f>Sheet2!$I$33:$I$57</c:f>
              <c:numCache>
                <c:formatCode>General</c:formatCode>
                <c:ptCount val="25"/>
                <c:pt idx="0">
                  <c:v>0.29393600000000003</c:v>
                </c:pt>
                <c:pt idx="1">
                  <c:v>0.31015000000000004</c:v>
                </c:pt>
                <c:pt idx="2">
                  <c:v>0.296593</c:v>
                </c:pt>
                <c:pt idx="3">
                  <c:v>0.28991900000000009</c:v>
                </c:pt>
                <c:pt idx="4">
                  <c:v>0.305591</c:v>
                </c:pt>
                <c:pt idx="5">
                  <c:v>0.30109800000000003</c:v>
                </c:pt>
                <c:pt idx="6">
                  <c:v>0.2735240000000001</c:v>
                </c:pt>
                <c:pt idx="7">
                  <c:v>0.28202300000000002</c:v>
                </c:pt>
                <c:pt idx="8">
                  <c:v>0.28768700000000008</c:v>
                </c:pt>
                <c:pt idx="9">
                  <c:v>0.2800430000000001</c:v>
                </c:pt>
                <c:pt idx="10">
                  <c:v>0.31737900000000008</c:v>
                </c:pt>
                <c:pt idx="11">
                  <c:v>0.31911400000000006</c:v>
                </c:pt>
                <c:pt idx="13">
                  <c:v>0.21207899999999999</c:v>
                </c:pt>
                <c:pt idx="14">
                  <c:v>0.26763899999999996</c:v>
                </c:pt>
                <c:pt idx="15">
                  <c:v>0.2795990000000001</c:v>
                </c:pt>
                <c:pt idx="16">
                  <c:v>0.21325600000000003</c:v>
                </c:pt>
                <c:pt idx="17">
                  <c:v>0.27168600000000009</c:v>
                </c:pt>
                <c:pt idx="18">
                  <c:v>0.26904700000000004</c:v>
                </c:pt>
                <c:pt idx="19">
                  <c:v>0.24198400000000003</c:v>
                </c:pt>
                <c:pt idx="20">
                  <c:v>0.24663900000000005</c:v>
                </c:pt>
                <c:pt idx="21">
                  <c:v>0.22661400000000001</c:v>
                </c:pt>
                <c:pt idx="22">
                  <c:v>0.21875500000000001</c:v>
                </c:pt>
                <c:pt idx="23">
                  <c:v>0.21411300000000003</c:v>
                </c:pt>
                <c:pt idx="24">
                  <c:v>0.2581250000000001</c:v>
                </c:pt>
              </c:numCache>
            </c:numRef>
          </c:xVal>
          <c:yVal>
            <c:numRef>
              <c:f>Sheet2!$J$33:$J$57</c:f>
              <c:numCache>
                <c:formatCode>General</c:formatCode>
                <c:ptCount val="25"/>
                <c:pt idx="0">
                  <c:v>715.68630416698261</c:v>
                </c:pt>
                <c:pt idx="1">
                  <c:v>794.34923996067539</c:v>
                </c:pt>
                <c:pt idx="2">
                  <c:v>736.22475988807457</c:v>
                </c:pt>
                <c:pt idx="3">
                  <c:v>571.53747258564658</c:v>
                </c:pt>
                <c:pt idx="4">
                  <c:v>617.0581562429104</c:v>
                </c:pt>
                <c:pt idx="5">
                  <c:v>632.63102170460616</c:v>
                </c:pt>
                <c:pt idx="6">
                  <c:v>548.37782651440716</c:v>
                </c:pt>
                <c:pt idx="7">
                  <c:v>512.04114043711752</c:v>
                </c:pt>
                <c:pt idx="8">
                  <c:v>572.33608107086184</c:v>
                </c:pt>
                <c:pt idx="9">
                  <c:v>530.00983135445858</c:v>
                </c:pt>
                <c:pt idx="10">
                  <c:v>581.52007865083624</c:v>
                </c:pt>
                <c:pt idx="11">
                  <c:v>557.56182409438122</c:v>
                </c:pt>
                <c:pt idx="13">
                  <c:v>429.38516221734886</c:v>
                </c:pt>
                <c:pt idx="14">
                  <c:v>494.47175376238391</c:v>
                </c:pt>
                <c:pt idx="15">
                  <c:v>483.29123496937183</c:v>
                </c:pt>
                <c:pt idx="16">
                  <c:v>536.79800347878756</c:v>
                </c:pt>
                <c:pt idx="17">
                  <c:v>581.91938289344353</c:v>
                </c:pt>
                <c:pt idx="18">
                  <c:v>439.76707252514586</c:v>
                </c:pt>
                <c:pt idx="19">
                  <c:v>376.27769795054093</c:v>
                </c:pt>
                <c:pt idx="20">
                  <c:v>443.360810708614</c:v>
                </c:pt>
                <c:pt idx="21">
                  <c:v>536.39869923617982</c:v>
                </c:pt>
                <c:pt idx="22">
                  <c:v>402.63177796264108</c:v>
                </c:pt>
                <c:pt idx="23">
                  <c:v>544.38478408833146</c:v>
                </c:pt>
                <c:pt idx="24">
                  <c:v>622.64841563941673</c:v>
                </c:pt>
              </c:numCache>
            </c:numRef>
          </c:yVal>
          <c:smooth val="1"/>
        </c:ser>
        <c:ser>
          <c:idx val="1"/>
          <c:order val="1"/>
          <c:tx>
            <c:strRef>
              <c:f>Sheet2!$K$3</c:f>
              <c:strCache>
                <c:ptCount val="1"/>
                <c:pt idx="0">
                  <c:v>Phen.</c:v>
                </c:pt>
              </c:strCache>
            </c:strRef>
          </c:tx>
          <c:spPr>
            <a:ln w="28575">
              <a:noFill/>
            </a:ln>
          </c:spPr>
          <c:marker>
            <c:spPr>
              <a:solidFill>
                <a:schemeClr val="bg1"/>
              </a:solidFill>
              <a:ln>
                <a:solidFill>
                  <a:schemeClr val="tx1">
                    <a:shade val="95000"/>
                    <a:satMod val="105000"/>
                  </a:schemeClr>
                </a:solidFill>
              </a:ln>
            </c:spPr>
          </c:marker>
          <c:trendline>
            <c:name>Phen.</c:name>
            <c:spPr>
              <a:ln>
                <a:prstDash val="sysDash"/>
              </a:ln>
            </c:spPr>
            <c:trendlineType val="linear"/>
            <c:dispRSqr val="1"/>
            <c:dispEq val="1"/>
            <c:trendlineLbl>
              <c:layout>
                <c:manualLayout>
                  <c:x val="-0.32048232464665805"/>
                  <c:y val="-6.2123432487605733E-2"/>
                </c:manualLayout>
              </c:layout>
              <c:numFmt formatCode="General" sourceLinked="0"/>
            </c:trendlineLbl>
          </c:trendline>
          <c:xVal>
            <c:numRef>
              <c:f>Sheet2!$I$33:$I$57</c:f>
              <c:numCache>
                <c:formatCode>General</c:formatCode>
                <c:ptCount val="25"/>
                <c:pt idx="0">
                  <c:v>0.29393600000000003</c:v>
                </c:pt>
                <c:pt idx="1">
                  <c:v>0.31015000000000004</c:v>
                </c:pt>
                <c:pt idx="2">
                  <c:v>0.296593</c:v>
                </c:pt>
                <c:pt idx="3">
                  <c:v>0.28991900000000009</c:v>
                </c:pt>
                <c:pt idx="4">
                  <c:v>0.305591</c:v>
                </c:pt>
                <c:pt idx="5">
                  <c:v>0.30109800000000003</c:v>
                </c:pt>
                <c:pt idx="6">
                  <c:v>0.2735240000000001</c:v>
                </c:pt>
                <c:pt idx="7">
                  <c:v>0.28202300000000002</c:v>
                </c:pt>
                <c:pt idx="8">
                  <c:v>0.28768700000000008</c:v>
                </c:pt>
                <c:pt idx="9">
                  <c:v>0.2800430000000001</c:v>
                </c:pt>
                <c:pt idx="10">
                  <c:v>0.31737900000000008</c:v>
                </c:pt>
                <c:pt idx="11">
                  <c:v>0.31911400000000006</c:v>
                </c:pt>
                <c:pt idx="13">
                  <c:v>0.21207899999999999</c:v>
                </c:pt>
                <c:pt idx="14">
                  <c:v>0.26763899999999996</c:v>
                </c:pt>
                <c:pt idx="15">
                  <c:v>0.2795990000000001</c:v>
                </c:pt>
                <c:pt idx="16">
                  <c:v>0.21325600000000003</c:v>
                </c:pt>
                <c:pt idx="17">
                  <c:v>0.27168600000000009</c:v>
                </c:pt>
                <c:pt idx="18">
                  <c:v>0.26904700000000004</c:v>
                </c:pt>
                <c:pt idx="19">
                  <c:v>0.24198400000000003</c:v>
                </c:pt>
                <c:pt idx="20">
                  <c:v>0.24663900000000005</c:v>
                </c:pt>
                <c:pt idx="21">
                  <c:v>0.22661400000000001</c:v>
                </c:pt>
                <c:pt idx="22">
                  <c:v>0.21875500000000001</c:v>
                </c:pt>
                <c:pt idx="23">
                  <c:v>0.21411300000000003</c:v>
                </c:pt>
                <c:pt idx="24">
                  <c:v>0.2581250000000001</c:v>
                </c:pt>
              </c:numCache>
            </c:numRef>
          </c:xVal>
          <c:yVal>
            <c:numRef>
              <c:f>Sheet2!$K$33:$K$57</c:f>
              <c:numCache>
                <c:formatCode>General</c:formatCode>
                <c:ptCount val="25"/>
                <c:pt idx="0">
                  <c:v>628.61541678590334</c:v>
                </c:pt>
                <c:pt idx="1">
                  <c:v>661.59523992411459</c:v>
                </c:pt>
                <c:pt idx="2">
                  <c:v>775.52553803793501</c:v>
                </c:pt>
                <c:pt idx="3">
                  <c:v>679.58423436313899</c:v>
                </c:pt>
                <c:pt idx="4">
                  <c:v>676.58606862330157</c:v>
                </c:pt>
                <c:pt idx="5">
                  <c:v>757.53654359891073</c:v>
                </c:pt>
                <c:pt idx="6">
                  <c:v>735.05030055013071</c:v>
                </c:pt>
                <c:pt idx="7">
                  <c:v>778.52370377777265</c:v>
                </c:pt>
                <c:pt idx="8">
                  <c:v>778.52370377777265</c:v>
                </c:pt>
                <c:pt idx="9">
                  <c:v>687.07964871273225</c:v>
                </c:pt>
                <c:pt idx="10">
                  <c:v>938.9255708590722</c:v>
                </c:pt>
                <c:pt idx="11">
                  <c:v>694.57506306232585</c:v>
                </c:pt>
                <c:pt idx="13">
                  <c:v>744.54449205961544</c:v>
                </c:pt>
                <c:pt idx="14">
                  <c:v>829.99221564498032</c:v>
                </c:pt>
                <c:pt idx="15">
                  <c:v>1182.2766900758725</c:v>
                </c:pt>
                <c:pt idx="16">
                  <c:v>948.41976236855714</c:v>
                </c:pt>
                <c:pt idx="17">
                  <c:v>1452.1116066612362</c:v>
                </c:pt>
                <c:pt idx="18">
                  <c:v>1116.3170437994502</c:v>
                </c:pt>
                <c:pt idx="19">
                  <c:v>963.41059106774389</c:v>
                </c:pt>
                <c:pt idx="20">
                  <c:v>829.99221564498055</c:v>
                </c:pt>
                <c:pt idx="21">
                  <c:v>1102.8252979701822</c:v>
                </c:pt>
                <c:pt idx="22">
                  <c:v>1385.43826907587</c:v>
                </c:pt>
                <c:pt idx="23">
                  <c:v>1209.6987340189626</c:v>
                </c:pt>
                <c:pt idx="24">
                  <c:v>1415.0730871978212</c:v>
                </c:pt>
              </c:numCache>
            </c:numRef>
          </c:yVal>
          <c:smooth val="1"/>
        </c:ser>
        <c:dLbls>
          <c:showLegendKey val="0"/>
          <c:showVal val="0"/>
          <c:showCatName val="0"/>
          <c:showSerName val="0"/>
          <c:showPercent val="0"/>
          <c:showBubbleSize val="0"/>
        </c:dLbls>
        <c:axId val="39670912"/>
        <c:axId val="39672832"/>
      </c:scatterChart>
      <c:scatterChart>
        <c:scatterStyle val="lineMarker"/>
        <c:varyColors val="1"/>
        <c:ser>
          <c:idx val="2"/>
          <c:order val="2"/>
          <c:tx>
            <c:strRef>
              <c:f>Sheet2!$L$3</c:f>
              <c:strCache>
                <c:ptCount val="1"/>
                <c:pt idx="0">
                  <c:v>YP</c:v>
                </c:pt>
              </c:strCache>
            </c:strRef>
          </c:tx>
          <c:spPr>
            <a:ln w="28575">
              <a:noFill/>
            </a:ln>
          </c:spPr>
          <c:marker>
            <c:spPr>
              <a:solidFill>
                <a:schemeClr val="bg1">
                  <a:lumMod val="50000"/>
                </a:schemeClr>
              </a:solidFill>
              <a:ln>
                <a:solidFill>
                  <a:schemeClr val="tx1">
                    <a:shade val="95000"/>
                    <a:satMod val="105000"/>
                  </a:schemeClr>
                </a:solidFill>
              </a:ln>
            </c:spPr>
          </c:marker>
          <c:trendline>
            <c:name>YP</c:name>
            <c:spPr>
              <a:ln>
                <a:prstDash val="lgDash"/>
              </a:ln>
            </c:spPr>
            <c:trendlineType val="linear"/>
            <c:dispRSqr val="1"/>
            <c:dispEq val="1"/>
            <c:trendlineLbl>
              <c:layout>
                <c:manualLayout>
                  <c:x val="1.8568792590021376E-2"/>
                  <c:y val="-0.1201853989279736"/>
                </c:manualLayout>
              </c:layout>
              <c:numFmt formatCode="General" sourceLinked="0"/>
            </c:trendlineLbl>
          </c:trendline>
          <c:xVal>
            <c:numRef>
              <c:f>Sheet2!$I$33:$I$57</c:f>
              <c:numCache>
                <c:formatCode>General</c:formatCode>
                <c:ptCount val="25"/>
                <c:pt idx="0">
                  <c:v>0.29393600000000003</c:v>
                </c:pt>
                <c:pt idx="1">
                  <c:v>0.31015000000000004</c:v>
                </c:pt>
                <c:pt idx="2">
                  <c:v>0.296593</c:v>
                </c:pt>
                <c:pt idx="3">
                  <c:v>0.28991900000000009</c:v>
                </c:pt>
                <c:pt idx="4">
                  <c:v>0.305591</c:v>
                </c:pt>
                <c:pt idx="5">
                  <c:v>0.30109800000000003</c:v>
                </c:pt>
                <c:pt idx="6">
                  <c:v>0.2735240000000001</c:v>
                </c:pt>
                <c:pt idx="7">
                  <c:v>0.28202300000000002</c:v>
                </c:pt>
                <c:pt idx="8">
                  <c:v>0.28768700000000008</c:v>
                </c:pt>
                <c:pt idx="9">
                  <c:v>0.2800430000000001</c:v>
                </c:pt>
                <c:pt idx="10">
                  <c:v>0.31737900000000008</c:v>
                </c:pt>
                <c:pt idx="11">
                  <c:v>0.31911400000000006</c:v>
                </c:pt>
                <c:pt idx="13">
                  <c:v>0.21207899999999999</c:v>
                </c:pt>
                <c:pt idx="14">
                  <c:v>0.26763899999999996</c:v>
                </c:pt>
                <c:pt idx="15">
                  <c:v>0.2795990000000001</c:v>
                </c:pt>
                <c:pt idx="16">
                  <c:v>0.21325600000000003</c:v>
                </c:pt>
                <c:pt idx="17">
                  <c:v>0.27168600000000009</c:v>
                </c:pt>
                <c:pt idx="18">
                  <c:v>0.26904700000000004</c:v>
                </c:pt>
                <c:pt idx="19">
                  <c:v>0.24198400000000003</c:v>
                </c:pt>
                <c:pt idx="20">
                  <c:v>0.24663900000000005</c:v>
                </c:pt>
                <c:pt idx="21">
                  <c:v>0.22661400000000001</c:v>
                </c:pt>
                <c:pt idx="22">
                  <c:v>0.21875500000000001</c:v>
                </c:pt>
                <c:pt idx="23">
                  <c:v>0.21411300000000003</c:v>
                </c:pt>
                <c:pt idx="24">
                  <c:v>0.2581250000000001</c:v>
                </c:pt>
              </c:numCache>
            </c:numRef>
          </c:xVal>
          <c:yVal>
            <c:numRef>
              <c:f>Sheet2!$L$33:$L$57</c:f>
              <c:numCache>
                <c:formatCode>General</c:formatCode>
                <c:ptCount val="25"/>
                <c:pt idx="0">
                  <c:v>6.4033189033189029</c:v>
                </c:pt>
                <c:pt idx="1">
                  <c:v>5.8922558922558919</c:v>
                </c:pt>
                <c:pt idx="2">
                  <c:v>7.5006012506012505</c:v>
                </c:pt>
                <c:pt idx="3">
                  <c:v>6.1628186628186628</c:v>
                </c:pt>
                <c:pt idx="4">
                  <c:v>8.3273208273208272</c:v>
                </c:pt>
                <c:pt idx="5">
                  <c:v>7.9816017316017334</c:v>
                </c:pt>
                <c:pt idx="6">
                  <c:v>6.9594757094757096</c:v>
                </c:pt>
                <c:pt idx="7">
                  <c:v>6.9143819143819147</c:v>
                </c:pt>
                <c:pt idx="8">
                  <c:v>8.8383838383838391</c:v>
                </c:pt>
                <c:pt idx="9">
                  <c:v>6.3131313131313123</c:v>
                </c:pt>
                <c:pt idx="10">
                  <c:v>8.8233525733525724</c:v>
                </c:pt>
                <c:pt idx="11">
                  <c:v>9.4997594997595005</c:v>
                </c:pt>
                <c:pt idx="13">
                  <c:v>11.574074074074073</c:v>
                </c:pt>
                <c:pt idx="14">
                  <c:v>10.67219817219817</c:v>
                </c:pt>
                <c:pt idx="15">
                  <c:v>9.8755411255411261</c:v>
                </c:pt>
                <c:pt idx="16">
                  <c:v>9.8605098605098647</c:v>
                </c:pt>
                <c:pt idx="17">
                  <c:v>10.146103896103897</c:v>
                </c:pt>
                <c:pt idx="18">
                  <c:v>8.3511303511303527</c:v>
                </c:pt>
                <c:pt idx="19">
                  <c:v>10.22126022126022</c:v>
                </c:pt>
                <c:pt idx="20">
                  <c:v>9.1991341991341997</c:v>
                </c:pt>
                <c:pt idx="21">
                  <c:v>10.341510341510341</c:v>
                </c:pt>
                <c:pt idx="22">
                  <c:v>8.6129148629148631</c:v>
                </c:pt>
                <c:pt idx="23">
                  <c:v>9.2592592592592613</c:v>
                </c:pt>
                <c:pt idx="24">
                  <c:v>8.0717893217893231</c:v>
                </c:pt>
              </c:numCache>
            </c:numRef>
          </c:yVal>
          <c:smooth val="1"/>
        </c:ser>
        <c:dLbls>
          <c:showLegendKey val="0"/>
          <c:showVal val="0"/>
          <c:showCatName val="0"/>
          <c:showSerName val="0"/>
          <c:showPercent val="0"/>
          <c:showBubbleSize val="0"/>
        </c:dLbls>
        <c:axId val="39869440"/>
        <c:axId val="39867520"/>
      </c:scatterChart>
      <c:valAx>
        <c:axId val="39670912"/>
        <c:scaling>
          <c:orientation val="minMax"/>
          <c:max val="0.35000000000000031"/>
          <c:min val="0.2"/>
        </c:scaling>
        <c:delete val="0"/>
        <c:axPos val="b"/>
        <c:title>
          <c:tx>
            <c:rich>
              <a:bodyPr/>
              <a:lstStyle/>
              <a:p>
                <a:pPr>
                  <a:defRPr lang="x-none"/>
                </a:pPr>
                <a:r>
                  <a:rPr lang="x-none"/>
                  <a:t>Grain weight (g)</a:t>
                </a:r>
              </a:p>
            </c:rich>
          </c:tx>
          <c:layout/>
          <c:overlay val="1"/>
        </c:title>
        <c:numFmt formatCode="General" sourceLinked="1"/>
        <c:majorTickMark val="out"/>
        <c:minorTickMark val="cross"/>
        <c:tickLblPos val="nextTo"/>
        <c:crossAx val="39672832"/>
        <c:crosses val="autoZero"/>
        <c:crossBetween val="midCat"/>
        <c:majorUnit val="0.05"/>
        <c:minorUnit val="0.05"/>
      </c:valAx>
      <c:valAx>
        <c:axId val="39672832"/>
        <c:scaling>
          <c:orientation val="minMax"/>
          <c:max val="1800"/>
          <c:min val="0"/>
        </c:scaling>
        <c:delete val="0"/>
        <c:axPos val="l"/>
        <c:majorGridlines/>
        <c:title>
          <c:tx>
            <c:rich>
              <a:bodyPr rot="-5400000" vert="horz"/>
              <a:lstStyle/>
              <a:p>
                <a:pPr>
                  <a:defRPr lang="x-none"/>
                </a:pPr>
                <a:r>
                  <a:rPr lang="x-none"/>
                  <a:t>GSH (nmol g-1); Phen. (µg g-1)</a:t>
                </a:r>
              </a:p>
            </c:rich>
          </c:tx>
          <c:layout>
            <c:manualLayout>
              <c:xMode val="edge"/>
              <c:yMode val="edge"/>
              <c:x val="8.3333333333333367E-3"/>
              <c:y val="0.11972404491105298"/>
            </c:manualLayout>
          </c:layout>
          <c:overlay val="1"/>
        </c:title>
        <c:numFmt formatCode="General" sourceLinked="1"/>
        <c:majorTickMark val="out"/>
        <c:minorTickMark val="cross"/>
        <c:tickLblPos val="nextTo"/>
        <c:crossAx val="39670912"/>
        <c:crosses val="autoZero"/>
        <c:crossBetween val="midCat"/>
        <c:majorUnit val="200"/>
        <c:minorUnit val="200"/>
      </c:valAx>
      <c:valAx>
        <c:axId val="39867520"/>
        <c:scaling>
          <c:orientation val="minMax"/>
          <c:max val="14"/>
          <c:min val="0"/>
        </c:scaling>
        <c:delete val="0"/>
        <c:axPos val="r"/>
        <c:title>
          <c:tx>
            <c:rich>
              <a:bodyPr rot="-5400000" vert="horz"/>
              <a:lstStyle/>
              <a:p>
                <a:pPr>
                  <a:defRPr lang="x-none"/>
                </a:pPr>
                <a:r>
                  <a:rPr lang="x-none"/>
                  <a:t>YP (µg g-1)</a:t>
                </a:r>
              </a:p>
            </c:rich>
          </c:tx>
          <c:layout/>
          <c:overlay val="1"/>
        </c:title>
        <c:numFmt formatCode="General" sourceLinked="1"/>
        <c:majorTickMark val="out"/>
        <c:minorTickMark val="cross"/>
        <c:tickLblPos val="nextTo"/>
        <c:crossAx val="39869440"/>
        <c:crosses val="max"/>
        <c:crossBetween val="midCat"/>
        <c:majorUnit val="2"/>
        <c:minorUnit val="2"/>
      </c:valAx>
      <c:valAx>
        <c:axId val="39869440"/>
        <c:scaling>
          <c:orientation val="minMax"/>
        </c:scaling>
        <c:delete val="1"/>
        <c:axPos val="b"/>
        <c:numFmt formatCode="General" sourceLinked="1"/>
        <c:majorTickMark val="cross"/>
        <c:minorTickMark val="cross"/>
        <c:tickLblPos val="nextTo"/>
        <c:crossAx val="39867520"/>
        <c:crosses val="autoZero"/>
        <c:crossBetween val="midCat"/>
      </c:valAx>
    </c:plotArea>
    <c:legend>
      <c:legendPos val="r"/>
      <c:layout>
        <c:manualLayout>
          <c:xMode val="edge"/>
          <c:yMode val="edge"/>
          <c:x val="0.31296586404077681"/>
          <c:y val="6.423884514435696E-2"/>
          <c:w val="0.5537006503827393"/>
          <c:h val="0.11689231554389036"/>
        </c:manualLayout>
      </c:layout>
      <c:overlay val="1"/>
      <c:txPr>
        <a:bodyPr/>
        <a:lstStyle/>
        <a:p>
          <a:pPr>
            <a:defRPr lang="x-none"/>
          </a:pPr>
          <a:endParaRPr lang="en-US"/>
        </a:p>
      </c:txPr>
    </c:legend>
    <c:plotVisOnly val="1"/>
    <c:dispBlanksAs val="gap"/>
    <c:showDLblsOverMax val="1"/>
  </c:chart>
  <c:txPr>
    <a:bodyPr/>
    <a:lstStyle/>
    <a:p>
      <a:pPr>
        <a:defRPr b="0"/>
      </a:pPr>
      <a:endParaRPr lang="en-US"/>
    </a:p>
  </c:txPr>
  <c:externalData r:id="rId1">
    <c:autoUpdate val="1"/>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905796150481191"/>
          <c:y val="5.1400554097404488E-2"/>
          <c:w val="0.71295450568678964"/>
          <c:h val="0.73444808982210552"/>
        </c:manualLayout>
      </c:layout>
      <c:scatterChart>
        <c:scatterStyle val="lineMarker"/>
        <c:varyColors val="1"/>
        <c:ser>
          <c:idx val="0"/>
          <c:order val="0"/>
          <c:tx>
            <c:strRef>
              <c:f>Sheet2!$J$3</c:f>
              <c:strCache>
                <c:ptCount val="1"/>
                <c:pt idx="0">
                  <c:v>GSH</c:v>
                </c:pt>
              </c:strCache>
            </c:strRef>
          </c:tx>
          <c:spPr>
            <a:ln w="28575">
              <a:noFill/>
            </a:ln>
          </c:spPr>
          <c:marker>
            <c:spPr>
              <a:solidFill>
                <a:schemeClr val="tx1"/>
              </a:solidFill>
              <a:ln>
                <a:solidFill>
                  <a:schemeClr val="tx1">
                    <a:shade val="95000"/>
                    <a:satMod val="105000"/>
                  </a:schemeClr>
                </a:solidFill>
              </a:ln>
            </c:spPr>
          </c:marker>
          <c:trendline>
            <c:name>GSH</c:name>
            <c:trendlineType val="linear"/>
            <c:dispRSqr val="1"/>
            <c:dispEq val="1"/>
            <c:trendlineLbl>
              <c:layout>
                <c:manualLayout>
                  <c:x val="8.7479675539397488E-3"/>
                  <c:y val="9.1475154247315407E-2"/>
                </c:manualLayout>
              </c:layout>
              <c:numFmt formatCode="General" sourceLinked="0"/>
            </c:trendlineLbl>
          </c:trendline>
          <c:xVal>
            <c:numRef>
              <c:f>Sheet2!$I$62:$I$86</c:f>
              <c:numCache>
                <c:formatCode>General</c:formatCode>
                <c:ptCount val="25"/>
                <c:pt idx="0">
                  <c:v>0.15428400000000003</c:v>
                </c:pt>
                <c:pt idx="1">
                  <c:v>0.17463799999999999</c:v>
                </c:pt>
                <c:pt idx="2">
                  <c:v>0.16975599999999999</c:v>
                </c:pt>
                <c:pt idx="3">
                  <c:v>0.15993800000000005</c:v>
                </c:pt>
                <c:pt idx="4">
                  <c:v>0.16809800000000003</c:v>
                </c:pt>
                <c:pt idx="5">
                  <c:v>0.16679099999999999</c:v>
                </c:pt>
                <c:pt idx="6">
                  <c:v>0.16608899999999999</c:v>
                </c:pt>
                <c:pt idx="7">
                  <c:v>0.174178</c:v>
                </c:pt>
                <c:pt idx="8">
                  <c:v>0.18661131300000003</c:v>
                </c:pt>
                <c:pt idx="9">
                  <c:v>0.15882000000000002</c:v>
                </c:pt>
                <c:pt idx="10">
                  <c:v>0.163524</c:v>
                </c:pt>
                <c:pt idx="11">
                  <c:v>0.16885275</c:v>
                </c:pt>
                <c:pt idx="13">
                  <c:v>0.15759400000000001</c:v>
                </c:pt>
                <c:pt idx="14">
                  <c:v>0.12978600000000001</c:v>
                </c:pt>
                <c:pt idx="15">
                  <c:v>0.14964100000000002</c:v>
                </c:pt>
                <c:pt idx="16">
                  <c:v>0.14359400000000003</c:v>
                </c:pt>
                <c:pt idx="17">
                  <c:v>0.14010899999999998</c:v>
                </c:pt>
                <c:pt idx="18">
                  <c:v>0.135375</c:v>
                </c:pt>
                <c:pt idx="19">
                  <c:v>0.14453700000000003</c:v>
                </c:pt>
                <c:pt idx="20">
                  <c:v>0.13940400000000003</c:v>
                </c:pt>
                <c:pt idx="21">
                  <c:v>0.13272100000000001</c:v>
                </c:pt>
                <c:pt idx="22">
                  <c:v>0.139075</c:v>
                </c:pt>
                <c:pt idx="23">
                  <c:v>0.13634599999999999</c:v>
                </c:pt>
                <c:pt idx="24">
                  <c:v>0.13344000000000003</c:v>
                </c:pt>
              </c:numCache>
            </c:numRef>
          </c:xVal>
          <c:yVal>
            <c:numRef>
              <c:f>Sheet2!$J$62:$J$86</c:f>
              <c:numCache>
                <c:formatCode>General</c:formatCode>
                <c:ptCount val="25"/>
                <c:pt idx="0">
                  <c:v>793.07066482110361</c:v>
                </c:pt>
                <c:pt idx="1">
                  <c:v>685.96008553232252</c:v>
                </c:pt>
                <c:pt idx="2">
                  <c:v>889.91510372449738</c:v>
                </c:pt>
                <c:pt idx="3">
                  <c:v>830.63609668242452</c:v>
                </c:pt>
                <c:pt idx="4">
                  <c:v>927.80261344948087</c:v>
                </c:pt>
                <c:pt idx="5">
                  <c:v>817.06639887987262</c:v>
                </c:pt>
                <c:pt idx="6">
                  <c:v>872.98488458378165</c:v>
                </c:pt>
                <c:pt idx="7">
                  <c:v>965.19678485160136</c:v>
                </c:pt>
                <c:pt idx="8">
                  <c:v>664.0201954943949</c:v>
                </c:pt>
                <c:pt idx="9">
                  <c:v>735.61644999999999</c:v>
                </c:pt>
                <c:pt idx="10">
                  <c:v>839.94939999999997</c:v>
                </c:pt>
                <c:pt idx="11">
                  <c:v>851.37175000000002</c:v>
                </c:pt>
                <c:pt idx="13">
                  <c:v>524.84503141793653</c:v>
                </c:pt>
                <c:pt idx="14">
                  <c:v>457.78892063921228</c:v>
                </c:pt>
                <c:pt idx="15">
                  <c:v>298.0613683351545</c:v>
                </c:pt>
                <c:pt idx="16">
                  <c:v>494.55024725876621</c:v>
                </c:pt>
                <c:pt idx="17">
                  <c:v>1001.8019253460202</c:v>
                </c:pt>
                <c:pt idx="18">
                  <c:v>393.99334545629898</c:v>
                </c:pt>
                <c:pt idx="19">
                  <c:v>566.70722997116013</c:v>
                </c:pt>
                <c:pt idx="20">
                  <c:v>536.50650591817805</c:v>
                </c:pt>
                <c:pt idx="21">
                  <c:v>507.99658540673852</c:v>
                </c:pt>
                <c:pt idx="22">
                  <c:v>631.96372489151031</c:v>
                </c:pt>
                <c:pt idx="23">
                  <c:v>858.89783049198502</c:v>
                </c:pt>
                <c:pt idx="24">
                  <c:v>556.37929399732457</c:v>
                </c:pt>
              </c:numCache>
            </c:numRef>
          </c:yVal>
          <c:smooth val="1"/>
        </c:ser>
        <c:ser>
          <c:idx val="1"/>
          <c:order val="1"/>
          <c:tx>
            <c:strRef>
              <c:f>Sheet2!$K$3</c:f>
              <c:strCache>
                <c:ptCount val="1"/>
                <c:pt idx="0">
                  <c:v>Phen.</c:v>
                </c:pt>
              </c:strCache>
            </c:strRef>
          </c:tx>
          <c:spPr>
            <a:ln w="28575">
              <a:noFill/>
            </a:ln>
          </c:spPr>
          <c:marker>
            <c:spPr>
              <a:solidFill>
                <a:schemeClr val="bg1"/>
              </a:solidFill>
              <a:ln>
                <a:solidFill>
                  <a:schemeClr val="tx1">
                    <a:shade val="95000"/>
                    <a:satMod val="105000"/>
                  </a:schemeClr>
                </a:solidFill>
              </a:ln>
            </c:spPr>
          </c:marker>
          <c:trendline>
            <c:name>Phen.</c:name>
            <c:spPr>
              <a:ln>
                <a:prstDash val="sysDash"/>
              </a:ln>
            </c:spPr>
            <c:trendlineType val="linear"/>
            <c:dispRSqr val="1"/>
            <c:dispEq val="1"/>
            <c:trendlineLbl>
              <c:layout>
                <c:manualLayout>
                  <c:x val="-1.2722198878272466E-3"/>
                  <c:y val="-1.5783483703063594E-2"/>
                </c:manualLayout>
              </c:layout>
              <c:numFmt formatCode="General" sourceLinked="0"/>
            </c:trendlineLbl>
          </c:trendline>
          <c:xVal>
            <c:numRef>
              <c:f>Sheet2!$I$62:$I$86</c:f>
              <c:numCache>
                <c:formatCode>General</c:formatCode>
                <c:ptCount val="25"/>
                <c:pt idx="0">
                  <c:v>0.15428400000000003</c:v>
                </c:pt>
                <c:pt idx="1">
                  <c:v>0.17463799999999999</c:v>
                </c:pt>
                <c:pt idx="2">
                  <c:v>0.16975599999999999</c:v>
                </c:pt>
                <c:pt idx="3">
                  <c:v>0.15993800000000005</c:v>
                </c:pt>
                <c:pt idx="4">
                  <c:v>0.16809800000000003</c:v>
                </c:pt>
                <c:pt idx="5">
                  <c:v>0.16679099999999999</c:v>
                </c:pt>
                <c:pt idx="6">
                  <c:v>0.16608899999999999</c:v>
                </c:pt>
                <c:pt idx="7">
                  <c:v>0.174178</c:v>
                </c:pt>
                <c:pt idx="8">
                  <c:v>0.18661131300000003</c:v>
                </c:pt>
                <c:pt idx="9">
                  <c:v>0.15882000000000002</c:v>
                </c:pt>
                <c:pt idx="10">
                  <c:v>0.163524</c:v>
                </c:pt>
                <c:pt idx="11">
                  <c:v>0.16885275</c:v>
                </c:pt>
                <c:pt idx="13">
                  <c:v>0.15759400000000001</c:v>
                </c:pt>
                <c:pt idx="14">
                  <c:v>0.12978600000000001</c:v>
                </c:pt>
                <c:pt idx="15">
                  <c:v>0.14964100000000002</c:v>
                </c:pt>
                <c:pt idx="16">
                  <c:v>0.14359400000000003</c:v>
                </c:pt>
                <c:pt idx="17">
                  <c:v>0.14010899999999998</c:v>
                </c:pt>
                <c:pt idx="18">
                  <c:v>0.135375</c:v>
                </c:pt>
                <c:pt idx="19">
                  <c:v>0.14453700000000003</c:v>
                </c:pt>
                <c:pt idx="20">
                  <c:v>0.13940400000000003</c:v>
                </c:pt>
                <c:pt idx="21">
                  <c:v>0.13272100000000001</c:v>
                </c:pt>
                <c:pt idx="22">
                  <c:v>0.139075</c:v>
                </c:pt>
                <c:pt idx="23">
                  <c:v>0.13634599999999999</c:v>
                </c:pt>
                <c:pt idx="24">
                  <c:v>0.13344000000000003</c:v>
                </c:pt>
              </c:numCache>
            </c:numRef>
          </c:xVal>
          <c:yVal>
            <c:numRef>
              <c:f>Sheet2!$K$62:$K$86</c:f>
              <c:numCache>
                <c:formatCode>General</c:formatCode>
                <c:ptCount val="25"/>
                <c:pt idx="0">
                  <c:v>2465.1774168858119</c:v>
                </c:pt>
                <c:pt idx="1">
                  <c:v>2927.3291674398001</c:v>
                </c:pt>
                <c:pt idx="2">
                  <c:v>2592.2048010529238</c:v>
                </c:pt>
                <c:pt idx="3">
                  <c:v>2905.2462821915624</c:v>
                </c:pt>
                <c:pt idx="4">
                  <c:v>3322.013292625385</c:v>
                </c:pt>
                <c:pt idx="5">
                  <c:v>3350.6514038200198</c:v>
                </c:pt>
                <c:pt idx="6">
                  <c:v>3089.2216629112513</c:v>
                </c:pt>
                <c:pt idx="7">
                  <c:v>3101.9776859893905</c:v>
                </c:pt>
                <c:pt idx="8">
                  <c:v>2972.6928402034418</c:v>
                </c:pt>
                <c:pt idx="9">
                  <c:v>3083.8300400000003</c:v>
                </c:pt>
                <c:pt idx="10">
                  <c:v>3152.0641500000002</c:v>
                </c:pt>
                <c:pt idx="11">
                  <c:v>2825.3437500000005</c:v>
                </c:pt>
                <c:pt idx="13">
                  <c:v>2023.1127761835844</c:v>
                </c:pt>
                <c:pt idx="14">
                  <c:v>2724.4445111017058</c:v>
                </c:pt>
                <c:pt idx="15">
                  <c:v>1175.920083131731</c:v>
                </c:pt>
                <c:pt idx="16">
                  <c:v>3035.8526463201506</c:v>
                </c:pt>
                <c:pt idx="17">
                  <c:v>2981.7335531257777</c:v>
                </c:pt>
                <c:pt idx="18">
                  <c:v>1575.8527437034604</c:v>
                </c:pt>
                <c:pt idx="19">
                  <c:v>3012.7932927039592</c:v>
                </c:pt>
                <c:pt idx="20">
                  <c:v>1610.9502967175808</c:v>
                </c:pt>
                <c:pt idx="21">
                  <c:v>1549.9973619286436</c:v>
                </c:pt>
                <c:pt idx="22">
                  <c:v>1844.6936252755286</c:v>
                </c:pt>
                <c:pt idx="23">
                  <c:v>2705.6407534324276</c:v>
                </c:pt>
                <c:pt idx="24">
                  <c:v>1841.1647705659975</c:v>
                </c:pt>
              </c:numCache>
            </c:numRef>
          </c:yVal>
          <c:smooth val="1"/>
        </c:ser>
        <c:dLbls>
          <c:showLegendKey val="0"/>
          <c:showVal val="0"/>
          <c:showCatName val="0"/>
          <c:showSerName val="0"/>
          <c:showPercent val="0"/>
          <c:showBubbleSize val="0"/>
        </c:dLbls>
        <c:axId val="40690816"/>
        <c:axId val="40692736"/>
      </c:scatterChart>
      <c:scatterChart>
        <c:scatterStyle val="lineMarker"/>
        <c:varyColors val="1"/>
        <c:ser>
          <c:idx val="2"/>
          <c:order val="2"/>
          <c:tx>
            <c:strRef>
              <c:f>Sheet2!$L$3</c:f>
              <c:strCache>
                <c:ptCount val="1"/>
                <c:pt idx="0">
                  <c:v>YP</c:v>
                </c:pt>
              </c:strCache>
            </c:strRef>
          </c:tx>
          <c:spPr>
            <a:ln w="28575">
              <a:noFill/>
            </a:ln>
          </c:spPr>
          <c:marker>
            <c:spPr>
              <a:solidFill>
                <a:schemeClr val="bg1">
                  <a:lumMod val="50000"/>
                </a:schemeClr>
              </a:solidFill>
              <a:ln>
                <a:solidFill>
                  <a:schemeClr val="tx1">
                    <a:shade val="95000"/>
                    <a:satMod val="105000"/>
                  </a:schemeClr>
                </a:solidFill>
              </a:ln>
            </c:spPr>
          </c:marker>
          <c:trendline>
            <c:name>YP</c:name>
            <c:spPr>
              <a:ln>
                <a:prstDash val="lgDash"/>
              </a:ln>
            </c:spPr>
            <c:trendlineType val="linear"/>
            <c:dispRSqr val="1"/>
            <c:dispEq val="1"/>
            <c:trendlineLbl>
              <c:layout>
                <c:manualLayout>
                  <c:x val="4.7567687304748162E-2"/>
                  <c:y val="-0.13979449805919311"/>
                </c:manualLayout>
              </c:layout>
              <c:numFmt formatCode="General" sourceLinked="0"/>
            </c:trendlineLbl>
          </c:trendline>
          <c:xVal>
            <c:numRef>
              <c:f>Sheet2!$I$62:$I$86</c:f>
              <c:numCache>
                <c:formatCode>General</c:formatCode>
                <c:ptCount val="25"/>
                <c:pt idx="0">
                  <c:v>0.15428400000000003</c:v>
                </c:pt>
                <c:pt idx="1">
                  <c:v>0.17463799999999999</c:v>
                </c:pt>
                <c:pt idx="2">
                  <c:v>0.16975599999999999</c:v>
                </c:pt>
                <c:pt idx="3">
                  <c:v>0.15993800000000005</c:v>
                </c:pt>
                <c:pt idx="4">
                  <c:v>0.16809800000000003</c:v>
                </c:pt>
                <c:pt idx="5">
                  <c:v>0.16679099999999999</c:v>
                </c:pt>
                <c:pt idx="6">
                  <c:v>0.16608899999999999</c:v>
                </c:pt>
                <c:pt idx="7">
                  <c:v>0.174178</c:v>
                </c:pt>
                <c:pt idx="8">
                  <c:v>0.18661131300000003</c:v>
                </c:pt>
                <c:pt idx="9">
                  <c:v>0.15882000000000002</c:v>
                </c:pt>
                <c:pt idx="10">
                  <c:v>0.163524</c:v>
                </c:pt>
                <c:pt idx="11">
                  <c:v>0.16885275</c:v>
                </c:pt>
                <c:pt idx="13">
                  <c:v>0.15759400000000001</c:v>
                </c:pt>
                <c:pt idx="14">
                  <c:v>0.12978600000000001</c:v>
                </c:pt>
                <c:pt idx="15">
                  <c:v>0.14964100000000002</c:v>
                </c:pt>
                <c:pt idx="16">
                  <c:v>0.14359400000000003</c:v>
                </c:pt>
                <c:pt idx="17">
                  <c:v>0.14010899999999998</c:v>
                </c:pt>
                <c:pt idx="18">
                  <c:v>0.135375</c:v>
                </c:pt>
                <c:pt idx="19">
                  <c:v>0.14453700000000003</c:v>
                </c:pt>
                <c:pt idx="20">
                  <c:v>0.13940400000000003</c:v>
                </c:pt>
                <c:pt idx="21">
                  <c:v>0.13272100000000001</c:v>
                </c:pt>
                <c:pt idx="22">
                  <c:v>0.139075</c:v>
                </c:pt>
                <c:pt idx="23">
                  <c:v>0.13634599999999999</c:v>
                </c:pt>
                <c:pt idx="24">
                  <c:v>0.13344000000000003</c:v>
                </c:pt>
              </c:numCache>
            </c:numRef>
          </c:xVal>
          <c:yVal>
            <c:numRef>
              <c:f>Sheet2!$L$62:$L$86</c:f>
              <c:numCache>
                <c:formatCode>General</c:formatCode>
                <c:ptCount val="25"/>
                <c:pt idx="0">
                  <c:v>16.714766714766718</c:v>
                </c:pt>
                <c:pt idx="1">
                  <c:v>17.661736411736413</c:v>
                </c:pt>
                <c:pt idx="2">
                  <c:v>21.614959114959124</c:v>
                </c:pt>
                <c:pt idx="3">
                  <c:v>18.262987012987011</c:v>
                </c:pt>
                <c:pt idx="4">
                  <c:v>19.059644059644061</c:v>
                </c:pt>
                <c:pt idx="5">
                  <c:v>21.599927849927848</c:v>
                </c:pt>
                <c:pt idx="6">
                  <c:v>15.97823472823473</c:v>
                </c:pt>
                <c:pt idx="7">
                  <c:v>22.04292929292928</c:v>
                </c:pt>
                <c:pt idx="8">
                  <c:v>18.099667734999993</c:v>
                </c:pt>
                <c:pt idx="9">
                  <c:v>16.921035</c:v>
                </c:pt>
                <c:pt idx="10">
                  <c:v>18.76019999999999</c:v>
                </c:pt>
                <c:pt idx="11">
                  <c:v>18.203099999999996</c:v>
                </c:pt>
                <c:pt idx="13">
                  <c:v>41.862073112073112</c:v>
                </c:pt>
                <c:pt idx="14">
                  <c:v>41.020322270322268</c:v>
                </c:pt>
                <c:pt idx="15">
                  <c:v>31.731000481000489</c:v>
                </c:pt>
                <c:pt idx="16">
                  <c:v>27.898027898027891</c:v>
                </c:pt>
                <c:pt idx="17">
                  <c:v>35.60906685906685</c:v>
                </c:pt>
                <c:pt idx="18">
                  <c:v>26.680495430495434</c:v>
                </c:pt>
                <c:pt idx="19">
                  <c:v>35.052910052910057</c:v>
                </c:pt>
                <c:pt idx="20">
                  <c:v>31.866281866281867</c:v>
                </c:pt>
                <c:pt idx="21">
                  <c:v>31.836219336219333</c:v>
                </c:pt>
                <c:pt idx="22">
                  <c:v>29.160654160654165</c:v>
                </c:pt>
                <c:pt idx="23">
                  <c:v>35.368566618566611</c:v>
                </c:pt>
                <c:pt idx="24">
                  <c:v>33.309283309283295</c:v>
                </c:pt>
              </c:numCache>
            </c:numRef>
          </c:yVal>
          <c:smooth val="1"/>
        </c:ser>
        <c:dLbls>
          <c:showLegendKey val="0"/>
          <c:showVal val="0"/>
          <c:showCatName val="0"/>
          <c:showSerName val="0"/>
          <c:showPercent val="0"/>
          <c:showBubbleSize val="0"/>
        </c:dLbls>
        <c:axId val="43191296"/>
        <c:axId val="43189376"/>
      </c:scatterChart>
      <c:valAx>
        <c:axId val="40690816"/>
        <c:scaling>
          <c:orientation val="minMax"/>
          <c:max val="0.2"/>
          <c:min val="0.12000000000000002"/>
        </c:scaling>
        <c:delete val="0"/>
        <c:axPos val="b"/>
        <c:title>
          <c:tx>
            <c:rich>
              <a:bodyPr/>
              <a:lstStyle/>
              <a:p>
                <a:pPr>
                  <a:defRPr lang="x-none"/>
                </a:pPr>
                <a:r>
                  <a:rPr lang="x-none"/>
                  <a:t>Grain weight (g)</a:t>
                </a:r>
              </a:p>
            </c:rich>
          </c:tx>
          <c:layout/>
          <c:overlay val="1"/>
        </c:title>
        <c:numFmt formatCode="General" sourceLinked="1"/>
        <c:majorTickMark val="out"/>
        <c:minorTickMark val="cross"/>
        <c:tickLblPos val="nextTo"/>
        <c:crossAx val="40692736"/>
        <c:crosses val="autoZero"/>
        <c:crossBetween val="midCat"/>
        <c:majorUnit val="2.0000000000000004E-2"/>
        <c:minorUnit val="2.0000000000000004E-2"/>
      </c:valAx>
      <c:valAx>
        <c:axId val="40692736"/>
        <c:scaling>
          <c:orientation val="minMax"/>
          <c:max val="4500"/>
          <c:min val="0"/>
        </c:scaling>
        <c:delete val="0"/>
        <c:axPos val="l"/>
        <c:majorGridlines/>
        <c:title>
          <c:tx>
            <c:rich>
              <a:bodyPr rot="-5400000" vert="horz"/>
              <a:lstStyle/>
              <a:p>
                <a:pPr>
                  <a:defRPr lang="x-none"/>
                </a:pPr>
                <a:r>
                  <a:rPr lang="x-none"/>
                  <a:t>GSH (nmol g-1); Phen. (µg g-1)</a:t>
                </a:r>
              </a:p>
            </c:rich>
          </c:tx>
          <c:layout>
            <c:manualLayout>
              <c:xMode val="edge"/>
              <c:yMode val="edge"/>
              <c:x val="8.3333333333333367E-3"/>
              <c:y val="0.11972404491105298"/>
            </c:manualLayout>
          </c:layout>
          <c:overlay val="1"/>
        </c:title>
        <c:numFmt formatCode="General" sourceLinked="1"/>
        <c:majorTickMark val="out"/>
        <c:minorTickMark val="cross"/>
        <c:tickLblPos val="nextTo"/>
        <c:crossAx val="40690816"/>
        <c:crosses val="autoZero"/>
        <c:crossBetween val="midCat"/>
        <c:majorUnit val="500"/>
        <c:minorUnit val="500"/>
      </c:valAx>
      <c:valAx>
        <c:axId val="43189376"/>
        <c:scaling>
          <c:orientation val="minMax"/>
          <c:max val="55"/>
          <c:min val="0"/>
        </c:scaling>
        <c:delete val="0"/>
        <c:axPos val="r"/>
        <c:title>
          <c:tx>
            <c:rich>
              <a:bodyPr rot="-5400000" vert="horz"/>
              <a:lstStyle/>
              <a:p>
                <a:pPr>
                  <a:defRPr lang="x-none"/>
                </a:pPr>
                <a:r>
                  <a:rPr lang="x-none"/>
                  <a:t>YP (µg g-1)</a:t>
                </a:r>
              </a:p>
            </c:rich>
          </c:tx>
          <c:layout/>
          <c:overlay val="1"/>
        </c:title>
        <c:numFmt formatCode="General" sourceLinked="1"/>
        <c:majorTickMark val="out"/>
        <c:minorTickMark val="cross"/>
        <c:tickLblPos val="nextTo"/>
        <c:crossAx val="43191296"/>
        <c:crosses val="max"/>
        <c:crossBetween val="midCat"/>
        <c:majorUnit val="10"/>
        <c:minorUnit val="10"/>
      </c:valAx>
      <c:valAx>
        <c:axId val="43191296"/>
        <c:scaling>
          <c:orientation val="minMax"/>
        </c:scaling>
        <c:delete val="1"/>
        <c:axPos val="b"/>
        <c:numFmt formatCode="General" sourceLinked="1"/>
        <c:majorTickMark val="cross"/>
        <c:minorTickMark val="cross"/>
        <c:tickLblPos val="nextTo"/>
        <c:crossAx val="43189376"/>
        <c:crosses val="autoZero"/>
        <c:crossBetween val="midCat"/>
      </c:valAx>
    </c:plotArea>
    <c:legend>
      <c:legendPos val="r"/>
      <c:layout>
        <c:manualLayout>
          <c:xMode val="edge"/>
          <c:yMode val="edge"/>
          <c:x val="0.32735626724153688"/>
          <c:y val="5.0349956255468072E-2"/>
          <c:w val="0.53931047554670519"/>
          <c:h val="0.12615157480314942"/>
        </c:manualLayout>
      </c:layout>
      <c:overlay val="1"/>
      <c:txPr>
        <a:bodyPr/>
        <a:lstStyle/>
        <a:p>
          <a:pPr>
            <a:defRPr lang="x-none"/>
          </a:pPr>
          <a:endParaRPr lang="en-US"/>
        </a:p>
      </c:txPr>
    </c:legend>
    <c:plotVisOnly val="1"/>
    <c:dispBlanksAs val="gap"/>
    <c:showDLblsOverMax val="1"/>
  </c:chart>
  <c:txPr>
    <a:bodyPr/>
    <a:lstStyle/>
    <a:p>
      <a:pPr>
        <a:defRPr b="0"/>
      </a:pPr>
      <a:endParaRPr lang="en-US"/>
    </a:p>
  </c:txPr>
  <c:externalData r:id="rId1">
    <c:autoUpdate val="1"/>
  </c:externalData>
</c:chartSpace>
</file>

<file path=word/drawings/drawing1.xml><?xml version="1.0" encoding="utf-8"?>
<c:userShapes xmlns:c="http://schemas.openxmlformats.org/drawingml/2006/chart">
  <cdr:relSizeAnchor xmlns:cdr="http://schemas.openxmlformats.org/drawingml/2006/chartDrawing">
    <cdr:from>
      <cdr:x>0.09753</cdr:x>
      <cdr:y>0.90679</cdr:y>
    </cdr:from>
    <cdr:to>
      <cdr:x>0.93514</cdr:x>
      <cdr:y>1</cdr:y>
    </cdr:to>
    <cdr:sp macro="" textlink="">
      <cdr:nvSpPr>
        <cdr:cNvPr id="3" name="Text Box 2"/>
        <cdr:cNvSpPr txBox="1"/>
      </cdr:nvSpPr>
      <cdr:spPr>
        <a:xfrm xmlns:a="http://schemas.openxmlformats.org/drawingml/2006/main">
          <a:off x="426144" y="2250635"/>
          <a:ext cx="3659882" cy="23130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indent="0" algn="l" defTabSz="914400" rtl="0" eaLnBrk="1" fontAlgn="auto" latinLnBrk="0" hangingPunct="1">
            <a:lnSpc>
              <a:spcPct val="100000"/>
            </a:lnSpc>
            <a:spcBef>
              <a:spcPts val="0"/>
            </a:spcBef>
            <a:spcAft>
              <a:spcPts val="0"/>
            </a:spcAft>
            <a:buClrTx/>
            <a:buSzTx/>
            <a:buFontTx/>
            <a:buNone/>
            <a:tabLst/>
            <a:defRPr/>
          </a:pPr>
          <a:r>
            <a:rPr lang="x-none"/>
            <a:t>Bio-fertilizer     Organic fertilizer       Urea                 Control</a:t>
          </a:r>
        </a:p>
        <a:p xmlns:a="http://schemas.openxmlformats.org/drawingml/2006/main">
          <a:pPr algn="l"/>
          <a:endParaRPr lang="x-none" sz="1100"/>
        </a:p>
      </cdr:txBody>
    </cdr:sp>
  </cdr:relSizeAnchor>
</c:userShapes>
</file>

<file path=word/drawings/drawing2.xml><?xml version="1.0" encoding="utf-8"?>
<c:userShapes xmlns:c="http://schemas.openxmlformats.org/drawingml/2006/chart">
  <cdr:relSizeAnchor xmlns:cdr="http://schemas.openxmlformats.org/drawingml/2006/chartDrawing">
    <cdr:from>
      <cdr:x>0.13148</cdr:x>
      <cdr:y>0.90679</cdr:y>
    </cdr:from>
    <cdr:to>
      <cdr:x>0.9691</cdr:x>
      <cdr:y>1</cdr:y>
    </cdr:to>
    <cdr:sp macro="" textlink="">
      <cdr:nvSpPr>
        <cdr:cNvPr id="2" name="Text Box 1"/>
        <cdr:cNvSpPr txBox="1"/>
      </cdr:nvSpPr>
      <cdr:spPr>
        <a:xfrm xmlns:a="http://schemas.openxmlformats.org/drawingml/2006/main">
          <a:off x="615343" y="2552562"/>
          <a:ext cx="3919993" cy="262393"/>
        </a:xfrm>
        <a:prstGeom xmlns:a="http://schemas.openxmlformats.org/drawingml/2006/main" prst="rect">
          <a:avLst/>
        </a:prstGeom>
      </cdr:spPr>
    </cdr:sp>
  </cdr:relSizeAnchor>
  <cdr:relSizeAnchor xmlns:cdr="http://schemas.openxmlformats.org/drawingml/2006/chartDrawing">
    <cdr:from>
      <cdr:x>0.10772</cdr:x>
      <cdr:y>0.91786</cdr:y>
    </cdr:from>
    <cdr:to>
      <cdr:x>0.98369</cdr:x>
      <cdr:y>0.99977</cdr:y>
    </cdr:to>
    <cdr:sp macro="" textlink="">
      <cdr:nvSpPr>
        <cdr:cNvPr id="3" name="Text Box 2"/>
        <cdr:cNvSpPr txBox="1"/>
      </cdr:nvSpPr>
      <cdr:spPr>
        <a:xfrm xmlns:a="http://schemas.openxmlformats.org/drawingml/2006/main">
          <a:off x="470689" y="2240442"/>
          <a:ext cx="3827494" cy="19993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indent="0" algn="l" defTabSz="914400" rtl="0" eaLnBrk="1" fontAlgn="auto" latinLnBrk="0" hangingPunct="1">
            <a:lnSpc>
              <a:spcPct val="100000"/>
            </a:lnSpc>
            <a:spcBef>
              <a:spcPts val="0"/>
            </a:spcBef>
            <a:spcAft>
              <a:spcPts val="0"/>
            </a:spcAft>
            <a:buClrTx/>
            <a:buSzTx/>
            <a:buFontTx/>
            <a:buNone/>
            <a:tabLst/>
            <a:defRPr/>
          </a:pPr>
          <a:r>
            <a:rPr lang="x-none"/>
            <a:t>Bio-fertilizer      Organic fertilizer     Urea                Control</a:t>
          </a:r>
        </a:p>
        <a:p xmlns:a="http://schemas.openxmlformats.org/drawingml/2006/main">
          <a:endParaRPr lang="x-none"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420F6-EA55-47BC-AFCF-2230AB6C8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11</Pages>
  <Words>3382</Words>
  <Characters>19353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ifvcns</Company>
  <LinksUpToDate>false</LinksUpToDate>
  <CharactersWithSpaces>22690</CharactersWithSpaces>
  <SharedDoc>false</SharedDoc>
  <HLinks>
    <vt:vector size="42" baseType="variant">
      <vt:variant>
        <vt:i4>7208999</vt:i4>
      </vt:variant>
      <vt:variant>
        <vt:i4>24</vt:i4>
      </vt:variant>
      <vt:variant>
        <vt:i4>0</vt:i4>
      </vt:variant>
      <vt:variant>
        <vt:i4>5</vt:i4>
      </vt:variant>
      <vt:variant>
        <vt:lpwstr>http://dx.doi.org/10.1017/S0960258500004141</vt:lpwstr>
      </vt:variant>
      <vt:variant>
        <vt:lpwstr/>
      </vt:variant>
      <vt:variant>
        <vt:i4>7143457</vt:i4>
      </vt:variant>
      <vt:variant>
        <vt:i4>21</vt:i4>
      </vt:variant>
      <vt:variant>
        <vt:i4>0</vt:i4>
      </vt:variant>
      <vt:variant>
        <vt:i4>5</vt:i4>
      </vt:variant>
      <vt:variant>
        <vt:lpwstr>http://dx.doi.org/10.1017/S0960258500002713</vt:lpwstr>
      </vt:variant>
      <vt:variant>
        <vt:lpwstr/>
      </vt:variant>
      <vt:variant>
        <vt:i4>6881399</vt:i4>
      </vt:variant>
      <vt:variant>
        <vt:i4>6</vt:i4>
      </vt:variant>
      <vt:variant>
        <vt:i4>0</vt:i4>
      </vt:variant>
      <vt:variant>
        <vt:i4>5</vt:i4>
      </vt:variant>
      <vt:variant>
        <vt:lpwstr>https://definedterm.com/a/definition/200067</vt:lpwstr>
      </vt:variant>
      <vt:variant>
        <vt:lpwstr/>
      </vt:variant>
      <vt:variant>
        <vt:i4>6881399</vt:i4>
      </vt:variant>
      <vt:variant>
        <vt:i4>3</vt:i4>
      </vt:variant>
      <vt:variant>
        <vt:i4>0</vt:i4>
      </vt:variant>
      <vt:variant>
        <vt:i4>5</vt:i4>
      </vt:variant>
      <vt:variant>
        <vt:lpwstr>https://definedterm.com/a/definition/200067</vt:lpwstr>
      </vt:variant>
      <vt:variant>
        <vt:lpwstr/>
      </vt:variant>
      <vt:variant>
        <vt:i4>2293880</vt:i4>
      </vt:variant>
      <vt:variant>
        <vt:i4>0</vt:i4>
      </vt:variant>
      <vt:variant>
        <vt:i4>0</vt:i4>
      </vt:variant>
      <vt:variant>
        <vt:i4>5</vt:i4>
      </vt:variant>
      <vt:variant>
        <vt:lpwstr>http://www.sciencedirect.com/science/article/pii/S2221169115301593</vt:lpwstr>
      </vt:variant>
      <vt:variant>
        <vt:lpwstr/>
      </vt:variant>
      <vt:variant>
        <vt:i4>3014730</vt:i4>
      </vt:variant>
      <vt:variant>
        <vt:i4>3</vt:i4>
      </vt:variant>
      <vt:variant>
        <vt:i4>0</vt:i4>
      </vt:variant>
      <vt:variant>
        <vt:i4>5</vt:i4>
      </vt:variant>
      <vt:variant>
        <vt:lpwstr>mailto:karimi.sanru@gmail.com</vt:lpwstr>
      </vt:variant>
      <vt:variant>
        <vt:lpwstr/>
      </vt:variant>
      <vt:variant>
        <vt:i4>7143518</vt:i4>
      </vt:variant>
      <vt:variant>
        <vt:i4>0</vt:i4>
      </vt:variant>
      <vt:variant>
        <vt:i4>0</vt:i4>
      </vt:variant>
      <vt:variant>
        <vt:i4>5</vt:i4>
      </vt:variant>
      <vt:variant>
        <vt:lpwstr>mailto:omotayoalabi@yahoo.com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Snezana</dc:creator>
  <cp:lastModifiedBy>Home SrHill</cp:lastModifiedBy>
  <cp:revision>5</cp:revision>
  <cp:lastPrinted>2016-10-13T08:37:00Z</cp:lastPrinted>
  <dcterms:created xsi:type="dcterms:W3CDTF">2017-03-07T18:19:00Z</dcterms:created>
  <dcterms:modified xsi:type="dcterms:W3CDTF">2017-03-08T18:45:00Z</dcterms:modified>
</cp:coreProperties>
</file>