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F43465" w:rsidRDefault="00BF3CA8" w:rsidP="00F43465">
      <w:pPr>
        <w:widowControl w:val="0"/>
        <w:jc w:val="center"/>
        <w:rPr>
          <w:sz w:val="22"/>
          <w:szCs w:val="22"/>
        </w:rPr>
      </w:pPr>
    </w:p>
    <w:p w:rsidR="00BF3CA8" w:rsidRPr="00F43465" w:rsidRDefault="00BF3CA8" w:rsidP="00F43465">
      <w:pPr>
        <w:widowControl w:val="0"/>
        <w:jc w:val="center"/>
        <w:rPr>
          <w:sz w:val="22"/>
          <w:szCs w:val="22"/>
        </w:rPr>
      </w:pPr>
    </w:p>
    <w:p w:rsidR="00BF3CA8" w:rsidRPr="00F43465" w:rsidRDefault="00BF3CA8" w:rsidP="00F43465">
      <w:pPr>
        <w:widowControl w:val="0"/>
        <w:jc w:val="center"/>
        <w:rPr>
          <w:sz w:val="22"/>
          <w:szCs w:val="22"/>
        </w:rPr>
      </w:pPr>
    </w:p>
    <w:p w:rsidR="00F43465" w:rsidRPr="00FC60F3" w:rsidRDefault="00F43465" w:rsidP="00F43465">
      <w:pPr>
        <w:widowControl w:val="0"/>
        <w:jc w:val="center"/>
        <w:rPr>
          <w:sz w:val="22"/>
          <w:szCs w:val="22"/>
        </w:rPr>
      </w:pPr>
      <w:r w:rsidRPr="00FC60F3">
        <w:rPr>
          <w:sz w:val="22"/>
          <w:szCs w:val="22"/>
        </w:rPr>
        <w:t xml:space="preserve">THE EFFECT OF TOASTED </w:t>
      </w:r>
      <w:r w:rsidRPr="002D729F">
        <w:rPr>
          <w:i/>
          <w:sz w:val="22"/>
          <w:szCs w:val="22"/>
        </w:rPr>
        <w:t>ADENANTHERA PAVONINA</w:t>
      </w:r>
      <w:r w:rsidRPr="00FC60F3">
        <w:rPr>
          <w:sz w:val="22"/>
          <w:szCs w:val="22"/>
        </w:rPr>
        <w:t xml:space="preserve"> SEED MEAL ON HAEMATOLOGY AND BLOOD CHEMISTRY OF </w:t>
      </w:r>
    </w:p>
    <w:p w:rsidR="00F43465" w:rsidRPr="00FC60F3" w:rsidRDefault="00F43465" w:rsidP="00F43465">
      <w:pPr>
        <w:widowControl w:val="0"/>
        <w:jc w:val="center"/>
        <w:rPr>
          <w:sz w:val="22"/>
          <w:szCs w:val="22"/>
        </w:rPr>
      </w:pPr>
      <w:r w:rsidRPr="00FC60F3">
        <w:rPr>
          <w:sz w:val="22"/>
          <w:szCs w:val="22"/>
        </w:rPr>
        <w:t>FINISHER BROILER CHICKENS</w:t>
      </w:r>
    </w:p>
    <w:p w:rsidR="00F43465" w:rsidRPr="00F43465" w:rsidRDefault="00F43465" w:rsidP="00F43465">
      <w:pPr>
        <w:widowControl w:val="0"/>
        <w:jc w:val="center"/>
        <w:rPr>
          <w:sz w:val="22"/>
          <w:szCs w:val="22"/>
        </w:rPr>
      </w:pPr>
    </w:p>
    <w:p w:rsidR="00F43465" w:rsidRDefault="00F43465" w:rsidP="00F43465">
      <w:pPr>
        <w:widowControl w:val="0"/>
        <w:jc w:val="center"/>
        <w:rPr>
          <w:b/>
          <w:sz w:val="22"/>
          <w:szCs w:val="22"/>
        </w:rPr>
      </w:pPr>
      <w:r>
        <w:rPr>
          <w:b/>
          <w:color w:val="000000"/>
          <w:sz w:val="22"/>
          <w:szCs w:val="22"/>
        </w:rPr>
        <w:t>Ugochukwu H.</w:t>
      </w:r>
      <w:r w:rsidRPr="00F43465">
        <w:rPr>
          <w:b/>
          <w:color w:val="000000"/>
          <w:sz w:val="22"/>
          <w:szCs w:val="22"/>
        </w:rPr>
        <w:t>Ukpabi</w:t>
      </w:r>
      <w:r w:rsidRPr="00F43465">
        <w:rPr>
          <w:rStyle w:val="FootnoteReference"/>
          <w:b/>
          <w:sz w:val="22"/>
          <w:szCs w:val="22"/>
        </w:rPr>
        <w:footnoteReference w:customMarkFollows="1" w:id="2"/>
        <w:t>*</w:t>
      </w:r>
      <w:r w:rsidRPr="00F43465">
        <w:rPr>
          <w:b/>
          <w:color w:val="000000"/>
          <w:sz w:val="22"/>
          <w:szCs w:val="22"/>
        </w:rPr>
        <w:t xml:space="preserve">, </w:t>
      </w:r>
      <w:r>
        <w:rPr>
          <w:b/>
          <w:color w:val="000000"/>
          <w:sz w:val="22"/>
          <w:szCs w:val="22"/>
        </w:rPr>
        <w:t>Chinwendu L.</w:t>
      </w:r>
      <w:r w:rsidRPr="00F43465">
        <w:rPr>
          <w:b/>
          <w:color w:val="000000"/>
          <w:sz w:val="22"/>
          <w:szCs w:val="22"/>
        </w:rPr>
        <w:t>Mbachu</w:t>
      </w:r>
      <w:r w:rsidRPr="00F43465">
        <w:rPr>
          <w:b/>
          <w:sz w:val="22"/>
          <w:szCs w:val="22"/>
        </w:rPr>
        <w:t xml:space="preserve">and </w:t>
      </w:r>
      <w:r>
        <w:rPr>
          <w:b/>
          <w:sz w:val="22"/>
          <w:szCs w:val="22"/>
        </w:rPr>
        <w:t>Ikechukwu E.</w:t>
      </w:r>
      <w:r w:rsidRPr="00F43465">
        <w:rPr>
          <w:b/>
          <w:sz w:val="22"/>
          <w:szCs w:val="22"/>
        </w:rPr>
        <w:t>Chikwem</w:t>
      </w:r>
    </w:p>
    <w:p w:rsidR="00F43465" w:rsidRPr="00F43465" w:rsidRDefault="00F43465" w:rsidP="00F43465">
      <w:pPr>
        <w:widowControl w:val="0"/>
        <w:jc w:val="center"/>
        <w:rPr>
          <w:sz w:val="22"/>
          <w:szCs w:val="22"/>
        </w:rPr>
      </w:pPr>
    </w:p>
    <w:p w:rsidR="00F43465" w:rsidRDefault="00F43465" w:rsidP="00F43465">
      <w:pPr>
        <w:widowControl w:val="0"/>
        <w:jc w:val="center"/>
        <w:rPr>
          <w:color w:val="000000"/>
          <w:sz w:val="22"/>
          <w:szCs w:val="22"/>
        </w:rPr>
      </w:pPr>
      <w:r w:rsidRPr="00F43465">
        <w:rPr>
          <w:color w:val="000000"/>
          <w:sz w:val="22"/>
          <w:szCs w:val="22"/>
        </w:rPr>
        <w:t xml:space="preserve">Department of Animal Science and Fisheries, Abia State University, </w:t>
      </w:r>
    </w:p>
    <w:p w:rsidR="00F43465" w:rsidRPr="00F43465" w:rsidRDefault="00F43465" w:rsidP="00F43465">
      <w:pPr>
        <w:widowControl w:val="0"/>
        <w:jc w:val="center"/>
        <w:rPr>
          <w:color w:val="000000"/>
          <w:sz w:val="22"/>
          <w:szCs w:val="22"/>
        </w:rPr>
      </w:pPr>
      <w:r w:rsidRPr="00F43465">
        <w:rPr>
          <w:color w:val="000000"/>
          <w:sz w:val="22"/>
          <w:szCs w:val="22"/>
        </w:rPr>
        <w:t>Umuahia Campus, Nigeria</w:t>
      </w:r>
    </w:p>
    <w:p w:rsidR="0000178A" w:rsidRPr="00F43465" w:rsidRDefault="0000178A" w:rsidP="00F43465">
      <w:pPr>
        <w:widowControl w:val="0"/>
        <w:jc w:val="center"/>
        <w:rPr>
          <w:sz w:val="22"/>
          <w:szCs w:val="22"/>
        </w:rPr>
      </w:pPr>
    </w:p>
    <w:p w:rsidR="0000178A" w:rsidRPr="00A10618" w:rsidRDefault="0000178A" w:rsidP="00A10618">
      <w:pPr>
        <w:jc w:val="center"/>
        <w:rPr>
          <w:sz w:val="22"/>
          <w:szCs w:val="22"/>
        </w:rPr>
      </w:pPr>
    </w:p>
    <w:p w:rsidR="00F43465" w:rsidRPr="00F13620" w:rsidRDefault="007D5A6F" w:rsidP="00F13620">
      <w:pPr>
        <w:widowControl w:val="0"/>
        <w:ind w:firstLine="425"/>
        <w:jc w:val="both"/>
        <w:rPr>
          <w:sz w:val="22"/>
          <w:szCs w:val="22"/>
        </w:rPr>
      </w:pPr>
      <w:r w:rsidRPr="00A10618">
        <w:rPr>
          <w:b/>
          <w:sz w:val="22"/>
          <w:szCs w:val="22"/>
        </w:rPr>
        <w:t>Abstract:</w:t>
      </w:r>
      <w:r w:rsidR="002D729F">
        <w:rPr>
          <w:b/>
          <w:sz w:val="22"/>
          <w:szCs w:val="22"/>
        </w:rPr>
        <w:t xml:space="preserve"> </w:t>
      </w:r>
      <w:r w:rsidR="00F43465" w:rsidRPr="00F13620">
        <w:rPr>
          <w:sz w:val="22"/>
          <w:szCs w:val="22"/>
        </w:rPr>
        <w:t xml:space="preserve">The effect of graded levels of toasted </w:t>
      </w:r>
      <w:r w:rsidR="00F43465" w:rsidRPr="00F13620">
        <w:rPr>
          <w:i/>
          <w:sz w:val="22"/>
          <w:szCs w:val="22"/>
        </w:rPr>
        <w:t>Adenanthera</w:t>
      </w:r>
      <w:r w:rsidR="002D729F">
        <w:rPr>
          <w:i/>
          <w:sz w:val="22"/>
          <w:szCs w:val="22"/>
        </w:rPr>
        <w:t xml:space="preserve"> </w:t>
      </w:r>
      <w:r w:rsidR="00F43465" w:rsidRPr="00F13620">
        <w:rPr>
          <w:i/>
          <w:sz w:val="22"/>
          <w:szCs w:val="22"/>
        </w:rPr>
        <w:t>pavonina</w:t>
      </w:r>
      <w:r w:rsidR="00F43465" w:rsidRPr="00F13620">
        <w:rPr>
          <w:sz w:val="22"/>
          <w:szCs w:val="22"/>
        </w:rPr>
        <w:t xml:space="preserve"> seed meal (TAPSM) on haematological and biochemical indices of finisher broiler chickens was investigated in a five-week feeding trial with 84 (5-week old) broilers divided into four groups of 21 birds per group. Each group had three replicates of 7 birds. Four experimental diets were formulated to contain 0, 10, 20 and 30% TAPSM, represented as T</w:t>
      </w:r>
      <w:r w:rsidR="00F43465" w:rsidRPr="00F13620">
        <w:rPr>
          <w:sz w:val="22"/>
          <w:szCs w:val="22"/>
          <w:vertAlign w:val="subscript"/>
        </w:rPr>
        <w:t>1</w:t>
      </w:r>
      <w:r w:rsidR="00F43465" w:rsidRPr="00F13620">
        <w:rPr>
          <w:sz w:val="22"/>
          <w:szCs w:val="22"/>
        </w:rPr>
        <w:t>, T</w:t>
      </w:r>
      <w:r w:rsidR="00F43465" w:rsidRPr="00F13620">
        <w:rPr>
          <w:sz w:val="22"/>
          <w:szCs w:val="22"/>
          <w:vertAlign w:val="subscript"/>
        </w:rPr>
        <w:t>2</w:t>
      </w:r>
      <w:r w:rsidR="00F43465" w:rsidRPr="00F13620">
        <w:rPr>
          <w:sz w:val="22"/>
          <w:szCs w:val="22"/>
        </w:rPr>
        <w:t>, T</w:t>
      </w:r>
      <w:r w:rsidR="00F43465" w:rsidRPr="00F13620">
        <w:rPr>
          <w:sz w:val="22"/>
          <w:szCs w:val="22"/>
          <w:vertAlign w:val="subscript"/>
        </w:rPr>
        <w:t>3</w:t>
      </w:r>
      <w:r w:rsidR="00F43465" w:rsidRPr="00F13620">
        <w:rPr>
          <w:sz w:val="22"/>
          <w:szCs w:val="22"/>
        </w:rPr>
        <w:t xml:space="preserve"> and T</w:t>
      </w:r>
      <w:r w:rsidR="00F43465" w:rsidRPr="00F13620">
        <w:rPr>
          <w:sz w:val="22"/>
          <w:szCs w:val="22"/>
          <w:vertAlign w:val="subscript"/>
        </w:rPr>
        <w:t>4</w:t>
      </w:r>
      <w:r w:rsidR="00F43465" w:rsidRPr="00F13620">
        <w:rPr>
          <w:sz w:val="22"/>
          <w:szCs w:val="22"/>
        </w:rPr>
        <w:t xml:space="preserve"> respectively. Birds were allocated to the four diets in a completely randomized design and housed in a deep litter pen. Feed and water were offered to birds </w:t>
      </w:r>
      <w:r w:rsidR="00F43465" w:rsidRPr="00F13620">
        <w:rPr>
          <w:i/>
          <w:sz w:val="22"/>
          <w:szCs w:val="22"/>
        </w:rPr>
        <w:t>ad libitum</w:t>
      </w:r>
      <w:r w:rsidR="00F43465" w:rsidRPr="00F13620">
        <w:rPr>
          <w:sz w:val="22"/>
          <w:szCs w:val="22"/>
        </w:rPr>
        <w:t>. Haematological parameters showed a significant (P&lt;0.05) decreasing trend in haemoglobin (10.20, 9.03, 8.60 and 7.63 g/dl), packed cell volume (28.33, 26.10, 25.60 and 25.20%), total red blood cell (4.23, 4.00, 3.99 and 3.99 ×10</w:t>
      </w:r>
      <w:r w:rsidR="00F43465" w:rsidRPr="00F13620">
        <w:rPr>
          <w:sz w:val="22"/>
          <w:szCs w:val="22"/>
          <w:vertAlign w:val="superscript"/>
        </w:rPr>
        <w:t>6</w:t>
      </w:r>
      <w:r w:rsidR="00F43465" w:rsidRPr="00F13620">
        <w:rPr>
          <w:sz w:val="22"/>
          <w:szCs w:val="22"/>
        </w:rPr>
        <w:t>/µl), mean corpuscular volume (66.97, 65.25, 64.16 and 63.15 fl), mean corpuscular haemoglobin (24.11, 22.57, 21.55 and 19.12pg) and mean corpuscular haemoglobin concentration (35.66, 34.59, 33.59 and 30.27%) with an increase in the level of TAPSM in the diets. Total white blood cells (71.76, 73.40, 75.07 and 76.17 ×10</w:t>
      </w:r>
      <w:r w:rsidR="00F43465" w:rsidRPr="00F13620">
        <w:rPr>
          <w:sz w:val="22"/>
          <w:szCs w:val="22"/>
          <w:vertAlign w:val="superscript"/>
        </w:rPr>
        <w:t>3</w:t>
      </w:r>
      <w:r w:rsidR="00F43465" w:rsidRPr="00F13620">
        <w:rPr>
          <w:sz w:val="22"/>
          <w:szCs w:val="22"/>
        </w:rPr>
        <w:t>/µl) increased significantly (P&lt;0.05) as the TAPSM level increased. The other values were as follows: urea (4.00, 5.00, 6.67 and 10.00mg/dl), creatinine (0.33, 0.25, 0.43 and 0.46mg/dl), cholesterol (149.67, 135.67, 113.67 and 102.67 mg/dl), total protein (3.33, 3.43, 2.97 and 2.50mg/dl), glucose (146.14, 208.49, 179.66 and 135.33 mg/dl), alkaline phosphatase (105.65, 111.2, 132.67 and 145.00 iu/</w:t>
      </w:r>
      <w:r w:rsidR="00F43465" w:rsidRPr="00F13620">
        <w:rPr>
          <w:i/>
          <w:sz w:val="22"/>
          <w:szCs w:val="22"/>
        </w:rPr>
        <w:t>l</w:t>
      </w:r>
      <w:r w:rsidR="00F43465" w:rsidRPr="00F13620">
        <w:rPr>
          <w:sz w:val="22"/>
          <w:szCs w:val="22"/>
        </w:rPr>
        <w:t>) and aspartate transaminase (68.68, 70.00, 78.00 and 85.67 iu/</w:t>
      </w:r>
      <w:r w:rsidR="00F43465" w:rsidRPr="00F13620">
        <w:rPr>
          <w:i/>
          <w:sz w:val="22"/>
          <w:szCs w:val="22"/>
        </w:rPr>
        <w:t>l</w:t>
      </w:r>
      <w:r w:rsidR="00F43465" w:rsidRPr="00F13620">
        <w:rPr>
          <w:sz w:val="22"/>
          <w:szCs w:val="22"/>
        </w:rPr>
        <w:t>). In conclusion, 10% TAPSM in broiler diets most favourably influenced haematological and biochemical parameters.</w:t>
      </w:r>
    </w:p>
    <w:p w:rsidR="00A10618" w:rsidRPr="00F13620" w:rsidRDefault="00F43465" w:rsidP="00F13620">
      <w:pPr>
        <w:widowControl w:val="0"/>
        <w:ind w:firstLine="425"/>
        <w:jc w:val="both"/>
        <w:rPr>
          <w:sz w:val="22"/>
          <w:szCs w:val="22"/>
        </w:rPr>
      </w:pPr>
      <w:r w:rsidRPr="00F13620">
        <w:rPr>
          <w:b/>
          <w:sz w:val="22"/>
          <w:szCs w:val="22"/>
        </w:rPr>
        <w:t>Key words:</w:t>
      </w:r>
      <w:r w:rsidR="002D729F">
        <w:rPr>
          <w:b/>
          <w:sz w:val="22"/>
          <w:szCs w:val="22"/>
        </w:rPr>
        <w:t xml:space="preserve"> </w:t>
      </w:r>
      <w:r w:rsidRPr="00F13620">
        <w:rPr>
          <w:i/>
          <w:sz w:val="22"/>
          <w:szCs w:val="22"/>
        </w:rPr>
        <w:t>Adenanthera</w:t>
      </w:r>
      <w:r w:rsidR="002D729F">
        <w:rPr>
          <w:i/>
          <w:sz w:val="22"/>
          <w:szCs w:val="22"/>
        </w:rPr>
        <w:t xml:space="preserve"> </w:t>
      </w:r>
      <w:r w:rsidRPr="00F13620">
        <w:rPr>
          <w:i/>
          <w:sz w:val="22"/>
          <w:szCs w:val="22"/>
        </w:rPr>
        <w:t>pavonina</w:t>
      </w:r>
      <w:r w:rsidRPr="00F13620">
        <w:rPr>
          <w:sz w:val="22"/>
          <w:szCs w:val="22"/>
        </w:rPr>
        <w:t>, toasted, finisher broilers, haematology, blood chemistry</w:t>
      </w:r>
      <w:r w:rsidR="00A10618" w:rsidRPr="00F13620">
        <w:rPr>
          <w:sz w:val="22"/>
          <w:szCs w:val="22"/>
        </w:rPr>
        <w:t>.</w:t>
      </w:r>
    </w:p>
    <w:p w:rsidR="003E04A8" w:rsidRPr="00F13620" w:rsidRDefault="003E04A8" w:rsidP="00F13620">
      <w:pPr>
        <w:widowControl w:val="0"/>
        <w:ind w:firstLine="425"/>
        <w:jc w:val="both"/>
        <w:rPr>
          <w:sz w:val="22"/>
          <w:szCs w:val="22"/>
        </w:rPr>
      </w:pPr>
    </w:p>
    <w:p w:rsidR="00201A57" w:rsidRDefault="00201A57" w:rsidP="00A10618">
      <w:pPr>
        <w:ind w:firstLine="426"/>
        <w:jc w:val="both"/>
        <w:rPr>
          <w:sz w:val="22"/>
          <w:szCs w:val="22"/>
        </w:rPr>
      </w:pPr>
    </w:p>
    <w:p w:rsidR="00A10618" w:rsidRDefault="00A10618" w:rsidP="00A10618">
      <w:pPr>
        <w:ind w:firstLine="426"/>
        <w:jc w:val="both"/>
        <w:rPr>
          <w:sz w:val="22"/>
          <w:szCs w:val="22"/>
        </w:rPr>
      </w:pPr>
    </w:p>
    <w:p w:rsidR="00D64201" w:rsidRPr="003E04A8" w:rsidRDefault="00D64201" w:rsidP="003E04A8">
      <w:pPr>
        <w:jc w:val="center"/>
        <w:rPr>
          <w:b/>
          <w:spacing w:val="2"/>
          <w:sz w:val="22"/>
          <w:szCs w:val="22"/>
        </w:rPr>
      </w:pPr>
      <w:r w:rsidRPr="003E04A8">
        <w:rPr>
          <w:b/>
          <w:spacing w:val="2"/>
          <w:sz w:val="22"/>
          <w:szCs w:val="22"/>
        </w:rPr>
        <w:lastRenderedPageBreak/>
        <w:t>Introduction</w:t>
      </w:r>
    </w:p>
    <w:p w:rsidR="00D64201" w:rsidRPr="003B033F" w:rsidRDefault="00D64201" w:rsidP="003B033F">
      <w:pPr>
        <w:contextualSpacing/>
        <w:jc w:val="center"/>
        <w:rPr>
          <w:spacing w:val="2"/>
          <w:sz w:val="22"/>
          <w:szCs w:val="22"/>
        </w:rPr>
      </w:pPr>
    </w:p>
    <w:p w:rsidR="00FC60F3" w:rsidRPr="00F13620" w:rsidRDefault="00FC60F3" w:rsidP="00F13620">
      <w:pPr>
        <w:ind w:firstLine="425"/>
        <w:jc w:val="both"/>
        <w:rPr>
          <w:sz w:val="22"/>
          <w:szCs w:val="22"/>
        </w:rPr>
      </w:pPr>
      <w:r w:rsidRPr="00F13620">
        <w:rPr>
          <w:sz w:val="22"/>
          <w:szCs w:val="22"/>
        </w:rPr>
        <w:t>There is a need for readily available, high quality alternative plant proteins that are inexpensive and capable of reducing production cost of meat and other animal products. Intensive poultry farming in Nigeria has been greatly affected by high cost of feeds and feed ingredients, especially the protein and energy sources like soybean, groundnut cake and maize (Ani and Adiegwu, 2005). This has been blamed on the competition between man, livestock and industries on conventional feedstuff (Akinmutimi, 2004). The importance of nutrients in intensive poultry production is evidenced by the fact that 75</w:t>
      </w:r>
      <w:r w:rsidRPr="00F13620">
        <w:rPr>
          <w:rFonts w:cs="Calibri"/>
          <w:sz w:val="22"/>
          <w:szCs w:val="22"/>
        </w:rPr>
        <w:t>‒</w:t>
      </w:r>
      <w:r w:rsidRPr="00F13620">
        <w:rPr>
          <w:sz w:val="22"/>
          <w:szCs w:val="22"/>
        </w:rPr>
        <w:t>80% of production cost is due to feed (Iheukwumere, 2008).</w:t>
      </w:r>
    </w:p>
    <w:p w:rsidR="00FC60F3" w:rsidRPr="00F13620" w:rsidRDefault="00FC60F3" w:rsidP="00F13620">
      <w:pPr>
        <w:ind w:firstLine="425"/>
        <w:jc w:val="both"/>
        <w:rPr>
          <w:sz w:val="22"/>
          <w:szCs w:val="22"/>
        </w:rPr>
      </w:pPr>
      <w:r w:rsidRPr="00F13620">
        <w:rPr>
          <w:sz w:val="22"/>
          <w:szCs w:val="22"/>
        </w:rPr>
        <w:t xml:space="preserve">A common solution cost is by using locally available and cheap sources of feed ingredients, particularly those that do not involve competition between humans and livestock. One of the problems with the use of legumes is the presence of anti-nutritional factors (ANF). </w:t>
      </w:r>
      <w:r w:rsidRPr="00F13620">
        <w:rPr>
          <w:i/>
          <w:sz w:val="22"/>
          <w:szCs w:val="22"/>
        </w:rPr>
        <w:t>Adenanthera</w:t>
      </w:r>
      <w:r w:rsidR="002D729F">
        <w:rPr>
          <w:i/>
          <w:sz w:val="22"/>
          <w:szCs w:val="22"/>
        </w:rPr>
        <w:t xml:space="preserve"> </w:t>
      </w:r>
      <w:r w:rsidRPr="00F13620">
        <w:rPr>
          <w:i/>
          <w:sz w:val="22"/>
          <w:szCs w:val="22"/>
        </w:rPr>
        <w:t>pavonina</w:t>
      </w:r>
      <w:r w:rsidRPr="00F13620">
        <w:rPr>
          <w:sz w:val="22"/>
          <w:szCs w:val="22"/>
        </w:rPr>
        <w:t xml:space="preserve"> seeds have been reported to contain anti-nutrients such as taninns, phenols, cyanogenic glycosides, saponins, trypsin inhibitors and haemagglutinins (Umezuruike, 2006). Most of the processing methods employed to improve the feed value of alternative feedstuff do not completely eliminate the anti-nutrients, but only reduce their concentration to a tolerable level in the feedstuff (Akinmutimi, 2004).</w:t>
      </w:r>
    </w:p>
    <w:p w:rsidR="00FC60F3" w:rsidRPr="00F13620" w:rsidRDefault="00FC60F3" w:rsidP="00F13620">
      <w:pPr>
        <w:ind w:firstLine="425"/>
        <w:jc w:val="both"/>
        <w:rPr>
          <w:sz w:val="22"/>
          <w:szCs w:val="22"/>
        </w:rPr>
      </w:pPr>
      <w:r w:rsidRPr="00F13620">
        <w:rPr>
          <w:i/>
          <w:sz w:val="22"/>
          <w:szCs w:val="22"/>
        </w:rPr>
        <w:t>Adenanthera</w:t>
      </w:r>
      <w:r w:rsidR="002D729F">
        <w:rPr>
          <w:i/>
          <w:sz w:val="22"/>
          <w:szCs w:val="22"/>
        </w:rPr>
        <w:t xml:space="preserve"> </w:t>
      </w:r>
      <w:r w:rsidRPr="00F13620">
        <w:rPr>
          <w:i/>
          <w:sz w:val="22"/>
          <w:szCs w:val="22"/>
        </w:rPr>
        <w:t>pavonina</w:t>
      </w:r>
      <w:r w:rsidRPr="00F13620">
        <w:rPr>
          <w:sz w:val="22"/>
          <w:szCs w:val="22"/>
        </w:rPr>
        <w:t xml:space="preserve">,commonly called coral bean tree or red sandal wood, belongs to the family </w:t>
      </w:r>
      <w:r w:rsidR="00127F3C">
        <w:rPr>
          <w:i/>
          <w:sz w:val="22"/>
          <w:szCs w:val="22"/>
        </w:rPr>
        <w:t>Fabaceae</w:t>
      </w:r>
      <w:r w:rsidRPr="00F13620">
        <w:rPr>
          <w:sz w:val="22"/>
          <w:szCs w:val="22"/>
        </w:rPr>
        <w:t xml:space="preserve">, sub-family </w:t>
      </w:r>
      <w:r w:rsidRPr="00F13620">
        <w:rPr>
          <w:i/>
          <w:sz w:val="22"/>
          <w:szCs w:val="22"/>
        </w:rPr>
        <w:t>Mimisoideae</w:t>
      </w:r>
      <w:r w:rsidRPr="00F13620">
        <w:rPr>
          <w:sz w:val="22"/>
          <w:szCs w:val="22"/>
        </w:rPr>
        <w:t xml:space="preserve">. The seed of </w:t>
      </w:r>
      <w:r w:rsidRPr="00F13620">
        <w:rPr>
          <w:i/>
          <w:sz w:val="22"/>
          <w:szCs w:val="22"/>
        </w:rPr>
        <w:t>Adenantherapavonina</w:t>
      </w:r>
      <w:r w:rsidRPr="00F13620">
        <w:rPr>
          <w:sz w:val="22"/>
          <w:szCs w:val="22"/>
        </w:rPr>
        <w:t xml:space="preserve"> contains appreciable amounts of protein, crude fat and minerals compared to commonly consumed staples (Ezeagu et al., 2004). It has also been reported that 25% of the seed weight is oil, with a high digestibility in animals and humans. The roasted seeds are eaten by humans while the leaves are used as fodder for animals. Apart from that, it is also used for medicinal, timber and ornamental purposes (Orwa et al., 2009). </w:t>
      </w:r>
      <w:r w:rsidRPr="00F13620">
        <w:rPr>
          <w:sz w:val="22"/>
          <w:szCs w:val="22"/>
          <w:lang w:val="en-US"/>
        </w:rPr>
        <w:t>There is an active search for alternatives to conventional feed raw materials in animal feeding. This includes evaluation of leguminous seeds (</w:t>
      </w:r>
      <w:r w:rsidRPr="00F13620">
        <w:rPr>
          <w:bCs/>
          <w:sz w:val="22"/>
          <w:szCs w:val="22"/>
        </w:rPr>
        <w:t>Camara et al., 2003; Kwari et al</w:t>
      </w:r>
      <w:r w:rsidRPr="00F13620">
        <w:rPr>
          <w:bCs/>
          <w:i/>
          <w:sz w:val="22"/>
          <w:szCs w:val="22"/>
        </w:rPr>
        <w:t xml:space="preserve">., </w:t>
      </w:r>
      <w:r w:rsidRPr="00F13620">
        <w:rPr>
          <w:bCs/>
          <w:sz w:val="22"/>
          <w:szCs w:val="22"/>
        </w:rPr>
        <w:t xml:space="preserve">2011; </w:t>
      </w:r>
      <w:r w:rsidRPr="00F13620">
        <w:rPr>
          <w:sz w:val="22"/>
          <w:szCs w:val="22"/>
          <w:lang w:val="en-US"/>
        </w:rPr>
        <w:t>Emiola et al., 2013;</w:t>
      </w:r>
      <w:r w:rsidRPr="00F13620">
        <w:rPr>
          <w:bCs/>
          <w:sz w:val="22"/>
          <w:szCs w:val="22"/>
        </w:rPr>
        <w:t xml:space="preserve">Agbabiaka et al., 2013; </w:t>
      </w:r>
      <w:r w:rsidRPr="00F13620">
        <w:rPr>
          <w:sz w:val="22"/>
          <w:szCs w:val="22"/>
          <w:lang w:val="en-US"/>
        </w:rPr>
        <w:t>Ukpabi et al., 2015</w:t>
      </w:r>
      <w:r w:rsidRPr="00F13620">
        <w:rPr>
          <w:bCs/>
          <w:sz w:val="22"/>
          <w:szCs w:val="22"/>
        </w:rPr>
        <w:t>)</w:t>
      </w:r>
      <w:r w:rsidRPr="00F13620">
        <w:rPr>
          <w:sz w:val="22"/>
          <w:szCs w:val="22"/>
        </w:rPr>
        <w:t xml:space="preserve">, leaf meal (Esonu, et al., 2006; Madubuike and Ekenyem, 2006; Ukpabi et al., 2009; Obikaonu et al., 2012; Onunkwo and George, 2015;) and by-products from food and ethanol industries (Amaefule et al., 2006; Alu et al., 2013; Adeyemo and Sani, 2013). The raw seed of </w:t>
      </w:r>
      <w:r w:rsidRPr="00F13620">
        <w:rPr>
          <w:i/>
          <w:sz w:val="22"/>
          <w:szCs w:val="22"/>
        </w:rPr>
        <w:t>Adenantherapavonina</w:t>
      </w:r>
      <w:r w:rsidRPr="00F13620">
        <w:rPr>
          <w:sz w:val="22"/>
          <w:szCs w:val="22"/>
        </w:rPr>
        <w:t xml:space="preserve"> had been reported to negatively affect the haematological and serum biochemistry of finisher broilers at levels exceeding 5% in the diet (Ukpabi et al</w:t>
      </w:r>
      <w:r w:rsidRPr="00F13620">
        <w:rPr>
          <w:i/>
          <w:sz w:val="22"/>
          <w:szCs w:val="22"/>
        </w:rPr>
        <w:t>.,</w:t>
      </w:r>
      <w:r w:rsidRPr="00F13620">
        <w:rPr>
          <w:sz w:val="22"/>
          <w:szCs w:val="22"/>
        </w:rPr>
        <w:t xml:space="preserve"> 2015).</w:t>
      </w:r>
    </w:p>
    <w:p w:rsidR="00FC60F3" w:rsidRDefault="00FC60F3" w:rsidP="00F13620">
      <w:pPr>
        <w:ind w:firstLine="425"/>
        <w:jc w:val="both"/>
        <w:rPr>
          <w:sz w:val="22"/>
          <w:szCs w:val="22"/>
        </w:rPr>
      </w:pPr>
      <w:r w:rsidRPr="00F13620">
        <w:rPr>
          <w:sz w:val="22"/>
          <w:szCs w:val="22"/>
        </w:rPr>
        <w:t xml:space="preserve">Haematological and biochemical indices are essential indicators of health status in animals and have been indispensable in the diagnosis and treatment of many diseases (Emiola et al., 2013). Haematology and blood chemistry are also important tools for assessing the quality of feed and the health status of animals </w:t>
      </w:r>
      <w:r w:rsidRPr="00F13620">
        <w:rPr>
          <w:sz w:val="22"/>
          <w:szCs w:val="22"/>
        </w:rPr>
        <w:lastRenderedPageBreak/>
        <w:t xml:space="preserve">that are placed on experimental diets (Merck, 2010). Thus, the aim of this study was to examine the effect of toasted </w:t>
      </w:r>
      <w:r w:rsidRPr="00F13620">
        <w:rPr>
          <w:i/>
          <w:sz w:val="22"/>
          <w:szCs w:val="22"/>
        </w:rPr>
        <w:t>Adenantherapavonina</w:t>
      </w:r>
      <w:r w:rsidRPr="00F13620">
        <w:rPr>
          <w:sz w:val="22"/>
          <w:szCs w:val="22"/>
        </w:rPr>
        <w:t xml:space="preserve"> seed meal (TAPSM) on the haematology and blood chemistry of finisher broi</w:t>
      </w:r>
      <w:r w:rsidR="00F13620">
        <w:rPr>
          <w:sz w:val="22"/>
          <w:szCs w:val="22"/>
        </w:rPr>
        <w:t>lers.</w:t>
      </w:r>
    </w:p>
    <w:p w:rsidR="00F13620" w:rsidRPr="00F13620" w:rsidRDefault="00F13620" w:rsidP="00F13620">
      <w:pPr>
        <w:ind w:firstLine="425"/>
        <w:jc w:val="both"/>
        <w:rPr>
          <w:sz w:val="22"/>
          <w:szCs w:val="22"/>
        </w:rPr>
      </w:pPr>
    </w:p>
    <w:p w:rsidR="00FC60F3" w:rsidRPr="00F13620" w:rsidRDefault="00FC60F3" w:rsidP="00FC60F3">
      <w:pPr>
        <w:jc w:val="center"/>
        <w:rPr>
          <w:b/>
          <w:sz w:val="22"/>
          <w:szCs w:val="22"/>
        </w:rPr>
      </w:pPr>
      <w:r w:rsidRPr="00F13620">
        <w:rPr>
          <w:b/>
          <w:sz w:val="22"/>
          <w:szCs w:val="22"/>
        </w:rPr>
        <w:t>Materials and Methods</w:t>
      </w:r>
    </w:p>
    <w:p w:rsidR="00F13620" w:rsidRPr="00F13620" w:rsidRDefault="00F13620" w:rsidP="00FC60F3">
      <w:pPr>
        <w:jc w:val="center"/>
        <w:rPr>
          <w:sz w:val="22"/>
          <w:szCs w:val="22"/>
        </w:rPr>
      </w:pPr>
    </w:p>
    <w:p w:rsidR="00FC60F3" w:rsidRPr="00F13620" w:rsidRDefault="00FC60F3" w:rsidP="00F13620">
      <w:pPr>
        <w:widowControl w:val="0"/>
        <w:ind w:firstLine="425"/>
        <w:jc w:val="both"/>
        <w:rPr>
          <w:sz w:val="22"/>
          <w:szCs w:val="22"/>
        </w:rPr>
      </w:pPr>
      <w:r w:rsidRPr="00F13620">
        <w:rPr>
          <w:sz w:val="22"/>
          <w:szCs w:val="22"/>
        </w:rPr>
        <w:t>Experimental site</w:t>
      </w:r>
    </w:p>
    <w:p w:rsidR="00F13620" w:rsidRDefault="00F13620" w:rsidP="00F13620">
      <w:pPr>
        <w:widowControl w:val="0"/>
        <w:ind w:firstLine="425"/>
        <w:jc w:val="both"/>
        <w:rPr>
          <w:sz w:val="22"/>
          <w:szCs w:val="22"/>
        </w:rPr>
      </w:pPr>
    </w:p>
    <w:p w:rsidR="00FC60F3" w:rsidRPr="00F13620" w:rsidRDefault="00FC60F3" w:rsidP="00F13620">
      <w:pPr>
        <w:widowControl w:val="0"/>
        <w:ind w:firstLine="425"/>
        <w:jc w:val="both"/>
        <w:rPr>
          <w:sz w:val="22"/>
          <w:szCs w:val="22"/>
        </w:rPr>
      </w:pPr>
      <w:r w:rsidRPr="00F13620">
        <w:rPr>
          <w:sz w:val="22"/>
          <w:szCs w:val="22"/>
        </w:rPr>
        <w:t>The experiment was carried out at the Livestock Unit of Faculty of Agriculture Teaching and Research Farms, Abia State University, Umudike Campus, Nigeria. Umudike has coordinates of 7°31¹ East and 5°28¹ North, and lies at an altitude of 122 meters above sea level (Adiele et al., 2005).</w:t>
      </w:r>
    </w:p>
    <w:p w:rsidR="00F13620" w:rsidRDefault="00F13620" w:rsidP="00F13620">
      <w:pPr>
        <w:widowControl w:val="0"/>
        <w:ind w:firstLine="425"/>
        <w:jc w:val="both"/>
        <w:rPr>
          <w:sz w:val="22"/>
          <w:szCs w:val="22"/>
        </w:rPr>
      </w:pPr>
    </w:p>
    <w:p w:rsidR="00FC60F3" w:rsidRPr="00F13620" w:rsidRDefault="00FC60F3" w:rsidP="00F13620">
      <w:pPr>
        <w:widowControl w:val="0"/>
        <w:ind w:firstLine="425"/>
        <w:jc w:val="both"/>
        <w:rPr>
          <w:sz w:val="22"/>
          <w:szCs w:val="22"/>
        </w:rPr>
      </w:pPr>
      <w:r w:rsidRPr="00F13620">
        <w:rPr>
          <w:sz w:val="22"/>
          <w:szCs w:val="22"/>
        </w:rPr>
        <w:t>Procurement of feed ingredients</w:t>
      </w:r>
    </w:p>
    <w:p w:rsidR="00F13620" w:rsidRDefault="00F13620" w:rsidP="00F13620">
      <w:pPr>
        <w:widowControl w:val="0"/>
        <w:ind w:firstLine="425"/>
        <w:jc w:val="both"/>
        <w:rPr>
          <w:i/>
          <w:sz w:val="22"/>
          <w:szCs w:val="22"/>
        </w:rPr>
      </w:pPr>
    </w:p>
    <w:p w:rsidR="00FC60F3" w:rsidRPr="00F13620" w:rsidRDefault="00FC60F3" w:rsidP="00F13620">
      <w:pPr>
        <w:widowControl w:val="0"/>
        <w:ind w:firstLine="425"/>
        <w:jc w:val="both"/>
        <w:rPr>
          <w:sz w:val="22"/>
          <w:szCs w:val="22"/>
        </w:rPr>
      </w:pPr>
      <w:r w:rsidRPr="00F13620">
        <w:rPr>
          <w:i/>
          <w:sz w:val="22"/>
          <w:szCs w:val="22"/>
        </w:rPr>
        <w:t>Adenanthera</w:t>
      </w:r>
      <w:r w:rsidR="002D729F">
        <w:rPr>
          <w:i/>
          <w:sz w:val="22"/>
          <w:szCs w:val="22"/>
        </w:rPr>
        <w:t xml:space="preserve"> </w:t>
      </w:r>
      <w:r w:rsidRPr="00F13620">
        <w:rPr>
          <w:i/>
          <w:sz w:val="22"/>
          <w:szCs w:val="22"/>
        </w:rPr>
        <w:t>pavonina</w:t>
      </w:r>
      <w:r w:rsidRPr="00F13620">
        <w:rPr>
          <w:sz w:val="22"/>
          <w:szCs w:val="22"/>
        </w:rPr>
        <w:t xml:space="preserve"> seeds were gathered from the premises of the Abia State University, Umudike Location and the National Institute for Horticulture (NIHORT), Mbato in Okigwe, Imo State. Other feed ingredients were purchased from a commercial feed shop in Umuahia. </w:t>
      </w:r>
    </w:p>
    <w:p w:rsidR="00F13620" w:rsidRDefault="00F13620" w:rsidP="00F13620">
      <w:pPr>
        <w:widowControl w:val="0"/>
        <w:ind w:firstLine="425"/>
        <w:jc w:val="both"/>
        <w:rPr>
          <w:sz w:val="22"/>
          <w:szCs w:val="22"/>
        </w:rPr>
      </w:pPr>
    </w:p>
    <w:p w:rsidR="00FC60F3" w:rsidRDefault="00FC60F3" w:rsidP="00F13620">
      <w:pPr>
        <w:widowControl w:val="0"/>
        <w:ind w:firstLine="425"/>
        <w:jc w:val="both"/>
        <w:rPr>
          <w:sz w:val="22"/>
          <w:szCs w:val="22"/>
        </w:rPr>
      </w:pPr>
      <w:r w:rsidRPr="00F13620">
        <w:rPr>
          <w:sz w:val="22"/>
          <w:szCs w:val="22"/>
        </w:rPr>
        <w:t xml:space="preserve">Processing of </w:t>
      </w:r>
      <w:r w:rsidRPr="00F13620">
        <w:rPr>
          <w:i/>
          <w:sz w:val="22"/>
          <w:szCs w:val="22"/>
        </w:rPr>
        <w:t>Adenanthera</w:t>
      </w:r>
      <w:r w:rsidR="002D729F">
        <w:rPr>
          <w:i/>
          <w:sz w:val="22"/>
          <w:szCs w:val="22"/>
        </w:rPr>
        <w:t xml:space="preserve"> </w:t>
      </w:r>
      <w:r w:rsidRPr="00F13620">
        <w:rPr>
          <w:i/>
          <w:sz w:val="22"/>
          <w:szCs w:val="22"/>
        </w:rPr>
        <w:t>pavonina</w:t>
      </w:r>
      <w:r w:rsidRPr="00F13620">
        <w:rPr>
          <w:sz w:val="22"/>
          <w:szCs w:val="22"/>
        </w:rPr>
        <w:t xml:space="preserve"> seeds</w:t>
      </w:r>
    </w:p>
    <w:p w:rsidR="00F13620" w:rsidRPr="00F13620" w:rsidRDefault="00F13620" w:rsidP="00F13620">
      <w:pPr>
        <w:widowControl w:val="0"/>
        <w:ind w:firstLine="425"/>
        <w:jc w:val="both"/>
        <w:rPr>
          <w:sz w:val="22"/>
          <w:szCs w:val="22"/>
        </w:rPr>
      </w:pPr>
    </w:p>
    <w:p w:rsidR="00FC60F3" w:rsidRPr="00F13620" w:rsidRDefault="00FC60F3" w:rsidP="00F13620">
      <w:pPr>
        <w:widowControl w:val="0"/>
        <w:ind w:firstLine="425"/>
        <w:jc w:val="both"/>
        <w:rPr>
          <w:sz w:val="22"/>
          <w:szCs w:val="22"/>
        </w:rPr>
      </w:pPr>
      <w:r w:rsidRPr="00F13620">
        <w:rPr>
          <w:sz w:val="22"/>
          <w:szCs w:val="22"/>
        </w:rPr>
        <w:t>The raw seeds were sorted and toasted for 15 minutes at a temperature range of 60</w:t>
      </w:r>
      <w:r w:rsidRPr="00F13620">
        <w:rPr>
          <w:rFonts w:ascii="Cambria Math" w:hAnsi="Cambria Math"/>
          <w:sz w:val="22"/>
          <w:szCs w:val="22"/>
        </w:rPr>
        <w:t>‒</w:t>
      </w:r>
      <w:r w:rsidRPr="00F13620">
        <w:rPr>
          <w:sz w:val="22"/>
          <w:szCs w:val="22"/>
        </w:rPr>
        <w:t xml:space="preserve">65°C, and the timing started immediately when the seeds were poured into the toaster. The </w:t>
      </w:r>
      <w:r w:rsidRPr="00F13620">
        <w:rPr>
          <w:i/>
          <w:sz w:val="22"/>
          <w:szCs w:val="22"/>
        </w:rPr>
        <w:t>Adenanthera</w:t>
      </w:r>
      <w:r w:rsidR="002D729F">
        <w:rPr>
          <w:i/>
          <w:sz w:val="22"/>
          <w:szCs w:val="22"/>
        </w:rPr>
        <w:t xml:space="preserve"> </w:t>
      </w:r>
      <w:r w:rsidRPr="00F13620">
        <w:rPr>
          <w:i/>
          <w:sz w:val="22"/>
          <w:szCs w:val="22"/>
        </w:rPr>
        <w:t>pavonina</w:t>
      </w:r>
      <w:r w:rsidRPr="00F13620">
        <w:rPr>
          <w:sz w:val="22"/>
          <w:szCs w:val="22"/>
        </w:rPr>
        <w:t xml:space="preserve"> seeds were cooled before being milled with a hammer mill. The toasted APSM was then weighed according to formulation before being incorporated in the diets. </w:t>
      </w:r>
    </w:p>
    <w:p w:rsidR="00F13620" w:rsidRDefault="00F13620" w:rsidP="00F13620">
      <w:pPr>
        <w:widowControl w:val="0"/>
        <w:ind w:firstLine="425"/>
        <w:jc w:val="both"/>
        <w:rPr>
          <w:sz w:val="22"/>
          <w:szCs w:val="22"/>
        </w:rPr>
      </w:pPr>
    </w:p>
    <w:p w:rsidR="00FC60F3" w:rsidRPr="00F13620" w:rsidRDefault="00FC60F3" w:rsidP="00F13620">
      <w:pPr>
        <w:widowControl w:val="0"/>
        <w:ind w:firstLine="425"/>
        <w:jc w:val="both"/>
        <w:rPr>
          <w:sz w:val="22"/>
          <w:szCs w:val="22"/>
        </w:rPr>
      </w:pPr>
      <w:r w:rsidRPr="00F13620">
        <w:rPr>
          <w:sz w:val="22"/>
          <w:szCs w:val="22"/>
        </w:rPr>
        <w:t>Experimental design</w:t>
      </w:r>
    </w:p>
    <w:p w:rsidR="00F13620" w:rsidRDefault="00F13620" w:rsidP="00F13620">
      <w:pPr>
        <w:widowControl w:val="0"/>
        <w:ind w:firstLine="425"/>
        <w:jc w:val="both"/>
        <w:rPr>
          <w:sz w:val="22"/>
          <w:szCs w:val="22"/>
        </w:rPr>
      </w:pPr>
    </w:p>
    <w:p w:rsidR="00FC60F3" w:rsidRPr="00F13620" w:rsidRDefault="00FC60F3" w:rsidP="00F13620">
      <w:pPr>
        <w:widowControl w:val="0"/>
        <w:ind w:firstLine="425"/>
        <w:jc w:val="both"/>
        <w:rPr>
          <w:sz w:val="22"/>
          <w:szCs w:val="22"/>
        </w:rPr>
      </w:pPr>
      <w:r w:rsidRPr="00F13620">
        <w:rPr>
          <w:sz w:val="22"/>
          <w:szCs w:val="22"/>
        </w:rPr>
        <w:t xml:space="preserve">A total of eighty-four, 5-week old Anak broiler chickens were used for the experiment. The birds were divided into four groups of twenty-one birds each and assigned to the four treatment diets in a completely randomized design (CRD). Each group was further sub-divided into three replicates of seven birds each. Feed and water were offered </w:t>
      </w:r>
      <w:r w:rsidRPr="00F13620">
        <w:rPr>
          <w:i/>
          <w:sz w:val="22"/>
          <w:szCs w:val="22"/>
        </w:rPr>
        <w:t>ad libitum</w:t>
      </w:r>
      <w:r w:rsidRPr="00F13620">
        <w:rPr>
          <w:sz w:val="22"/>
          <w:szCs w:val="22"/>
        </w:rPr>
        <w:t xml:space="preserve"> and the feeding trial lasted 5 weeks.</w:t>
      </w:r>
    </w:p>
    <w:p w:rsidR="00FC60F3" w:rsidRDefault="00FC60F3" w:rsidP="00F13620">
      <w:pPr>
        <w:widowControl w:val="0"/>
        <w:ind w:firstLine="425"/>
        <w:jc w:val="both"/>
        <w:rPr>
          <w:sz w:val="22"/>
          <w:szCs w:val="22"/>
        </w:rPr>
      </w:pPr>
    </w:p>
    <w:p w:rsidR="00FC60F3" w:rsidRPr="00F13620" w:rsidRDefault="00FC60F3" w:rsidP="00F13620">
      <w:pPr>
        <w:widowControl w:val="0"/>
        <w:ind w:firstLine="425"/>
        <w:jc w:val="both"/>
        <w:rPr>
          <w:sz w:val="22"/>
          <w:szCs w:val="22"/>
        </w:rPr>
      </w:pPr>
      <w:r w:rsidRPr="00F13620">
        <w:rPr>
          <w:sz w:val="22"/>
          <w:szCs w:val="22"/>
        </w:rPr>
        <w:t>Experimental diets</w:t>
      </w:r>
    </w:p>
    <w:p w:rsidR="00F13620" w:rsidRDefault="00F13620" w:rsidP="00F13620">
      <w:pPr>
        <w:widowControl w:val="0"/>
        <w:ind w:firstLine="425"/>
        <w:jc w:val="both"/>
        <w:rPr>
          <w:sz w:val="22"/>
          <w:szCs w:val="22"/>
        </w:rPr>
      </w:pPr>
    </w:p>
    <w:p w:rsidR="00FC60F3" w:rsidRPr="00F13620" w:rsidRDefault="00FC60F3" w:rsidP="00F13620">
      <w:pPr>
        <w:widowControl w:val="0"/>
        <w:ind w:firstLine="425"/>
        <w:jc w:val="both"/>
        <w:rPr>
          <w:sz w:val="22"/>
          <w:szCs w:val="22"/>
        </w:rPr>
      </w:pPr>
      <w:r w:rsidRPr="00F13620">
        <w:rPr>
          <w:sz w:val="22"/>
          <w:szCs w:val="22"/>
        </w:rPr>
        <w:t>Four experimental diets were formulated by incorporating TAPSM at 0, 10, 20 and 30% dietary levels for T</w:t>
      </w:r>
      <w:r w:rsidRPr="00F13620">
        <w:rPr>
          <w:sz w:val="22"/>
          <w:szCs w:val="22"/>
          <w:vertAlign w:val="subscript"/>
        </w:rPr>
        <w:t>1</w:t>
      </w:r>
      <w:r w:rsidRPr="00F13620">
        <w:rPr>
          <w:sz w:val="22"/>
          <w:szCs w:val="22"/>
        </w:rPr>
        <w:t>, T</w:t>
      </w:r>
      <w:r w:rsidRPr="00F13620">
        <w:rPr>
          <w:sz w:val="22"/>
          <w:szCs w:val="22"/>
          <w:vertAlign w:val="subscript"/>
        </w:rPr>
        <w:t>2</w:t>
      </w:r>
      <w:r w:rsidRPr="00F13620">
        <w:rPr>
          <w:sz w:val="22"/>
          <w:szCs w:val="22"/>
        </w:rPr>
        <w:t xml:space="preserve">, </w:t>
      </w:r>
      <w:r w:rsidRPr="00DA1FFD">
        <w:rPr>
          <w:sz w:val="22"/>
          <w:szCs w:val="22"/>
        </w:rPr>
        <w:t>T</w:t>
      </w:r>
      <w:r w:rsidRPr="00DA1FFD">
        <w:rPr>
          <w:sz w:val="22"/>
          <w:szCs w:val="22"/>
          <w:vertAlign w:val="subscript"/>
        </w:rPr>
        <w:t>3</w:t>
      </w:r>
      <w:r w:rsidRPr="00DA1FFD">
        <w:rPr>
          <w:sz w:val="22"/>
          <w:szCs w:val="22"/>
        </w:rPr>
        <w:t xml:space="preserve"> and T</w:t>
      </w:r>
      <w:r w:rsidRPr="00DA1FFD">
        <w:rPr>
          <w:sz w:val="22"/>
          <w:szCs w:val="22"/>
          <w:vertAlign w:val="subscript"/>
        </w:rPr>
        <w:t>4,</w:t>
      </w:r>
      <w:r w:rsidRPr="00DA1FFD">
        <w:rPr>
          <w:sz w:val="22"/>
          <w:szCs w:val="22"/>
        </w:rPr>
        <w:t xml:space="preserve"> respectively. The gross composition of the experimental diets is shown in Table 1. The</w:t>
      </w:r>
      <w:r w:rsidRPr="00F13620">
        <w:rPr>
          <w:sz w:val="22"/>
          <w:szCs w:val="22"/>
        </w:rPr>
        <w:t xml:space="preserve"> experimental diets and TAPSM </w:t>
      </w:r>
      <w:r w:rsidRPr="00F13620">
        <w:rPr>
          <w:sz w:val="22"/>
          <w:szCs w:val="22"/>
        </w:rPr>
        <w:lastRenderedPageBreak/>
        <w:t xml:space="preserve">were subjected to proximate analyses following the procedure of A.O.A.C. (2006) and are presented </w:t>
      </w:r>
      <w:r w:rsidRPr="00DA1FFD">
        <w:rPr>
          <w:sz w:val="22"/>
          <w:szCs w:val="22"/>
        </w:rPr>
        <w:t>in Table 2.</w:t>
      </w:r>
    </w:p>
    <w:p w:rsidR="00A21C06" w:rsidRDefault="00A21C06" w:rsidP="00F13620">
      <w:pPr>
        <w:widowControl w:val="0"/>
        <w:ind w:firstLine="425"/>
        <w:jc w:val="both"/>
        <w:rPr>
          <w:sz w:val="22"/>
          <w:szCs w:val="22"/>
        </w:rPr>
      </w:pPr>
    </w:p>
    <w:p w:rsidR="00A21C06" w:rsidRPr="00F13620" w:rsidRDefault="00A21C06" w:rsidP="00F13620">
      <w:pPr>
        <w:widowControl w:val="0"/>
        <w:ind w:firstLine="425"/>
        <w:jc w:val="both"/>
        <w:rPr>
          <w:sz w:val="22"/>
          <w:szCs w:val="22"/>
        </w:rPr>
      </w:pPr>
    </w:p>
    <w:p w:rsidR="00FC60F3" w:rsidRDefault="00FC60F3" w:rsidP="00FC60F3">
      <w:pPr>
        <w:jc w:val="both"/>
        <w:rPr>
          <w:sz w:val="22"/>
          <w:szCs w:val="22"/>
        </w:rPr>
      </w:pPr>
      <w:r w:rsidRPr="00F13620">
        <w:rPr>
          <w:sz w:val="22"/>
          <w:szCs w:val="22"/>
        </w:rPr>
        <w:t>Table 1.Composition of the experimental diets (%).</w:t>
      </w:r>
    </w:p>
    <w:p w:rsidR="00F13620" w:rsidRPr="00F13620" w:rsidRDefault="00F13620" w:rsidP="00FC60F3">
      <w:pPr>
        <w:jc w:val="both"/>
        <w:rPr>
          <w:sz w:val="22"/>
          <w:szCs w:val="22"/>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2084"/>
        <w:gridCol w:w="1301"/>
        <w:gridCol w:w="1313"/>
        <w:gridCol w:w="1430"/>
        <w:gridCol w:w="1243"/>
      </w:tblGrid>
      <w:tr w:rsidR="00FC60F3" w:rsidRPr="00F13620" w:rsidTr="00132B06">
        <w:trPr>
          <w:trHeight w:val="227"/>
          <w:jc w:val="center"/>
        </w:trPr>
        <w:tc>
          <w:tcPr>
            <w:tcW w:w="2943" w:type="dxa"/>
            <w:vMerge w:val="restart"/>
            <w:tcBorders>
              <w:top w:val="single" w:sz="4" w:space="0" w:color="auto"/>
              <w:bottom w:val="nil"/>
            </w:tcBorders>
            <w:shd w:val="clear" w:color="auto" w:fill="auto"/>
            <w:vAlign w:val="center"/>
          </w:tcPr>
          <w:p w:rsidR="00FC60F3" w:rsidRPr="00F13620" w:rsidRDefault="00FC60F3" w:rsidP="00A21C06">
            <w:pPr>
              <w:rPr>
                <w:sz w:val="18"/>
                <w:szCs w:val="18"/>
              </w:rPr>
            </w:pPr>
            <w:r w:rsidRPr="00F13620">
              <w:rPr>
                <w:sz w:val="18"/>
                <w:szCs w:val="18"/>
              </w:rPr>
              <w:t>Ingredients</w:t>
            </w:r>
          </w:p>
        </w:tc>
        <w:tc>
          <w:tcPr>
            <w:tcW w:w="6299" w:type="dxa"/>
            <w:gridSpan w:val="4"/>
            <w:tcBorders>
              <w:top w:val="single" w:sz="4" w:space="0" w:color="auto"/>
              <w:bottom w:val="single" w:sz="4" w:space="0" w:color="auto"/>
            </w:tcBorders>
            <w:shd w:val="clear" w:color="auto" w:fill="auto"/>
            <w:vAlign w:val="center"/>
          </w:tcPr>
          <w:p w:rsidR="00FC60F3" w:rsidRPr="00F13620" w:rsidRDefault="00FC60F3" w:rsidP="00B9524E">
            <w:pPr>
              <w:jc w:val="center"/>
              <w:rPr>
                <w:sz w:val="18"/>
                <w:szCs w:val="18"/>
              </w:rPr>
            </w:pPr>
            <w:r w:rsidRPr="00F13620">
              <w:rPr>
                <w:sz w:val="18"/>
                <w:szCs w:val="18"/>
              </w:rPr>
              <w:t>TAPSM inclusion levels in diets (%)</w:t>
            </w:r>
          </w:p>
        </w:tc>
      </w:tr>
      <w:tr w:rsidR="00A21C06" w:rsidRPr="00F13620" w:rsidTr="00132B06">
        <w:trPr>
          <w:trHeight w:val="227"/>
          <w:jc w:val="center"/>
        </w:trPr>
        <w:tc>
          <w:tcPr>
            <w:tcW w:w="2943" w:type="dxa"/>
            <w:vMerge/>
            <w:tcBorders>
              <w:top w:val="nil"/>
              <w:bottom w:val="single" w:sz="4" w:space="0" w:color="auto"/>
            </w:tcBorders>
            <w:shd w:val="clear" w:color="auto" w:fill="auto"/>
          </w:tcPr>
          <w:p w:rsidR="00FC60F3" w:rsidRPr="00F13620" w:rsidRDefault="00FC60F3" w:rsidP="00F13620">
            <w:pPr>
              <w:jc w:val="both"/>
              <w:rPr>
                <w:sz w:val="18"/>
                <w:szCs w:val="18"/>
              </w:rPr>
            </w:pPr>
          </w:p>
        </w:tc>
        <w:tc>
          <w:tcPr>
            <w:tcW w:w="1560" w:type="dxa"/>
            <w:tcBorders>
              <w:top w:val="single" w:sz="4" w:space="0" w:color="auto"/>
              <w:bottom w:val="single" w:sz="4" w:space="0" w:color="auto"/>
            </w:tcBorders>
            <w:shd w:val="clear" w:color="auto" w:fill="auto"/>
            <w:vAlign w:val="center"/>
          </w:tcPr>
          <w:p w:rsidR="00FC60F3" w:rsidRPr="00F13620" w:rsidRDefault="00FC60F3" w:rsidP="00B9524E">
            <w:pPr>
              <w:ind w:left="-56" w:right="445"/>
              <w:jc w:val="right"/>
              <w:rPr>
                <w:sz w:val="18"/>
                <w:szCs w:val="18"/>
              </w:rPr>
            </w:pPr>
            <w:r w:rsidRPr="00F13620">
              <w:rPr>
                <w:sz w:val="18"/>
                <w:szCs w:val="18"/>
              </w:rPr>
              <w:t>T</w:t>
            </w:r>
            <w:r w:rsidRPr="00F13620">
              <w:rPr>
                <w:sz w:val="18"/>
                <w:szCs w:val="18"/>
                <w:vertAlign w:val="subscript"/>
              </w:rPr>
              <w:t xml:space="preserve">1 </w:t>
            </w:r>
            <w:r w:rsidRPr="00F13620">
              <w:rPr>
                <w:sz w:val="18"/>
                <w:szCs w:val="18"/>
              </w:rPr>
              <w:t>(0)</w:t>
            </w:r>
          </w:p>
        </w:tc>
        <w:tc>
          <w:tcPr>
            <w:tcW w:w="1559" w:type="dxa"/>
            <w:tcBorders>
              <w:top w:val="single" w:sz="4" w:space="0" w:color="auto"/>
              <w:bottom w:val="single" w:sz="4" w:space="0" w:color="auto"/>
            </w:tcBorders>
            <w:shd w:val="clear" w:color="auto" w:fill="auto"/>
            <w:vAlign w:val="center"/>
          </w:tcPr>
          <w:p w:rsidR="00FC60F3" w:rsidRPr="00F13620" w:rsidRDefault="00FC60F3" w:rsidP="00B9524E">
            <w:pPr>
              <w:ind w:right="418"/>
              <w:jc w:val="right"/>
              <w:rPr>
                <w:sz w:val="18"/>
                <w:szCs w:val="18"/>
              </w:rPr>
            </w:pPr>
            <w:r w:rsidRPr="00F13620">
              <w:rPr>
                <w:sz w:val="18"/>
                <w:szCs w:val="18"/>
              </w:rPr>
              <w:t>T</w:t>
            </w:r>
            <w:r w:rsidRPr="00F13620">
              <w:rPr>
                <w:sz w:val="18"/>
                <w:szCs w:val="18"/>
                <w:vertAlign w:val="subscript"/>
              </w:rPr>
              <w:t xml:space="preserve">2 </w:t>
            </w:r>
            <w:r w:rsidRPr="00F13620">
              <w:rPr>
                <w:sz w:val="18"/>
                <w:szCs w:val="18"/>
              </w:rPr>
              <w:t>(10)</w:t>
            </w:r>
          </w:p>
        </w:tc>
        <w:tc>
          <w:tcPr>
            <w:tcW w:w="1701" w:type="dxa"/>
            <w:tcBorders>
              <w:top w:val="single" w:sz="4" w:space="0" w:color="auto"/>
              <w:bottom w:val="single" w:sz="4" w:space="0" w:color="auto"/>
            </w:tcBorders>
            <w:shd w:val="clear" w:color="auto" w:fill="auto"/>
            <w:vAlign w:val="center"/>
          </w:tcPr>
          <w:p w:rsidR="00FC60F3" w:rsidRPr="00F13620" w:rsidRDefault="00FC60F3" w:rsidP="00B9524E">
            <w:pPr>
              <w:tabs>
                <w:tab w:val="left" w:pos="896"/>
              </w:tabs>
              <w:ind w:left="62" w:right="429"/>
              <w:jc w:val="right"/>
              <w:rPr>
                <w:sz w:val="18"/>
                <w:szCs w:val="18"/>
              </w:rPr>
            </w:pPr>
            <w:r w:rsidRPr="00F13620">
              <w:rPr>
                <w:sz w:val="18"/>
                <w:szCs w:val="18"/>
              </w:rPr>
              <w:t>T</w:t>
            </w:r>
            <w:r w:rsidRPr="00F13620">
              <w:rPr>
                <w:sz w:val="18"/>
                <w:szCs w:val="18"/>
                <w:vertAlign w:val="subscript"/>
              </w:rPr>
              <w:t xml:space="preserve">3 </w:t>
            </w:r>
            <w:r w:rsidRPr="00F13620">
              <w:rPr>
                <w:sz w:val="18"/>
                <w:szCs w:val="18"/>
              </w:rPr>
              <w:t>(20)</w:t>
            </w:r>
          </w:p>
        </w:tc>
        <w:tc>
          <w:tcPr>
            <w:tcW w:w="1479" w:type="dxa"/>
            <w:tcBorders>
              <w:top w:val="single" w:sz="4" w:space="0" w:color="auto"/>
              <w:bottom w:val="single" w:sz="4" w:space="0" w:color="auto"/>
            </w:tcBorders>
            <w:shd w:val="clear" w:color="auto" w:fill="auto"/>
            <w:vAlign w:val="center"/>
          </w:tcPr>
          <w:p w:rsidR="00FC60F3" w:rsidRPr="00F13620" w:rsidRDefault="00FC60F3" w:rsidP="00B9524E">
            <w:pPr>
              <w:ind w:right="364"/>
              <w:jc w:val="right"/>
              <w:rPr>
                <w:sz w:val="18"/>
                <w:szCs w:val="18"/>
              </w:rPr>
            </w:pPr>
            <w:r w:rsidRPr="00F13620">
              <w:rPr>
                <w:sz w:val="18"/>
                <w:szCs w:val="18"/>
              </w:rPr>
              <w:t>T</w:t>
            </w:r>
            <w:r w:rsidRPr="00F13620">
              <w:rPr>
                <w:sz w:val="18"/>
                <w:szCs w:val="18"/>
                <w:vertAlign w:val="subscript"/>
              </w:rPr>
              <w:t xml:space="preserve">4 </w:t>
            </w:r>
            <w:r w:rsidRPr="00F13620">
              <w:rPr>
                <w:sz w:val="18"/>
                <w:szCs w:val="18"/>
              </w:rPr>
              <w:t>(30)</w:t>
            </w:r>
          </w:p>
        </w:tc>
      </w:tr>
      <w:tr w:rsidR="00A21C06" w:rsidRPr="00F13620" w:rsidTr="00132B06">
        <w:trPr>
          <w:trHeight w:val="227"/>
          <w:jc w:val="center"/>
        </w:trPr>
        <w:tc>
          <w:tcPr>
            <w:tcW w:w="2943" w:type="dxa"/>
            <w:tcBorders>
              <w:top w:val="single" w:sz="4" w:space="0" w:color="auto"/>
            </w:tcBorders>
            <w:shd w:val="clear" w:color="auto" w:fill="auto"/>
          </w:tcPr>
          <w:p w:rsidR="00FC60F3" w:rsidRPr="00F13620" w:rsidRDefault="00FC60F3" w:rsidP="00F13620">
            <w:pPr>
              <w:jc w:val="both"/>
              <w:rPr>
                <w:sz w:val="18"/>
                <w:szCs w:val="18"/>
              </w:rPr>
            </w:pPr>
            <w:r w:rsidRPr="00F13620">
              <w:rPr>
                <w:sz w:val="18"/>
                <w:szCs w:val="18"/>
              </w:rPr>
              <w:t>Maize</w:t>
            </w:r>
          </w:p>
        </w:tc>
        <w:tc>
          <w:tcPr>
            <w:tcW w:w="1560" w:type="dxa"/>
            <w:tcBorders>
              <w:top w:val="single" w:sz="4" w:space="0" w:color="auto"/>
            </w:tcBorders>
            <w:shd w:val="clear" w:color="auto" w:fill="auto"/>
            <w:vAlign w:val="center"/>
          </w:tcPr>
          <w:p w:rsidR="00FC60F3" w:rsidRPr="00F13620" w:rsidRDefault="00FC60F3" w:rsidP="00B9524E">
            <w:pPr>
              <w:ind w:left="-56" w:right="445"/>
              <w:jc w:val="right"/>
              <w:rPr>
                <w:sz w:val="18"/>
                <w:szCs w:val="18"/>
              </w:rPr>
            </w:pPr>
            <w:r w:rsidRPr="00F13620">
              <w:rPr>
                <w:sz w:val="18"/>
                <w:szCs w:val="18"/>
              </w:rPr>
              <w:t>50.00</w:t>
            </w:r>
          </w:p>
        </w:tc>
        <w:tc>
          <w:tcPr>
            <w:tcW w:w="1559" w:type="dxa"/>
            <w:tcBorders>
              <w:top w:val="single" w:sz="4" w:space="0" w:color="auto"/>
            </w:tcBorders>
            <w:shd w:val="clear" w:color="auto" w:fill="auto"/>
            <w:vAlign w:val="center"/>
          </w:tcPr>
          <w:p w:rsidR="00FC60F3" w:rsidRPr="00F13620" w:rsidRDefault="00FC60F3" w:rsidP="00B9524E">
            <w:pPr>
              <w:ind w:right="418"/>
              <w:jc w:val="right"/>
              <w:rPr>
                <w:sz w:val="18"/>
                <w:szCs w:val="18"/>
              </w:rPr>
            </w:pPr>
            <w:r w:rsidRPr="00F13620">
              <w:rPr>
                <w:sz w:val="18"/>
                <w:szCs w:val="18"/>
              </w:rPr>
              <w:t>45.00</w:t>
            </w:r>
          </w:p>
        </w:tc>
        <w:tc>
          <w:tcPr>
            <w:tcW w:w="1701" w:type="dxa"/>
            <w:tcBorders>
              <w:top w:val="single" w:sz="4" w:space="0" w:color="auto"/>
            </w:tcBorders>
            <w:shd w:val="clear" w:color="auto" w:fill="auto"/>
            <w:vAlign w:val="center"/>
          </w:tcPr>
          <w:p w:rsidR="00FC60F3" w:rsidRPr="00F13620" w:rsidRDefault="00FC60F3" w:rsidP="00B9524E">
            <w:pPr>
              <w:tabs>
                <w:tab w:val="left" w:pos="896"/>
              </w:tabs>
              <w:ind w:left="62" w:right="429"/>
              <w:jc w:val="right"/>
              <w:rPr>
                <w:sz w:val="18"/>
                <w:szCs w:val="18"/>
              </w:rPr>
            </w:pPr>
            <w:r w:rsidRPr="00F13620">
              <w:rPr>
                <w:sz w:val="18"/>
                <w:szCs w:val="18"/>
              </w:rPr>
              <w:t>40.00</w:t>
            </w:r>
          </w:p>
        </w:tc>
        <w:tc>
          <w:tcPr>
            <w:tcW w:w="1479" w:type="dxa"/>
            <w:tcBorders>
              <w:top w:val="single" w:sz="4" w:space="0" w:color="auto"/>
            </w:tcBorders>
            <w:shd w:val="clear" w:color="auto" w:fill="auto"/>
            <w:vAlign w:val="center"/>
          </w:tcPr>
          <w:p w:rsidR="00FC60F3" w:rsidRPr="00F13620" w:rsidRDefault="00FC60F3" w:rsidP="00B9524E">
            <w:pPr>
              <w:ind w:right="364"/>
              <w:jc w:val="right"/>
              <w:rPr>
                <w:sz w:val="18"/>
                <w:szCs w:val="18"/>
              </w:rPr>
            </w:pPr>
            <w:r w:rsidRPr="00F13620">
              <w:rPr>
                <w:sz w:val="18"/>
                <w:szCs w:val="18"/>
              </w:rPr>
              <w:t>35.00</w:t>
            </w:r>
          </w:p>
        </w:tc>
      </w:tr>
      <w:tr w:rsidR="00A21C06" w:rsidRPr="00F13620" w:rsidTr="00132B06">
        <w:trPr>
          <w:trHeight w:val="227"/>
          <w:jc w:val="center"/>
        </w:trPr>
        <w:tc>
          <w:tcPr>
            <w:tcW w:w="2943" w:type="dxa"/>
            <w:shd w:val="clear" w:color="auto" w:fill="auto"/>
          </w:tcPr>
          <w:p w:rsidR="00FC60F3" w:rsidRPr="00F13620" w:rsidRDefault="00FC60F3" w:rsidP="00F13620">
            <w:pPr>
              <w:jc w:val="both"/>
              <w:rPr>
                <w:sz w:val="18"/>
                <w:szCs w:val="18"/>
              </w:rPr>
            </w:pPr>
            <w:r w:rsidRPr="00F13620">
              <w:rPr>
                <w:sz w:val="18"/>
                <w:szCs w:val="18"/>
              </w:rPr>
              <w:t>Soybean meal</w:t>
            </w:r>
          </w:p>
        </w:tc>
        <w:tc>
          <w:tcPr>
            <w:tcW w:w="1560" w:type="dxa"/>
            <w:shd w:val="clear" w:color="auto" w:fill="auto"/>
            <w:vAlign w:val="center"/>
          </w:tcPr>
          <w:p w:rsidR="00FC60F3" w:rsidRPr="00F13620" w:rsidRDefault="00FC60F3" w:rsidP="00B9524E">
            <w:pPr>
              <w:ind w:left="-56" w:right="445"/>
              <w:jc w:val="right"/>
              <w:rPr>
                <w:sz w:val="18"/>
                <w:szCs w:val="18"/>
              </w:rPr>
            </w:pPr>
            <w:r w:rsidRPr="00F13620">
              <w:rPr>
                <w:sz w:val="18"/>
                <w:szCs w:val="18"/>
              </w:rPr>
              <w:t>25.00</w:t>
            </w:r>
          </w:p>
        </w:tc>
        <w:tc>
          <w:tcPr>
            <w:tcW w:w="1559" w:type="dxa"/>
            <w:shd w:val="clear" w:color="auto" w:fill="auto"/>
            <w:vAlign w:val="center"/>
          </w:tcPr>
          <w:p w:rsidR="00FC60F3" w:rsidRPr="00F13620" w:rsidRDefault="00FC60F3" w:rsidP="00B9524E">
            <w:pPr>
              <w:ind w:right="418"/>
              <w:jc w:val="right"/>
              <w:rPr>
                <w:sz w:val="18"/>
                <w:szCs w:val="18"/>
              </w:rPr>
            </w:pPr>
            <w:r w:rsidRPr="00F13620">
              <w:rPr>
                <w:sz w:val="18"/>
                <w:szCs w:val="18"/>
              </w:rPr>
              <w:t>20.00</w:t>
            </w:r>
          </w:p>
        </w:tc>
        <w:tc>
          <w:tcPr>
            <w:tcW w:w="1701" w:type="dxa"/>
            <w:shd w:val="clear" w:color="auto" w:fill="auto"/>
            <w:vAlign w:val="center"/>
          </w:tcPr>
          <w:p w:rsidR="00FC60F3" w:rsidRPr="00F13620" w:rsidRDefault="00FC60F3" w:rsidP="00B9524E">
            <w:pPr>
              <w:tabs>
                <w:tab w:val="left" w:pos="896"/>
              </w:tabs>
              <w:ind w:left="62" w:right="429"/>
              <w:jc w:val="right"/>
              <w:rPr>
                <w:sz w:val="18"/>
                <w:szCs w:val="18"/>
              </w:rPr>
            </w:pPr>
            <w:r w:rsidRPr="00F13620">
              <w:rPr>
                <w:sz w:val="18"/>
                <w:szCs w:val="18"/>
              </w:rPr>
              <w:t>15.00</w:t>
            </w:r>
          </w:p>
        </w:tc>
        <w:tc>
          <w:tcPr>
            <w:tcW w:w="1479" w:type="dxa"/>
            <w:shd w:val="clear" w:color="auto" w:fill="auto"/>
            <w:vAlign w:val="center"/>
          </w:tcPr>
          <w:p w:rsidR="00FC60F3" w:rsidRPr="00F13620" w:rsidRDefault="00FC60F3" w:rsidP="00B9524E">
            <w:pPr>
              <w:ind w:right="364"/>
              <w:jc w:val="right"/>
              <w:rPr>
                <w:sz w:val="18"/>
                <w:szCs w:val="18"/>
              </w:rPr>
            </w:pPr>
            <w:r w:rsidRPr="00F13620">
              <w:rPr>
                <w:sz w:val="18"/>
                <w:szCs w:val="18"/>
              </w:rPr>
              <w:t>10.00</w:t>
            </w:r>
          </w:p>
        </w:tc>
      </w:tr>
      <w:tr w:rsidR="00A21C06" w:rsidRPr="00F13620" w:rsidTr="00132B06">
        <w:trPr>
          <w:trHeight w:val="227"/>
          <w:jc w:val="center"/>
        </w:trPr>
        <w:tc>
          <w:tcPr>
            <w:tcW w:w="2943" w:type="dxa"/>
            <w:shd w:val="clear" w:color="auto" w:fill="auto"/>
          </w:tcPr>
          <w:p w:rsidR="00FC60F3" w:rsidRPr="00F13620" w:rsidRDefault="00FC60F3" w:rsidP="00F13620">
            <w:pPr>
              <w:jc w:val="both"/>
              <w:rPr>
                <w:sz w:val="18"/>
                <w:szCs w:val="18"/>
              </w:rPr>
            </w:pPr>
            <w:r w:rsidRPr="00F13620">
              <w:rPr>
                <w:sz w:val="18"/>
                <w:szCs w:val="18"/>
              </w:rPr>
              <w:t>TAPSM</w:t>
            </w:r>
          </w:p>
        </w:tc>
        <w:tc>
          <w:tcPr>
            <w:tcW w:w="1560" w:type="dxa"/>
            <w:shd w:val="clear" w:color="auto" w:fill="auto"/>
            <w:vAlign w:val="center"/>
          </w:tcPr>
          <w:p w:rsidR="00FC60F3" w:rsidRPr="00F13620" w:rsidRDefault="00FC60F3" w:rsidP="00B9524E">
            <w:pPr>
              <w:ind w:left="-56" w:right="445"/>
              <w:jc w:val="right"/>
              <w:rPr>
                <w:sz w:val="18"/>
                <w:szCs w:val="18"/>
              </w:rPr>
            </w:pPr>
            <w:r w:rsidRPr="00F13620">
              <w:rPr>
                <w:sz w:val="18"/>
                <w:szCs w:val="18"/>
              </w:rPr>
              <w:t>0.00</w:t>
            </w:r>
          </w:p>
        </w:tc>
        <w:tc>
          <w:tcPr>
            <w:tcW w:w="1559" w:type="dxa"/>
            <w:shd w:val="clear" w:color="auto" w:fill="auto"/>
            <w:vAlign w:val="center"/>
          </w:tcPr>
          <w:p w:rsidR="00FC60F3" w:rsidRPr="00F13620" w:rsidRDefault="00FC60F3" w:rsidP="00B9524E">
            <w:pPr>
              <w:ind w:right="418"/>
              <w:jc w:val="right"/>
              <w:rPr>
                <w:sz w:val="18"/>
                <w:szCs w:val="18"/>
              </w:rPr>
            </w:pPr>
            <w:r w:rsidRPr="00F13620">
              <w:rPr>
                <w:sz w:val="18"/>
                <w:szCs w:val="18"/>
              </w:rPr>
              <w:t>10.00</w:t>
            </w:r>
          </w:p>
        </w:tc>
        <w:tc>
          <w:tcPr>
            <w:tcW w:w="1701" w:type="dxa"/>
            <w:shd w:val="clear" w:color="auto" w:fill="auto"/>
            <w:vAlign w:val="center"/>
          </w:tcPr>
          <w:p w:rsidR="00FC60F3" w:rsidRPr="00F13620" w:rsidRDefault="00FC60F3" w:rsidP="00B9524E">
            <w:pPr>
              <w:tabs>
                <w:tab w:val="left" w:pos="896"/>
              </w:tabs>
              <w:ind w:left="62" w:right="429"/>
              <w:jc w:val="right"/>
              <w:rPr>
                <w:sz w:val="18"/>
                <w:szCs w:val="18"/>
              </w:rPr>
            </w:pPr>
            <w:r w:rsidRPr="00F13620">
              <w:rPr>
                <w:sz w:val="18"/>
                <w:szCs w:val="18"/>
              </w:rPr>
              <w:t>20.00</w:t>
            </w:r>
          </w:p>
        </w:tc>
        <w:tc>
          <w:tcPr>
            <w:tcW w:w="1479" w:type="dxa"/>
            <w:shd w:val="clear" w:color="auto" w:fill="auto"/>
            <w:vAlign w:val="center"/>
          </w:tcPr>
          <w:p w:rsidR="00FC60F3" w:rsidRPr="00F13620" w:rsidRDefault="00FC60F3" w:rsidP="00B9524E">
            <w:pPr>
              <w:ind w:right="364"/>
              <w:jc w:val="right"/>
              <w:rPr>
                <w:sz w:val="18"/>
                <w:szCs w:val="18"/>
              </w:rPr>
            </w:pPr>
            <w:r w:rsidRPr="00F13620">
              <w:rPr>
                <w:sz w:val="18"/>
                <w:szCs w:val="18"/>
              </w:rPr>
              <w:t>30.00</w:t>
            </w:r>
          </w:p>
        </w:tc>
      </w:tr>
      <w:tr w:rsidR="00A21C06" w:rsidRPr="00F13620" w:rsidTr="00132B06">
        <w:trPr>
          <w:trHeight w:val="227"/>
          <w:jc w:val="center"/>
        </w:trPr>
        <w:tc>
          <w:tcPr>
            <w:tcW w:w="2943" w:type="dxa"/>
            <w:shd w:val="clear" w:color="auto" w:fill="auto"/>
          </w:tcPr>
          <w:p w:rsidR="00FC60F3" w:rsidRPr="00F13620" w:rsidRDefault="00FC60F3" w:rsidP="00F13620">
            <w:pPr>
              <w:jc w:val="both"/>
              <w:rPr>
                <w:sz w:val="18"/>
                <w:szCs w:val="18"/>
              </w:rPr>
            </w:pPr>
            <w:r w:rsidRPr="00F13620">
              <w:rPr>
                <w:sz w:val="18"/>
                <w:szCs w:val="18"/>
              </w:rPr>
              <w:t>Blood meal</w:t>
            </w:r>
          </w:p>
        </w:tc>
        <w:tc>
          <w:tcPr>
            <w:tcW w:w="1560" w:type="dxa"/>
            <w:shd w:val="clear" w:color="auto" w:fill="auto"/>
            <w:vAlign w:val="center"/>
          </w:tcPr>
          <w:p w:rsidR="00FC60F3" w:rsidRPr="00F13620" w:rsidRDefault="00FC60F3" w:rsidP="00B9524E">
            <w:pPr>
              <w:ind w:left="-56" w:right="445"/>
              <w:jc w:val="right"/>
              <w:rPr>
                <w:sz w:val="18"/>
                <w:szCs w:val="18"/>
              </w:rPr>
            </w:pPr>
            <w:r w:rsidRPr="00F13620">
              <w:rPr>
                <w:sz w:val="18"/>
                <w:szCs w:val="18"/>
              </w:rPr>
              <w:t>2.00</w:t>
            </w:r>
          </w:p>
        </w:tc>
        <w:tc>
          <w:tcPr>
            <w:tcW w:w="1559" w:type="dxa"/>
            <w:shd w:val="clear" w:color="auto" w:fill="auto"/>
            <w:vAlign w:val="center"/>
          </w:tcPr>
          <w:p w:rsidR="00FC60F3" w:rsidRPr="00F13620" w:rsidRDefault="00FC60F3" w:rsidP="00B9524E">
            <w:pPr>
              <w:ind w:right="418"/>
              <w:jc w:val="right"/>
              <w:rPr>
                <w:sz w:val="18"/>
                <w:szCs w:val="18"/>
              </w:rPr>
            </w:pPr>
            <w:r w:rsidRPr="00F13620">
              <w:rPr>
                <w:sz w:val="18"/>
                <w:szCs w:val="18"/>
              </w:rPr>
              <w:t>2.00</w:t>
            </w:r>
          </w:p>
        </w:tc>
        <w:tc>
          <w:tcPr>
            <w:tcW w:w="1701" w:type="dxa"/>
            <w:shd w:val="clear" w:color="auto" w:fill="auto"/>
            <w:vAlign w:val="center"/>
          </w:tcPr>
          <w:p w:rsidR="00FC60F3" w:rsidRPr="00F13620" w:rsidRDefault="00FC60F3" w:rsidP="00B9524E">
            <w:pPr>
              <w:tabs>
                <w:tab w:val="left" w:pos="896"/>
              </w:tabs>
              <w:ind w:left="62" w:right="429"/>
              <w:jc w:val="right"/>
              <w:rPr>
                <w:sz w:val="18"/>
                <w:szCs w:val="18"/>
              </w:rPr>
            </w:pPr>
            <w:r w:rsidRPr="00F13620">
              <w:rPr>
                <w:sz w:val="18"/>
                <w:szCs w:val="18"/>
              </w:rPr>
              <w:t>2.00</w:t>
            </w:r>
          </w:p>
        </w:tc>
        <w:tc>
          <w:tcPr>
            <w:tcW w:w="1479" w:type="dxa"/>
            <w:shd w:val="clear" w:color="auto" w:fill="auto"/>
            <w:vAlign w:val="center"/>
          </w:tcPr>
          <w:p w:rsidR="00FC60F3" w:rsidRPr="00F13620" w:rsidRDefault="00FC60F3" w:rsidP="00B9524E">
            <w:pPr>
              <w:ind w:right="364"/>
              <w:jc w:val="right"/>
              <w:rPr>
                <w:sz w:val="18"/>
                <w:szCs w:val="18"/>
              </w:rPr>
            </w:pPr>
            <w:r w:rsidRPr="00F13620">
              <w:rPr>
                <w:sz w:val="18"/>
                <w:szCs w:val="18"/>
              </w:rPr>
              <w:t>2.00</w:t>
            </w:r>
          </w:p>
        </w:tc>
      </w:tr>
      <w:tr w:rsidR="00A21C06" w:rsidRPr="00F13620" w:rsidTr="00132B06">
        <w:trPr>
          <w:trHeight w:val="227"/>
          <w:jc w:val="center"/>
        </w:trPr>
        <w:tc>
          <w:tcPr>
            <w:tcW w:w="2943" w:type="dxa"/>
            <w:shd w:val="clear" w:color="auto" w:fill="auto"/>
          </w:tcPr>
          <w:p w:rsidR="00FC60F3" w:rsidRPr="00F13620" w:rsidRDefault="00FC60F3" w:rsidP="00F13620">
            <w:pPr>
              <w:jc w:val="both"/>
              <w:rPr>
                <w:sz w:val="18"/>
                <w:szCs w:val="18"/>
              </w:rPr>
            </w:pPr>
            <w:r w:rsidRPr="00F13620">
              <w:rPr>
                <w:sz w:val="18"/>
                <w:szCs w:val="18"/>
              </w:rPr>
              <w:t>Palm kernel cake</w:t>
            </w:r>
          </w:p>
        </w:tc>
        <w:tc>
          <w:tcPr>
            <w:tcW w:w="1560" w:type="dxa"/>
            <w:shd w:val="clear" w:color="auto" w:fill="auto"/>
            <w:vAlign w:val="center"/>
          </w:tcPr>
          <w:p w:rsidR="00FC60F3" w:rsidRPr="00F13620" w:rsidRDefault="00FC60F3" w:rsidP="00B9524E">
            <w:pPr>
              <w:ind w:left="-56" w:right="445"/>
              <w:jc w:val="right"/>
              <w:rPr>
                <w:sz w:val="18"/>
                <w:szCs w:val="18"/>
              </w:rPr>
            </w:pPr>
            <w:r w:rsidRPr="00F13620">
              <w:rPr>
                <w:sz w:val="18"/>
                <w:szCs w:val="18"/>
              </w:rPr>
              <w:t>14.00</w:t>
            </w:r>
          </w:p>
        </w:tc>
        <w:tc>
          <w:tcPr>
            <w:tcW w:w="1559" w:type="dxa"/>
            <w:shd w:val="clear" w:color="auto" w:fill="auto"/>
            <w:vAlign w:val="center"/>
          </w:tcPr>
          <w:p w:rsidR="00FC60F3" w:rsidRPr="00F13620" w:rsidRDefault="00FC60F3" w:rsidP="00B9524E">
            <w:pPr>
              <w:ind w:right="418"/>
              <w:jc w:val="right"/>
              <w:rPr>
                <w:sz w:val="18"/>
                <w:szCs w:val="18"/>
              </w:rPr>
            </w:pPr>
            <w:r w:rsidRPr="00F13620">
              <w:rPr>
                <w:sz w:val="18"/>
                <w:szCs w:val="18"/>
              </w:rPr>
              <w:t>14.00</w:t>
            </w:r>
          </w:p>
        </w:tc>
        <w:tc>
          <w:tcPr>
            <w:tcW w:w="1701" w:type="dxa"/>
            <w:shd w:val="clear" w:color="auto" w:fill="auto"/>
            <w:vAlign w:val="center"/>
          </w:tcPr>
          <w:p w:rsidR="00FC60F3" w:rsidRPr="00F13620" w:rsidRDefault="00FC60F3" w:rsidP="00B9524E">
            <w:pPr>
              <w:tabs>
                <w:tab w:val="left" w:pos="896"/>
              </w:tabs>
              <w:ind w:left="62" w:right="429"/>
              <w:jc w:val="right"/>
              <w:rPr>
                <w:sz w:val="18"/>
                <w:szCs w:val="18"/>
              </w:rPr>
            </w:pPr>
            <w:r w:rsidRPr="00F13620">
              <w:rPr>
                <w:sz w:val="18"/>
                <w:szCs w:val="18"/>
              </w:rPr>
              <w:t>14.00</w:t>
            </w:r>
          </w:p>
        </w:tc>
        <w:tc>
          <w:tcPr>
            <w:tcW w:w="1479" w:type="dxa"/>
            <w:shd w:val="clear" w:color="auto" w:fill="auto"/>
            <w:vAlign w:val="center"/>
          </w:tcPr>
          <w:p w:rsidR="00FC60F3" w:rsidRPr="00F13620" w:rsidRDefault="00FC60F3" w:rsidP="00B9524E">
            <w:pPr>
              <w:ind w:right="364"/>
              <w:jc w:val="right"/>
              <w:rPr>
                <w:sz w:val="18"/>
                <w:szCs w:val="18"/>
              </w:rPr>
            </w:pPr>
            <w:r w:rsidRPr="00F13620">
              <w:rPr>
                <w:sz w:val="18"/>
                <w:szCs w:val="18"/>
              </w:rPr>
              <w:t>14.00</w:t>
            </w:r>
          </w:p>
        </w:tc>
      </w:tr>
      <w:tr w:rsidR="00A21C06" w:rsidRPr="00F13620" w:rsidTr="00132B06">
        <w:trPr>
          <w:trHeight w:val="227"/>
          <w:jc w:val="center"/>
        </w:trPr>
        <w:tc>
          <w:tcPr>
            <w:tcW w:w="2943" w:type="dxa"/>
            <w:shd w:val="clear" w:color="auto" w:fill="auto"/>
          </w:tcPr>
          <w:p w:rsidR="00FC60F3" w:rsidRPr="00F13620" w:rsidRDefault="00FC60F3" w:rsidP="00F13620">
            <w:pPr>
              <w:jc w:val="both"/>
              <w:rPr>
                <w:sz w:val="18"/>
                <w:szCs w:val="18"/>
              </w:rPr>
            </w:pPr>
            <w:r w:rsidRPr="00F13620">
              <w:rPr>
                <w:sz w:val="18"/>
                <w:szCs w:val="18"/>
              </w:rPr>
              <w:t>Fish meal</w:t>
            </w:r>
          </w:p>
        </w:tc>
        <w:tc>
          <w:tcPr>
            <w:tcW w:w="1560" w:type="dxa"/>
            <w:shd w:val="clear" w:color="auto" w:fill="auto"/>
            <w:vAlign w:val="center"/>
          </w:tcPr>
          <w:p w:rsidR="00FC60F3" w:rsidRPr="00F13620" w:rsidRDefault="00FC60F3" w:rsidP="00B9524E">
            <w:pPr>
              <w:ind w:left="-56" w:right="445"/>
              <w:jc w:val="right"/>
              <w:rPr>
                <w:sz w:val="18"/>
                <w:szCs w:val="18"/>
              </w:rPr>
            </w:pPr>
            <w:r w:rsidRPr="00F13620">
              <w:rPr>
                <w:sz w:val="18"/>
                <w:szCs w:val="18"/>
              </w:rPr>
              <w:t>4.00</w:t>
            </w:r>
          </w:p>
        </w:tc>
        <w:tc>
          <w:tcPr>
            <w:tcW w:w="1559" w:type="dxa"/>
            <w:shd w:val="clear" w:color="auto" w:fill="auto"/>
            <w:vAlign w:val="center"/>
          </w:tcPr>
          <w:p w:rsidR="00FC60F3" w:rsidRPr="00F13620" w:rsidRDefault="00FC60F3" w:rsidP="00B9524E">
            <w:pPr>
              <w:ind w:right="418"/>
              <w:jc w:val="right"/>
              <w:rPr>
                <w:sz w:val="18"/>
                <w:szCs w:val="18"/>
              </w:rPr>
            </w:pPr>
            <w:r w:rsidRPr="00F13620">
              <w:rPr>
                <w:sz w:val="18"/>
                <w:szCs w:val="18"/>
              </w:rPr>
              <w:t>4.00</w:t>
            </w:r>
          </w:p>
        </w:tc>
        <w:tc>
          <w:tcPr>
            <w:tcW w:w="1701" w:type="dxa"/>
            <w:shd w:val="clear" w:color="auto" w:fill="auto"/>
            <w:vAlign w:val="center"/>
          </w:tcPr>
          <w:p w:rsidR="00FC60F3" w:rsidRPr="00F13620" w:rsidRDefault="00FC60F3" w:rsidP="00B9524E">
            <w:pPr>
              <w:tabs>
                <w:tab w:val="left" w:pos="896"/>
              </w:tabs>
              <w:ind w:left="62" w:right="429"/>
              <w:jc w:val="right"/>
              <w:rPr>
                <w:sz w:val="18"/>
                <w:szCs w:val="18"/>
              </w:rPr>
            </w:pPr>
            <w:r w:rsidRPr="00F13620">
              <w:rPr>
                <w:sz w:val="18"/>
                <w:szCs w:val="18"/>
              </w:rPr>
              <w:t>4.00</w:t>
            </w:r>
          </w:p>
        </w:tc>
        <w:tc>
          <w:tcPr>
            <w:tcW w:w="1479" w:type="dxa"/>
            <w:shd w:val="clear" w:color="auto" w:fill="auto"/>
            <w:vAlign w:val="center"/>
          </w:tcPr>
          <w:p w:rsidR="00FC60F3" w:rsidRPr="00F13620" w:rsidRDefault="00FC60F3" w:rsidP="00B9524E">
            <w:pPr>
              <w:ind w:right="364"/>
              <w:jc w:val="right"/>
              <w:rPr>
                <w:sz w:val="18"/>
                <w:szCs w:val="18"/>
              </w:rPr>
            </w:pPr>
            <w:r w:rsidRPr="00F13620">
              <w:rPr>
                <w:sz w:val="18"/>
                <w:szCs w:val="18"/>
              </w:rPr>
              <w:t>4.00</w:t>
            </w:r>
          </w:p>
        </w:tc>
      </w:tr>
      <w:tr w:rsidR="00A21C06" w:rsidRPr="00F13620" w:rsidTr="00132B06">
        <w:trPr>
          <w:trHeight w:val="227"/>
          <w:jc w:val="center"/>
        </w:trPr>
        <w:tc>
          <w:tcPr>
            <w:tcW w:w="2943" w:type="dxa"/>
            <w:shd w:val="clear" w:color="auto" w:fill="auto"/>
          </w:tcPr>
          <w:p w:rsidR="00FC60F3" w:rsidRPr="00F13620" w:rsidRDefault="00FC60F3" w:rsidP="00F13620">
            <w:pPr>
              <w:jc w:val="both"/>
              <w:rPr>
                <w:sz w:val="18"/>
                <w:szCs w:val="18"/>
              </w:rPr>
            </w:pPr>
            <w:r w:rsidRPr="00F13620">
              <w:rPr>
                <w:sz w:val="18"/>
                <w:szCs w:val="18"/>
              </w:rPr>
              <w:t>Palm oil</w:t>
            </w:r>
          </w:p>
        </w:tc>
        <w:tc>
          <w:tcPr>
            <w:tcW w:w="1560" w:type="dxa"/>
            <w:shd w:val="clear" w:color="auto" w:fill="auto"/>
            <w:vAlign w:val="center"/>
          </w:tcPr>
          <w:p w:rsidR="00FC60F3" w:rsidRPr="00F13620" w:rsidRDefault="00FC60F3" w:rsidP="00B9524E">
            <w:pPr>
              <w:ind w:left="-56" w:right="445"/>
              <w:jc w:val="right"/>
              <w:rPr>
                <w:sz w:val="18"/>
                <w:szCs w:val="18"/>
              </w:rPr>
            </w:pPr>
            <w:r w:rsidRPr="00F13620">
              <w:rPr>
                <w:sz w:val="18"/>
                <w:szCs w:val="18"/>
              </w:rPr>
              <w:t>1.00</w:t>
            </w:r>
          </w:p>
        </w:tc>
        <w:tc>
          <w:tcPr>
            <w:tcW w:w="1559" w:type="dxa"/>
            <w:shd w:val="clear" w:color="auto" w:fill="auto"/>
            <w:vAlign w:val="center"/>
          </w:tcPr>
          <w:p w:rsidR="00FC60F3" w:rsidRPr="00F13620" w:rsidRDefault="00FC60F3" w:rsidP="00B9524E">
            <w:pPr>
              <w:ind w:right="418"/>
              <w:jc w:val="right"/>
              <w:rPr>
                <w:sz w:val="18"/>
                <w:szCs w:val="18"/>
              </w:rPr>
            </w:pPr>
            <w:r w:rsidRPr="00F13620">
              <w:rPr>
                <w:sz w:val="18"/>
                <w:szCs w:val="18"/>
              </w:rPr>
              <w:t>1.00</w:t>
            </w:r>
          </w:p>
        </w:tc>
        <w:tc>
          <w:tcPr>
            <w:tcW w:w="1701" w:type="dxa"/>
            <w:shd w:val="clear" w:color="auto" w:fill="auto"/>
            <w:vAlign w:val="center"/>
          </w:tcPr>
          <w:p w:rsidR="00FC60F3" w:rsidRPr="00F13620" w:rsidRDefault="00FC60F3" w:rsidP="00B9524E">
            <w:pPr>
              <w:tabs>
                <w:tab w:val="left" w:pos="896"/>
              </w:tabs>
              <w:ind w:left="62" w:right="429"/>
              <w:jc w:val="right"/>
              <w:rPr>
                <w:sz w:val="18"/>
                <w:szCs w:val="18"/>
              </w:rPr>
            </w:pPr>
            <w:r w:rsidRPr="00F13620">
              <w:rPr>
                <w:sz w:val="18"/>
                <w:szCs w:val="18"/>
              </w:rPr>
              <w:t>1.00</w:t>
            </w:r>
          </w:p>
        </w:tc>
        <w:tc>
          <w:tcPr>
            <w:tcW w:w="1479" w:type="dxa"/>
            <w:shd w:val="clear" w:color="auto" w:fill="auto"/>
            <w:vAlign w:val="center"/>
          </w:tcPr>
          <w:p w:rsidR="00FC60F3" w:rsidRPr="00F13620" w:rsidRDefault="00FC60F3" w:rsidP="00B9524E">
            <w:pPr>
              <w:ind w:right="364"/>
              <w:jc w:val="right"/>
              <w:rPr>
                <w:sz w:val="18"/>
                <w:szCs w:val="18"/>
              </w:rPr>
            </w:pPr>
            <w:r w:rsidRPr="00F13620">
              <w:rPr>
                <w:sz w:val="18"/>
                <w:szCs w:val="18"/>
              </w:rPr>
              <w:t>1.00</w:t>
            </w:r>
          </w:p>
        </w:tc>
      </w:tr>
      <w:tr w:rsidR="00A21C06" w:rsidRPr="00F13620" w:rsidTr="00132B06">
        <w:trPr>
          <w:trHeight w:val="227"/>
          <w:jc w:val="center"/>
        </w:trPr>
        <w:tc>
          <w:tcPr>
            <w:tcW w:w="2943" w:type="dxa"/>
            <w:shd w:val="clear" w:color="auto" w:fill="auto"/>
          </w:tcPr>
          <w:p w:rsidR="00FC60F3" w:rsidRPr="00F13620" w:rsidRDefault="00FC60F3" w:rsidP="00F13620">
            <w:pPr>
              <w:jc w:val="both"/>
              <w:rPr>
                <w:sz w:val="18"/>
                <w:szCs w:val="18"/>
              </w:rPr>
            </w:pPr>
            <w:r w:rsidRPr="00F13620">
              <w:rPr>
                <w:sz w:val="18"/>
                <w:szCs w:val="18"/>
              </w:rPr>
              <w:t>Bone meal</w:t>
            </w:r>
          </w:p>
        </w:tc>
        <w:tc>
          <w:tcPr>
            <w:tcW w:w="1560" w:type="dxa"/>
            <w:shd w:val="clear" w:color="auto" w:fill="auto"/>
            <w:vAlign w:val="center"/>
          </w:tcPr>
          <w:p w:rsidR="00FC60F3" w:rsidRPr="00F13620" w:rsidRDefault="00FC60F3" w:rsidP="00B9524E">
            <w:pPr>
              <w:ind w:left="-56" w:right="445"/>
              <w:jc w:val="right"/>
              <w:rPr>
                <w:sz w:val="18"/>
                <w:szCs w:val="18"/>
              </w:rPr>
            </w:pPr>
            <w:r w:rsidRPr="00F13620">
              <w:rPr>
                <w:sz w:val="18"/>
                <w:szCs w:val="18"/>
              </w:rPr>
              <w:t>3.00</w:t>
            </w:r>
          </w:p>
        </w:tc>
        <w:tc>
          <w:tcPr>
            <w:tcW w:w="1559" w:type="dxa"/>
            <w:shd w:val="clear" w:color="auto" w:fill="auto"/>
            <w:vAlign w:val="center"/>
          </w:tcPr>
          <w:p w:rsidR="00FC60F3" w:rsidRPr="00F13620" w:rsidRDefault="00FC60F3" w:rsidP="00B9524E">
            <w:pPr>
              <w:ind w:right="418"/>
              <w:jc w:val="right"/>
              <w:rPr>
                <w:sz w:val="18"/>
                <w:szCs w:val="18"/>
              </w:rPr>
            </w:pPr>
            <w:r w:rsidRPr="00F13620">
              <w:rPr>
                <w:sz w:val="18"/>
                <w:szCs w:val="18"/>
              </w:rPr>
              <w:t>3.00</w:t>
            </w:r>
          </w:p>
        </w:tc>
        <w:tc>
          <w:tcPr>
            <w:tcW w:w="1701" w:type="dxa"/>
            <w:shd w:val="clear" w:color="auto" w:fill="auto"/>
            <w:vAlign w:val="center"/>
          </w:tcPr>
          <w:p w:rsidR="00FC60F3" w:rsidRPr="00F13620" w:rsidRDefault="00FC60F3" w:rsidP="00B9524E">
            <w:pPr>
              <w:tabs>
                <w:tab w:val="left" w:pos="896"/>
              </w:tabs>
              <w:ind w:left="62" w:right="429"/>
              <w:jc w:val="right"/>
              <w:rPr>
                <w:sz w:val="18"/>
                <w:szCs w:val="18"/>
              </w:rPr>
            </w:pPr>
            <w:r w:rsidRPr="00F13620">
              <w:rPr>
                <w:sz w:val="18"/>
                <w:szCs w:val="18"/>
              </w:rPr>
              <w:t>3.00</w:t>
            </w:r>
          </w:p>
        </w:tc>
        <w:tc>
          <w:tcPr>
            <w:tcW w:w="1479" w:type="dxa"/>
            <w:shd w:val="clear" w:color="auto" w:fill="auto"/>
            <w:vAlign w:val="center"/>
          </w:tcPr>
          <w:p w:rsidR="00FC60F3" w:rsidRPr="00F13620" w:rsidRDefault="00FC60F3" w:rsidP="00B9524E">
            <w:pPr>
              <w:ind w:right="364"/>
              <w:jc w:val="right"/>
              <w:rPr>
                <w:sz w:val="18"/>
                <w:szCs w:val="18"/>
              </w:rPr>
            </w:pPr>
            <w:r w:rsidRPr="00F13620">
              <w:rPr>
                <w:sz w:val="18"/>
                <w:szCs w:val="18"/>
              </w:rPr>
              <w:t>3.00</w:t>
            </w:r>
          </w:p>
        </w:tc>
      </w:tr>
      <w:tr w:rsidR="00A21C06" w:rsidRPr="00F13620" w:rsidTr="00132B06">
        <w:trPr>
          <w:trHeight w:val="227"/>
          <w:jc w:val="center"/>
        </w:trPr>
        <w:tc>
          <w:tcPr>
            <w:tcW w:w="2943" w:type="dxa"/>
            <w:shd w:val="clear" w:color="auto" w:fill="auto"/>
          </w:tcPr>
          <w:p w:rsidR="00FC60F3" w:rsidRPr="00F13620" w:rsidRDefault="00FC60F3" w:rsidP="00F13620">
            <w:pPr>
              <w:jc w:val="both"/>
              <w:rPr>
                <w:sz w:val="18"/>
                <w:szCs w:val="18"/>
              </w:rPr>
            </w:pPr>
            <w:r w:rsidRPr="00F13620">
              <w:rPr>
                <w:sz w:val="18"/>
                <w:szCs w:val="18"/>
              </w:rPr>
              <w:t>Premix*</w:t>
            </w:r>
          </w:p>
        </w:tc>
        <w:tc>
          <w:tcPr>
            <w:tcW w:w="1560" w:type="dxa"/>
            <w:shd w:val="clear" w:color="auto" w:fill="auto"/>
            <w:vAlign w:val="center"/>
          </w:tcPr>
          <w:p w:rsidR="00FC60F3" w:rsidRPr="00F13620" w:rsidRDefault="00FC60F3" w:rsidP="00B9524E">
            <w:pPr>
              <w:ind w:left="-56" w:right="445"/>
              <w:jc w:val="right"/>
              <w:rPr>
                <w:sz w:val="18"/>
                <w:szCs w:val="18"/>
              </w:rPr>
            </w:pPr>
            <w:r w:rsidRPr="00F13620">
              <w:rPr>
                <w:sz w:val="18"/>
                <w:szCs w:val="18"/>
              </w:rPr>
              <w:t>0.30</w:t>
            </w:r>
          </w:p>
        </w:tc>
        <w:tc>
          <w:tcPr>
            <w:tcW w:w="1559" w:type="dxa"/>
            <w:shd w:val="clear" w:color="auto" w:fill="auto"/>
            <w:vAlign w:val="center"/>
          </w:tcPr>
          <w:p w:rsidR="00FC60F3" w:rsidRPr="00F13620" w:rsidRDefault="00FC60F3" w:rsidP="00B9524E">
            <w:pPr>
              <w:ind w:right="418"/>
              <w:jc w:val="right"/>
              <w:rPr>
                <w:sz w:val="18"/>
                <w:szCs w:val="18"/>
              </w:rPr>
            </w:pPr>
            <w:r w:rsidRPr="00F13620">
              <w:rPr>
                <w:sz w:val="18"/>
                <w:szCs w:val="18"/>
              </w:rPr>
              <w:t>0.30</w:t>
            </w:r>
          </w:p>
        </w:tc>
        <w:tc>
          <w:tcPr>
            <w:tcW w:w="1701" w:type="dxa"/>
            <w:shd w:val="clear" w:color="auto" w:fill="auto"/>
            <w:vAlign w:val="center"/>
          </w:tcPr>
          <w:p w:rsidR="00FC60F3" w:rsidRPr="00F13620" w:rsidRDefault="00FC60F3" w:rsidP="00B9524E">
            <w:pPr>
              <w:tabs>
                <w:tab w:val="left" w:pos="896"/>
              </w:tabs>
              <w:ind w:left="62" w:right="429"/>
              <w:jc w:val="right"/>
              <w:rPr>
                <w:sz w:val="18"/>
                <w:szCs w:val="18"/>
              </w:rPr>
            </w:pPr>
            <w:r w:rsidRPr="00F13620">
              <w:rPr>
                <w:sz w:val="18"/>
                <w:szCs w:val="18"/>
              </w:rPr>
              <w:t>0.30</w:t>
            </w:r>
          </w:p>
        </w:tc>
        <w:tc>
          <w:tcPr>
            <w:tcW w:w="1479" w:type="dxa"/>
            <w:shd w:val="clear" w:color="auto" w:fill="auto"/>
            <w:vAlign w:val="center"/>
          </w:tcPr>
          <w:p w:rsidR="00FC60F3" w:rsidRPr="00F13620" w:rsidRDefault="00FC60F3" w:rsidP="00B9524E">
            <w:pPr>
              <w:ind w:right="364"/>
              <w:jc w:val="right"/>
              <w:rPr>
                <w:sz w:val="18"/>
                <w:szCs w:val="18"/>
              </w:rPr>
            </w:pPr>
            <w:r w:rsidRPr="00F13620">
              <w:rPr>
                <w:sz w:val="18"/>
                <w:szCs w:val="18"/>
              </w:rPr>
              <w:t>0.30</w:t>
            </w:r>
          </w:p>
        </w:tc>
      </w:tr>
      <w:tr w:rsidR="00A21C06" w:rsidRPr="00F13620" w:rsidTr="00132B06">
        <w:trPr>
          <w:trHeight w:val="227"/>
          <w:jc w:val="center"/>
        </w:trPr>
        <w:tc>
          <w:tcPr>
            <w:tcW w:w="2943" w:type="dxa"/>
            <w:shd w:val="clear" w:color="auto" w:fill="auto"/>
          </w:tcPr>
          <w:p w:rsidR="00FC60F3" w:rsidRPr="00F13620" w:rsidRDefault="00FC60F3" w:rsidP="00F13620">
            <w:pPr>
              <w:jc w:val="both"/>
              <w:rPr>
                <w:sz w:val="18"/>
                <w:szCs w:val="18"/>
              </w:rPr>
            </w:pPr>
            <w:r w:rsidRPr="00F13620">
              <w:rPr>
                <w:sz w:val="18"/>
                <w:szCs w:val="18"/>
              </w:rPr>
              <w:t>Salt</w:t>
            </w:r>
          </w:p>
        </w:tc>
        <w:tc>
          <w:tcPr>
            <w:tcW w:w="1560" w:type="dxa"/>
            <w:shd w:val="clear" w:color="auto" w:fill="auto"/>
            <w:vAlign w:val="center"/>
          </w:tcPr>
          <w:p w:rsidR="00FC60F3" w:rsidRPr="00F13620" w:rsidRDefault="00FC60F3" w:rsidP="00B9524E">
            <w:pPr>
              <w:ind w:left="-56" w:right="445"/>
              <w:jc w:val="right"/>
              <w:rPr>
                <w:sz w:val="18"/>
                <w:szCs w:val="18"/>
              </w:rPr>
            </w:pPr>
            <w:r w:rsidRPr="00F13620">
              <w:rPr>
                <w:sz w:val="18"/>
                <w:szCs w:val="18"/>
              </w:rPr>
              <w:t>0.50</w:t>
            </w:r>
          </w:p>
        </w:tc>
        <w:tc>
          <w:tcPr>
            <w:tcW w:w="1559" w:type="dxa"/>
            <w:shd w:val="clear" w:color="auto" w:fill="auto"/>
            <w:vAlign w:val="center"/>
          </w:tcPr>
          <w:p w:rsidR="00FC60F3" w:rsidRPr="00F13620" w:rsidRDefault="00FC60F3" w:rsidP="00B9524E">
            <w:pPr>
              <w:ind w:right="418"/>
              <w:jc w:val="right"/>
              <w:rPr>
                <w:sz w:val="18"/>
                <w:szCs w:val="18"/>
              </w:rPr>
            </w:pPr>
            <w:r w:rsidRPr="00F13620">
              <w:rPr>
                <w:sz w:val="18"/>
                <w:szCs w:val="18"/>
              </w:rPr>
              <w:t>0.50</w:t>
            </w:r>
          </w:p>
        </w:tc>
        <w:tc>
          <w:tcPr>
            <w:tcW w:w="1701" w:type="dxa"/>
            <w:shd w:val="clear" w:color="auto" w:fill="auto"/>
            <w:vAlign w:val="center"/>
          </w:tcPr>
          <w:p w:rsidR="00FC60F3" w:rsidRPr="00F13620" w:rsidRDefault="00FC60F3" w:rsidP="00B9524E">
            <w:pPr>
              <w:tabs>
                <w:tab w:val="left" w:pos="896"/>
              </w:tabs>
              <w:ind w:left="62" w:right="429"/>
              <w:jc w:val="right"/>
              <w:rPr>
                <w:sz w:val="18"/>
                <w:szCs w:val="18"/>
              </w:rPr>
            </w:pPr>
            <w:r w:rsidRPr="00F13620">
              <w:rPr>
                <w:sz w:val="18"/>
                <w:szCs w:val="18"/>
              </w:rPr>
              <w:t>0.50</w:t>
            </w:r>
          </w:p>
        </w:tc>
        <w:tc>
          <w:tcPr>
            <w:tcW w:w="1479" w:type="dxa"/>
            <w:shd w:val="clear" w:color="auto" w:fill="auto"/>
            <w:vAlign w:val="center"/>
          </w:tcPr>
          <w:p w:rsidR="00FC60F3" w:rsidRPr="00F13620" w:rsidRDefault="00FC60F3" w:rsidP="00B9524E">
            <w:pPr>
              <w:ind w:right="364"/>
              <w:jc w:val="right"/>
              <w:rPr>
                <w:sz w:val="18"/>
                <w:szCs w:val="18"/>
              </w:rPr>
            </w:pPr>
            <w:r w:rsidRPr="00F13620">
              <w:rPr>
                <w:sz w:val="18"/>
                <w:szCs w:val="18"/>
              </w:rPr>
              <w:t>0.50</w:t>
            </w:r>
          </w:p>
        </w:tc>
      </w:tr>
      <w:tr w:rsidR="00A21C06" w:rsidRPr="00F13620" w:rsidTr="00132B06">
        <w:trPr>
          <w:trHeight w:val="227"/>
          <w:jc w:val="center"/>
        </w:trPr>
        <w:tc>
          <w:tcPr>
            <w:tcW w:w="2943" w:type="dxa"/>
            <w:shd w:val="clear" w:color="auto" w:fill="auto"/>
          </w:tcPr>
          <w:p w:rsidR="00FC60F3" w:rsidRPr="00F13620" w:rsidRDefault="00FC60F3" w:rsidP="00F13620">
            <w:pPr>
              <w:jc w:val="both"/>
              <w:rPr>
                <w:sz w:val="18"/>
                <w:szCs w:val="18"/>
              </w:rPr>
            </w:pPr>
            <w:r w:rsidRPr="00F13620">
              <w:rPr>
                <w:sz w:val="18"/>
                <w:szCs w:val="18"/>
              </w:rPr>
              <w:t>Methionine</w:t>
            </w:r>
          </w:p>
        </w:tc>
        <w:tc>
          <w:tcPr>
            <w:tcW w:w="1560" w:type="dxa"/>
            <w:shd w:val="clear" w:color="auto" w:fill="auto"/>
            <w:vAlign w:val="center"/>
          </w:tcPr>
          <w:p w:rsidR="00FC60F3" w:rsidRPr="00F13620" w:rsidRDefault="00FC60F3" w:rsidP="00B9524E">
            <w:pPr>
              <w:ind w:left="-56" w:right="445"/>
              <w:jc w:val="right"/>
              <w:rPr>
                <w:sz w:val="18"/>
                <w:szCs w:val="18"/>
              </w:rPr>
            </w:pPr>
            <w:r w:rsidRPr="00F13620">
              <w:rPr>
                <w:sz w:val="18"/>
                <w:szCs w:val="18"/>
              </w:rPr>
              <w:t>0.10</w:t>
            </w:r>
          </w:p>
        </w:tc>
        <w:tc>
          <w:tcPr>
            <w:tcW w:w="1559" w:type="dxa"/>
            <w:shd w:val="clear" w:color="auto" w:fill="auto"/>
            <w:vAlign w:val="center"/>
          </w:tcPr>
          <w:p w:rsidR="00FC60F3" w:rsidRPr="00F13620" w:rsidRDefault="00FC60F3" w:rsidP="00B9524E">
            <w:pPr>
              <w:ind w:right="418"/>
              <w:jc w:val="right"/>
              <w:rPr>
                <w:sz w:val="18"/>
                <w:szCs w:val="18"/>
              </w:rPr>
            </w:pPr>
            <w:r w:rsidRPr="00F13620">
              <w:rPr>
                <w:sz w:val="18"/>
                <w:szCs w:val="18"/>
              </w:rPr>
              <w:t>0.10</w:t>
            </w:r>
          </w:p>
        </w:tc>
        <w:tc>
          <w:tcPr>
            <w:tcW w:w="1701" w:type="dxa"/>
            <w:shd w:val="clear" w:color="auto" w:fill="auto"/>
            <w:vAlign w:val="center"/>
          </w:tcPr>
          <w:p w:rsidR="00FC60F3" w:rsidRPr="00F13620" w:rsidRDefault="00FC60F3" w:rsidP="00B9524E">
            <w:pPr>
              <w:tabs>
                <w:tab w:val="left" w:pos="896"/>
              </w:tabs>
              <w:ind w:left="62" w:right="429"/>
              <w:jc w:val="right"/>
              <w:rPr>
                <w:sz w:val="18"/>
                <w:szCs w:val="18"/>
              </w:rPr>
            </w:pPr>
            <w:r w:rsidRPr="00F13620">
              <w:rPr>
                <w:sz w:val="18"/>
                <w:szCs w:val="18"/>
              </w:rPr>
              <w:t xml:space="preserve"> 0.10</w:t>
            </w:r>
          </w:p>
        </w:tc>
        <w:tc>
          <w:tcPr>
            <w:tcW w:w="1479" w:type="dxa"/>
            <w:shd w:val="clear" w:color="auto" w:fill="auto"/>
            <w:vAlign w:val="center"/>
          </w:tcPr>
          <w:p w:rsidR="00FC60F3" w:rsidRPr="00F13620" w:rsidRDefault="00FC60F3" w:rsidP="00B9524E">
            <w:pPr>
              <w:ind w:right="364"/>
              <w:jc w:val="right"/>
              <w:rPr>
                <w:sz w:val="18"/>
                <w:szCs w:val="18"/>
              </w:rPr>
            </w:pPr>
            <w:r w:rsidRPr="00F13620">
              <w:rPr>
                <w:sz w:val="18"/>
                <w:szCs w:val="18"/>
              </w:rPr>
              <w:t>0.10</w:t>
            </w:r>
          </w:p>
        </w:tc>
      </w:tr>
      <w:tr w:rsidR="00A21C06" w:rsidRPr="00F13620" w:rsidTr="00132B06">
        <w:trPr>
          <w:trHeight w:val="227"/>
          <w:jc w:val="center"/>
        </w:trPr>
        <w:tc>
          <w:tcPr>
            <w:tcW w:w="2943" w:type="dxa"/>
            <w:tcBorders>
              <w:bottom w:val="single" w:sz="4" w:space="0" w:color="auto"/>
            </w:tcBorders>
            <w:shd w:val="clear" w:color="auto" w:fill="auto"/>
          </w:tcPr>
          <w:p w:rsidR="00FC60F3" w:rsidRPr="00F13620" w:rsidRDefault="00FC60F3" w:rsidP="00F13620">
            <w:pPr>
              <w:jc w:val="both"/>
              <w:rPr>
                <w:sz w:val="18"/>
                <w:szCs w:val="18"/>
              </w:rPr>
            </w:pPr>
            <w:r w:rsidRPr="00F13620">
              <w:rPr>
                <w:sz w:val="18"/>
                <w:szCs w:val="18"/>
              </w:rPr>
              <w:t>Lysine</w:t>
            </w:r>
          </w:p>
        </w:tc>
        <w:tc>
          <w:tcPr>
            <w:tcW w:w="1560" w:type="dxa"/>
            <w:tcBorders>
              <w:bottom w:val="single" w:sz="4" w:space="0" w:color="auto"/>
            </w:tcBorders>
            <w:shd w:val="clear" w:color="auto" w:fill="auto"/>
            <w:vAlign w:val="center"/>
          </w:tcPr>
          <w:p w:rsidR="00FC60F3" w:rsidRPr="00F13620" w:rsidRDefault="00FC60F3" w:rsidP="00B9524E">
            <w:pPr>
              <w:ind w:left="-56" w:right="445"/>
              <w:jc w:val="right"/>
              <w:rPr>
                <w:sz w:val="18"/>
                <w:szCs w:val="18"/>
              </w:rPr>
            </w:pPr>
            <w:r w:rsidRPr="00F13620">
              <w:rPr>
                <w:sz w:val="18"/>
                <w:szCs w:val="18"/>
              </w:rPr>
              <w:t>0.10</w:t>
            </w:r>
          </w:p>
        </w:tc>
        <w:tc>
          <w:tcPr>
            <w:tcW w:w="1559" w:type="dxa"/>
            <w:tcBorders>
              <w:bottom w:val="single" w:sz="4" w:space="0" w:color="auto"/>
            </w:tcBorders>
            <w:shd w:val="clear" w:color="auto" w:fill="auto"/>
            <w:vAlign w:val="center"/>
          </w:tcPr>
          <w:p w:rsidR="00FC60F3" w:rsidRPr="00F13620" w:rsidRDefault="00FC60F3" w:rsidP="00B9524E">
            <w:pPr>
              <w:ind w:right="418"/>
              <w:jc w:val="right"/>
              <w:rPr>
                <w:sz w:val="18"/>
                <w:szCs w:val="18"/>
              </w:rPr>
            </w:pPr>
            <w:r w:rsidRPr="00F13620">
              <w:rPr>
                <w:sz w:val="18"/>
                <w:szCs w:val="18"/>
              </w:rPr>
              <w:t>0.10</w:t>
            </w:r>
          </w:p>
        </w:tc>
        <w:tc>
          <w:tcPr>
            <w:tcW w:w="1701" w:type="dxa"/>
            <w:tcBorders>
              <w:bottom w:val="single" w:sz="4" w:space="0" w:color="auto"/>
            </w:tcBorders>
            <w:shd w:val="clear" w:color="auto" w:fill="auto"/>
            <w:vAlign w:val="center"/>
          </w:tcPr>
          <w:p w:rsidR="00FC60F3" w:rsidRPr="00F13620" w:rsidRDefault="00FC60F3" w:rsidP="00B9524E">
            <w:pPr>
              <w:tabs>
                <w:tab w:val="left" w:pos="896"/>
              </w:tabs>
              <w:ind w:left="62" w:right="439"/>
              <w:jc w:val="right"/>
              <w:rPr>
                <w:sz w:val="18"/>
                <w:szCs w:val="18"/>
              </w:rPr>
            </w:pPr>
            <w:r w:rsidRPr="00F13620">
              <w:rPr>
                <w:sz w:val="18"/>
                <w:szCs w:val="18"/>
              </w:rPr>
              <w:t>0.10</w:t>
            </w:r>
          </w:p>
        </w:tc>
        <w:tc>
          <w:tcPr>
            <w:tcW w:w="1479" w:type="dxa"/>
            <w:tcBorders>
              <w:bottom w:val="single" w:sz="4" w:space="0" w:color="auto"/>
            </w:tcBorders>
            <w:shd w:val="clear" w:color="auto" w:fill="auto"/>
            <w:vAlign w:val="center"/>
          </w:tcPr>
          <w:p w:rsidR="00FC60F3" w:rsidRPr="00F13620" w:rsidRDefault="00FC60F3" w:rsidP="00B9524E">
            <w:pPr>
              <w:ind w:right="364"/>
              <w:jc w:val="right"/>
              <w:rPr>
                <w:sz w:val="18"/>
                <w:szCs w:val="18"/>
              </w:rPr>
            </w:pPr>
            <w:r w:rsidRPr="00F13620">
              <w:rPr>
                <w:sz w:val="18"/>
                <w:szCs w:val="18"/>
              </w:rPr>
              <w:t>0.10</w:t>
            </w:r>
          </w:p>
        </w:tc>
      </w:tr>
      <w:tr w:rsidR="00A21C06" w:rsidRPr="00F13620" w:rsidTr="00132B06">
        <w:trPr>
          <w:trHeight w:val="227"/>
          <w:jc w:val="center"/>
        </w:trPr>
        <w:tc>
          <w:tcPr>
            <w:tcW w:w="2943" w:type="dxa"/>
            <w:tcBorders>
              <w:top w:val="single" w:sz="4" w:space="0" w:color="auto"/>
              <w:bottom w:val="single" w:sz="4" w:space="0" w:color="auto"/>
            </w:tcBorders>
            <w:shd w:val="clear" w:color="auto" w:fill="auto"/>
          </w:tcPr>
          <w:p w:rsidR="00FC60F3" w:rsidRPr="00F13620" w:rsidRDefault="00FC60F3" w:rsidP="00F13620">
            <w:pPr>
              <w:jc w:val="both"/>
              <w:rPr>
                <w:sz w:val="18"/>
                <w:szCs w:val="18"/>
              </w:rPr>
            </w:pPr>
            <w:r w:rsidRPr="00F13620">
              <w:rPr>
                <w:sz w:val="18"/>
                <w:szCs w:val="18"/>
              </w:rPr>
              <w:t>Total</w:t>
            </w:r>
          </w:p>
        </w:tc>
        <w:tc>
          <w:tcPr>
            <w:tcW w:w="1560" w:type="dxa"/>
            <w:tcBorders>
              <w:top w:val="single" w:sz="4" w:space="0" w:color="auto"/>
              <w:bottom w:val="single" w:sz="4" w:space="0" w:color="auto"/>
            </w:tcBorders>
            <w:shd w:val="clear" w:color="auto" w:fill="auto"/>
            <w:vAlign w:val="center"/>
          </w:tcPr>
          <w:p w:rsidR="00FC60F3" w:rsidRPr="00F13620" w:rsidRDefault="00FC60F3" w:rsidP="00B9524E">
            <w:pPr>
              <w:ind w:left="-56" w:right="445"/>
              <w:jc w:val="right"/>
              <w:rPr>
                <w:sz w:val="18"/>
                <w:szCs w:val="18"/>
              </w:rPr>
            </w:pPr>
            <w:r w:rsidRPr="00F13620">
              <w:rPr>
                <w:sz w:val="18"/>
                <w:szCs w:val="18"/>
              </w:rPr>
              <w:t>100.00</w:t>
            </w:r>
          </w:p>
        </w:tc>
        <w:tc>
          <w:tcPr>
            <w:tcW w:w="1559" w:type="dxa"/>
            <w:tcBorders>
              <w:top w:val="single" w:sz="4" w:space="0" w:color="auto"/>
              <w:bottom w:val="single" w:sz="4" w:space="0" w:color="auto"/>
            </w:tcBorders>
            <w:shd w:val="clear" w:color="auto" w:fill="auto"/>
            <w:vAlign w:val="center"/>
          </w:tcPr>
          <w:p w:rsidR="00FC60F3" w:rsidRPr="00F13620" w:rsidRDefault="00FC60F3" w:rsidP="00B9524E">
            <w:pPr>
              <w:ind w:right="418"/>
              <w:jc w:val="right"/>
              <w:rPr>
                <w:sz w:val="18"/>
                <w:szCs w:val="18"/>
              </w:rPr>
            </w:pPr>
            <w:r w:rsidRPr="00F13620">
              <w:rPr>
                <w:sz w:val="18"/>
                <w:szCs w:val="18"/>
              </w:rPr>
              <w:t>100.00</w:t>
            </w:r>
          </w:p>
        </w:tc>
        <w:tc>
          <w:tcPr>
            <w:tcW w:w="1701" w:type="dxa"/>
            <w:tcBorders>
              <w:top w:val="single" w:sz="4" w:space="0" w:color="auto"/>
              <w:bottom w:val="single" w:sz="4" w:space="0" w:color="auto"/>
            </w:tcBorders>
            <w:shd w:val="clear" w:color="auto" w:fill="auto"/>
            <w:vAlign w:val="center"/>
          </w:tcPr>
          <w:p w:rsidR="00FC60F3" w:rsidRPr="00F13620" w:rsidRDefault="00FC60F3" w:rsidP="00B9524E">
            <w:pPr>
              <w:tabs>
                <w:tab w:val="left" w:pos="896"/>
              </w:tabs>
              <w:ind w:left="62" w:right="439"/>
              <w:jc w:val="right"/>
              <w:rPr>
                <w:sz w:val="18"/>
                <w:szCs w:val="18"/>
              </w:rPr>
            </w:pPr>
            <w:r w:rsidRPr="00F13620">
              <w:rPr>
                <w:sz w:val="18"/>
                <w:szCs w:val="18"/>
              </w:rPr>
              <w:t>100.00</w:t>
            </w:r>
          </w:p>
        </w:tc>
        <w:tc>
          <w:tcPr>
            <w:tcW w:w="1479" w:type="dxa"/>
            <w:tcBorders>
              <w:top w:val="single" w:sz="4" w:space="0" w:color="auto"/>
              <w:bottom w:val="single" w:sz="4" w:space="0" w:color="auto"/>
            </w:tcBorders>
            <w:shd w:val="clear" w:color="auto" w:fill="auto"/>
            <w:vAlign w:val="center"/>
          </w:tcPr>
          <w:p w:rsidR="00FC60F3" w:rsidRPr="00F13620" w:rsidRDefault="00FC60F3" w:rsidP="00B9524E">
            <w:pPr>
              <w:ind w:right="364"/>
              <w:jc w:val="right"/>
              <w:rPr>
                <w:sz w:val="18"/>
                <w:szCs w:val="18"/>
              </w:rPr>
            </w:pPr>
            <w:r w:rsidRPr="00F13620">
              <w:rPr>
                <w:sz w:val="18"/>
                <w:szCs w:val="18"/>
              </w:rPr>
              <w:t>100.00</w:t>
            </w:r>
          </w:p>
        </w:tc>
      </w:tr>
      <w:tr w:rsidR="00FC60F3" w:rsidRPr="00F13620" w:rsidTr="00132B06">
        <w:trPr>
          <w:trHeight w:val="227"/>
          <w:jc w:val="center"/>
        </w:trPr>
        <w:tc>
          <w:tcPr>
            <w:tcW w:w="9242" w:type="dxa"/>
            <w:gridSpan w:val="5"/>
            <w:tcBorders>
              <w:top w:val="single" w:sz="4" w:space="0" w:color="auto"/>
              <w:bottom w:val="single" w:sz="4" w:space="0" w:color="auto"/>
            </w:tcBorders>
            <w:shd w:val="clear" w:color="auto" w:fill="auto"/>
          </w:tcPr>
          <w:p w:rsidR="00FC60F3" w:rsidRPr="00F13620" w:rsidRDefault="00FC60F3" w:rsidP="00F13620">
            <w:pPr>
              <w:jc w:val="center"/>
              <w:rPr>
                <w:sz w:val="18"/>
                <w:szCs w:val="18"/>
              </w:rPr>
            </w:pPr>
            <w:r w:rsidRPr="00F13620">
              <w:rPr>
                <w:sz w:val="18"/>
                <w:szCs w:val="18"/>
              </w:rPr>
              <w:t>Calculated composition</w:t>
            </w:r>
          </w:p>
        </w:tc>
      </w:tr>
      <w:tr w:rsidR="00A21C06" w:rsidRPr="00F13620" w:rsidTr="00132B06">
        <w:trPr>
          <w:trHeight w:val="227"/>
          <w:jc w:val="center"/>
        </w:trPr>
        <w:tc>
          <w:tcPr>
            <w:tcW w:w="2943" w:type="dxa"/>
            <w:tcBorders>
              <w:top w:val="single" w:sz="4" w:space="0" w:color="auto"/>
            </w:tcBorders>
            <w:shd w:val="clear" w:color="auto" w:fill="auto"/>
          </w:tcPr>
          <w:p w:rsidR="00FC60F3" w:rsidRPr="00F13620" w:rsidRDefault="00FC60F3" w:rsidP="00F13620">
            <w:pPr>
              <w:jc w:val="both"/>
              <w:rPr>
                <w:sz w:val="18"/>
                <w:szCs w:val="18"/>
              </w:rPr>
            </w:pPr>
            <w:r w:rsidRPr="00F13620">
              <w:rPr>
                <w:sz w:val="18"/>
                <w:szCs w:val="18"/>
              </w:rPr>
              <w:t>Crude protein (%)</w:t>
            </w:r>
          </w:p>
        </w:tc>
        <w:tc>
          <w:tcPr>
            <w:tcW w:w="1560" w:type="dxa"/>
            <w:tcBorders>
              <w:top w:val="single" w:sz="4" w:space="0" w:color="auto"/>
            </w:tcBorders>
            <w:shd w:val="clear" w:color="auto" w:fill="auto"/>
            <w:vAlign w:val="center"/>
          </w:tcPr>
          <w:p w:rsidR="00FC60F3" w:rsidRPr="00F13620" w:rsidRDefault="00FC60F3" w:rsidP="00B9524E">
            <w:pPr>
              <w:jc w:val="center"/>
              <w:rPr>
                <w:sz w:val="18"/>
                <w:szCs w:val="18"/>
              </w:rPr>
            </w:pPr>
            <w:r w:rsidRPr="00F13620">
              <w:rPr>
                <w:sz w:val="18"/>
                <w:szCs w:val="18"/>
              </w:rPr>
              <w:t>23.03</w:t>
            </w:r>
          </w:p>
        </w:tc>
        <w:tc>
          <w:tcPr>
            <w:tcW w:w="1559" w:type="dxa"/>
            <w:tcBorders>
              <w:top w:val="single" w:sz="4" w:space="0" w:color="auto"/>
            </w:tcBorders>
            <w:shd w:val="clear" w:color="auto" w:fill="auto"/>
            <w:vAlign w:val="center"/>
          </w:tcPr>
          <w:p w:rsidR="00FC60F3" w:rsidRPr="00F13620" w:rsidRDefault="00FC60F3" w:rsidP="00B9524E">
            <w:pPr>
              <w:jc w:val="center"/>
              <w:rPr>
                <w:sz w:val="18"/>
                <w:szCs w:val="18"/>
              </w:rPr>
            </w:pPr>
            <w:r w:rsidRPr="00F13620">
              <w:rPr>
                <w:sz w:val="18"/>
                <w:szCs w:val="18"/>
              </w:rPr>
              <w:t>23.37</w:t>
            </w:r>
          </w:p>
        </w:tc>
        <w:tc>
          <w:tcPr>
            <w:tcW w:w="1701" w:type="dxa"/>
            <w:tcBorders>
              <w:top w:val="single" w:sz="4" w:space="0" w:color="auto"/>
            </w:tcBorders>
            <w:shd w:val="clear" w:color="auto" w:fill="auto"/>
            <w:vAlign w:val="center"/>
          </w:tcPr>
          <w:p w:rsidR="00FC60F3" w:rsidRPr="00F13620" w:rsidRDefault="00FC60F3" w:rsidP="00B9524E">
            <w:pPr>
              <w:jc w:val="center"/>
              <w:rPr>
                <w:sz w:val="18"/>
                <w:szCs w:val="18"/>
              </w:rPr>
            </w:pPr>
            <w:r w:rsidRPr="00F13620">
              <w:rPr>
                <w:sz w:val="18"/>
                <w:szCs w:val="18"/>
              </w:rPr>
              <w:t>21.71</w:t>
            </w:r>
          </w:p>
        </w:tc>
        <w:tc>
          <w:tcPr>
            <w:tcW w:w="1479" w:type="dxa"/>
            <w:tcBorders>
              <w:top w:val="single" w:sz="4" w:space="0" w:color="auto"/>
            </w:tcBorders>
            <w:shd w:val="clear" w:color="auto" w:fill="auto"/>
            <w:vAlign w:val="center"/>
          </w:tcPr>
          <w:p w:rsidR="00FC60F3" w:rsidRPr="00F13620" w:rsidRDefault="00FC60F3" w:rsidP="00B9524E">
            <w:pPr>
              <w:jc w:val="center"/>
              <w:rPr>
                <w:sz w:val="18"/>
                <w:szCs w:val="18"/>
              </w:rPr>
            </w:pPr>
            <w:r w:rsidRPr="00F13620">
              <w:rPr>
                <w:sz w:val="18"/>
                <w:szCs w:val="18"/>
              </w:rPr>
              <w:t>21.05</w:t>
            </w:r>
          </w:p>
        </w:tc>
      </w:tr>
      <w:tr w:rsidR="00A21C06" w:rsidRPr="00F13620" w:rsidTr="00132B06">
        <w:trPr>
          <w:trHeight w:val="227"/>
          <w:jc w:val="center"/>
        </w:trPr>
        <w:tc>
          <w:tcPr>
            <w:tcW w:w="2943" w:type="dxa"/>
            <w:shd w:val="clear" w:color="auto" w:fill="auto"/>
          </w:tcPr>
          <w:p w:rsidR="00FC60F3" w:rsidRPr="00F13620" w:rsidRDefault="00FC60F3" w:rsidP="00F13620">
            <w:pPr>
              <w:jc w:val="both"/>
              <w:rPr>
                <w:sz w:val="18"/>
                <w:szCs w:val="18"/>
              </w:rPr>
            </w:pPr>
            <w:r w:rsidRPr="00F13620">
              <w:rPr>
                <w:sz w:val="18"/>
                <w:szCs w:val="18"/>
              </w:rPr>
              <w:t>ME (MJ/kg)</w:t>
            </w:r>
          </w:p>
        </w:tc>
        <w:tc>
          <w:tcPr>
            <w:tcW w:w="1560" w:type="dxa"/>
            <w:shd w:val="clear" w:color="auto" w:fill="auto"/>
            <w:vAlign w:val="center"/>
          </w:tcPr>
          <w:p w:rsidR="00FC60F3" w:rsidRPr="00F13620" w:rsidRDefault="00FC60F3" w:rsidP="00B9524E">
            <w:pPr>
              <w:jc w:val="center"/>
              <w:rPr>
                <w:sz w:val="18"/>
                <w:szCs w:val="18"/>
              </w:rPr>
            </w:pPr>
            <w:r w:rsidRPr="00F13620">
              <w:rPr>
                <w:sz w:val="18"/>
                <w:szCs w:val="18"/>
              </w:rPr>
              <w:t>12.43</w:t>
            </w:r>
          </w:p>
        </w:tc>
        <w:tc>
          <w:tcPr>
            <w:tcW w:w="1559" w:type="dxa"/>
            <w:shd w:val="clear" w:color="auto" w:fill="auto"/>
            <w:vAlign w:val="center"/>
          </w:tcPr>
          <w:p w:rsidR="00FC60F3" w:rsidRPr="00F13620" w:rsidRDefault="00FC60F3" w:rsidP="00B9524E">
            <w:pPr>
              <w:jc w:val="center"/>
              <w:rPr>
                <w:sz w:val="18"/>
                <w:szCs w:val="18"/>
              </w:rPr>
            </w:pPr>
            <w:r w:rsidRPr="00F13620">
              <w:rPr>
                <w:sz w:val="18"/>
                <w:szCs w:val="18"/>
              </w:rPr>
              <w:t>12.02</w:t>
            </w:r>
          </w:p>
        </w:tc>
        <w:tc>
          <w:tcPr>
            <w:tcW w:w="1701" w:type="dxa"/>
            <w:shd w:val="clear" w:color="auto" w:fill="auto"/>
            <w:vAlign w:val="center"/>
          </w:tcPr>
          <w:p w:rsidR="00FC60F3" w:rsidRPr="00F13620" w:rsidRDefault="00FC60F3" w:rsidP="00B9524E">
            <w:pPr>
              <w:jc w:val="center"/>
              <w:rPr>
                <w:sz w:val="18"/>
                <w:szCs w:val="18"/>
              </w:rPr>
            </w:pPr>
            <w:r w:rsidRPr="00F13620">
              <w:rPr>
                <w:sz w:val="18"/>
                <w:szCs w:val="18"/>
              </w:rPr>
              <w:t>11.61</w:t>
            </w:r>
          </w:p>
        </w:tc>
        <w:tc>
          <w:tcPr>
            <w:tcW w:w="1479" w:type="dxa"/>
            <w:shd w:val="clear" w:color="auto" w:fill="auto"/>
            <w:vAlign w:val="center"/>
          </w:tcPr>
          <w:p w:rsidR="00FC60F3" w:rsidRPr="00F13620" w:rsidRDefault="00FC60F3" w:rsidP="00B9524E">
            <w:pPr>
              <w:jc w:val="center"/>
              <w:rPr>
                <w:sz w:val="18"/>
                <w:szCs w:val="18"/>
              </w:rPr>
            </w:pPr>
            <w:r w:rsidRPr="00F13620">
              <w:rPr>
                <w:sz w:val="18"/>
                <w:szCs w:val="18"/>
              </w:rPr>
              <w:t>11.19</w:t>
            </w:r>
          </w:p>
        </w:tc>
      </w:tr>
    </w:tbl>
    <w:p w:rsidR="00FC60F3" w:rsidRPr="00F13620" w:rsidRDefault="00FC60F3" w:rsidP="00F13620">
      <w:pPr>
        <w:spacing w:before="40"/>
        <w:jc w:val="both"/>
        <w:rPr>
          <w:sz w:val="16"/>
          <w:szCs w:val="16"/>
        </w:rPr>
      </w:pPr>
      <w:r w:rsidRPr="00F13620">
        <w:rPr>
          <w:sz w:val="16"/>
          <w:szCs w:val="16"/>
        </w:rPr>
        <w:t>*Vitamin mineral premix provides per kg diet: vit. A, 13.340 iu, vit. D</w:t>
      </w:r>
      <w:r w:rsidRPr="00F13620">
        <w:rPr>
          <w:sz w:val="16"/>
          <w:szCs w:val="16"/>
          <w:vertAlign w:val="subscript"/>
        </w:rPr>
        <w:t>3</w:t>
      </w:r>
      <w:r w:rsidRPr="00F13620">
        <w:rPr>
          <w:sz w:val="16"/>
          <w:szCs w:val="16"/>
        </w:rPr>
        <w:t xml:space="preserve"> 2680 iu, vit. E iu, vit. K, 2.68 iu, Calcium panthonate, 10.68 mg, vit. B</w:t>
      </w:r>
      <w:r w:rsidRPr="00F13620">
        <w:rPr>
          <w:sz w:val="16"/>
          <w:szCs w:val="16"/>
          <w:vertAlign w:val="subscript"/>
        </w:rPr>
        <w:t>12</w:t>
      </w:r>
      <w:r w:rsidRPr="00F13620">
        <w:rPr>
          <w:sz w:val="16"/>
          <w:szCs w:val="16"/>
        </w:rPr>
        <w:t xml:space="preserve"> 0.022 mg; Folic acid, 0.668 mg; Choline chloride 400 mg; Chlorotetracycline, 26</w:t>
      </w:r>
      <w:r w:rsidRPr="00A21C06">
        <w:rPr>
          <w:rFonts w:ascii="Cambria Math" w:hAnsi="Cambria Math"/>
          <w:sz w:val="16"/>
          <w:szCs w:val="16"/>
        </w:rPr>
        <w:t>‒</w:t>
      </w:r>
      <w:r w:rsidRPr="00F13620">
        <w:rPr>
          <w:sz w:val="16"/>
          <w:szCs w:val="16"/>
        </w:rPr>
        <w:t xml:space="preserve">28 mg; Manganese, 133.34 mg; Iron, 66.68 mg; Zinc, 53.34 mg Copper, 3.2 mg; Iodine, 1.86 mg; Cobalt, 0.268 mg; Selenium, 0.108 mg. ME = Metabolizable Energy (MJ/kg), calculated according to Pauzenga (1985) as ME (MJ/kg) = 37 × % CP + 81 × % EE + 35.5 × % NFE (Folorunso et al., 2016) TAPSM = Toasted </w:t>
      </w:r>
      <w:r w:rsidRPr="00F13620">
        <w:rPr>
          <w:i/>
          <w:sz w:val="16"/>
          <w:szCs w:val="16"/>
        </w:rPr>
        <w:t>Adenantherapavonina</w:t>
      </w:r>
      <w:r w:rsidR="00A21C06">
        <w:rPr>
          <w:sz w:val="16"/>
          <w:szCs w:val="16"/>
        </w:rPr>
        <w:t xml:space="preserve"> seed meal.</w:t>
      </w:r>
    </w:p>
    <w:p w:rsidR="00FC60F3" w:rsidRPr="00A21C06" w:rsidRDefault="00FC60F3" w:rsidP="00FC60F3">
      <w:pPr>
        <w:jc w:val="both"/>
        <w:rPr>
          <w:sz w:val="22"/>
          <w:szCs w:val="22"/>
        </w:rPr>
      </w:pPr>
    </w:p>
    <w:p w:rsidR="00FC60F3" w:rsidRPr="00A21C06" w:rsidRDefault="00FC60F3" w:rsidP="00FC60F3">
      <w:pPr>
        <w:jc w:val="both"/>
        <w:rPr>
          <w:sz w:val="22"/>
          <w:szCs w:val="22"/>
        </w:rPr>
      </w:pPr>
      <w:r w:rsidRPr="00A21C06">
        <w:rPr>
          <w:sz w:val="22"/>
          <w:szCs w:val="22"/>
        </w:rPr>
        <w:t xml:space="preserve">Table 2. Determined proximate composition of experimental diets and toasted </w:t>
      </w:r>
      <w:r w:rsidRPr="00A21C06">
        <w:rPr>
          <w:i/>
          <w:sz w:val="22"/>
          <w:szCs w:val="22"/>
        </w:rPr>
        <w:t>Adenanthera</w:t>
      </w:r>
      <w:r w:rsidR="002D729F">
        <w:rPr>
          <w:i/>
          <w:sz w:val="22"/>
          <w:szCs w:val="22"/>
        </w:rPr>
        <w:t xml:space="preserve"> </w:t>
      </w:r>
      <w:r w:rsidRPr="00A21C06">
        <w:rPr>
          <w:i/>
          <w:sz w:val="22"/>
          <w:szCs w:val="22"/>
        </w:rPr>
        <w:t>pavonina</w:t>
      </w:r>
      <w:r w:rsidR="002D729F">
        <w:rPr>
          <w:i/>
          <w:sz w:val="22"/>
          <w:szCs w:val="22"/>
        </w:rPr>
        <w:t xml:space="preserve"> </w:t>
      </w:r>
      <w:r w:rsidRPr="00A21C06">
        <w:rPr>
          <w:sz w:val="22"/>
          <w:szCs w:val="22"/>
        </w:rPr>
        <w:t>(L) seed meal (TAPSM)</w:t>
      </w:r>
      <w:r w:rsidR="00A21C06" w:rsidRPr="00A21C06">
        <w:rPr>
          <w:sz w:val="22"/>
          <w:szCs w:val="22"/>
        </w:rPr>
        <w:t>.</w:t>
      </w:r>
    </w:p>
    <w:p w:rsidR="00A21C06" w:rsidRPr="00A21C06" w:rsidRDefault="00A21C06" w:rsidP="00FC60F3">
      <w:pPr>
        <w:jc w:val="both"/>
        <w:rPr>
          <w:sz w:val="22"/>
          <w:szCs w:val="22"/>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1747"/>
        <w:gridCol w:w="1152"/>
        <w:gridCol w:w="1066"/>
        <w:gridCol w:w="1237"/>
        <w:gridCol w:w="1066"/>
        <w:gridCol w:w="1103"/>
      </w:tblGrid>
      <w:tr w:rsidR="00FC60F3" w:rsidRPr="00B9524E" w:rsidTr="00132B06">
        <w:trPr>
          <w:trHeight w:val="227"/>
          <w:jc w:val="center"/>
        </w:trPr>
        <w:tc>
          <w:tcPr>
            <w:tcW w:w="2376" w:type="dxa"/>
            <w:vMerge w:val="restart"/>
            <w:shd w:val="clear" w:color="auto" w:fill="auto"/>
            <w:vAlign w:val="center"/>
          </w:tcPr>
          <w:p w:rsidR="00FC60F3" w:rsidRPr="00B9524E" w:rsidRDefault="00FC60F3" w:rsidP="00B9524E">
            <w:pPr>
              <w:rPr>
                <w:sz w:val="18"/>
                <w:szCs w:val="18"/>
              </w:rPr>
            </w:pPr>
            <w:r w:rsidRPr="00B9524E">
              <w:rPr>
                <w:sz w:val="18"/>
                <w:szCs w:val="18"/>
              </w:rPr>
              <w:t>Parameter</w:t>
            </w:r>
          </w:p>
        </w:tc>
        <w:tc>
          <w:tcPr>
            <w:tcW w:w="5529" w:type="dxa"/>
            <w:gridSpan w:val="4"/>
            <w:tcBorders>
              <w:top w:val="single" w:sz="4" w:space="0" w:color="auto"/>
              <w:bottom w:val="single" w:sz="4" w:space="0" w:color="auto"/>
            </w:tcBorders>
            <w:shd w:val="clear" w:color="auto" w:fill="auto"/>
            <w:vAlign w:val="center"/>
          </w:tcPr>
          <w:p w:rsidR="00FC60F3" w:rsidRPr="00B9524E" w:rsidRDefault="00FC60F3" w:rsidP="00B9524E">
            <w:pPr>
              <w:jc w:val="center"/>
              <w:rPr>
                <w:sz w:val="18"/>
                <w:szCs w:val="18"/>
              </w:rPr>
            </w:pPr>
            <w:r w:rsidRPr="00B9524E">
              <w:rPr>
                <w:sz w:val="18"/>
                <w:szCs w:val="18"/>
              </w:rPr>
              <w:t>TAPSM inclusion levels in diets (%)</w:t>
            </w:r>
          </w:p>
        </w:tc>
        <w:tc>
          <w:tcPr>
            <w:tcW w:w="1337" w:type="dxa"/>
            <w:vMerge w:val="restart"/>
            <w:shd w:val="clear" w:color="auto" w:fill="auto"/>
            <w:vAlign w:val="center"/>
          </w:tcPr>
          <w:p w:rsidR="00FC60F3" w:rsidRPr="00B9524E" w:rsidRDefault="00FC60F3" w:rsidP="00B9524E">
            <w:pPr>
              <w:jc w:val="center"/>
              <w:rPr>
                <w:sz w:val="18"/>
                <w:szCs w:val="18"/>
              </w:rPr>
            </w:pPr>
            <w:r w:rsidRPr="00B9524E">
              <w:rPr>
                <w:sz w:val="18"/>
                <w:szCs w:val="18"/>
              </w:rPr>
              <w:t>TAPSM</w:t>
            </w:r>
          </w:p>
        </w:tc>
      </w:tr>
      <w:tr w:rsidR="00FC60F3" w:rsidRPr="00B9524E" w:rsidTr="00132B06">
        <w:trPr>
          <w:trHeight w:val="227"/>
          <w:jc w:val="center"/>
        </w:trPr>
        <w:tc>
          <w:tcPr>
            <w:tcW w:w="2376" w:type="dxa"/>
            <w:vMerge/>
            <w:tcBorders>
              <w:bottom w:val="single" w:sz="4" w:space="0" w:color="auto"/>
            </w:tcBorders>
            <w:shd w:val="clear" w:color="auto" w:fill="auto"/>
          </w:tcPr>
          <w:p w:rsidR="00FC60F3" w:rsidRPr="00B9524E" w:rsidRDefault="00FC60F3" w:rsidP="004C795C">
            <w:pPr>
              <w:jc w:val="both"/>
              <w:rPr>
                <w:sz w:val="18"/>
                <w:szCs w:val="18"/>
              </w:rPr>
            </w:pPr>
          </w:p>
        </w:tc>
        <w:tc>
          <w:tcPr>
            <w:tcW w:w="1418" w:type="dxa"/>
            <w:tcBorders>
              <w:top w:val="single" w:sz="4" w:space="0" w:color="auto"/>
              <w:bottom w:val="single" w:sz="4" w:space="0" w:color="auto"/>
            </w:tcBorders>
            <w:shd w:val="clear" w:color="auto" w:fill="auto"/>
            <w:vAlign w:val="center"/>
          </w:tcPr>
          <w:p w:rsidR="00FC60F3" w:rsidRPr="00B9524E" w:rsidRDefault="00FC60F3" w:rsidP="00B9524E">
            <w:pPr>
              <w:ind w:right="227"/>
              <w:jc w:val="right"/>
              <w:rPr>
                <w:sz w:val="18"/>
                <w:szCs w:val="18"/>
              </w:rPr>
            </w:pPr>
            <w:r w:rsidRPr="00B9524E">
              <w:rPr>
                <w:sz w:val="18"/>
                <w:szCs w:val="18"/>
              </w:rPr>
              <w:t>T</w:t>
            </w:r>
            <w:r w:rsidRPr="00B9524E">
              <w:rPr>
                <w:sz w:val="18"/>
                <w:szCs w:val="18"/>
                <w:vertAlign w:val="subscript"/>
              </w:rPr>
              <w:t>1</w:t>
            </w:r>
            <w:r w:rsidRPr="00B9524E">
              <w:rPr>
                <w:sz w:val="18"/>
                <w:szCs w:val="18"/>
              </w:rPr>
              <w:t xml:space="preserve"> (0)</w:t>
            </w:r>
          </w:p>
        </w:tc>
        <w:tc>
          <w:tcPr>
            <w:tcW w:w="1276" w:type="dxa"/>
            <w:tcBorders>
              <w:top w:val="single" w:sz="4" w:space="0" w:color="auto"/>
              <w:bottom w:val="single" w:sz="4" w:space="0" w:color="auto"/>
            </w:tcBorders>
            <w:shd w:val="clear" w:color="auto" w:fill="auto"/>
            <w:vAlign w:val="center"/>
          </w:tcPr>
          <w:p w:rsidR="00FC60F3" w:rsidRPr="00B9524E" w:rsidRDefault="00FC60F3" w:rsidP="00B9524E">
            <w:pPr>
              <w:ind w:right="227"/>
              <w:jc w:val="right"/>
              <w:rPr>
                <w:sz w:val="18"/>
                <w:szCs w:val="18"/>
              </w:rPr>
            </w:pPr>
            <w:r w:rsidRPr="00B9524E">
              <w:rPr>
                <w:sz w:val="18"/>
                <w:szCs w:val="18"/>
              </w:rPr>
              <w:t>T</w:t>
            </w:r>
            <w:r w:rsidRPr="00B9524E">
              <w:rPr>
                <w:sz w:val="18"/>
                <w:szCs w:val="18"/>
                <w:vertAlign w:val="subscript"/>
              </w:rPr>
              <w:t>2</w:t>
            </w:r>
            <w:r w:rsidRPr="00B9524E">
              <w:rPr>
                <w:sz w:val="18"/>
                <w:szCs w:val="18"/>
              </w:rPr>
              <w:t xml:space="preserve"> (10)</w:t>
            </w:r>
          </w:p>
        </w:tc>
        <w:tc>
          <w:tcPr>
            <w:tcW w:w="1559" w:type="dxa"/>
            <w:tcBorders>
              <w:top w:val="single" w:sz="4" w:space="0" w:color="auto"/>
              <w:bottom w:val="single" w:sz="4" w:space="0" w:color="auto"/>
            </w:tcBorders>
            <w:shd w:val="clear" w:color="auto" w:fill="auto"/>
            <w:vAlign w:val="center"/>
          </w:tcPr>
          <w:p w:rsidR="00FC60F3" w:rsidRPr="00B9524E" w:rsidRDefault="00FC60F3" w:rsidP="00B9524E">
            <w:pPr>
              <w:ind w:right="227"/>
              <w:jc w:val="right"/>
              <w:rPr>
                <w:sz w:val="18"/>
                <w:szCs w:val="18"/>
              </w:rPr>
            </w:pPr>
            <w:r w:rsidRPr="00B9524E">
              <w:rPr>
                <w:sz w:val="18"/>
                <w:szCs w:val="18"/>
              </w:rPr>
              <w:t>T</w:t>
            </w:r>
            <w:r w:rsidRPr="00B9524E">
              <w:rPr>
                <w:sz w:val="18"/>
                <w:szCs w:val="18"/>
                <w:vertAlign w:val="subscript"/>
              </w:rPr>
              <w:t>3</w:t>
            </w:r>
            <w:r w:rsidRPr="00B9524E">
              <w:rPr>
                <w:sz w:val="18"/>
                <w:szCs w:val="18"/>
              </w:rPr>
              <w:t xml:space="preserve"> (20)</w:t>
            </w:r>
          </w:p>
        </w:tc>
        <w:tc>
          <w:tcPr>
            <w:tcW w:w="1276" w:type="dxa"/>
            <w:tcBorders>
              <w:top w:val="single" w:sz="4" w:space="0" w:color="auto"/>
              <w:bottom w:val="single" w:sz="4" w:space="0" w:color="auto"/>
            </w:tcBorders>
            <w:shd w:val="clear" w:color="auto" w:fill="auto"/>
            <w:vAlign w:val="center"/>
          </w:tcPr>
          <w:p w:rsidR="00FC60F3" w:rsidRPr="00B9524E" w:rsidRDefault="00FC60F3" w:rsidP="00B9524E">
            <w:pPr>
              <w:ind w:right="227"/>
              <w:jc w:val="right"/>
              <w:rPr>
                <w:sz w:val="18"/>
                <w:szCs w:val="18"/>
              </w:rPr>
            </w:pPr>
            <w:r w:rsidRPr="00B9524E">
              <w:rPr>
                <w:sz w:val="18"/>
                <w:szCs w:val="18"/>
              </w:rPr>
              <w:t>T</w:t>
            </w:r>
            <w:r w:rsidRPr="00B9524E">
              <w:rPr>
                <w:sz w:val="18"/>
                <w:szCs w:val="18"/>
                <w:vertAlign w:val="subscript"/>
              </w:rPr>
              <w:t>4</w:t>
            </w:r>
            <w:r w:rsidRPr="00B9524E">
              <w:rPr>
                <w:sz w:val="18"/>
                <w:szCs w:val="18"/>
              </w:rPr>
              <w:t xml:space="preserve"> (30)</w:t>
            </w:r>
          </w:p>
        </w:tc>
        <w:tc>
          <w:tcPr>
            <w:tcW w:w="1337" w:type="dxa"/>
            <w:vMerge/>
            <w:tcBorders>
              <w:bottom w:val="single" w:sz="4" w:space="0" w:color="auto"/>
            </w:tcBorders>
            <w:shd w:val="clear" w:color="auto" w:fill="auto"/>
          </w:tcPr>
          <w:p w:rsidR="00FC60F3" w:rsidRPr="00B9524E" w:rsidRDefault="00FC60F3" w:rsidP="004C795C">
            <w:pPr>
              <w:jc w:val="center"/>
              <w:rPr>
                <w:sz w:val="18"/>
                <w:szCs w:val="18"/>
              </w:rPr>
            </w:pPr>
          </w:p>
        </w:tc>
      </w:tr>
      <w:tr w:rsidR="00FC60F3" w:rsidRPr="00B9524E" w:rsidTr="00132B06">
        <w:trPr>
          <w:trHeight w:val="227"/>
          <w:jc w:val="center"/>
        </w:trPr>
        <w:tc>
          <w:tcPr>
            <w:tcW w:w="2376" w:type="dxa"/>
            <w:tcBorders>
              <w:top w:val="single" w:sz="4" w:space="0" w:color="auto"/>
            </w:tcBorders>
            <w:shd w:val="clear" w:color="auto" w:fill="auto"/>
            <w:vAlign w:val="center"/>
          </w:tcPr>
          <w:p w:rsidR="00FC60F3" w:rsidRPr="00B9524E" w:rsidRDefault="00FC60F3" w:rsidP="00B9524E">
            <w:pPr>
              <w:rPr>
                <w:sz w:val="18"/>
                <w:szCs w:val="18"/>
              </w:rPr>
            </w:pPr>
            <w:r w:rsidRPr="00B9524E">
              <w:rPr>
                <w:sz w:val="18"/>
                <w:szCs w:val="18"/>
              </w:rPr>
              <w:t>Dry matter</w:t>
            </w:r>
          </w:p>
        </w:tc>
        <w:tc>
          <w:tcPr>
            <w:tcW w:w="1418" w:type="dxa"/>
            <w:tcBorders>
              <w:top w:val="single" w:sz="4" w:space="0" w:color="auto"/>
            </w:tcBorders>
            <w:shd w:val="clear" w:color="auto" w:fill="auto"/>
            <w:vAlign w:val="center"/>
          </w:tcPr>
          <w:p w:rsidR="00FC60F3" w:rsidRPr="00B9524E" w:rsidRDefault="00FC60F3" w:rsidP="00B9524E">
            <w:pPr>
              <w:ind w:right="284"/>
              <w:jc w:val="right"/>
              <w:rPr>
                <w:sz w:val="18"/>
                <w:szCs w:val="18"/>
              </w:rPr>
            </w:pPr>
            <w:r w:rsidRPr="00B9524E">
              <w:rPr>
                <w:sz w:val="18"/>
                <w:szCs w:val="18"/>
              </w:rPr>
              <w:t>94.16</w:t>
            </w:r>
          </w:p>
        </w:tc>
        <w:tc>
          <w:tcPr>
            <w:tcW w:w="1276" w:type="dxa"/>
            <w:tcBorders>
              <w:top w:val="single" w:sz="4" w:space="0" w:color="auto"/>
            </w:tcBorders>
            <w:shd w:val="clear" w:color="auto" w:fill="auto"/>
            <w:vAlign w:val="center"/>
          </w:tcPr>
          <w:p w:rsidR="00FC60F3" w:rsidRPr="00B9524E" w:rsidRDefault="00FC60F3" w:rsidP="00B9524E">
            <w:pPr>
              <w:ind w:right="284"/>
              <w:jc w:val="right"/>
              <w:rPr>
                <w:sz w:val="18"/>
                <w:szCs w:val="18"/>
              </w:rPr>
            </w:pPr>
            <w:r w:rsidRPr="00B9524E">
              <w:rPr>
                <w:sz w:val="18"/>
                <w:szCs w:val="18"/>
              </w:rPr>
              <w:t>94.18</w:t>
            </w:r>
          </w:p>
        </w:tc>
        <w:tc>
          <w:tcPr>
            <w:tcW w:w="1559" w:type="dxa"/>
            <w:tcBorders>
              <w:top w:val="single" w:sz="4" w:space="0" w:color="auto"/>
            </w:tcBorders>
            <w:shd w:val="clear" w:color="auto" w:fill="auto"/>
            <w:vAlign w:val="center"/>
          </w:tcPr>
          <w:p w:rsidR="00FC60F3" w:rsidRPr="00B9524E" w:rsidRDefault="00FC60F3" w:rsidP="00B9524E">
            <w:pPr>
              <w:ind w:right="284"/>
              <w:jc w:val="right"/>
              <w:rPr>
                <w:sz w:val="18"/>
                <w:szCs w:val="18"/>
              </w:rPr>
            </w:pPr>
            <w:r w:rsidRPr="00B9524E">
              <w:rPr>
                <w:sz w:val="18"/>
                <w:szCs w:val="18"/>
              </w:rPr>
              <w:t>94.20</w:t>
            </w:r>
          </w:p>
        </w:tc>
        <w:tc>
          <w:tcPr>
            <w:tcW w:w="1276" w:type="dxa"/>
            <w:tcBorders>
              <w:top w:val="single" w:sz="4" w:space="0" w:color="auto"/>
            </w:tcBorders>
            <w:shd w:val="clear" w:color="auto" w:fill="auto"/>
            <w:vAlign w:val="center"/>
          </w:tcPr>
          <w:p w:rsidR="00FC60F3" w:rsidRPr="00B9524E" w:rsidRDefault="00FC60F3" w:rsidP="00B9524E">
            <w:pPr>
              <w:ind w:right="284"/>
              <w:jc w:val="right"/>
              <w:rPr>
                <w:sz w:val="18"/>
                <w:szCs w:val="18"/>
              </w:rPr>
            </w:pPr>
            <w:r w:rsidRPr="00B9524E">
              <w:rPr>
                <w:sz w:val="18"/>
                <w:szCs w:val="18"/>
              </w:rPr>
              <w:t>94.20</w:t>
            </w:r>
          </w:p>
        </w:tc>
        <w:tc>
          <w:tcPr>
            <w:tcW w:w="1337" w:type="dxa"/>
            <w:tcBorders>
              <w:top w:val="single" w:sz="4" w:space="0" w:color="auto"/>
            </w:tcBorders>
            <w:shd w:val="clear" w:color="auto" w:fill="auto"/>
            <w:vAlign w:val="center"/>
          </w:tcPr>
          <w:p w:rsidR="00FC60F3" w:rsidRPr="00B9524E" w:rsidRDefault="00FC60F3" w:rsidP="00B9524E">
            <w:pPr>
              <w:ind w:right="284"/>
              <w:jc w:val="right"/>
              <w:rPr>
                <w:sz w:val="18"/>
                <w:szCs w:val="18"/>
              </w:rPr>
            </w:pPr>
            <w:r w:rsidRPr="00B9524E">
              <w:rPr>
                <w:sz w:val="18"/>
                <w:szCs w:val="18"/>
              </w:rPr>
              <w:t>92.00</w:t>
            </w:r>
          </w:p>
        </w:tc>
      </w:tr>
      <w:tr w:rsidR="00FC60F3" w:rsidRPr="00B9524E" w:rsidTr="00132B06">
        <w:trPr>
          <w:trHeight w:val="227"/>
          <w:jc w:val="center"/>
        </w:trPr>
        <w:tc>
          <w:tcPr>
            <w:tcW w:w="2376" w:type="dxa"/>
            <w:shd w:val="clear" w:color="auto" w:fill="auto"/>
            <w:vAlign w:val="center"/>
          </w:tcPr>
          <w:p w:rsidR="00FC60F3" w:rsidRPr="00B9524E" w:rsidRDefault="00FC60F3" w:rsidP="00B9524E">
            <w:pPr>
              <w:rPr>
                <w:sz w:val="18"/>
                <w:szCs w:val="18"/>
              </w:rPr>
            </w:pPr>
            <w:r w:rsidRPr="00B9524E">
              <w:rPr>
                <w:sz w:val="18"/>
                <w:szCs w:val="18"/>
              </w:rPr>
              <w:t>Crude protein</w:t>
            </w:r>
          </w:p>
        </w:tc>
        <w:tc>
          <w:tcPr>
            <w:tcW w:w="1418" w:type="dxa"/>
            <w:shd w:val="clear" w:color="auto" w:fill="auto"/>
            <w:vAlign w:val="center"/>
          </w:tcPr>
          <w:p w:rsidR="00FC60F3" w:rsidRPr="00B9524E" w:rsidRDefault="00FC60F3" w:rsidP="00B9524E">
            <w:pPr>
              <w:ind w:right="284"/>
              <w:jc w:val="right"/>
              <w:rPr>
                <w:sz w:val="18"/>
                <w:szCs w:val="18"/>
              </w:rPr>
            </w:pPr>
            <w:r w:rsidRPr="00B9524E">
              <w:rPr>
                <w:sz w:val="18"/>
                <w:szCs w:val="18"/>
              </w:rPr>
              <w:t>21.05</w:t>
            </w:r>
          </w:p>
        </w:tc>
        <w:tc>
          <w:tcPr>
            <w:tcW w:w="1276" w:type="dxa"/>
            <w:shd w:val="clear" w:color="auto" w:fill="auto"/>
            <w:vAlign w:val="center"/>
          </w:tcPr>
          <w:p w:rsidR="00FC60F3" w:rsidRPr="00B9524E" w:rsidRDefault="00FC60F3" w:rsidP="00B9524E">
            <w:pPr>
              <w:ind w:right="284"/>
              <w:jc w:val="right"/>
              <w:rPr>
                <w:sz w:val="18"/>
                <w:szCs w:val="18"/>
              </w:rPr>
            </w:pPr>
            <w:r w:rsidRPr="00B9524E">
              <w:rPr>
                <w:sz w:val="18"/>
                <w:szCs w:val="18"/>
              </w:rPr>
              <w:t>20.04</w:t>
            </w:r>
          </w:p>
        </w:tc>
        <w:tc>
          <w:tcPr>
            <w:tcW w:w="1559" w:type="dxa"/>
            <w:shd w:val="clear" w:color="auto" w:fill="auto"/>
            <w:vAlign w:val="center"/>
          </w:tcPr>
          <w:p w:rsidR="00FC60F3" w:rsidRPr="00B9524E" w:rsidRDefault="00FC60F3" w:rsidP="00B9524E">
            <w:pPr>
              <w:ind w:right="284"/>
              <w:jc w:val="right"/>
              <w:rPr>
                <w:sz w:val="18"/>
                <w:szCs w:val="18"/>
              </w:rPr>
            </w:pPr>
            <w:r w:rsidRPr="00B9524E">
              <w:rPr>
                <w:sz w:val="18"/>
                <w:szCs w:val="18"/>
              </w:rPr>
              <w:t>20.02</w:t>
            </w:r>
          </w:p>
        </w:tc>
        <w:tc>
          <w:tcPr>
            <w:tcW w:w="1276" w:type="dxa"/>
            <w:shd w:val="clear" w:color="auto" w:fill="auto"/>
            <w:vAlign w:val="center"/>
          </w:tcPr>
          <w:p w:rsidR="00FC60F3" w:rsidRPr="00B9524E" w:rsidRDefault="00FC60F3" w:rsidP="00B9524E">
            <w:pPr>
              <w:ind w:right="284"/>
              <w:jc w:val="right"/>
              <w:rPr>
                <w:sz w:val="18"/>
                <w:szCs w:val="18"/>
              </w:rPr>
            </w:pPr>
            <w:r w:rsidRPr="00B9524E">
              <w:rPr>
                <w:sz w:val="18"/>
                <w:szCs w:val="18"/>
              </w:rPr>
              <w:t>20.00</w:t>
            </w:r>
          </w:p>
        </w:tc>
        <w:tc>
          <w:tcPr>
            <w:tcW w:w="1337" w:type="dxa"/>
            <w:shd w:val="clear" w:color="auto" w:fill="auto"/>
            <w:vAlign w:val="center"/>
          </w:tcPr>
          <w:p w:rsidR="00FC60F3" w:rsidRPr="00B9524E" w:rsidRDefault="00FC60F3" w:rsidP="00B9524E">
            <w:pPr>
              <w:ind w:right="284"/>
              <w:jc w:val="right"/>
              <w:rPr>
                <w:sz w:val="18"/>
                <w:szCs w:val="18"/>
              </w:rPr>
            </w:pPr>
            <w:r w:rsidRPr="00B9524E">
              <w:rPr>
                <w:sz w:val="18"/>
                <w:szCs w:val="18"/>
              </w:rPr>
              <w:t>20.08</w:t>
            </w:r>
          </w:p>
        </w:tc>
      </w:tr>
      <w:tr w:rsidR="00FC60F3" w:rsidRPr="00B9524E" w:rsidTr="00132B06">
        <w:trPr>
          <w:trHeight w:val="227"/>
          <w:jc w:val="center"/>
        </w:trPr>
        <w:tc>
          <w:tcPr>
            <w:tcW w:w="2376" w:type="dxa"/>
            <w:shd w:val="clear" w:color="auto" w:fill="auto"/>
            <w:vAlign w:val="center"/>
          </w:tcPr>
          <w:p w:rsidR="00FC60F3" w:rsidRPr="00B9524E" w:rsidRDefault="00FC60F3" w:rsidP="00B9524E">
            <w:pPr>
              <w:rPr>
                <w:sz w:val="18"/>
                <w:szCs w:val="18"/>
              </w:rPr>
            </w:pPr>
            <w:r w:rsidRPr="00B9524E">
              <w:rPr>
                <w:sz w:val="18"/>
                <w:szCs w:val="18"/>
              </w:rPr>
              <w:t>Crude fibre</w:t>
            </w:r>
          </w:p>
        </w:tc>
        <w:tc>
          <w:tcPr>
            <w:tcW w:w="1418" w:type="dxa"/>
            <w:shd w:val="clear" w:color="auto" w:fill="auto"/>
            <w:vAlign w:val="center"/>
          </w:tcPr>
          <w:p w:rsidR="00FC60F3" w:rsidRPr="00B9524E" w:rsidRDefault="00FC60F3" w:rsidP="00B9524E">
            <w:pPr>
              <w:ind w:right="284"/>
              <w:jc w:val="right"/>
              <w:rPr>
                <w:sz w:val="18"/>
                <w:szCs w:val="18"/>
              </w:rPr>
            </w:pPr>
            <w:r w:rsidRPr="00B9524E">
              <w:rPr>
                <w:sz w:val="18"/>
                <w:szCs w:val="18"/>
              </w:rPr>
              <w:t>11.00</w:t>
            </w:r>
          </w:p>
        </w:tc>
        <w:tc>
          <w:tcPr>
            <w:tcW w:w="1276" w:type="dxa"/>
            <w:shd w:val="clear" w:color="auto" w:fill="auto"/>
            <w:vAlign w:val="center"/>
          </w:tcPr>
          <w:p w:rsidR="00FC60F3" w:rsidRPr="00B9524E" w:rsidRDefault="00FC60F3" w:rsidP="00B9524E">
            <w:pPr>
              <w:ind w:right="284"/>
              <w:jc w:val="right"/>
              <w:rPr>
                <w:sz w:val="18"/>
                <w:szCs w:val="18"/>
              </w:rPr>
            </w:pPr>
            <w:r w:rsidRPr="00B9524E">
              <w:rPr>
                <w:sz w:val="18"/>
                <w:szCs w:val="18"/>
              </w:rPr>
              <w:t>11.16</w:t>
            </w:r>
          </w:p>
        </w:tc>
        <w:tc>
          <w:tcPr>
            <w:tcW w:w="1559" w:type="dxa"/>
            <w:shd w:val="clear" w:color="auto" w:fill="auto"/>
            <w:vAlign w:val="center"/>
          </w:tcPr>
          <w:p w:rsidR="00FC60F3" w:rsidRPr="00B9524E" w:rsidRDefault="00FC60F3" w:rsidP="00B9524E">
            <w:pPr>
              <w:ind w:right="284"/>
              <w:jc w:val="right"/>
              <w:rPr>
                <w:sz w:val="18"/>
                <w:szCs w:val="18"/>
              </w:rPr>
            </w:pPr>
            <w:r w:rsidRPr="00B9524E">
              <w:rPr>
                <w:sz w:val="18"/>
                <w:szCs w:val="18"/>
              </w:rPr>
              <w:t>13.04</w:t>
            </w:r>
          </w:p>
        </w:tc>
        <w:tc>
          <w:tcPr>
            <w:tcW w:w="1276" w:type="dxa"/>
            <w:shd w:val="clear" w:color="auto" w:fill="auto"/>
            <w:vAlign w:val="center"/>
          </w:tcPr>
          <w:p w:rsidR="00FC60F3" w:rsidRPr="00B9524E" w:rsidRDefault="00FC60F3" w:rsidP="00B9524E">
            <w:pPr>
              <w:ind w:right="284"/>
              <w:jc w:val="right"/>
              <w:rPr>
                <w:sz w:val="18"/>
                <w:szCs w:val="18"/>
              </w:rPr>
            </w:pPr>
            <w:r w:rsidRPr="00B9524E">
              <w:rPr>
                <w:sz w:val="18"/>
                <w:szCs w:val="18"/>
              </w:rPr>
              <w:t>15.00</w:t>
            </w:r>
          </w:p>
        </w:tc>
        <w:tc>
          <w:tcPr>
            <w:tcW w:w="1337" w:type="dxa"/>
            <w:shd w:val="clear" w:color="auto" w:fill="auto"/>
            <w:vAlign w:val="center"/>
          </w:tcPr>
          <w:p w:rsidR="00FC60F3" w:rsidRPr="00B9524E" w:rsidRDefault="00FC60F3" w:rsidP="00B9524E">
            <w:pPr>
              <w:ind w:right="284"/>
              <w:jc w:val="right"/>
              <w:rPr>
                <w:sz w:val="18"/>
                <w:szCs w:val="18"/>
              </w:rPr>
            </w:pPr>
            <w:r w:rsidRPr="00B9524E">
              <w:rPr>
                <w:sz w:val="18"/>
                <w:szCs w:val="18"/>
              </w:rPr>
              <w:t>14.00</w:t>
            </w:r>
          </w:p>
        </w:tc>
      </w:tr>
      <w:tr w:rsidR="00FC60F3" w:rsidRPr="00B9524E" w:rsidTr="00132B06">
        <w:trPr>
          <w:trHeight w:val="227"/>
          <w:jc w:val="center"/>
        </w:trPr>
        <w:tc>
          <w:tcPr>
            <w:tcW w:w="2376" w:type="dxa"/>
            <w:shd w:val="clear" w:color="auto" w:fill="auto"/>
            <w:vAlign w:val="center"/>
          </w:tcPr>
          <w:p w:rsidR="00FC60F3" w:rsidRPr="00B9524E" w:rsidRDefault="00FC60F3" w:rsidP="00B9524E">
            <w:pPr>
              <w:rPr>
                <w:sz w:val="18"/>
                <w:szCs w:val="18"/>
              </w:rPr>
            </w:pPr>
            <w:r w:rsidRPr="00B9524E">
              <w:rPr>
                <w:sz w:val="18"/>
                <w:szCs w:val="18"/>
              </w:rPr>
              <w:t>Ether extract</w:t>
            </w:r>
          </w:p>
        </w:tc>
        <w:tc>
          <w:tcPr>
            <w:tcW w:w="1418" w:type="dxa"/>
            <w:shd w:val="clear" w:color="auto" w:fill="auto"/>
            <w:vAlign w:val="center"/>
          </w:tcPr>
          <w:p w:rsidR="00FC60F3" w:rsidRPr="00B9524E" w:rsidRDefault="00FC60F3" w:rsidP="00B9524E">
            <w:pPr>
              <w:ind w:right="284"/>
              <w:jc w:val="right"/>
              <w:rPr>
                <w:sz w:val="18"/>
                <w:szCs w:val="18"/>
              </w:rPr>
            </w:pPr>
            <w:r w:rsidRPr="00B9524E">
              <w:rPr>
                <w:sz w:val="18"/>
                <w:szCs w:val="18"/>
              </w:rPr>
              <w:t>9.12</w:t>
            </w:r>
          </w:p>
        </w:tc>
        <w:tc>
          <w:tcPr>
            <w:tcW w:w="1276" w:type="dxa"/>
            <w:shd w:val="clear" w:color="auto" w:fill="auto"/>
            <w:vAlign w:val="center"/>
          </w:tcPr>
          <w:p w:rsidR="00FC60F3" w:rsidRPr="00B9524E" w:rsidRDefault="00FC60F3" w:rsidP="00B9524E">
            <w:pPr>
              <w:ind w:right="284"/>
              <w:jc w:val="right"/>
              <w:rPr>
                <w:sz w:val="18"/>
                <w:szCs w:val="18"/>
              </w:rPr>
            </w:pPr>
            <w:r w:rsidRPr="00B9524E">
              <w:rPr>
                <w:sz w:val="18"/>
                <w:szCs w:val="18"/>
              </w:rPr>
              <w:t>8.66</w:t>
            </w:r>
          </w:p>
        </w:tc>
        <w:tc>
          <w:tcPr>
            <w:tcW w:w="1559" w:type="dxa"/>
            <w:shd w:val="clear" w:color="auto" w:fill="auto"/>
            <w:vAlign w:val="center"/>
          </w:tcPr>
          <w:p w:rsidR="00FC60F3" w:rsidRPr="00B9524E" w:rsidRDefault="00FC60F3" w:rsidP="00B9524E">
            <w:pPr>
              <w:ind w:right="284"/>
              <w:jc w:val="right"/>
              <w:rPr>
                <w:sz w:val="18"/>
                <w:szCs w:val="18"/>
              </w:rPr>
            </w:pPr>
            <w:r w:rsidRPr="00B9524E">
              <w:rPr>
                <w:sz w:val="18"/>
                <w:szCs w:val="18"/>
              </w:rPr>
              <w:t>8.65</w:t>
            </w:r>
          </w:p>
        </w:tc>
        <w:tc>
          <w:tcPr>
            <w:tcW w:w="1276" w:type="dxa"/>
            <w:shd w:val="clear" w:color="auto" w:fill="auto"/>
            <w:vAlign w:val="center"/>
          </w:tcPr>
          <w:p w:rsidR="00FC60F3" w:rsidRPr="00B9524E" w:rsidRDefault="00FC60F3" w:rsidP="00B9524E">
            <w:pPr>
              <w:ind w:right="284"/>
              <w:jc w:val="right"/>
              <w:rPr>
                <w:sz w:val="18"/>
                <w:szCs w:val="18"/>
              </w:rPr>
            </w:pPr>
            <w:r w:rsidRPr="00B9524E">
              <w:rPr>
                <w:sz w:val="18"/>
                <w:szCs w:val="18"/>
              </w:rPr>
              <w:t>8.16</w:t>
            </w:r>
          </w:p>
        </w:tc>
        <w:tc>
          <w:tcPr>
            <w:tcW w:w="1337" w:type="dxa"/>
            <w:shd w:val="clear" w:color="auto" w:fill="auto"/>
            <w:vAlign w:val="center"/>
          </w:tcPr>
          <w:p w:rsidR="00FC60F3" w:rsidRPr="00B9524E" w:rsidRDefault="00FC60F3" w:rsidP="00B9524E">
            <w:pPr>
              <w:ind w:right="284"/>
              <w:jc w:val="right"/>
              <w:rPr>
                <w:sz w:val="18"/>
                <w:szCs w:val="18"/>
              </w:rPr>
            </w:pPr>
            <w:r w:rsidRPr="00B9524E">
              <w:rPr>
                <w:sz w:val="18"/>
                <w:szCs w:val="18"/>
              </w:rPr>
              <w:t>9.04</w:t>
            </w:r>
          </w:p>
        </w:tc>
      </w:tr>
      <w:tr w:rsidR="00FC60F3" w:rsidRPr="00B9524E" w:rsidTr="00132B06">
        <w:trPr>
          <w:trHeight w:val="227"/>
          <w:jc w:val="center"/>
        </w:trPr>
        <w:tc>
          <w:tcPr>
            <w:tcW w:w="2376" w:type="dxa"/>
            <w:shd w:val="clear" w:color="auto" w:fill="auto"/>
            <w:vAlign w:val="center"/>
          </w:tcPr>
          <w:p w:rsidR="00FC60F3" w:rsidRPr="00B9524E" w:rsidRDefault="00FC60F3" w:rsidP="00B9524E">
            <w:pPr>
              <w:rPr>
                <w:sz w:val="18"/>
                <w:szCs w:val="18"/>
              </w:rPr>
            </w:pPr>
            <w:r w:rsidRPr="00B9524E">
              <w:rPr>
                <w:sz w:val="18"/>
                <w:szCs w:val="18"/>
              </w:rPr>
              <w:t>Ash</w:t>
            </w:r>
          </w:p>
        </w:tc>
        <w:tc>
          <w:tcPr>
            <w:tcW w:w="1418" w:type="dxa"/>
            <w:shd w:val="clear" w:color="auto" w:fill="auto"/>
            <w:vAlign w:val="center"/>
          </w:tcPr>
          <w:p w:rsidR="00FC60F3" w:rsidRPr="00B9524E" w:rsidRDefault="00FC60F3" w:rsidP="00B9524E">
            <w:pPr>
              <w:ind w:right="284"/>
              <w:jc w:val="right"/>
              <w:rPr>
                <w:sz w:val="18"/>
                <w:szCs w:val="18"/>
              </w:rPr>
            </w:pPr>
            <w:r w:rsidRPr="00B9524E">
              <w:rPr>
                <w:sz w:val="18"/>
                <w:szCs w:val="18"/>
              </w:rPr>
              <w:t>9.52</w:t>
            </w:r>
          </w:p>
        </w:tc>
        <w:tc>
          <w:tcPr>
            <w:tcW w:w="1276" w:type="dxa"/>
            <w:shd w:val="clear" w:color="auto" w:fill="auto"/>
            <w:vAlign w:val="center"/>
          </w:tcPr>
          <w:p w:rsidR="00FC60F3" w:rsidRPr="00B9524E" w:rsidRDefault="00FC60F3" w:rsidP="00B9524E">
            <w:pPr>
              <w:ind w:right="284"/>
              <w:jc w:val="right"/>
              <w:rPr>
                <w:sz w:val="18"/>
                <w:szCs w:val="18"/>
              </w:rPr>
            </w:pPr>
            <w:r w:rsidRPr="00B9524E">
              <w:rPr>
                <w:sz w:val="18"/>
                <w:szCs w:val="18"/>
              </w:rPr>
              <w:t>9.04</w:t>
            </w:r>
          </w:p>
        </w:tc>
        <w:tc>
          <w:tcPr>
            <w:tcW w:w="1559" w:type="dxa"/>
            <w:shd w:val="clear" w:color="auto" w:fill="auto"/>
            <w:vAlign w:val="center"/>
          </w:tcPr>
          <w:p w:rsidR="00FC60F3" w:rsidRPr="00B9524E" w:rsidRDefault="00FC60F3" w:rsidP="00B9524E">
            <w:pPr>
              <w:ind w:right="284"/>
              <w:jc w:val="right"/>
              <w:rPr>
                <w:sz w:val="18"/>
                <w:szCs w:val="18"/>
              </w:rPr>
            </w:pPr>
            <w:r w:rsidRPr="00B9524E">
              <w:rPr>
                <w:sz w:val="18"/>
                <w:szCs w:val="18"/>
              </w:rPr>
              <w:t>8.56</w:t>
            </w:r>
          </w:p>
        </w:tc>
        <w:tc>
          <w:tcPr>
            <w:tcW w:w="1276" w:type="dxa"/>
            <w:shd w:val="clear" w:color="auto" w:fill="auto"/>
            <w:vAlign w:val="center"/>
          </w:tcPr>
          <w:p w:rsidR="00FC60F3" w:rsidRPr="00B9524E" w:rsidRDefault="00FC60F3" w:rsidP="00B9524E">
            <w:pPr>
              <w:ind w:right="284"/>
              <w:jc w:val="right"/>
              <w:rPr>
                <w:sz w:val="18"/>
                <w:szCs w:val="18"/>
              </w:rPr>
            </w:pPr>
            <w:r w:rsidRPr="00B9524E">
              <w:rPr>
                <w:sz w:val="18"/>
                <w:szCs w:val="18"/>
              </w:rPr>
              <w:t>8.51</w:t>
            </w:r>
          </w:p>
        </w:tc>
        <w:tc>
          <w:tcPr>
            <w:tcW w:w="1337" w:type="dxa"/>
            <w:shd w:val="clear" w:color="auto" w:fill="auto"/>
            <w:vAlign w:val="center"/>
          </w:tcPr>
          <w:p w:rsidR="00FC60F3" w:rsidRPr="00B9524E" w:rsidRDefault="00FC60F3" w:rsidP="00B9524E">
            <w:pPr>
              <w:ind w:right="284"/>
              <w:jc w:val="right"/>
              <w:rPr>
                <w:sz w:val="18"/>
                <w:szCs w:val="18"/>
              </w:rPr>
            </w:pPr>
            <w:r w:rsidRPr="00B9524E">
              <w:rPr>
                <w:sz w:val="18"/>
                <w:szCs w:val="18"/>
              </w:rPr>
              <w:t>3.10</w:t>
            </w:r>
          </w:p>
        </w:tc>
      </w:tr>
      <w:tr w:rsidR="00FC60F3" w:rsidRPr="00B9524E" w:rsidTr="00132B06">
        <w:trPr>
          <w:trHeight w:val="227"/>
          <w:jc w:val="center"/>
        </w:trPr>
        <w:tc>
          <w:tcPr>
            <w:tcW w:w="2376" w:type="dxa"/>
            <w:shd w:val="clear" w:color="auto" w:fill="auto"/>
            <w:vAlign w:val="center"/>
          </w:tcPr>
          <w:p w:rsidR="00FC60F3" w:rsidRPr="00B9524E" w:rsidRDefault="00FC60F3" w:rsidP="00B9524E">
            <w:pPr>
              <w:rPr>
                <w:sz w:val="18"/>
                <w:szCs w:val="18"/>
              </w:rPr>
            </w:pPr>
            <w:r w:rsidRPr="00B9524E">
              <w:rPr>
                <w:sz w:val="18"/>
                <w:szCs w:val="18"/>
              </w:rPr>
              <w:t>NFE</w:t>
            </w:r>
          </w:p>
        </w:tc>
        <w:tc>
          <w:tcPr>
            <w:tcW w:w="1418" w:type="dxa"/>
            <w:shd w:val="clear" w:color="auto" w:fill="auto"/>
            <w:vAlign w:val="center"/>
          </w:tcPr>
          <w:p w:rsidR="00FC60F3" w:rsidRPr="00B9524E" w:rsidRDefault="00FC60F3" w:rsidP="00B9524E">
            <w:pPr>
              <w:ind w:right="284"/>
              <w:jc w:val="right"/>
              <w:rPr>
                <w:sz w:val="18"/>
                <w:szCs w:val="18"/>
              </w:rPr>
            </w:pPr>
            <w:r w:rsidRPr="00B9524E">
              <w:rPr>
                <w:sz w:val="18"/>
                <w:szCs w:val="18"/>
              </w:rPr>
              <w:t>43.47</w:t>
            </w:r>
          </w:p>
        </w:tc>
        <w:tc>
          <w:tcPr>
            <w:tcW w:w="1276" w:type="dxa"/>
            <w:shd w:val="clear" w:color="auto" w:fill="auto"/>
            <w:vAlign w:val="center"/>
          </w:tcPr>
          <w:p w:rsidR="00FC60F3" w:rsidRPr="00B9524E" w:rsidRDefault="00FC60F3" w:rsidP="00B9524E">
            <w:pPr>
              <w:ind w:right="284"/>
              <w:jc w:val="right"/>
              <w:rPr>
                <w:sz w:val="18"/>
                <w:szCs w:val="18"/>
              </w:rPr>
            </w:pPr>
            <w:r w:rsidRPr="00B9524E">
              <w:rPr>
                <w:sz w:val="18"/>
                <w:szCs w:val="18"/>
              </w:rPr>
              <w:t>45.28</w:t>
            </w:r>
          </w:p>
        </w:tc>
        <w:tc>
          <w:tcPr>
            <w:tcW w:w="1559" w:type="dxa"/>
            <w:shd w:val="clear" w:color="auto" w:fill="auto"/>
            <w:vAlign w:val="center"/>
          </w:tcPr>
          <w:p w:rsidR="00FC60F3" w:rsidRPr="00B9524E" w:rsidRDefault="00FC60F3" w:rsidP="00B9524E">
            <w:pPr>
              <w:ind w:right="284"/>
              <w:jc w:val="right"/>
              <w:rPr>
                <w:sz w:val="18"/>
                <w:szCs w:val="18"/>
              </w:rPr>
            </w:pPr>
            <w:r w:rsidRPr="00B9524E">
              <w:rPr>
                <w:sz w:val="18"/>
                <w:szCs w:val="18"/>
              </w:rPr>
              <w:t>44.16</w:t>
            </w:r>
          </w:p>
        </w:tc>
        <w:tc>
          <w:tcPr>
            <w:tcW w:w="1276" w:type="dxa"/>
            <w:shd w:val="clear" w:color="auto" w:fill="auto"/>
            <w:vAlign w:val="center"/>
          </w:tcPr>
          <w:p w:rsidR="00FC60F3" w:rsidRPr="00B9524E" w:rsidRDefault="00FC60F3" w:rsidP="00B9524E">
            <w:pPr>
              <w:ind w:right="284"/>
              <w:jc w:val="right"/>
              <w:rPr>
                <w:sz w:val="18"/>
                <w:szCs w:val="18"/>
              </w:rPr>
            </w:pPr>
            <w:r w:rsidRPr="00B9524E">
              <w:rPr>
                <w:sz w:val="18"/>
                <w:szCs w:val="18"/>
              </w:rPr>
              <w:t>42.92</w:t>
            </w:r>
          </w:p>
        </w:tc>
        <w:tc>
          <w:tcPr>
            <w:tcW w:w="1337" w:type="dxa"/>
            <w:shd w:val="clear" w:color="auto" w:fill="auto"/>
            <w:vAlign w:val="center"/>
          </w:tcPr>
          <w:p w:rsidR="00FC60F3" w:rsidRPr="00B9524E" w:rsidRDefault="00FC60F3" w:rsidP="00B9524E">
            <w:pPr>
              <w:ind w:right="284"/>
              <w:jc w:val="right"/>
              <w:rPr>
                <w:sz w:val="18"/>
                <w:szCs w:val="18"/>
              </w:rPr>
            </w:pPr>
            <w:r w:rsidRPr="00B9524E">
              <w:rPr>
                <w:sz w:val="18"/>
                <w:szCs w:val="18"/>
              </w:rPr>
              <w:t>45.78</w:t>
            </w:r>
          </w:p>
        </w:tc>
      </w:tr>
      <w:tr w:rsidR="00FC60F3" w:rsidRPr="00B9524E" w:rsidTr="00132B06">
        <w:trPr>
          <w:trHeight w:val="227"/>
          <w:jc w:val="center"/>
        </w:trPr>
        <w:tc>
          <w:tcPr>
            <w:tcW w:w="2376" w:type="dxa"/>
            <w:shd w:val="clear" w:color="auto" w:fill="auto"/>
            <w:vAlign w:val="center"/>
          </w:tcPr>
          <w:p w:rsidR="00FC60F3" w:rsidRPr="00B9524E" w:rsidRDefault="00FC60F3" w:rsidP="00B9524E">
            <w:pPr>
              <w:rPr>
                <w:sz w:val="18"/>
                <w:szCs w:val="18"/>
              </w:rPr>
            </w:pPr>
            <w:r w:rsidRPr="00B9524E">
              <w:rPr>
                <w:sz w:val="18"/>
                <w:szCs w:val="18"/>
              </w:rPr>
              <w:t>ME (MJ/kg)*</w:t>
            </w:r>
          </w:p>
        </w:tc>
        <w:tc>
          <w:tcPr>
            <w:tcW w:w="1418" w:type="dxa"/>
            <w:shd w:val="clear" w:color="auto" w:fill="auto"/>
            <w:vAlign w:val="center"/>
          </w:tcPr>
          <w:p w:rsidR="00FC60F3" w:rsidRPr="00B9524E" w:rsidRDefault="00FC60F3" w:rsidP="00B9524E">
            <w:pPr>
              <w:ind w:right="284"/>
              <w:jc w:val="right"/>
              <w:rPr>
                <w:sz w:val="18"/>
                <w:szCs w:val="18"/>
              </w:rPr>
            </w:pPr>
            <w:r w:rsidRPr="00B9524E">
              <w:rPr>
                <w:sz w:val="18"/>
                <w:szCs w:val="18"/>
              </w:rPr>
              <w:t>12.84</w:t>
            </w:r>
          </w:p>
        </w:tc>
        <w:tc>
          <w:tcPr>
            <w:tcW w:w="1276" w:type="dxa"/>
            <w:shd w:val="clear" w:color="auto" w:fill="auto"/>
            <w:vAlign w:val="center"/>
          </w:tcPr>
          <w:p w:rsidR="00FC60F3" w:rsidRPr="00B9524E" w:rsidRDefault="00FC60F3" w:rsidP="00B9524E">
            <w:pPr>
              <w:ind w:right="284"/>
              <w:jc w:val="right"/>
              <w:rPr>
                <w:sz w:val="18"/>
                <w:szCs w:val="18"/>
              </w:rPr>
            </w:pPr>
            <w:r w:rsidRPr="00B9524E">
              <w:rPr>
                <w:sz w:val="18"/>
                <w:szCs w:val="18"/>
              </w:rPr>
              <w:t>12.79</w:t>
            </w:r>
          </w:p>
        </w:tc>
        <w:tc>
          <w:tcPr>
            <w:tcW w:w="1559" w:type="dxa"/>
            <w:shd w:val="clear" w:color="auto" w:fill="auto"/>
            <w:vAlign w:val="center"/>
          </w:tcPr>
          <w:p w:rsidR="00FC60F3" w:rsidRPr="00B9524E" w:rsidRDefault="00FC60F3" w:rsidP="00B9524E">
            <w:pPr>
              <w:ind w:right="284"/>
              <w:jc w:val="right"/>
              <w:rPr>
                <w:sz w:val="18"/>
                <w:szCs w:val="18"/>
              </w:rPr>
            </w:pPr>
            <w:r w:rsidRPr="00B9524E">
              <w:rPr>
                <w:sz w:val="18"/>
                <w:szCs w:val="18"/>
              </w:rPr>
              <w:t>12.77</w:t>
            </w:r>
          </w:p>
        </w:tc>
        <w:tc>
          <w:tcPr>
            <w:tcW w:w="1276" w:type="dxa"/>
            <w:shd w:val="clear" w:color="auto" w:fill="auto"/>
            <w:vAlign w:val="center"/>
          </w:tcPr>
          <w:p w:rsidR="00FC60F3" w:rsidRPr="00B9524E" w:rsidRDefault="00FC60F3" w:rsidP="00B9524E">
            <w:pPr>
              <w:ind w:right="284"/>
              <w:jc w:val="right"/>
              <w:rPr>
                <w:sz w:val="18"/>
                <w:szCs w:val="18"/>
              </w:rPr>
            </w:pPr>
            <w:r w:rsidRPr="00B9524E">
              <w:rPr>
                <w:sz w:val="18"/>
                <w:szCs w:val="18"/>
              </w:rPr>
              <w:t>12.84</w:t>
            </w:r>
          </w:p>
        </w:tc>
        <w:tc>
          <w:tcPr>
            <w:tcW w:w="1337" w:type="dxa"/>
            <w:shd w:val="clear" w:color="auto" w:fill="auto"/>
            <w:vAlign w:val="center"/>
          </w:tcPr>
          <w:p w:rsidR="00FC60F3" w:rsidRPr="00B9524E" w:rsidRDefault="00B9524E" w:rsidP="00B9524E">
            <w:pPr>
              <w:ind w:right="284"/>
              <w:jc w:val="right"/>
              <w:rPr>
                <w:sz w:val="18"/>
                <w:szCs w:val="18"/>
              </w:rPr>
            </w:pPr>
            <w:r>
              <w:rPr>
                <w:sz w:val="18"/>
                <w:szCs w:val="18"/>
              </w:rPr>
              <w:t>1</w:t>
            </w:r>
            <w:r w:rsidR="00FC60F3" w:rsidRPr="00B9524E">
              <w:rPr>
                <w:sz w:val="18"/>
                <w:szCs w:val="18"/>
              </w:rPr>
              <w:t>3.00</w:t>
            </w:r>
          </w:p>
        </w:tc>
      </w:tr>
    </w:tbl>
    <w:p w:rsidR="00FC60F3" w:rsidRPr="00B9524E" w:rsidRDefault="00FC60F3" w:rsidP="00B9524E">
      <w:pPr>
        <w:spacing w:before="40"/>
        <w:jc w:val="both"/>
        <w:rPr>
          <w:sz w:val="16"/>
          <w:szCs w:val="16"/>
        </w:rPr>
      </w:pPr>
      <w:r w:rsidRPr="00B9524E">
        <w:rPr>
          <w:sz w:val="16"/>
          <w:szCs w:val="16"/>
        </w:rPr>
        <w:t xml:space="preserve">TAPSM = Toasted </w:t>
      </w:r>
      <w:r w:rsidR="002D729F">
        <w:rPr>
          <w:sz w:val="16"/>
          <w:szCs w:val="16"/>
        </w:rPr>
        <w:t xml:space="preserve"> </w:t>
      </w:r>
      <w:r w:rsidRPr="00B9524E">
        <w:rPr>
          <w:i/>
          <w:sz w:val="16"/>
          <w:szCs w:val="16"/>
        </w:rPr>
        <w:t>Adenanthera</w:t>
      </w:r>
      <w:r w:rsidR="002D729F">
        <w:rPr>
          <w:i/>
          <w:sz w:val="16"/>
          <w:szCs w:val="16"/>
        </w:rPr>
        <w:t xml:space="preserve"> </w:t>
      </w:r>
      <w:r w:rsidRPr="00B9524E">
        <w:rPr>
          <w:i/>
          <w:sz w:val="16"/>
          <w:szCs w:val="16"/>
        </w:rPr>
        <w:t>pavonina</w:t>
      </w:r>
      <w:r w:rsidRPr="00B9524E">
        <w:rPr>
          <w:sz w:val="16"/>
          <w:szCs w:val="16"/>
        </w:rPr>
        <w:t xml:space="preserve"> seed meal; NFE = Nitrogen-free extracts; *ME = Metabolizable energy, calculated according to Pauzenga (1985) as ME (MJ/kg) = 37 × % CP + 81 × % EE + 35.5 × % NFE (Folorunso et al., 2016).</w:t>
      </w:r>
    </w:p>
    <w:p w:rsidR="00132B06" w:rsidRPr="00F13620" w:rsidRDefault="00132B06" w:rsidP="00132B06">
      <w:pPr>
        <w:widowControl w:val="0"/>
        <w:ind w:firstLine="425"/>
        <w:jc w:val="both"/>
        <w:rPr>
          <w:sz w:val="22"/>
          <w:szCs w:val="22"/>
        </w:rPr>
      </w:pPr>
      <w:r w:rsidRPr="00F13620">
        <w:rPr>
          <w:sz w:val="22"/>
          <w:szCs w:val="22"/>
        </w:rPr>
        <w:lastRenderedPageBreak/>
        <w:t>Blood sample collection and analysis</w:t>
      </w:r>
    </w:p>
    <w:p w:rsidR="00132B06" w:rsidRDefault="00132B06" w:rsidP="00132B06">
      <w:pPr>
        <w:widowControl w:val="0"/>
        <w:ind w:firstLine="425"/>
        <w:jc w:val="both"/>
        <w:rPr>
          <w:sz w:val="22"/>
          <w:szCs w:val="22"/>
        </w:rPr>
      </w:pPr>
    </w:p>
    <w:p w:rsidR="00132B06" w:rsidRPr="00F13620" w:rsidRDefault="00132B06" w:rsidP="00132B06">
      <w:pPr>
        <w:widowControl w:val="0"/>
        <w:ind w:firstLine="425"/>
        <w:jc w:val="both"/>
        <w:rPr>
          <w:b/>
          <w:sz w:val="22"/>
          <w:szCs w:val="22"/>
        </w:rPr>
      </w:pPr>
      <w:r w:rsidRPr="00F13620">
        <w:rPr>
          <w:sz w:val="22"/>
          <w:szCs w:val="22"/>
        </w:rPr>
        <w:t>At the end of the experiment, one bird per replicate was randomly selected making a total of 12 birds. Blood samples (7.0 ml) for analysis were collected from under the wing veins of birds using 10-ml plastic disposable syringes for which 2ml were collected into a bijour bottle treated with ethylene diamine tetra acetic acid (EDTA) for the haematological assay (packed cell volume, haemoglobin, white blood cell and red blood cell) and 5mls of blood each were collected into EDTA-free bottles for serum biochemistry (total protein, blood glucose, blood urea and serum enzymes). Haematological indices were determined by the methods of Jain (1986). These are the Wintrobe’smicrohaematocrit kit for packed cell volume (PCV), the cyanmethaemoglobin method for haemoglobin (Hb), an improved Neubaurhaemacytometer for red blood cells (RBC) and white blood cells (WBC) while mean corpuscular volume (MCV), mean corpuscular haemoglobin (MCH) and mean corpuscular haemoglobin concentration were calculated from PCV, RBC and Hb. Standard methods of serum separation were used to obtain sera which were used to determine urea, creatinine, total protein, glucose, cholesterol and serum enzymes (Kohn and Allen, 1995)</w:t>
      </w:r>
    </w:p>
    <w:p w:rsidR="00132B06" w:rsidRDefault="00132B06" w:rsidP="00132B06">
      <w:pPr>
        <w:widowControl w:val="0"/>
        <w:ind w:firstLine="425"/>
        <w:jc w:val="both"/>
        <w:rPr>
          <w:sz w:val="22"/>
          <w:szCs w:val="22"/>
        </w:rPr>
      </w:pPr>
    </w:p>
    <w:p w:rsidR="00132B06" w:rsidRPr="00F13620" w:rsidRDefault="00132B06" w:rsidP="00132B06">
      <w:pPr>
        <w:widowControl w:val="0"/>
        <w:ind w:firstLine="425"/>
        <w:jc w:val="both"/>
        <w:rPr>
          <w:sz w:val="22"/>
          <w:szCs w:val="22"/>
        </w:rPr>
      </w:pPr>
      <w:r w:rsidRPr="00F13620">
        <w:rPr>
          <w:sz w:val="22"/>
          <w:szCs w:val="22"/>
        </w:rPr>
        <w:t>Data analysis</w:t>
      </w:r>
    </w:p>
    <w:p w:rsidR="00132B06" w:rsidRDefault="00132B06" w:rsidP="00132B06">
      <w:pPr>
        <w:widowControl w:val="0"/>
        <w:ind w:firstLine="425"/>
        <w:jc w:val="both"/>
        <w:rPr>
          <w:sz w:val="22"/>
          <w:szCs w:val="22"/>
        </w:rPr>
      </w:pPr>
    </w:p>
    <w:p w:rsidR="00132B06" w:rsidRPr="00F13620" w:rsidRDefault="00132B06" w:rsidP="00132B06">
      <w:pPr>
        <w:widowControl w:val="0"/>
        <w:ind w:firstLine="425"/>
        <w:jc w:val="both"/>
        <w:rPr>
          <w:sz w:val="22"/>
          <w:szCs w:val="22"/>
        </w:rPr>
      </w:pPr>
      <w:r w:rsidRPr="00F13620">
        <w:rPr>
          <w:sz w:val="22"/>
          <w:szCs w:val="22"/>
        </w:rPr>
        <w:t>Data obtained were subjected to statistical analysis using a one-way analysis of variance (ANOVA) as outlined in Steel and Torrie (1980). The Duncan’s multiple range test was used to separate significant treatment means where they occurred (Obi, 1990).</w:t>
      </w:r>
    </w:p>
    <w:p w:rsidR="00132B06" w:rsidRPr="00B9524E" w:rsidRDefault="00132B06" w:rsidP="00B9524E">
      <w:pPr>
        <w:jc w:val="center"/>
        <w:rPr>
          <w:sz w:val="22"/>
          <w:szCs w:val="22"/>
        </w:rPr>
      </w:pPr>
    </w:p>
    <w:p w:rsidR="00D64201" w:rsidRPr="00483968" w:rsidRDefault="00D64201" w:rsidP="00D64201">
      <w:pPr>
        <w:jc w:val="center"/>
        <w:rPr>
          <w:b/>
          <w:sz w:val="22"/>
          <w:szCs w:val="22"/>
        </w:rPr>
      </w:pPr>
      <w:r w:rsidRPr="00483968">
        <w:rPr>
          <w:b/>
          <w:sz w:val="22"/>
          <w:szCs w:val="22"/>
        </w:rPr>
        <w:t>Results and Discussion</w:t>
      </w:r>
    </w:p>
    <w:p w:rsidR="003B055F" w:rsidRPr="00B9524E" w:rsidRDefault="003B055F" w:rsidP="00D64201">
      <w:pPr>
        <w:jc w:val="center"/>
        <w:rPr>
          <w:sz w:val="22"/>
          <w:szCs w:val="22"/>
        </w:rPr>
      </w:pPr>
    </w:p>
    <w:p w:rsidR="00FC60F3" w:rsidRPr="004E2887" w:rsidRDefault="00FC60F3" w:rsidP="004E2887">
      <w:pPr>
        <w:ind w:firstLine="426"/>
        <w:jc w:val="both"/>
        <w:rPr>
          <w:sz w:val="22"/>
          <w:szCs w:val="22"/>
        </w:rPr>
      </w:pPr>
      <w:r w:rsidRPr="004E2887">
        <w:rPr>
          <w:sz w:val="22"/>
          <w:szCs w:val="22"/>
        </w:rPr>
        <w:t xml:space="preserve">The haematological parameters of finisher broilers fed diets containing different levels of TAPSM are presented </w:t>
      </w:r>
      <w:r w:rsidRPr="00DA1FFD">
        <w:rPr>
          <w:sz w:val="22"/>
          <w:szCs w:val="22"/>
        </w:rPr>
        <w:t>in Table 3. The values for</w:t>
      </w:r>
      <w:r w:rsidRPr="004E2887">
        <w:rPr>
          <w:sz w:val="22"/>
          <w:szCs w:val="22"/>
        </w:rPr>
        <w:t xml:space="preserve"> total red blood cell, total white blood cell, Hb, PCV and MCH showed significant (P&lt;0.05) differences among treatment means.</w:t>
      </w:r>
    </w:p>
    <w:p w:rsidR="00132B06" w:rsidRPr="004E2887" w:rsidRDefault="00132B06" w:rsidP="00132B06">
      <w:pPr>
        <w:ind w:firstLine="426"/>
        <w:jc w:val="both"/>
        <w:rPr>
          <w:sz w:val="22"/>
          <w:szCs w:val="22"/>
        </w:rPr>
      </w:pPr>
      <w:r w:rsidRPr="004E2887">
        <w:rPr>
          <w:sz w:val="22"/>
          <w:szCs w:val="22"/>
        </w:rPr>
        <w:t>The PCV ranged from 28.33% in T</w:t>
      </w:r>
      <w:r w:rsidRPr="004E2887">
        <w:rPr>
          <w:sz w:val="22"/>
          <w:szCs w:val="22"/>
          <w:vertAlign w:val="subscript"/>
        </w:rPr>
        <w:t xml:space="preserve">1 </w:t>
      </w:r>
      <w:r w:rsidRPr="004E2887">
        <w:rPr>
          <w:sz w:val="22"/>
          <w:szCs w:val="22"/>
        </w:rPr>
        <w:t>(0%) to 25.20% in T</w:t>
      </w:r>
      <w:r w:rsidRPr="004E2887">
        <w:rPr>
          <w:sz w:val="22"/>
          <w:szCs w:val="22"/>
          <w:vertAlign w:val="subscript"/>
        </w:rPr>
        <w:t xml:space="preserve">4 </w:t>
      </w:r>
      <w:r w:rsidRPr="004E2887">
        <w:rPr>
          <w:sz w:val="22"/>
          <w:szCs w:val="22"/>
        </w:rPr>
        <w:t>(30%). The values of PCV obtained fall within the recommended range of 23</w:t>
      </w:r>
      <w:r w:rsidRPr="004E2887">
        <w:rPr>
          <w:rFonts w:ascii="Cambria Math" w:hAnsi="Cambria Math"/>
          <w:sz w:val="22"/>
          <w:szCs w:val="22"/>
        </w:rPr>
        <w:t>‒</w:t>
      </w:r>
      <w:r w:rsidRPr="004E2887">
        <w:rPr>
          <w:sz w:val="22"/>
          <w:szCs w:val="22"/>
        </w:rPr>
        <w:t>55% for healthy birds (Maxwell et al., 1990; Banerjee, 2005). The results of PCV in this study were in line with the results of Alibi et al. (2011) who reported 25</w:t>
      </w:r>
      <w:r w:rsidRPr="004E2887">
        <w:rPr>
          <w:rFonts w:ascii="Cambria Math" w:hAnsi="Cambria Math"/>
          <w:sz w:val="22"/>
          <w:szCs w:val="22"/>
        </w:rPr>
        <w:t>‒</w:t>
      </w:r>
      <w:r w:rsidRPr="004E2887">
        <w:rPr>
          <w:sz w:val="22"/>
          <w:szCs w:val="22"/>
        </w:rPr>
        <w:t>29.00% PCV in finisher broiler chickens. Low PCV in birds is an indication of iron deficiency (Iyayi et al., 2006). Since the values obtained were normal for healthy birds, it suggested that the experimental birds were not anaemic.</w:t>
      </w:r>
    </w:p>
    <w:p w:rsidR="00132B06" w:rsidRPr="004E2887" w:rsidRDefault="00132B06" w:rsidP="00132B06">
      <w:pPr>
        <w:ind w:firstLine="426"/>
        <w:jc w:val="both"/>
        <w:rPr>
          <w:sz w:val="22"/>
          <w:szCs w:val="22"/>
        </w:rPr>
      </w:pPr>
      <w:r w:rsidRPr="004E2887">
        <w:rPr>
          <w:sz w:val="22"/>
          <w:szCs w:val="22"/>
        </w:rPr>
        <w:t>The WBC values obtained from this study ranged from 71.76 (x10</w:t>
      </w:r>
      <w:r w:rsidRPr="004E2887">
        <w:rPr>
          <w:sz w:val="22"/>
          <w:szCs w:val="22"/>
          <w:vertAlign w:val="superscript"/>
        </w:rPr>
        <w:t>3</w:t>
      </w:r>
      <w:r w:rsidRPr="004E2887">
        <w:rPr>
          <w:sz w:val="22"/>
          <w:szCs w:val="22"/>
        </w:rPr>
        <w:t>/µl) in T</w:t>
      </w:r>
      <w:r w:rsidRPr="004E2887">
        <w:rPr>
          <w:sz w:val="22"/>
          <w:szCs w:val="22"/>
          <w:vertAlign w:val="subscript"/>
        </w:rPr>
        <w:t>1</w:t>
      </w:r>
      <w:r w:rsidRPr="004E2887">
        <w:rPr>
          <w:sz w:val="22"/>
          <w:szCs w:val="22"/>
        </w:rPr>
        <w:t xml:space="preserve"> to 76.17 (x10</w:t>
      </w:r>
      <w:r w:rsidRPr="004E2887">
        <w:rPr>
          <w:sz w:val="22"/>
          <w:szCs w:val="22"/>
          <w:vertAlign w:val="superscript"/>
        </w:rPr>
        <w:t>3</w:t>
      </w:r>
      <w:r w:rsidRPr="004E2887">
        <w:rPr>
          <w:sz w:val="22"/>
          <w:szCs w:val="22"/>
        </w:rPr>
        <w:t>/µl) in T</w:t>
      </w:r>
      <w:r w:rsidRPr="004E2887">
        <w:rPr>
          <w:sz w:val="22"/>
          <w:szCs w:val="22"/>
          <w:vertAlign w:val="subscript"/>
        </w:rPr>
        <w:t>4</w:t>
      </w:r>
      <w:r w:rsidRPr="004E2887">
        <w:rPr>
          <w:sz w:val="22"/>
          <w:szCs w:val="22"/>
        </w:rPr>
        <w:t xml:space="preserve">. There were significant (P&lt;0.05) increases in the WBC as </w:t>
      </w:r>
      <w:r w:rsidRPr="004E2887">
        <w:rPr>
          <w:sz w:val="22"/>
          <w:szCs w:val="22"/>
        </w:rPr>
        <w:lastRenderedPageBreak/>
        <w:t xml:space="preserve">the level of TAPSM increased in the diet. A similar trend of a significant increase (P&lt;0.05) in WBC with an increase in the level of </w:t>
      </w:r>
      <w:r w:rsidRPr="004E2887">
        <w:rPr>
          <w:i/>
          <w:sz w:val="22"/>
          <w:szCs w:val="22"/>
        </w:rPr>
        <w:t>O. gratissium</w:t>
      </w:r>
      <w:r w:rsidRPr="004E2887">
        <w:rPr>
          <w:sz w:val="22"/>
          <w:szCs w:val="22"/>
        </w:rPr>
        <w:t xml:space="preserve"> in broiler chickens has been reported (Odoemelam et al., 2014). The increase in WBC as inclusion of TAPSM increased in the diet shows that the principal function of phagocytes which is to defend against invading microbes will be enhanced (Adedapo et al., 2012) or that the birds were reacting to inflammatory conditions resulting from the diets (Agbalaya et al., 2017).</w:t>
      </w:r>
    </w:p>
    <w:p w:rsidR="004E2887" w:rsidRPr="00132B06" w:rsidRDefault="004E2887" w:rsidP="004E2887">
      <w:pPr>
        <w:jc w:val="both"/>
      </w:pPr>
    </w:p>
    <w:p w:rsidR="00FC60F3" w:rsidRDefault="00FC60F3" w:rsidP="004E2887">
      <w:pPr>
        <w:jc w:val="both"/>
        <w:rPr>
          <w:sz w:val="22"/>
          <w:szCs w:val="22"/>
        </w:rPr>
      </w:pPr>
      <w:r w:rsidRPr="004E2887">
        <w:rPr>
          <w:sz w:val="22"/>
          <w:szCs w:val="22"/>
        </w:rPr>
        <w:t xml:space="preserve">Table 3. Haematological parameters of finisher broilers fed graded levels of toasted </w:t>
      </w:r>
      <w:r w:rsidRPr="004E2887">
        <w:rPr>
          <w:i/>
          <w:sz w:val="22"/>
          <w:szCs w:val="22"/>
        </w:rPr>
        <w:t>Adenanthera</w:t>
      </w:r>
      <w:r w:rsidR="002D729F">
        <w:rPr>
          <w:i/>
          <w:sz w:val="22"/>
          <w:szCs w:val="22"/>
        </w:rPr>
        <w:t xml:space="preserve"> </w:t>
      </w:r>
      <w:r w:rsidRPr="004E2887">
        <w:rPr>
          <w:i/>
          <w:sz w:val="22"/>
          <w:szCs w:val="22"/>
        </w:rPr>
        <w:t>pavonina</w:t>
      </w:r>
      <w:r w:rsidRPr="004E2887">
        <w:rPr>
          <w:sz w:val="22"/>
          <w:szCs w:val="22"/>
        </w:rPr>
        <w:t xml:space="preserve"> seed meal.</w:t>
      </w:r>
    </w:p>
    <w:p w:rsidR="004E2887" w:rsidRPr="00132B06" w:rsidRDefault="004E2887" w:rsidP="004E2887">
      <w:pPr>
        <w:jc w:val="both"/>
      </w:pPr>
    </w:p>
    <w:tbl>
      <w:tblPr>
        <w:tblW w:w="7371" w:type="dxa"/>
        <w:jc w:val="center"/>
        <w:tblBorders>
          <w:top w:val="single" w:sz="4" w:space="0" w:color="auto"/>
          <w:bottom w:val="single" w:sz="4" w:space="0" w:color="auto"/>
        </w:tblBorders>
        <w:tblCellMar>
          <w:left w:w="28" w:type="dxa"/>
          <w:right w:w="28" w:type="dxa"/>
        </w:tblCellMar>
        <w:tblLook w:val="04A0"/>
      </w:tblPr>
      <w:tblGrid>
        <w:gridCol w:w="2151"/>
        <w:gridCol w:w="1139"/>
        <w:gridCol w:w="1141"/>
        <w:gridCol w:w="1043"/>
        <w:gridCol w:w="1045"/>
        <w:gridCol w:w="852"/>
      </w:tblGrid>
      <w:tr w:rsidR="00FC60F3" w:rsidRPr="00132B06" w:rsidTr="00132B06">
        <w:trPr>
          <w:trHeight w:val="215"/>
          <w:jc w:val="center"/>
        </w:trPr>
        <w:tc>
          <w:tcPr>
            <w:tcW w:w="2802" w:type="dxa"/>
            <w:vMerge w:val="restart"/>
            <w:shd w:val="clear" w:color="auto" w:fill="auto"/>
            <w:vAlign w:val="center"/>
          </w:tcPr>
          <w:p w:rsidR="00FC60F3" w:rsidRPr="00132B06" w:rsidRDefault="00FC60F3" w:rsidP="004E2887">
            <w:pPr>
              <w:rPr>
                <w:sz w:val="18"/>
                <w:szCs w:val="18"/>
              </w:rPr>
            </w:pPr>
            <w:r w:rsidRPr="00132B06">
              <w:rPr>
                <w:sz w:val="18"/>
                <w:szCs w:val="18"/>
              </w:rPr>
              <w:t>Parameter</w:t>
            </w:r>
          </w:p>
        </w:tc>
        <w:tc>
          <w:tcPr>
            <w:tcW w:w="5386" w:type="dxa"/>
            <w:gridSpan w:val="4"/>
            <w:tcBorders>
              <w:top w:val="single" w:sz="4" w:space="0" w:color="auto"/>
              <w:bottom w:val="single" w:sz="4" w:space="0" w:color="auto"/>
            </w:tcBorders>
            <w:shd w:val="clear" w:color="auto" w:fill="auto"/>
            <w:vAlign w:val="center"/>
          </w:tcPr>
          <w:p w:rsidR="00FC60F3" w:rsidRPr="00132B06" w:rsidRDefault="00FC60F3" w:rsidP="004E2887">
            <w:pPr>
              <w:jc w:val="center"/>
              <w:rPr>
                <w:sz w:val="18"/>
                <w:szCs w:val="18"/>
              </w:rPr>
            </w:pPr>
            <w:r w:rsidRPr="00132B06">
              <w:rPr>
                <w:sz w:val="18"/>
                <w:szCs w:val="18"/>
              </w:rPr>
              <w:t>TAPSM inclusion levels in diets (%)</w:t>
            </w:r>
          </w:p>
        </w:tc>
        <w:tc>
          <w:tcPr>
            <w:tcW w:w="1054" w:type="dxa"/>
            <w:vMerge w:val="restart"/>
            <w:tcBorders>
              <w:top w:val="single" w:sz="4" w:space="0" w:color="auto"/>
              <w:bottom w:val="single" w:sz="4" w:space="0" w:color="auto"/>
            </w:tcBorders>
            <w:shd w:val="clear" w:color="auto" w:fill="auto"/>
            <w:vAlign w:val="center"/>
          </w:tcPr>
          <w:p w:rsidR="00FC60F3" w:rsidRPr="00132B06" w:rsidRDefault="00FC60F3" w:rsidP="004E2887">
            <w:pPr>
              <w:jc w:val="center"/>
              <w:rPr>
                <w:sz w:val="18"/>
                <w:szCs w:val="18"/>
              </w:rPr>
            </w:pPr>
            <w:r w:rsidRPr="00132B06">
              <w:rPr>
                <w:sz w:val="18"/>
                <w:szCs w:val="18"/>
              </w:rPr>
              <w:t>SEM</w:t>
            </w:r>
          </w:p>
        </w:tc>
      </w:tr>
      <w:tr w:rsidR="00FC60F3" w:rsidRPr="00132B06" w:rsidTr="00132B06">
        <w:trPr>
          <w:trHeight w:val="215"/>
          <w:jc w:val="center"/>
        </w:trPr>
        <w:tc>
          <w:tcPr>
            <w:tcW w:w="2802" w:type="dxa"/>
            <w:vMerge/>
            <w:tcBorders>
              <w:bottom w:val="single" w:sz="4" w:space="0" w:color="auto"/>
            </w:tcBorders>
            <w:shd w:val="clear" w:color="auto" w:fill="auto"/>
          </w:tcPr>
          <w:p w:rsidR="00FC60F3" w:rsidRPr="00132B06" w:rsidRDefault="00FC60F3" w:rsidP="004C795C">
            <w:pPr>
              <w:jc w:val="center"/>
              <w:rPr>
                <w:sz w:val="18"/>
                <w:szCs w:val="18"/>
              </w:rPr>
            </w:pPr>
          </w:p>
        </w:tc>
        <w:tc>
          <w:tcPr>
            <w:tcW w:w="1417" w:type="dxa"/>
            <w:tcBorders>
              <w:top w:val="single" w:sz="4" w:space="0" w:color="auto"/>
              <w:bottom w:val="single" w:sz="4" w:space="0" w:color="auto"/>
            </w:tcBorders>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T</w:t>
            </w:r>
            <w:r w:rsidRPr="00132B06">
              <w:rPr>
                <w:sz w:val="18"/>
                <w:szCs w:val="18"/>
                <w:vertAlign w:val="subscript"/>
              </w:rPr>
              <w:t>1</w:t>
            </w:r>
            <w:r w:rsidRPr="00132B06">
              <w:rPr>
                <w:sz w:val="18"/>
                <w:szCs w:val="18"/>
              </w:rPr>
              <w:t xml:space="preserve"> (0)</w:t>
            </w:r>
          </w:p>
        </w:tc>
        <w:tc>
          <w:tcPr>
            <w:tcW w:w="1418" w:type="dxa"/>
            <w:tcBorders>
              <w:top w:val="single" w:sz="4" w:space="0" w:color="auto"/>
              <w:bottom w:val="single" w:sz="4" w:space="0" w:color="auto"/>
            </w:tcBorders>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T</w:t>
            </w:r>
            <w:r w:rsidRPr="00132B06">
              <w:rPr>
                <w:sz w:val="18"/>
                <w:szCs w:val="18"/>
                <w:vertAlign w:val="subscript"/>
              </w:rPr>
              <w:t>2</w:t>
            </w:r>
            <w:r w:rsidRPr="00132B06">
              <w:rPr>
                <w:sz w:val="18"/>
                <w:szCs w:val="18"/>
              </w:rPr>
              <w:t>(10)</w:t>
            </w:r>
          </w:p>
        </w:tc>
        <w:tc>
          <w:tcPr>
            <w:tcW w:w="1275" w:type="dxa"/>
            <w:tcBorders>
              <w:top w:val="single" w:sz="4" w:space="0" w:color="auto"/>
              <w:bottom w:val="single" w:sz="4" w:space="0" w:color="auto"/>
            </w:tcBorders>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T</w:t>
            </w:r>
            <w:r w:rsidRPr="00132B06">
              <w:rPr>
                <w:sz w:val="18"/>
                <w:szCs w:val="18"/>
                <w:vertAlign w:val="subscript"/>
              </w:rPr>
              <w:t>3</w:t>
            </w:r>
            <w:r w:rsidRPr="00132B06">
              <w:rPr>
                <w:sz w:val="18"/>
                <w:szCs w:val="18"/>
              </w:rPr>
              <w:t xml:space="preserve"> (20)</w:t>
            </w:r>
          </w:p>
        </w:tc>
        <w:tc>
          <w:tcPr>
            <w:tcW w:w="1276" w:type="dxa"/>
            <w:tcBorders>
              <w:top w:val="single" w:sz="4" w:space="0" w:color="auto"/>
              <w:bottom w:val="single" w:sz="4" w:space="0" w:color="auto"/>
            </w:tcBorders>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T</w:t>
            </w:r>
            <w:r w:rsidRPr="00132B06">
              <w:rPr>
                <w:sz w:val="18"/>
                <w:szCs w:val="18"/>
                <w:vertAlign w:val="subscript"/>
              </w:rPr>
              <w:t>4</w:t>
            </w:r>
            <w:r w:rsidRPr="00132B06">
              <w:rPr>
                <w:sz w:val="18"/>
                <w:szCs w:val="18"/>
              </w:rPr>
              <w:t>(30)</w:t>
            </w:r>
          </w:p>
        </w:tc>
        <w:tc>
          <w:tcPr>
            <w:tcW w:w="1054" w:type="dxa"/>
            <w:vMerge/>
            <w:tcBorders>
              <w:top w:val="nil"/>
              <w:bottom w:val="single" w:sz="4" w:space="0" w:color="auto"/>
            </w:tcBorders>
            <w:shd w:val="clear" w:color="auto" w:fill="auto"/>
            <w:vAlign w:val="center"/>
          </w:tcPr>
          <w:p w:rsidR="00FC60F3" w:rsidRPr="00132B06" w:rsidRDefault="00FC60F3" w:rsidP="004E2887">
            <w:pPr>
              <w:ind w:left="-152" w:right="230" w:hanging="45"/>
              <w:jc w:val="right"/>
              <w:rPr>
                <w:sz w:val="18"/>
                <w:szCs w:val="18"/>
              </w:rPr>
            </w:pPr>
          </w:p>
        </w:tc>
      </w:tr>
      <w:tr w:rsidR="00FC60F3" w:rsidRPr="00132B06" w:rsidTr="00132B06">
        <w:trPr>
          <w:trHeight w:val="215"/>
          <w:jc w:val="center"/>
        </w:trPr>
        <w:tc>
          <w:tcPr>
            <w:tcW w:w="2802" w:type="dxa"/>
            <w:tcBorders>
              <w:top w:val="single" w:sz="4" w:space="0" w:color="auto"/>
              <w:bottom w:val="nil"/>
            </w:tcBorders>
            <w:shd w:val="clear" w:color="auto" w:fill="auto"/>
            <w:vAlign w:val="center"/>
          </w:tcPr>
          <w:p w:rsidR="00FC60F3" w:rsidRPr="00132B06" w:rsidRDefault="00FC60F3" w:rsidP="004E2887">
            <w:pPr>
              <w:rPr>
                <w:sz w:val="18"/>
                <w:szCs w:val="18"/>
              </w:rPr>
            </w:pPr>
            <w:r w:rsidRPr="00132B06">
              <w:rPr>
                <w:sz w:val="18"/>
                <w:szCs w:val="18"/>
              </w:rPr>
              <w:t>PCV (%)</w:t>
            </w:r>
          </w:p>
        </w:tc>
        <w:tc>
          <w:tcPr>
            <w:tcW w:w="1417" w:type="dxa"/>
            <w:tcBorders>
              <w:top w:val="single" w:sz="4" w:space="0" w:color="auto"/>
            </w:tcBorders>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28.33</w:t>
            </w:r>
            <w:r w:rsidRPr="00132B06">
              <w:rPr>
                <w:sz w:val="18"/>
                <w:szCs w:val="18"/>
                <w:vertAlign w:val="superscript"/>
              </w:rPr>
              <w:t>a</w:t>
            </w:r>
          </w:p>
        </w:tc>
        <w:tc>
          <w:tcPr>
            <w:tcW w:w="1418" w:type="dxa"/>
            <w:tcBorders>
              <w:top w:val="single" w:sz="4" w:space="0" w:color="auto"/>
            </w:tcBorders>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26.10</w:t>
            </w:r>
            <w:r w:rsidRPr="00132B06">
              <w:rPr>
                <w:sz w:val="18"/>
                <w:szCs w:val="18"/>
                <w:vertAlign w:val="superscript"/>
              </w:rPr>
              <w:t>b</w:t>
            </w:r>
          </w:p>
        </w:tc>
        <w:tc>
          <w:tcPr>
            <w:tcW w:w="1275" w:type="dxa"/>
            <w:tcBorders>
              <w:top w:val="single" w:sz="4" w:space="0" w:color="auto"/>
            </w:tcBorders>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25.60</w:t>
            </w:r>
            <w:r w:rsidRPr="00132B06">
              <w:rPr>
                <w:sz w:val="18"/>
                <w:szCs w:val="18"/>
                <w:vertAlign w:val="superscript"/>
              </w:rPr>
              <w:t>c</w:t>
            </w:r>
          </w:p>
        </w:tc>
        <w:tc>
          <w:tcPr>
            <w:tcW w:w="1276" w:type="dxa"/>
            <w:tcBorders>
              <w:top w:val="single" w:sz="4" w:space="0" w:color="auto"/>
            </w:tcBorders>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25.20</w:t>
            </w:r>
            <w:r w:rsidRPr="00132B06">
              <w:rPr>
                <w:sz w:val="18"/>
                <w:szCs w:val="18"/>
                <w:vertAlign w:val="superscript"/>
              </w:rPr>
              <w:t>c</w:t>
            </w:r>
          </w:p>
        </w:tc>
        <w:tc>
          <w:tcPr>
            <w:tcW w:w="1054" w:type="dxa"/>
            <w:tcBorders>
              <w:top w:val="single" w:sz="4" w:space="0" w:color="auto"/>
            </w:tcBorders>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3.52</w:t>
            </w:r>
          </w:p>
        </w:tc>
      </w:tr>
      <w:tr w:rsidR="00FC60F3" w:rsidRPr="00132B06" w:rsidTr="00132B06">
        <w:trPr>
          <w:trHeight w:val="215"/>
          <w:jc w:val="center"/>
        </w:trPr>
        <w:tc>
          <w:tcPr>
            <w:tcW w:w="2802" w:type="dxa"/>
            <w:tcBorders>
              <w:top w:val="nil"/>
            </w:tcBorders>
            <w:shd w:val="clear" w:color="auto" w:fill="auto"/>
            <w:vAlign w:val="center"/>
          </w:tcPr>
          <w:p w:rsidR="00FC60F3" w:rsidRPr="00132B06" w:rsidRDefault="00FC60F3" w:rsidP="004E2887">
            <w:pPr>
              <w:rPr>
                <w:sz w:val="18"/>
                <w:szCs w:val="18"/>
              </w:rPr>
            </w:pPr>
            <w:r w:rsidRPr="00132B06">
              <w:rPr>
                <w:sz w:val="18"/>
                <w:szCs w:val="18"/>
              </w:rPr>
              <w:t>WBC (x10</w:t>
            </w:r>
            <w:r w:rsidRPr="00132B06">
              <w:rPr>
                <w:sz w:val="18"/>
                <w:szCs w:val="18"/>
                <w:vertAlign w:val="superscript"/>
              </w:rPr>
              <w:t>3</w:t>
            </w:r>
            <w:r w:rsidRPr="00132B06">
              <w:rPr>
                <w:sz w:val="18"/>
                <w:szCs w:val="18"/>
              </w:rPr>
              <w:t>/µl)</w:t>
            </w:r>
          </w:p>
        </w:tc>
        <w:tc>
          <w:tcPr>
            <w:tcW w:w="1417" w:type="dxa"/>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71.76</w:t>
            </w:r>
            <w:r w:rsidRPr="00132B06">
              <w:rPr>
                <w:sz w:val="18"/>
                <w:szCs w:val="18"/>
                <w:vertAlign w:val="superscript"/>
              </w:rPr>
              <w:t>b</w:t>
            </w:r>
          </w:p>
        </w:tc>
        <w:tc>
          <w:tcPr>
            <w:tcW w:w="1418" w:type="dxa"/>
            <w:shd w:val="clear" w:color="auto" w:fill="auto"/>
            <w:vAlign w:val="center"/>
          </w:tcPr>
          <w:p w:rsidR="00FC60F3" w:rsidRPr="00132B06" w:rsidRDefault="00FC60F3" w:rsidP="004E2887">
            <w:pPr>
              <w:ind w:left="-152" w:right="230" w:hanging="45"/>
              <w:jc w:val="right"/>
              <w:rPr>
                <w:sz w:val="18"/>
                <w:szCs w:val="18"/>
                <w:vertAlign w:val="superscript"/>
              </w:rPr>
            </w:pPr>
            <w:r w:rsidRPr="00132B06">
              <w:rPr>
                <w:sz w:val="18"/>
                <w:szCs w:val="18"/>
              </w:rPr>
              <w:t>73.4</w:t>
            </w:r>
            <w:r w:rsidRPr="00132B06">
              <w:rPr>
                <w:sz w:val="18"/>
                <w:szCs w:val="18"/>
                <w:vertAlign w:val="superscript"/>
              </w:rPr>
              <w:t>b</w:t>
            </w:r>
          </w:p>
        </w:tc>
        <w:tc>
          <w:tcPr>
            <w:tcW w:w="1275" w:type="dxa"/>
            <w:shd w:val="clear" w:color="auto" w:fill="auto"/>
            <w:vAlign w:val="center"/>
          </w:tcPr>
          <w:p w:rsidR="00FC60F3" w:rsidRPr="00132B06" w:rsidRDefault="00FC60F3" w:rsidP="004E2887">
            <w:pPr>
              <w:ind w:left="-152" w:right="230" w:hanging="45"/>
              <w:jc w:val="right"/>
              <w:rPr>
                <w:sz w:val="18"/>
                <w:szCs w:val="18"/>
                <w:vertAlign w:val="superscript"/>
              </w:rPr>
            </w:pPr>
            <w:r w:rsidRPr="00132B06">
              <w:rPr>
                <w:sz w:val="18"/>
                <w:szCs w:val="18"/>
              </w:rPr>
              <w:t>75.07</w:t>
            </w:r>
            <w:r w:rsidRPr="00132B06">
              <w:rPr>
                <w:sz w:val="18"/>
                <w:szCs w:val="18"/>
                <w:vertAlign w:val="superscript"/>
              </w:rPr>
              <w:t>a</w:t>
            </w:r>
          </w:p>
        </w:tc>
        <w:tc>
          <w:tcPr>
            <w:tcW w:w="1276" w:type="dxa"/>
            <w:shd w:val="clear" w:color="auto" w:fill="auto"/>
            <w:vAlign w:val="center"/>
          </w:tcPr>
          <w:p w:rsidR="00FC60F3" w:rsidRPr="00132B06" w:rsidRDefault="00FC60F3" w:rsidP="004E2887">
            <w:pPr>
              <w:ind w:left="-152" w:right="230" w:hanging="45"/>
              <w:jc w:val="right"/>
              <w:rPr>
                <w:sz w:val="18"/>
                <w:szCs w:val="18"/>
                <w:vertAlign w:val="superscript"/>
              </w:rPr>
            </w:pPr>
            <w:r w:rsidRPr="00132B06">
              <w:rPr>
                <w:sz w:val="18"/>
                <w:szCs w:val="18"/>
              </w:rPr>
              <w:t>76.17</w:t>
            </w:r>
            <w:r w:rsidRPr="00132B06">
              <w:rPr>
                <w:sz w:val="18"/>
                <w:szCs w:val="18"/>
                <w:vertAlign w:val="superscript"/>
              </w:rPr>
              <w:t>a</w:t>
            </w:r>
          </w:p>
        </w:tc>
        <w:tc>
          <w:tcPr>
            <w:tcW w:w="1054" w:type="dxa"/>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4.25</w:t>
            </w:r>
          </w:p>
        </w:tc>
      </w:tr>
      <w:tr w:rsidR="00FC60F3" w:rsidRPr="00132B06" w:rsidTr="00132B06">
        <w:trPr>
          <w:trHeight w:val="215"/>
          <w:jc w:val="center"/>
        </w:trPr>
        <w:tc>
          <w:tcPr>
            <w:tcW w:w="2802" w:type="dxa"/>
            <w:shd w:val="clear" w:color="auto" w:fill="auto"/>
            <w:vAlign w:val="center"/>
          </w:tcPr>
          <w:p w:rsidR="00FC60F3" w:rsidRPr="00132B06" w:rsidRDefault="00FC60F3" w:rsidP="004E2887">
            <w:pPr>
              <w:rPr>
                <w:sz w:val="18"/>
                <w:szCs w:val="18"/>
              </w:rPr>
            </w:pPr>
            <w:r w:rsidRPr="00132B06">
              <w:rPr>
                <w:sz w:val="18"/>
                <w:szCs w:val="18"/>
              </w:rPr>
              <w:t>RBC (x10</w:t>
            </w:r>
            <w:r w:rsidRPr="00132B06">
              <w:rPr>
                <w:sz w:val="18"/>
                <w:szCs w:val="18"/>
                <w:vertAlign w:val="superscript"/>
              </w:rPr>
              <w:t>6</w:t>
            </w:r>
            <w:r w:rsidRPr="00132B06">
              <w:rPr>
                <w:sz w:val="18"/>
                <w:szCs w:val="18"/>
              </w:rPr>
              <w:t>/µl)</w:t>
            </w:r>
          </w:p>
        </w:tc>
        <w:tc>
          <w:tcPr>
            <w:tcW w:w="1417" w:type="dxa"/>
            <w:shd w:val="clear" w:color="auto" w:fill="auto"/>
            <w:vAlign w:val="center"/>
          </w:tcPr>
          <w:p w:rsidR="00FC60F3" w:rsidRPr="00132B06" w:rsidRDefault="00FC60F3" w:rsidP="004E2887">
            <w:pPr>
              <w:ind w:left="-152" w:right="230" w:hanging="45"/>
              <w:jc w:val="right"/>
              <w:rPr>
                <w:sz w:val="18"/>
                <w:szCs w:val="18"/>
                <w:vertAlign w:val="superscript"/>
              </w:rPr>
            </w:pPr>
            <w:r w:rsidRPr="00132B06">
              <w:rPr>
                <w:sz w:val="18"/>
                <w:szCs w:val="18"/>
              </w:rPr>
              <w:t>4.23</w:t>
            </w:r>
            <w:r w:rsidRPr="00132B06">
              <w:rPr>
                <w:sz w:val="18"/>
                <w:szCs w:val="18"/>
                <w:vertAlign w:val="superscript"/>
              </w:rPr>
              <w:t>a</w:t>
            </w:r>
          </w:p>
        </w:tc>
        <w:tc>
          <w:tcPr>
            <w:tcW w:w="1418" w:type="dxa"/>
            <w:shd w:val="clear" w:color="auto" w:fill="auto"/>
            <w:vAlign w:val="center"/>
          </w:tcPr>
          <w:p w:rsidR="00FC60F3" w:rsidRPr="00132B06" w:rsidRDefault="00FC60F3" w:rsidP="004E2887">
            <w:pPr>
              <w:ind w:left="-152" w:right="230" w:hanging="45"/>
              <w:jc w:val="right"/>
              <w:rPr>
                <w:sz w:val="18"/>
                <w:szCs w:val="18"/>
                <w:vertAlign w:val="superscript"/>
              </w:rPr>
            </w:pPr>
            <w:r w:rsidRPr="00132B06">
              <w:rPr>
                <w:sz w:val="18"/>
                <w:szCs w:val="18"/>
              </w:rPr>
              <w:t>4.00</w:t>
            </w:r>
            <w:r w:rsidRPr="00132B06">
              <w:rPr>
                <w:sz w:val="18"/>
                <w:szCs w:val="18"/>
                <w:vertAlign w:val="superscript"/>
              </w:rPr>
              <w:t>a</w:t>
            </w:r>
          </w:p>
        </w:tc>
        <w:tc>
          <w:tcPr>
            <w:tcW w:w="1275" w:type="dxa"/>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3.99</w:t>
            </w:r>
            <w:r w:rsidRPr="00132B06">
              <w:rPr>
                <w:sz w:val="18"/>
                <w:szCs w:val="18"/>
                <w:vertAlign w:val="superscript"/>
              </w:rPr>
              <w:t>b</w:t>
            </w:r>
          </w:p>
        </w:tc>
        <w:tc>
          <w:tcPr>
            <w:tcW w:w="1276" w:type="dxa"/>
            <w:shd w:val="clear" w:color="auto" w:fill="auto"/>
            <w:vAlign w:val="center"/>
          </w:tcPr>
          <w:p w:rsidR="00FC60F3" w:rsidRPr="00132B06" w:rsidRDefault="00FC60F3" w:rsidP="004E2887">
            <w:pPr>
              <w:ind w:left="-152" w:right="230" w:hanging="45"/>
              <w:jc w:val="right"/>
              <w:rPr>
                <w:sz w:val="18"/>
                <w:szCs w:val="18"/>
                <w:vertAlign w:val="superscript"/>
              </w:rPr>
            </w:pPr>
            <w:r w:rsidRPr="00132B06">
              <w:rPr>
                <w:sz w:val="18"/>
                <w:szCs w:val="18"/>
              </w:rPr>
              <w:t>3.99</w:t>
            </w:r>
            <w:r w:rsidRPr="00132B06">
              <w:rPr>
                <w:sz w:val="18"/>
                <w:szCs w:val="18"/>
                <w:vertAlign w:val="superscript"/>
              </w:rPr>
              <w:t>b</w:t>
            </w:r>
          </w:p>
        </w:tc>
        <w:tc>
          <w:tcPr>
            <w:tcW w:w="1054" w:type="dxa"/>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0.85</w:t>
            </w:r>
          </w:p>
        </w:tc>
      </w:tr>
      <w:tr w:rsidR="00FC60F3" w:rsidRPr="00132B06" w:rsidTr="00132B06">
        <w:trPr>
          <w:trHeight w:val="215"/>
          <w:jc w:val="center"/>
        </w:trPr>
        <w:tc>
          <w:tcPr>
            <w:tcW w:w="2802" w:type="dxa"/>
            <w:shd w:val="clear" w:color="auto" w:fill="auto"/>
            <w:vAlign w:val="center"/>
          </w:tcPr>
          <w:p w:rsidR="00FC60F3" w:rsidRPr="00132B06" w:rsidRDefault="00FC60F3" w:rsidP="004E2887">
            <w:pPr>
              <w:rPr>
                <w:sz w:val="18"/>
                <w:szCs w:val="18"/>
              </w:rPr>
            </w:pPr>
            <w:r w:rsidRPr="00132B06">
              <w:rPr>
                <w:sz w:val="18"/>
                <w:szCs w:val="18"/>
              </w:rPr>
              <w:t>Hb (g/dl)</w:t>
            </w:r>
          </w:p>
        </w:tc>
        <w:tc>
          <w:tcPr>
            <w:tcW w:w="1417" w:type="dxa"/>
            <w:shd w:val="clear" w:color="auto" w:fill="auto"/>
            <w:vAlign w:val="center"/>
          </w:tcPr>
          <w:p w:rsidR="00FC60F3" w:rsidRPr="00132B06" w:rsidRDefault="00FC60F3" w:rsidP="004E2887">
            <w:pPr>
              <w:ind w:left="-152" w:right="230" w:hanging="45"/>
              <w:jc w:val="right"/>
              <w:rPr>
                <w:sz w:val="18"/>
                <w:szCs w:val="18"/>
                <w:vertAlign w:val="superscript"/>
              </w:rPr>
            </w:pPr>
            <w:r w:rsidRPr="00132B06">
              <w:rPr>
                <w:sz w:val="18"/>
                <w:szCs w:val="18"/>
              </w:rPr>
              <w:t>10.20</w:t>
            </w:r>
            <w:r w:rsidRPr="00132B06">
              <w:rPr>
                <w:sz w:val="18"/>
                <w:szCs w:val="18"/>
                <w:vertAlign w:val="superscript"/>
              </w:rPr>
              <w:t>a</w:t>
            </w:r>
          </w:p>
        </w:tc>
        <w:tc>
          <w:tcPr>
            <w:tcW w:w="1418" w:type="dxa"/>
            <w:shd w:val="clear" w:color="auto" w:fill="auto"/>
            <w:vAlign w:val="center"/>
          </w:tcPr>
          <w:p w:rsidR="00FC60F3" w:rsidRPr="00132B06" w:rsidRDefault="00FC60F3" w:rsidP="004E2887">
            <w:pPr>
              <w:ind w:left="-152" w:right="230" w:hanging="45"/>
              <w:jc w:val="right"/>
              <w:rPr>
                <w:sz w:val="18"/>
                <w:szCs w:val="18"/>
                <w:vertAlign w:val="superscript"/>
              </w:rPr>
            </w:pPr>
            <w:r w:rsidRPr="00132B06">
              <w:rPr>
                <w:sz w:val="18"/>
                <w:szCs w:val="18"/>
              </w:rPr>
              <w:t>9.03</w:t>
            </w:r>
            <w:r w:rsidRPr="00132B06">
              <w:rPr>
                <w:sz w:val="18"/>
                <w:szCs w:val="18"/>
                <w:vertAlign w:val="superscript"/>
              </w:rPr>
              <w:t>b</w:t>
            </w:r>
          </w:p>
        </w:tc>
        <w:tc>
          <w:tcPr>
            <w:tcW w:w="1275" w:type="dxa"/>
            <w:shd w:val="clear" w:color="auto" w:fill="auto"/>
            <w:vAlign w:val="center"/>
          </w:tcPr>
          <w:p w:rsidR="00FC60F3" w:rsidRPr="00132B06" w:rsidRDefault="00FC60F3" w:rsidP="004E2887">
            <w:pPr>
              <w:ind w:left="-152" w:right="230" w:hanging="45"/>
              <w:jc w:val="right"/>
              <w:rPr>
                <w:sz w:val="18"/>
                <w:szCs w:val="18"/>
                <w:vertAlign w:val="superscript"/>
              </w:rPr>
            </w:pPr>
            <w:r w:rsidRPr="00132B06">
              <w:rPr>
                <w:sz w:val="18"/>
                <w:szCs w:val="18"/>
              </w:rPr>
              <w:t>8.60</w:t>
            </w:r>
            <w:r w:rsidRPr="00132B06">
              <w:rPr>
                <w:sz w:val="18"/>
                <w:szCs w:val="18"/>
                <w:vertAlign w:val="superscript"/>
              </w:rPr>
              <w:t>c</w:t>
            </w:r>
          </w:p>
        </w:tc>
        <w:tc>
          <w:tcPr>
            <w:tcW w:w="1276" w:type="dxa"/>
            <w:shd w:val="clear" w:color="auto" w:fill="auto"/>
            <w:vAlign w:val="center"/>
          </w:tcPr>
          <w:p w:rsidR="00FC60F3" w:rsidRPr="00132B06" w:rsidRDefault="00FC60F3" w:rsidP="004E2887">
            <w:pPr>
              <w:ind w:left="-152" w:right="230" w:hanging="45"/>
              <w:jc w:val="right"/>
              <w:rPr>
                <w:sz w:val="18"/>
                <w:szCs w:val="18"/>
                <w:vertAlign w:val="superscript"/>
              </w:rPr>
            </w:pPr>
            <w:r w:rsidRPr="00132B06">
              <w:rPr>
                <w:sz w:val="18"/>
                <w:szCs w:val="18"/>
              </w:rPr>
              <w:t>7.63</w:t>
            </w:r>
            <w:r w:rsidRPr="00132B06">
              <w:rPr>
                <w:sz w:val="18"/>
                <w:szCs w:val="18"/>
                <w:vertAlign w:val="superscript"/>
              </w:rPr>
              <w:t>d</w:t>
            </w:r>
          </w:p>
        </w:tc>
        <w:tc>
          <w:tcPr>
            <w:tcW w:w="1054" w:type="dxa"/>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0.44</w:t>
            </w:r>
          </w:p>
        </w:tc>
      </w:tr>
      <w:tr w:rsidR="00FC60F3" w:rsidRPr="00132B06" w:rsidTr="00132B06">
        <w:trPr>
          <w:trHeight w:val="215"/>
          <w:jc w:val="center"/>
        </w:trPr>
        <w:tc>
          <w:tcPr>
            <w:tcW w:w="2802" w:type="dxa"/>
            <w:shd w:val="clear" w:color="auto" w:fill="auto"/>
            <w:vAlign w:val="center"/>
          </w:tcPr>
          <w:p w:rsidR="00FC60F3" w:rsidRPr="00132B06" w:rsidRDefault="00FC60F3" w:rsidP="004E2887">
            <w:pPr>
              <w:rPr>
                <w:sz w:val="18"/>
                <w:szCs w:val="18"/>
              </w:rPr>
            </w:pPr>
            <w:r w:rsidRPr="00132B06">
              <w:rPr>
                <w:sz w:val="18"/>
                <w:szCs w:val="18"/>
              </w:rPr>
              <w:t>MCV (fl)</w:t>
            </w:r>
          </w:p>
        </w:tc>
        <w:tc>
          <w:tcPr>
            <w:tcW w:w="1417" w:type="dxa"/>
            <w:shd w:val="clear" w:color="auto" w:fill="auto"/>
            <w:vAlign w:val="center"/>
          </w:tcPr>
          <w:p w:rsidR="00FC60F3" w:rsidRPr="00132B06" w:rsidRDefault="00FC60F3" w:rsidP="004E2887">
            <w:pPr>
              <w:ind w:left="-152" w:right="230" w:hanging="45"/>
              <w:jc w:val="right"/>
              <w:rPr>
                <w:sz w:val="18"/>
                <w:szCs w:val="18"/>
                <w:vertAlign w:val="superscript"/>
              </w:rPr>
            </w:pPr>
            <w:r w:rsidRPr="00132B06">
              <w:rPr>
                <w:sz w:val="18"/>
                <w:szCs w:val="18"/>
              </w:rPr>
              <w:t>66.97</w:t>
            </w:r>
            <w:r w:rsidRPr="00132B06">
              <w:rPr>
                <w:sz w:val="18"/>
                <w:szCs w:val="18"/>
                <w:vertAlign w:val="superscript"/>
              </w:rPr>
              <w:t>a</w:t>
            </w:r>
          </w:p>
        </w:tc>
        <w:tc>
          <w:tcPr>
            <w:tcW w:w="1418" w:type="dxa"/>
            <w:shd w:val="clear" w:color="auto" w:fill="auto"/>
            <w:vAlign w:val="center"/>
          </w:tcPr>
          <w:p w:rsidR="00FC60F3" w:rsidRPr="00132B06" w:rsidRDefault="00FC60F3" w:rsidP="004E2887">
            <w:pPr>
              <w:ind w:left="-152" w:right="230" w:hanging="45"/>
              <w:jc w:val="right"/>
              <w:rPr>
                <w:sz w:val="18"/>
                <w:szCs w:val="18"/>
                <w:vertAlign w:val="superscript"/>
              </w:rPr>
            </w:pPr>
            <w:r w:rsidRPr="00132B06">
              <w:rPr>
                <w:sz w:val="18"/>
                <w:szCs w:val="18"/>
              </w:rPr>
              <w:t>65.25</w:t>
            </w:r>
            <w:r w:rsidRPr="00132B06">
              <w:rPr>
                <w:sz w:val="18"/>
                <w:szCs w:val="18"/>
                <w:vertAlign w:val="superscript"/>
              </w:rPr>
              <w:t>a</w:t>
            </w:r>
          </w:p>
        </w:tc>
        <w:tc>
          <w:tcPr>
            <w:tcW w:w="1275" w:type="dxa"/>
            <w:shd w:val="clear" w:color="auto" w:fill="auto"/>
            <w:vAlign w:val="center"/>
          </w:tcPr>
          <w:p w:rsidR="00FC60F3" w:rsidRPr="00132B06" w:rsidRDefault="00FC60F3" w:rsidP="004E2887">
            <w:pPr>
              <w:ind w:left="-152" w:right="230" w:hanging="45"/>
              <w:jc w:val="right"/>
              <w:rPr>
                <w:sz w:val="18"/>
                <w:szCs w:val="18"/>
                <w:vertAlign w:val="superscript"/>
              </w:rPr>
            </w:pPr>
            <w:r w:rsidRPr="00132B06">
              <w:rPr>
                <w:sz w:val="18"/>
                <w:szCs w:val="18"/>
              </w:rPr>
              <w:t>64.16</w:t>
            </w:r>
            <w:r w:rsidRPr="00132B06">
              <w:rPr>
                <w:sz w:val="18"/>
                <w:szCs w:val="18"/>
                <w:vertAlign w:val="superscript"/>
              </w:rPr>
              <w:t>b</w:t>
            </w:r>
          </w:p>
        </w:tc>
        <w:tc>
          <w:tcPr>
            <w:tcW w:w="1276" w:type="dxa"/>
            <w:shd w:val="clear" w:color="auto" w:fill="auto"/>
            <w:vAlign w:val="center"/>
          </w:tcPr>
          <w:p w:rsidR="00FC60F3" w:rsidRPr="00132B06" w:rsidRDefault="00FC60F3" w:rsidP="004E2887">
            <w:pPr>
              <w:ind w:left="-152" w:right="230" w:hanging="45"/>
              <w:jc w:val="right"/>
              <w:rPr>
                <w:sz w:val="18"/>
                <w:szCs w:val="18"/>
                <w:vertAlign w:val="superscript"/>
              </w:rPr>
            </w:pPr>
            <w:r w:rsidRPr="00132B06">
              <w:rPr>
                <w:sz w:val="18"/>
                <w:szCs w:val="18"/>
              </w:rPr>
              <w:t>63.15</w:t>
            </w:r>
            <w:r w:rsidRPr="00132B06">
              <w:rPr>
                <w:sz w:val="18"/>
                <w:szCs w:val="18"/>
                <w:vertAlign w:val="superscript"/>
              </w:rPr>
              <w:t>b</w:t>
            </w:r>
          </w:p>
        </w:tc>
        <w:tc>
          <w:tcPr>
            <w:tcW w:w="1054" w:type="dxa"/>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0.86</w:t>
            </w:r>
          </w:p>
        </w:tc>
      </w:tr>
      <w:tr w:rsidR="00FC60F3" w:rsidRPr="00132B06" w:rsidTr="00132B06">
        <w:trPr>
          <w:trHeight w:val="215"/>
          <w:jc w:val="center"/>
        </w:trPr>
        <w:tc>
          <w:tcPr>
            <w:tcW w:w="2802" w:type="dxa"/>
            <w:shd w:val="clear" w:color="auto" w:fill="auto"/>
            <w:vAlign w:val="center"/>
          </w:tcPr>
          <w:p w:rsidR="00FC60F3" w:rsidRPr="00132B06" w:rsidRDefault="00FC60F3" w:rsidP="004E2887">
            <w:pPr>
              <w:rPr>
                <w:sz w:val="18"/>
                <w:szCs w:val="18"/>
              </w:rPr>
            </w:pPr>
            <w:r w:rsidRPr="00132B06">
              <w:rPr>
                <w:sz w:val="18"/>
                <w:szCs w:val="18"/>
              </w:rPr>
              <w:t>MCH (pg)</w:t>
            </w:r>
          </w:p>
        </w:tc>
        <w:tc>
          <w:tcPr>
            <w:tcW w:w="1417" w:type="dxa"/>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24.11</w:t>
            </w:r>
            <w:r w:rsidRPr="00132B06">
              <w:rPr>
                <w:sz w:val="18"/>
                <w:szCs w:val="18"/>
                <w:vertAlign w:val="superscript"/>
              </w:rPr>
              <w:t>a</w:t>
            </w:r>
          </w:p>
        </w:tc>
        <w:tc>
          <w:tcPr>
            <w:tcW w:w="1418" w:type="dxa"/>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22.57</w:t>
            </w:r>
            <w:r w:rsidRPr="00132B06">
              <w:rPr>
                <w:sz w:val="18"/>
                <w:szCs w:val="18"/>
                <w:vertAlign w:val="superscript"/>
              </w:rPr>
              <w:t>b</w:t>
            </w:r>
          </w:p>
        </w:tc>
        <w:tc>
          <w:tcPr>
            <w:tcW w:w="1275" w:type="dxa"/>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21.55</w:t>
            </w:r>
            <w:r w:rsidRPr="00132B06">
              <w:rPr>
                <w:sz w:val="18"/>
                <w:szCs w:val="18"/>
                <w:vertAlign w:val="superscript"/>
              </w:rPr>
              <w:t>c</w:t>
            </w:r>
          </w:p>
        </w:tc>
        <w:tc>
          <w:tcPr>
            <w:tcW w:w="1276" w:type="dxa"/>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19.12</w:t>
            </w:r>
            <w:r w:rsidRPr="00132B06">
              <w:rPr>
                <w:sz w:val="18"/>
                <w:szCs w:val="18"/>
                <w:vertAlign w:val="superscript"/>
              </w:rPr>
              <w:t>d</w:t>
            </w:r>
          </w:p>
        </w:tc>
        <w:tc>
          <w:tcPr>
            <w:tcW w:w="1054" w:type="dxa"/>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0.70</w:t>
            </w:r>
          </w:p>
        </w:tc>
      </w:tr>
      <w:tr w:rsidR="00FC60F3" w:rsidRPr="00132B06" w:rsidTr="00132B06">
        <w:trPr>
          <w:trHeight w:val="215"/>
          <w:jc w:val="center"/>
        </w:trPr>
        <w:tc>
          <w:tcPr>
            <w:tcW w:w="2802" w:type="dxa"/>
            <w:shd w:val="clear" w:color="auto" w:fill="auto"/>
            <w:vAlign w:val="center"/>
          </w:tcPr>
          <w:p w:rsidR="00FC60F3" w:rsidRPr="00132B06" w:rsidRDefault="00FC60F3" w:rsidP="004E2887">
            <w:pPr>
              <w:rPr>
                <w:sz w:val="18"/>
                <w:szCs w:val="18"/>
              </w:rPr>
            </w:pPr>
            <w:r w:rsidRPr="00132B06">
              <w:rPr>
                <w:sz w:val="18"/>
                <w:szCs w:val="18"/>
              </w:rPr>
              <w:t>MCHC (%)</w:t>
            </w:r>
          </w:p>
        </w:tc>
        <w:tc>
          <w:tcPr>
            <w:tcW w:w="1417" w:type="dxa"/>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35.66</w:t>
            </w:r>
            <w:r w:rsidRPr="00132B06">
              <w:rPr>
                <w:sz w:val="18"/>
                <w:szCs w:val="18"/>
                <w:vertAlign w:val="superscript"/>
              </w:rPr>
              <w:t>a</w:t>
            </w:r>
          </w:p>
        </w:tc>
        <w:tc>
          <w:tcPr>
            <w:tcW w:w="1418" w:type="dxa"/>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34.59</w:t>
            </w:r>
            <w:r w:rsidRPr="00132B06">
              <w:rPr>
                <w:sz w:val="18"/>
                <w:szCs w:val="18"/>
                <w:vertAlign w:val="superscript"/>
              </w:rPr>
              <w:t>b</w:t>
            </w:r>
          </w:p>
        </w:tc>
        <w:tc>
          <w:tcPr>
            <w:tcW w:w="1275" w:type="dxa"/>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33.59</w:t>
            </w:r>
            <w:r w:rsidRPr="00132B06">
              <w:rPr>
                <w:sz w:val="18"/>
                <w:szCs w:val="18"/>
                <w:vertAlign w:val="superscript"/>
              </w:rPr>
              <w:t>c</w:t>
            </w:r>
          </w:p>
        </w:tc>
        <w:tc>
          <w:tcPr>
            <w:tcW w:w="1276" w:type="dxa"/>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30.27</w:t>
            </w:r>
            <w:r w:rsidRPr="00132B06">
              <w:rPr>
                <w:sz w:val="18"/>
                <w:szCs w:val="18"/>
                <w:vertAlign w:val="superscript"/>
              </w:rPr>
              <w:t>d</w:t>
            </w:r>
          </w:p>
        </w:tc>
        <w:tc>
          <w:tcPr>
            <w:tcW w:w="1054" w:type="dxa"/>
            <w:shd w:val="clear" w:color="auto" w:fill="auto"/>
            <w:vAlign w:val="center"/>
          </w:tcPr>
          <w:p w:rsidR="00FC60F3" w:rsidRPr="00132B06" w:rsidRDefault="00FC60F3" w:rsidP="004E2887">
            <w:pPr>
              <w:ind w:left="-152" w:right="230" w:hanging="45"/>
              <w:jc w:val="right"/>
              <w:rPr>
                <w:sz w:val="18"/>
                <w:szCs w:val="18"/>
              </w:rPr>
            </w:pPr>
            <w:r w:rsidRPr="00132B06">
              <w:rPr>
                <w:sz w:val="18"/>
                <w:szCs w:val="18"/>
              </w:rPr>
              <w:t>1.55</w:t>
            </w:r>
          </w:p>
        </w:tc>
      </w:tr>
    </w:tbl>
    <w:p w:rsidR="00FC60F3" w:rsidRPr="004E2887" w:rsidRDefault="00FC60F3" w:rsidP="004E2887">
      <w:pPr>
        <w:spacing w:before="40"/>
        <w:jc w:val="both"/>
        <w:rPr>
          <w:sz w:val="16"/>
          <w:szCs w:val="16"/>
        </w:rPr>
      </w:pPr>
      <w:r w:rsidRPr="004E2887">
        <w:rPr>
          <w:sz w:val="16"/>
          <w:szCs w:val="16"/>
          <w:vertAlign w:val="superscript"/>
        </w:rPr>
        <w:t>a, b, c, d</w:t>
      </w:r>
      <w:r w:rsidRPr="004E2887">
        <w:rPr>
          <w:sz w:val="16"/>
          <w:szCs w:val="16"/>
        </w:rPr>
        <w:t xml:space="preserve"> Means in the same row with different superscripts differed significantly (P</w:t>
      </w:r>
      <w:r w:rsidR="004E2887">
        <w:rPr>
          <w:sz w:val="16"/>
          <w:szCs w:val="16"/>
        </w:rPr>
        <w:t xml:space="preserve">&lt;0.05). </w:t>
      </w:r>
      <w:r w:rsidRPr="004E2887">
        <w:rPr>
          <w:sz w:val="16"/>
          <w:szCs w:val="16"/>
        </w:rPr>
        <w:t xml:space="preserve">TAPSM – Toasted </w:t>
      </w:r>
      <w:r w:rsidRPr="004E2887">
        <w:rPr>
          <w:i/>
          <w:sz w:val="16"/>
          <w:szCs w:val="16"/>
        </w:rPr>
        <w:t>Adenanthera</w:t>
      </w:r>
      <w:r w:rsidR="002D729F">
        <w:rPr>
          <w:i/>
          <w:sz w:val="16"/>
          <w:szCs w:val="16"/>
        </w:rPr>
        <w:t xml:space="preserve"> </w:t>
      </w:r>
      <w:r w:rsidRPr="004E2887">
        <w:rPr>
          <w:i/>
          <w:sz w:val="16"/>
          <w:szCs w:val="16"/>
        </w:rPr>
        <w:t>pavonina</w:t>
      </w:r>
      <w:r w:rsidR="002D729F">
        <w:rPr>
          <w:i/>
          <w:sz w:val="16"/>
          <w:szCs w:val="16"/>
        </w:rPr>
        <w:t xml:space="preserve"> </w:t>
      </w:r>
      <w:r w:rsidRPr="004E2887">
        <w:rPr>
          <w:sz w:val="16"/>
          <w:szCs w:val="16"/>
        </w:rPr>
        <w:t>seed meal, SEM – The standard error of the means, PCV = Packed cell volume, WBC = White blood cells, RBC = Red blood cells, Hb = Haemoglobin, MCV = Mean corpuscular volume, MCH = Mean corpuscular haemoglobin, MCHC = Mean corpuscular haemoglobin concentration.</w:t>
      </w:r>
    </w:p>
    <w:p w:rsidR="00FC60F3" w:rsidRPr="004E2887" w:rsidRDefault="00FC60F3" w:rsidP="004E2887">
      <w:pPr>
        <w:ind w:firstLine="426"/>
        <w:jc w:val="both"/>
        <w:rPr>
          <w:sz w:val="22"/>
          <w:szCs w:val="22"/>
        </w:rPr>
      </w:pPr>
    </w:p>
    <w:p w:rsidR="00FC60F3" w:rsidRPr="004E2887" w:rsidRDefault="00FC60F3" w:rsidP="004E2887">
      <w:pPr>
        <w:ind w:firstLine="426"/>
        <w:jc w:val="both"/>
        <w:rPr>
          <w:sz w:val="22"/>
          <w:szCs w:val="22"/>
        </w:rPr>
      </w:pPr>
      <w:r w:rsidRPr="004E2887">
        <w:rPr>
          <w:sz w:val="22"/>
          <w:szCs w:val="22"/>
        </w:rPr>
        <w:t>Red blood cell values for birds on T</w:t>
      </w:r>
      <w:r w:rsidRPr="004E2887">
        <w:rPr>
          <w:sz w:val="22"/>
          <w:szCs w:val="22"/>
          <w:vertAlign w:val="subscript"/>
        </w:rPr>
        <w:t xml:space="preserve">1 </w:t>
      </w:r>
      <w:r w:rsidRPr="004E2887">
        <w:rPr>
          <w:sz w:val="22"/>
          <w:szCs w:val="22"/>
        </w:rPr>
        <w:t>were significantly (P&lt;0.05) different and higher than those on diets T</w:t>
      </w:r>
      <w:r w:rsidRPr="004E2887">
        <w:rPr>
          <w:sz w:val="22"/>
          <w:szCs w:val="22"/>
          <w:vertAlign w:val="subscript"/>
        </w:rPr>
        <w:t>2</w:t>
      </w:r>
      <w:r w:rsidRPr="004E2887">
        <w:rPr>
          <w:sz w:val="22"/>
          <w:szCs w:val="22"/>
        </w:rPr>
        <w:t>, T</w:t>
      </w:r>
      <w:r w:rsidRPr="004E2887">
        <w:rPr>
          <w:sz w:val="22"/>
          <w:szCs w:val="22"/>
          <w:vertAlign w:val="subscript"/>
        </w:rPr>
        <w:t>3</w:t>
      </w:r>
      <w:r w:rsidRPr="004E2887">
        <w:rPr>
          <w:sz w:val="22"/>
          <w:szCs w:val="22"/>
        </w:rPr>
        <w:t xml:space="preserve"> and T</w:t>
      </w:r>
      <w:r w:rsidRPr="004E2887">
        <w:rPr>
          <w:sz w:val="22"/>
          <w:szCs w:val="22"/>
          <w:vertAlign w:val="subscript"/>
        </w:rPr>
        <w:t>4</w:t>
      </w:r>
      <w:r w:rsidRPr="004E2887">
        <w:rPr>
          <w:sz w:val="22"/>
          <w:szCs w:val="22"/>
        </w:rPr>
        <w:t>. The red blood cells (RBCs) are responsible for the transportation of oxygen and carbon dioxide in the blood, hence higher values indicate a greater potential for this function and a better state of health (Olugbemi et al., 2010). A low value of RBC observed in birds fed diets containing 30% TAPSM may be attributed to a high level of TAPSM in the diet or due to low quality of feed and protein deficiency (Awoniyi et al., 2000). The values for RBC obtained ranged from 4.23 (×10</w:t>
      </w:r>
      <w:r w:rsidRPr="004E2887">
        <w:rPr>
          <w:sz w:val="22"/>
          <w:szCs w:val="22"/>
          <w:vertAlign w:val="superscript"/>
        </w:rPr>
        <w:t>6</w:t>
      </w:r>
      <w:r w:rsidRPr="004E2887">
        <w:rPr>
          <w:sz w:val="22"/>
          <w:szCs w:val="22"/>
        </w:rPr>
        <w:t>/µl) in T</w:t>
      </w:r>
      <w:r w:rsidRPr="004E2887">
        <w:rPr>
          <w:sz w:val="22"/>
          <w:szCs w:val="22"/>
          <w:vertAlign w:val="subscript"/>
        </w:rPr>
        <w:t>1</w:t>
      </w:r>
      <w:r w:rsidRPr="004E2887">
        <w:rPr>
          <w:sz w:val="22"/>
          <w:szCs w:val="22"/>
        </w:rPr>
        <w:t xml:space="preserve"> to 3.99</w:t>
      </w:r>
      <w:r w:rsidR="002D729F">
        <w:rPr>
          <w:sz w:val="22"/>
          <w:szCs w:val="22"/>
        </w:rPr>
        <w:t xml:space="preserve"> </w:t>
      </w:r>
      <w:r w:rsidRPr="004E2887">
        <w:rPr>
          <w:sz w:val="22"/>
          <w:szCs w:val="22"/>
        </w:rPr>
        <w:t>(×10</w:t>
      </w:r>
      <w:r w:rsidRPr="004E2887">
        <w:rPr>
          <w:sz w:val="22"/>
          <w:szCs w:val="22"/>
          <w:vertAlign w:val="superscript"/>
        </w:rPr>
        <w:t>6</w:t>
      </w:r>
      <w:r w:rsidRPr="004E2887">
        <w:rPr>
          <w:sz w:val="22"/>
          <w:szCs w:val="22"/>
        </w:rPr>
        <w:t>/µl) in T</w:t>
      </w:r>
      <w:r w:rsidRPr="004E2887">
        <w:rPr>
          <w:sz w:val="22"/>
          <w:szCs w:val="22"/>
          <w:vertAlign w:val="subscript"/>
        </w:rPr>
        <w:t>4</w:t>
      </w:r>
      <w:r w:rsidRPr="004E2887">
        <w:rPr>
          <w:sz w:val="22"/>
          <w:szCs w:val="22"/>
        </w:rPr>
        <w:t>. The values obtained in this study were within the normal reference values of 2.0–4.0 reported for chickens (Banerjee, 2005).</w:t>
      </w:r>
    </w:p>
    <w:p w:rsidR="00FC60F3" w:rsidRPr="004E2887" w:rsidRDefault="00FC60F3" w:rsidP="004E2887">
      <w:pPr>
        <w:ind w:firstLine="426"/>
        <w:jc w:val="both"/>
        <w:rPr>
          <w:sz w:val="22"/>
          <w:szCs w:val="22"/>
        </w:rPr>
      </w:pPr>
      <w:r w:rsidRPr="004E2887">
        <w:rPr>
          <w:sz w:val="22"/>
          <w:szCs w:val="22"/>
        </w:rPr>
        <w:t>The haemoglobin values obtained ranged from 7.63g/dl in T</w:t>
      </w:r>
      <w:r w:rsidRPr="004E2887">
        <w:rPr>
          <w:sz w:val="22"/>
          <w:szCs w:val="22"/>
          <w:vertAlign w:val="subscript"/>
        </w:rPr>
        <w:t>4</w:t>
      </w:r>
      <w:r w:rsidRPr="004E2887">
        <w:rPr>
          <w:sz w:val="22"/>
          <w:szCs w:val="22"/>
        </w:rPr>
        <w:t xml:space="preserve"> to 10.20g/dl in T</w:t>
      </w:r>
      <w:r w:rsidRPr="004E2887">
        <w:rPr>
          <w:sz w:val="22"/>
          <w:szCs w:val="22"/>
          <w:vertAlign w:val="subscript"/>
        </w:rPr>
        <w:t>1</w:t>
      </w:r>
      <w:r w:rsidRPr="004E2887">
        <w:rPr>
          <w:sz w:val="22"/>
          <w:szCs w:val="22"/>
        </w:rPr>
        <w:t>. Treatment T</w:t>
      </w:r>
      <w:r w:rsidRPr="004E2887">
        <w:rPr>
          <w:sz w:val="22"/>
          <w:szCs w:val="22"/>
          <w:vertAlign w:val="subscript"/>
        </w:rPr>
        <w:t>1</w:t>
      </w:r>
      <w:r w:rsidRPr="004E2887">
        <w:rPr>
          <w:sz w:val="22"/>
          <w:szCs w:val="22"/>
        </w:rPr>
        <w:t xml:space="preserve"> had the highest value which was significantly (P&lt;0.05) different from T</w:t>
      </w:r>
      <w:r w:rsidRPr="004E2887">
        <w:rPr>
          <w:sz w:val="22"/>
          <w:szCs w:val="22"/>
          <w:vertAlign w:val="subscript"/>
        </w:rPr>
        <w:t>2</w:t>
      </w:r>
      <w:r w:rsidRPr="004E2887">
        <w:rPr>
          <w:sz w:val="22"/>
          <w:szCs w:val="22"/>
        </w:rPr>
        <w:t>, T</w:t>
      </w:r>
      <w:r w:rsidRPr="004E2887">
        <w:rPr>
          <w:sz w:val="22"/>
          <w:szCs w:val="22"/>
          <w:vertAlign w:val="subscript"/>
        </w:rPr>
        <w:t>3</w:t>
      </w:r>
      <w:r w:rsidRPr="004E2887">
        <w:rPr>
          <w:sz w:val="22"/>
          <w:szCs w:val="22"/>
        </w:rPr>
        <w:t xml:space="preserve"> and T</w:t>
      </w:r>
      <w:r w:rsidRPr="004E2887">
        <w:rPr>
          <w:sz w:val="22"/>
          <w:szCs w:val="22"/>
          <w:vertAlign w:val="subscript"/>
        </w:rPr>
        <w:t>4</w:t>
      </w:r>
      <w:r w:rsidRPr="004E2887">
        <w:rPr>
          <w:sz w:val="22"/>
          <w:szCs w:val="22"/>
        </w:rPr>
        <w:t>. Haemoglobin values decreased as the level of TAPSM in the diet increased. The results fall within the recommended haemoglobin concentration of 7</w:t>
      </w:r>
      <w:r w:rsidR="004E2887" w:rsidRPr="004E2887">
        <w:rPr>
          <w:rFonts w:ascii="Cambria Math" w:hAnsi="Cambria Math"/>
          <w:sz w:val="22"/>
          <w:szCs w:val="22"/>
        </w:rPr>
        <w:t>‒</w:t>
      </w:r>
      <w:r w:rsidRPr="004E2887">
        <w:rPr>
          <w:sz w:val="22"/>
          <w:szCs w:val="22"/>
        </w:rPr>
        <w:t>18.6g/dl for healthy birds (Pellet and Young, 1980). A reduction in the haemoglobin values obtained in birds fed diets 3</w:t>
      </w:r>
      <w:r w:rsidR="002D729F">
        <w:rPr>
          <w:sz w:val="22"/>
          <w:szCs w:val="22"/>
        </w:rPr>
        <w:t xml:space="preserve"> </w:t>
      </w:r>
      <w:r w:rsidRPr="004E2887">
        <w:rPr>
          <w:sz w:val="22"/>
          <w:szCs w:val="22"/>
        </w:rPr>
        <w:t>(20% TAPSM) and 4</w:t>
      </w:r>
      <w:r w:rsidR="002D729F">
        <w:rPr>
          <w:sz w:val="22"/>
          <w:szCs w:val="22"/>
        </w:rPr>
        <w:t xml:space="preserve"> </w:t>
      </w:r>
      <w:r w:rsidRPr="004E2887">
        <w:rPr>
          <w:sz w:val="22"/>
          <w:szCs w:val="22"/>
        </w:rPr>
        <w:t>(30%TAPSM) indicated a possibility of poorer transportation of oxygen from the respiratory organs to peripheral tissues and carbon dioxide for excretion (Murray, 2009).</w:t>
      </w:r>
    </w:p>
    <w:p w:rsidR="00FC60F3" w:rsidRPr="004E2887" w:rsidRDefault="00FC60F3" w:rsidP="004E2887">
      <w:pPr>
        <w:ind w:firstLine="426"/>
        <w:jc w:val="both"/>
        <w:rPr>
          <w:sz w:val="22"/>
          <w:szCs w:val="22"/>
        </w:rPr>
      </w:pPr>
      <w:r w:rsidRPr="004E2887">
        <w:rPr>
          <w:sz w:val="22"/>
          <w:szCs w:val="22"/>
        </w:rPr>
        <w:lastRenderedPageBreak/>
        <w:t>Mean corpuscular volume (MCV) values obtained were: 6.97 fl for T</w:t>
      </w:r>
      <w:r w:rsidRPr="004E2887">
        <w:rPr>
          <w:sz w:val="22"/>
          <w:szCs w:val="22"/>
          <w:vertAlign w:val="subscript"/>
        </w:rPr>
        <w:t>1</w:t>
      </w:r>
      <w:r w:rsidRPr="004E2887">
        <w:rPr>
          <w:sz w:val="22"/>
          <w:szCs w:val="22"/>
        </w:rPr>
        <w:t>, 65.25 fl for T</w:t>
      </w:r>
      <w:r w:rsidRPr="004E2887">
        <w:rPr>
          <w:sz w:val="22"/>
          <w:szCs w:val="22"/>
          <w:vertAlign w:val="subscript"/>
        </w:rPr>
        <w:t>2</w:t>
      </w:r>
      <w:r w:rsidRPr="004E2887">
        <w:rPr>
          <w:sz w:val="22"/>
          <w:szCs w:val="22"/>
        </w:rPr>
        <w:t>, 64.16 fl for T</w:t>
      </w:r>
      <w:r w:rsidRPr="004E2887">
        <w:rPr>
          <w:sz w:val="22"/>
          <w:szCs w:val="22"/>
          <w:vertAlign w:val="subscript"/>
        </w:rPr>
        <w:t>3</w:t>
      </w:r>
      <w:r w:rsidRPr="004E2887">
        <w:rPr>
          <w:sz w:val="22"/>
          <w:szCs w:val="22"/>
        </w:rPr>
        <w:t xml:space="preserve"> and 63.15 fl for T</w:t>
      </w:r>
      <w:r w:rsidRPr="004E2887">
        <w:rPr>
          <w:sz w:val="22"/>
          <w:szCs w:val="22"/>
          <w:vertAlign w:val="subscript"/>
        </w:rPr>
        <w:t>4</w:t>
      </w:r>
      <w:r w:rsidRPr="004E2887">
        <w:rPr>
          <w:sz w:val="22"/>
          <w:szCs w:val="22"/>
        </w:rPr>
        <w:t>. There was no significant (P&gt;0.05) difference between T</w:t>
      </w:r>
      <w:r w:rsidRPr="004E2887">
        <w:rPr>
          <w:sz w:val="22"/>
          <w:szCs w:val="22"/>
          <w:vertAlign w:val="subscript"/>
        </w:rPr>
        <w:t>1</w:t>
      </w:r>
      <w:r w:rsidRPr="004E2887">
        <w:rPr>
          <w:sz w:val="22"/>
          <w:szCs w:val="22"/>
        </w:rPr>
        <w:t xml:space="preserve"> and T</w:t>
      </w:r>
      <w:r w:rsidRPr="004E2887">
        <w:rPr>
          <w:sz w:val="22"/>
          <w:szCs w:val="22"/>
          <w:vertAlign w:val="subscript"/>
        </w:rPr>
        <w:t>2</w:t>
      </w:r>
      <w:r w:rsidRPr="004E2887">
        <w:rPr>
          <w:sz w:val="22"/>
          <w:szCs w:val="22"/>
        </w:rPr>
        <w:t xml:space="preserve"> but they differed significantly (P&lt;0.05) from T</w:t>
      </w:r>
      <w:r w:rsidRPr="004E2887">
        <w:rPr>
          <w:sz w:val="22"/>
          <w:szCs w:val="22"/>
          <w:vertAlign w:val="subscript"/>
        </w:rPr>
        <w:t xml:space="preserve">3 </w:t>
      </w:r>
      <w:r w:rsidRPr="004E2887">
        <w:rPr>
          <w:sz w:val="22"/>
          <w:szCs w:val="22"/>
        </w:rPr>
        <w:t>and T</w:t>
      </w:r>
      <w:r w:rsidRPr="004E2887">
        <w:rPr>
          <w:sz w:val="22"/>
          <w:szCs w:val="22"/>
          <w:vertAlign w:val="subscript"/>
        </w:rPr>
        <w:t>4</w:t>
      </w:r>
      <w:r w:rsidRPr="004E2887">
        <w:rPr>
          <w:sz w:val="22"/>
          <w:szCs w:val="22"/>
        </w:rPr>
        <w:t xml:space="preserve"> which were similar (P&gt;0.05). The values obtained were higher than the values reported in literature (Oko et al., 2011).</w:t>
      </w:r>
    </w:p>
    <w:p w:rsidR="00FC60F3" w:rsidRPr="004E2887" w:rsidRDefault="00FC60F3" w:rsidP="004E2887">
      <w:pPr>
        <w:ind w:firstLine="426"/>
        <w:jc w:val="both"/>
        <w:rPr>
          <w:sz w:val="22"/>
          <w:szCs w:val="22"/>
        </w:rPr>
      </w:pPr>
      <w:r w:rsidRPr="004E2887">
        <w:rPr>
          <w:sz w:val="22"/>
          <w:szCs w:val="22"/>
        </w:rPr>
        <w:t>Mean corpuscular haemoglobin (MCH) values showed significant (P&lt;0.05) differences among the treatments. The values obtained decreased as the level of TAPSM in the diets increased from 0 to 10%. Values of MCH in this study were below the range of 53</w:t>
      </w:r>
      <w:r w:rsidRPr="004E2887">
        <w:rPr>
          <w:rFonts w:ascii="Cambria Math" w:hAnsi="Cambria Math"/>
          <w:sz w:val="22"/>
          <w:szCs w:val="22"/>
        </w:rPr>
        <w:t>‒</w:t>
      </w:r>
      <w:r w:rsidRPr="004E2887">
        <w:rPr>
          <w:sz w:val="22"/>
          <w:szCs w:val="22"/>
        </w:rPr>
        <w:t>97 pg reported in literature (Orwa et al., 2009). Since MCH is an indicator of the oxygen carrying ability of the RBC (Ugwuene, 2011), the blood of the birds fed diets 1 (0%) and 2 (10%) may be more efficient than the blood of others in performing respiratory functions.</w:t>
      </w:r>
    </w:p>
    <w:p w:rsidR="00FC60F3" w:rsidRPr="004E2887" w:rsidRDefault="00FC60F3" w:rsidP="004E2887">
      <w:pPr>
        <w:ind w:firstLine="426"/>
        <w:jc w:val="both"/>
        <w:rPr>
          <w:sz w:val="22"/>
          <w:szCs w:val="22"/>
        </w:rPr>
      </w:pPr>
      <w:r w:rsidRPr="004E2887">
        <w:rPr>
          <w:sz w:val="22"/>
          <w:szCs w:val="22"/>
        </w:rPr>
        <w:t>The mean corpuscular haemoglobin concentration (MCHC) values were 35.66% for T</w:t>
      </w:r>
      <w:r w:rsidRPr="004E2887">
        <w:rPr>
          <w:sz w:val="22"/>
          <w:szCs w:val="22"/>
          <w:vertAlign w:val="subscript"/>
        </w:rPr>
        <w:t>1</w:t>
      </w:r>
      <w:r w:rsidRPr="004E2887">
        <w:rPr>
          <w:sz w:val="22"/>
          <w:szCs w:val="22"/>
        </w:rPr>
        <w:t>, 34.59% for T</w:t>
      </w:r>
      <w:r w:rsidRPr="004E2887">
        <w:rPr>
          <w:sz w:val="22"/>
          <w:szCs w:val="22"/>
          <w:vertAlign w:val="subscript"/>
        </w:rPr>
        <w:t>2</w:t>
      </w:r>
      <w:r w:rsidRPr="004E2887">
        <w:rPr>
          <w:sz w:val="22"/>
          <w:szCs w:val="22"/>
        </w:rPr>
        <w:t>, 33.59% for T</w:t>
      </w:r>
      <w:r w:rsidRPr="004E2887">
        <w:rPr>
          <w:sz w:val="22"/>
          <w:szCs w:val="22"/>
          <w:vertAlign w:val="subscript"/>
        </w:rPr>
        <w:t>3</w:t>
      </w:r>
      <w:r w:rsidRPr="004E2887">
        <w:rPr>
          <w:sz w:val="22"/>
          <w:szCs w:val="22"/>
        </w:rPr>
        <w:t xml:space="preserve"> and 30.27% for T</w:t>
      </w:r>
      <w:r w:rsidRPr="004E2887">
        <w:rPr>
          <w:sz w:val="22"/>
          <w:szCs w:val="22"/>
          <w:vertAlign w:val="subscript"/>
        </w:rPr>
        <w:t>4</w:t>
      </w:r>
      <w:r w:rsidRPr="004E2887">
        <w:rPr>
          <w:sz w:val="22"/>
          <w:szCs w:val="22"/>
        </w:rPr>
        <w:t xml:space="preserve">. The values decreased significantly (P&lt;0.05) as the level of TAPSM increased in the diet, which is an indication of the presence of anti-nutrients in the experimental diets, which invariably had an adverse effect on blood formation. </w:t>
      </w:r>
    </w:p>
    <w:p w:rsidR="00FC60F3" w:rsidRPr="004E2887" w:rsidRDefault="00FC60F3" w:rsidP="004E2887">
      <w:pPr>
        <w:ind w:firstLine="426"/>
        <w:jc w:val="both"/>
        <w:rPr>
          <w:sz w:val="22"/>
          <w:szCs w:val="22"/>
        </w:rPr>
      </w:pPr>
      <w:r w:rsidRPr="004E2887">
        <w:rPr>
          <w:sz w:val="22"/>
          <w:szCs w:val="22"/>
        </w:rPr>
        <w:t>Bioche</w:t>
      </w:r>
      <w:r w:rsidRPr="00DA1FFD">
        <w:rPr>
          <w:sz w:val="22"/>
          <w:szCs w:val="22"/>
        </w:rPr>
        <w:t>mical parameters of finisher broilers fed graded levels of TAPSM are presented in Table 4. S</w:t>
      </w:r>
      <w:r w:rsidRPr="004E2887">
        <w:rPr>
          <w:sz w:val="22"/>
          <w:szCs w:val="22"/>
        </w:rPr>
        <w:t>erum biochemistry is a generalized medium of assessing the health status of animals (Frandson, 1981). There were significant differences (P&lt;0.05) in the biochemical parameters measured in this study.</w:t>
      </w:r>
    </w:p>
    <w:p w:rsidR="00FC60F3" w:rsidRPr="00DA1FFD" w:rsidRDefault="00FC60F3" w:rsidP="004E2887">
      <w:pPr>
        <w:jc w:val="both"/>
      </w:pPr>
    </w:p>
    <w:p w:rsidR="00FC60F3" w:rsidRDefault="00FC60F3" w:rsidP="004E2887">
      <w:pPr>
        <w:jc w:val="both"/>
        <w:rPr>
          <w:sz w:val="22"/>
          <w:szCs w:val="22"/>
        </w:rPr>
      </w:pPr>
      <w:r w:rsidRPr="004E2887">
        <w:rPr>
          <w:sz w:val="22"/>
          <w:szCs w:val="22"/>
        </w:rPr>
        <w:t>Table 4. Biochemical parameters of finisher broilers fed diets containing graded levels of TAPSM.</w:t>
      </w:r>
    </w:p>
    <w:p w:rsidR="004E2887" w:rsidRPr="00DA1FFD" w:rsidRDefault="004E2887" w:rsidP="004E2887">
      <w:pPr>
        <w:jc w:val="both"/>
      </w:pPr>
    </w:p>
    <w:tbl>
      <w:tblPr>
        <w:tblW w:w="7371" w:type="dxa"/>
        <w:jc w:val="center"/>
        <w:tblBorders>
          <w:top w:val="single" w:sz="4" w:space="0" w:color="auto"/>
          <w:bottom w:val="single" w:sz="4" w:space="0" w:color="auto"/>
        </w:tblBorders>
        <w:tblCellMar>
          <w:left w:w="28" w:type="dxa"/>
          <w:right w:w="28" w:type="dxa"/>
        </w:tblCellMar>
        <w:tblLook w:val="04A0"/>
      </w:tblPr>
      <w:tblGrid>
        <w:gridCol w:w="2352"/>
        <w:gridCol w:w="1063"/>
        <w:gridCol w:w="1064"/>
        <w:gridCol w:w="1063"/>
        <w:gridCol w:w="1064"/>
        <w:gridCol w:w="765"/>
      </w:tblGrid>
      <w:tr w:rsidR="004E2887" w:rsidRPr="004E2887" w:rsidTr="00DA1FFD">
        <w:trPr>
          <w:trHeight w:val="215"/>
          <w:jc w:val="center"/>
        </w:trPr>
        <w:tc>
          <w:tcPr>
            <w:tcW w:w="2306" w:type="dxa"/>
            <w:vMerge w:val="restart"/>
            <w:tcBorders>
              <w:top w:val="single" w:sz="4" w:space="0" w:color="auto"/>
            </w:tcBorders>
            <w:shd w:val="clear" w:color="auto" w:fill="auto"/>
            <w:vAlign w:val="center"/>
          </w:tcPr>
          <w:p w:rsidR="004E2887" w:rsidRPr="004E2887" w:rsidRDefault="004E2887" w:rsidP="004E2887">
            <w:pPr>
              <w:rPr>
                <w:sz w:val="18"/>
                <w:szCs w:val="18"/>
              </w:rPr>
            </w:pPr>
            <w:r w:rsidRPr="004E2887">
              <w:rPr>
                <w:sz w:val="18"/>
                <w:szCs w:val="18"/>
              </w:rPr>
              <w:t>Parameter</w:t>
            </w:r>
          </w:p>
        </w:tc>
        <w:tc>
          <w:tcPr>
            <w:tcW w:w="4924" w:type="dxa"/>
            <w:gridSpan w:val="5"/>
            <w:tcBorders>
              <w:top w:val="single" w:sz="4" w:space="0" w:color="auto"/>
              <w:bottom w:val="nil"/>
            </w:tcBorders>
            <w:shd w:val="clear" w:color="auto" w:fill="auto"/>
            <w:vAlign w:val="center"/>
          </w:tcPr>
          <w:p w:rsidR="004E2887" w:rsidRPr="004E2887" w:rsidRDefault="004E2887" w:rsidP="004E2887">
            <w:pPr>
              <w:jc w:val="center"/>
              <w:rPr>
                <w:sz w:val="18"/>
                <w:szCs w:val="18"/>
              </w:rPr>
            </w:pPr>
            <w:r w:rsidRPr="004E2887">
              <w:rPr>
                <w:sz w:val="18"/>
                <w:szCs w:val="18"/>
              </w:rPr>
              <w:t>Level of inclusion of TAPSM (%)</w:t>
            </w:r>
          </w:p>
        </w:tc>
      </w:tr>
      <w:tr w:rsidR="004E2887" w:rsidRPr="004E2887" w:rsidTr="00DA1FFD">
        <w:trPr>
          <w:trHeight w:val="215"/>
          <w:jc w:val="center"/>
        </w:trPr>
        <w:tc>
          <w:tcPr>
            <w:tcW w:w="2306" w:type="dxa"/>
            <w:vMerge/>
            <w:tcBorders>
              <w:bottom w:val="single" w:sz="4" w:space="0" w:color="auto"/>
            </w:tcBorders>
            <w:shd w:val="clear" w:color="auto" w:fill="auto"/>
          </w:tcPr>
          <w:p w:rsidR="004E2887" w:rsidRPr="004E2887" w:rsidRDefault="004E2887" w:rsidP="004C795C">
            <w:pPr>
              <w:jc w:val="both"/>
              <w:rPr>
                <w:sz w:val="18"/>
                <w:szCs w:val="18"/>
              </w:rPr>
            </w:pPr>
          </w:p>
        </w:tc>
        <w:tc>
          <w:tcPr>
            <w:tcW w:w="1043" w:type="dxa"/>
            <w:tcBorders>
              <w:top w:val="nil"/>
              <w:bottom w:val="single" w:sz="4" w:space="0" w:color="auto"/>
            </w:tcBorders>
            <w:shd w:val="clear" w:color="auto" w:fill="auto"/>
            <w:vAlign w:val="center"/>
          </w:tcPr>
          <w:p w:rsidR="004E2887" w:rsidRPr="004E2887" w:rsidRDefault="004E2887" w:rsidP="004E2887">
            <w:pPr>
              <w:ind w:left="-207" w:right="347"/>
              <w:jc w:val="right"/>
              <w:rPr>
                <w:sz w:val="18"/>
                <w:szCs w:val="18"/>
              </w:rPr>
            </w:pPr>
            <w:r w:rsidRPr="004E2887">
              <w:rPr>
                <w:sz w:val="18"/>
                <w:szCs w:val="18"/>
              </w:rPr>
              <w:t>T1 (0)</w:t>
            </w:r>
          </w:p>
        </w:tc>
        <w:tc>
          <w:tcPr>
            <w:tcW w:w="1044" w:type="dxa"/>
            <w:tcBorders>
              <w:top w:val="nil"/>
              <w:bottom w:val="single" w:sz="4" w:space="0" w:color="auto"/>
            </w:tcBorders>
            <w:shd w:val="clear" w:color="auto" w:fill="auto"/>
            <w:vAlign w:val="center"/>
          </w:tcPr>
          <w:p w:rsidR="004E2887" w:rsidRPr="004E2887" w:rsidRDefault="004E2887" w:rsidP="004E2887">
            <w:pPr>
              <w:ind w:left="-207" w:right="347"/>
              <w:jc w:val="right"/>
              <w:rPr>
                <w:sz w:val="18"/>
                <w:szCs w:val="18"/>
              </w:rPr>
            </w:pPr>
            <w:r w:rsidRPr="004E2887">
              <w:rPr>
                <w:sz w:val="18"/>
                <w:szCs w:val="18"/>
              </w:rPr>
              <w:t>T2 (10)</w:t>
            </w:r>
          </w:p>
        </w:tc>
        <w:tc>
          <w:tcPr>
            <w:tcW w:w="1043" w:type="dxa"/>
            <w:tcBorders>
              <w:top w:val="nil"/>
              <w:bottom w:val="single" w:sz="4" w:space="0" w:color="auto"/>
            </w:tcBorders>
            <w:shd w:val="clear" w:color="auto" w:fill="auto"/>
            <w:vAlign w:val="center"/>
          </w:tcPr>
          <w:p w:rsidR="004E2887" w:rsidRPr="004E2887" w:rsidRDefault="004E2887" w:rsidP="004E2887">
            <w:pPr>
              <w:ind w:left="-207" w:right="347"/>
              <w:jc w:val="right"/>
              <w:rPr>
                <w:sz w:val="18"/>
                <w:szCs w:val="18"/>
              </w:rPr>
            </w:pPr>
            <w:r w:rsidRPr="004E2887">
              <w:rPr>
                <w:sz w:val="18"/>
                <w:szCs w:val="18"/>
              </w:rPr>
              <w:t>T3 (20)</w:t>
            </w:r>
          </w:p>
        </w:tc>
        <w:tc>
          <w:tcPr>
            <w:tcW w:w="1044" w:type="dxa"/>
            <w:tcBorders>
              <w:top w:val="nil"/>
              <w:bottom w:val="single" w:sz="4" w:space="0" w:color="auto"/>
            </w:tcBorders>
            <w:shd w:val="clear" w:color="auto" w:fill="auto"/>
            <w:vAlign w:val="center"/>
          </w:tcPr>
          <w:p w:rsidR="004E2887" w:rsidRPr="004E2887" w:rsidRDefault="004E2887" w:rsidP="004E2887">
            <w:pPr>
              <w:ind w:left="-207" w:right="347"/>
              <w:jc w:val="right"/>
              <w:rPr>
                <w:sz w:val="18"/>
                <w:szCs w:val="18"/>
              </w:rPr>
            </w:pPr>
            <w:r w:rsidRPr="004E2887">
              <w:rPr>
                <w:sz w:val="18"/>
                <w:szCs w:val="18"/>
              </w:rPr>
              <w:t>T4 (30%)</w:t>
            </w:r>
          </w:p>
        </w:tc>
        <w:tc>
          <w:tcPr>
            <w:tcW w:w="750" w:type="dxa"/>
            <w:tcBorders>
              <w:top w:val="nil"/>
              <w:bottom w:val="single" w:sz="4" w:space="0" w:color="auto"/>
            </w:tcBorders>
            <w:shd w:val="clear" w:color="auto" w:fill="auto"/>
            <w:vAlign w:val="center"/>
          </w:tcPr>
          <w:p w:rsidR="004E2887" w:rsidRPr="004E2887" w:rsidRDefault="004E2887" w:rsidP="004E2887">
            <w:pPr>
              <w:ind w:left="-207" w:right="347"/>
              <w:jc w:val="right"/>
              <w:rPr>
                <w:sz w:val="18"/>
                <w:szCs w:val="18"/>
              </w:rPr>
            </w:pPr>
            <w:r w:rsidRPr="004E2887">
              <w:rPr>
                <w:sz w:val="18"/>
                <w:szCs w:val="18"/>
              </w:rPr>
              <w:t>SEM</w:t>
            </w:r>
          </w:p>
        </w:tc>
      </w:tr>
      <w:tr w:rsidR="00FC60F3" w:rsidRPr="004E2887" w:rsidTr="00DA1FFD">
        <w:trPr>
          <w:trHeight w:val="215"/>
          <w:jc w:val="center"/>
        </w:trPr>
        <w:tc>
          <w:tcPr>
            <w:tcW w:w="2306" w:type="dxa"/>
            <w:tcBorders>
              <w:top w:val="single" w:sz="4" w:space="0" w:color="auto"/>
              <w:bottom w:val="nil"/>
            </w:tcBorders>
            <w:shd w:val="clear" w:color="auto" w:fill="auto"/>
            <w:vAlign w:val="center"/>
          </w:tcPr>
          <w:p w:rsidR="00FC60F3" w:rsidRPr="004E2887" w:rsidRDefault="00FC60F3" w:rsidP="004E2887">
            <w:pPr>
              <w:rPr>
                <w:sz w:val="18"/>
                <w:szCs w:val="18"/>
              </w:rPr>
            </w:pPr>
            <w:r w:rsidRPr="004E2887">
              <w:rPr>
                <w:sz w:val="18"/>
                <w:szCs w:val="18"/>
              </w:rPr>
              <w:t>Urea (mg/dl)</w:t>
            </w:r>
          </w:p>
        </w:tc>
        <w:tc>
          <w:tcPr>
            <w:tcW w:w="1043" w:type="dxa"/>
            <w:tcBorders>
              <w:top w:val="single" w:sz="4" w:space="0" w:color="auto"/>
              <w:bottom w:val="nil"/>
            </w:tcBorders>
            <w:shd w:val="clear" w:color="auto" w:fill="auto"/>
            <w:vAlign w:val="center"/>
          </w:tcPr>
          <w:p w:rsidR="00FC60F3" w:rsidRPr="004E2887" w:rsidRDefault="00FC60F3" w:rsidP="004E2887">
            <w:pPr>
              <w:ind w:left="-207" w:right="347"/>
              <w:jc w:val="right"/>
              <w:rPr>
                <w:sz w:val="18"/>
                <w:szCs w:val="18"/>
              </w:rPr>
            </w:pPr>
            <w:r w:rsidRPr="004E2887">
              <w:rPr>
                <w:sz w:val="18"/>
                <w:szCs w:val="18"/>
              </w:rPr>
              <w:t>4.00</w:t>
            </w:r>
            <w:r w:rsidRPr="004E2887">
              <w:rPr>
                <w:sz w:val="18"/>
                <w:szCs w:val="18"/>
                <w:vertAlign w:val="superscript"/>
              </w:rPr>
              <w:t>b</w:t>
            </w:r>
          </w:p>
        </w:tc>
        <w:tc>
          <w:tcPr>
            <w:tcW w:w="1044" w:type="dxa"/>
            <w:tcBorders>
              <w:top w:val="single" w:sz="4" w:space="0" w:color="auto"/>
              <w:bottom w:val="nil"/>
            </w:tcBorders>
            <w:shd w:val="clear" w:color="auto" w:fill="auto"/>
            <w:vAlign w:val="center"/>
          </w:tcPr>
          <w:p w:rsidR="00FC60F3" w:rsidRPr="004E2887" w:rsidRDefault="00FC60F3" w:rsidP="004E2887">
            <w:pPr>
              <w:ind w:left="-207" w:right="347"/>
              <w:jc w:val="right"/>
              <w:rPr>
                <w:sz w:val="18"/>
                <w:szCs w:val="18"/>
              </w:rPr>
            </w:pPr>
            <w:r w:rsidRPr="004E2887">
              <w:rPr>
                <w:sz w:val="18"/>
                <w:szCs w:val="18"/>
              </w:rPr>
              <w:t>5.00</w:t>
            </w:r>
            <w:r w:rsidRPr="004E2887">
              <w:rPr>
                <w:sz w:val="18"/>
                <w:szCs w:val="18"/>
                <w:vertAlign w:val="superscript"/>
              </w:rPr>
              <w:t>b</w:t>
            </w:r>
          </w:p>
        </w:tc>
        <w:tc>
          <w:tcPr>
            <w:tcW w:w="1043" w:type="dxa"/>
            <w:tcBorders>
              <w:top w:val="single" w:sz="4" w:space="0" w:color="auto"/>
              <w:bottom w:val="nil"/>
            </w:tcBorders>
            <w:shd w:val="clear" w:color="auto" w:fill="auto"/>
            <w:vAlign w:val="center"/>
          </w:tcPr>
          <w:p w:rsidR="00FC60F3" w:rsidRPr="004E2887" w:rsidRDefault="00FC60F3" w:rsidP="004E2887">
            <w:pPr>
              <w:ind w:left="-207" w:right="347"/>
              <w:jc w:val="right"/>
              <w:rPr>
                <w:sz w:val="18"/>
                <w:szCs w:val="18"/>
              </w:rPr>
            </w:pPr>
            <w:r w:rsidRPr="004E2887">
              <w:rPr>
                <w:sz w:val="18"/>
                <w:szCs w:val="18"/>
              </w:rPr>
              <w:t>6.67</w:t>
            </w:r>
            <w:r w:rsidRPr="004E2887">
              <w:rPr>
                <w:sz w:val="18"/>
                <w:szCs w:val="18"/>
                <w:vertAlign w:val="superscript"/>
              </w:rPr>
              <w:t>b</w:t>
            </w:r>
          </w:p>
        </w:tc>
        <w:tc>
          <w:tcPr>
            <w:tcW w:w="1044" w:type="dxa"/>
            <w:tcBorders>
              <w:top w:val="single" w:sz="4" w:space="0" w:color="auto"/>
              <w:bottom w:val="nil"/>
            </w:tcBorders>
            <w:shd w:val="clear" w:color="auto" w:fill="auto"/>
            <w:vAlign w:val="center"/>
          </w:tcPr>
          <w:p w:rsidR="00FC60F3" w:rsidRPr="004E2887" w:rsidRDefault="00FC60F3" w:rsidP="004E2887">
            <w:pPr>
              <w:ind w:left="-207" w:right="347"/>
              <w:jc w:val="right"/>
              <w:rPr>
                <w:sz w:val="18"/>
                <w:szCs w:val="18"/>
              </w:rPr>
            </w:pPr>
            <w:r w:rsidRPr="004E2887">
              <w:rPr>
                <w:sz w:val="18"/>
                <w:szCs w:val="18"/>
              </w:rPr>
              <w:t>10.00</w:t>
            </w:r>
            <w:r w:rsidRPr="004E2887">
              <w:rPr>
                <w:sz w:val="18"/>
                <w:szCs w:val="18"/>
                <w:vertAlign w:val="superscript"/>
              </w:rPr>
              <w:t>a</w:t>
            </w:r>
          </w:p>
        </w:tc>
        <w:tc>
          <w:tcPr>
            <w:tcW w:w="750" w:type="dxa"/>
            <w:tcBorders>
              <w:top w:val="single" w:sz="4" w:space="0" w:color="auto"/>
              <w:bottom w:val="nil"/>
            </w:tcBorders>
            <w:shd w:val="clear" w:color="auto" w:fill="auto"/>
            <w:vAlign w:val="center"/>
          </w:tcPr>
          <w:p w:rsidR="00FC60F3" w:rsidRPr="004E2887" w:rsidRDefault="00FC60F3" w:rsidP="004E2887">
            <w:pPr>
              <w:ind w:left="-207" w:right="347"/>
              <w:jc w:val="right"/>
              <w:rPr>
                <w:sz w:val="18"/>
                <w:szCs w:val="18"/>
              </w:rPr>
            </w:pPr>
            <w:r w:rsidRPr="004E2887">
              <w:rPr>
                <w:sz w:val="18"/>
                <w:szCs w:val="18"/>
              </w:rPr>
              <w:t>1.86</w:t>
            </w:r>
          </w:p>
        </w:tc>
      </w:tr>
      <w:tr w:rsidR="00FC60F3" w:rsidRPr="004E2887" w:rsidTr="00DA1FFD">
        <w:trPr>
          <w:trHeight w:val="215"/>
          <w:jc w:val="center"/>
        </w:trPr>
        <w:tc>
          <w:tcPr>
            <w:tcW w:w="2306" w:type="dxa"/>
            <w:tcBorders>
              <w:top w:val="nil"/>
            </w:tcBorders>
            <w:shd w:val="clear" w:color="auto" w:fill="auto"/>
            <w:vAlign w:val="center"/>
          </w:tcPr>
          <w:p w:rsidR="00FC60F3" w:rsidRPr="004E2887" w:rsidRDefault="00FC60F3" w:rsidP="004E2887">
            <w:pPr>
              <w:rPr>
                <w:sz w:val="18"/>
                <w:szCs w:val="18"/>
              </w:rPr>
            </w:pPr>
            <w:r w:rsidRPr="004E2887">
              <w:rPr>
                <w:sz w:val="18"/>
                <w:szCs w:val="18"/>
              </w:rPr>
              <w:t>Creatinine (mg/dl)</w:t>
            </w:r>
          </w:p>
        </w:tc>
        <w:tc>
          <w:tcPr>
            <w:tcW w:w="1043" w:type="dxa"/>
            <w:tcBorders>
              <w:top w:val="nil"/>
            </w:tcBorders>
            <w:shd w:val="clear" w:color="auto" w:fill="auto"/>
            <w:vAlign w:val="center"/>
          </w:tcPr>
          <w:p w:rsidR="00FC60F3" w:rsidRPr="004E2887" w:rsidRDefault="00FC60F3" w:rsidP="004E2887">
            <w:pPr>
              <w:ind w:left="-207" w:right="347"/>
              <w:jc w:val="right"/>
              <w:rPr>
                <w:sz w:val="18"/>
                <w:szCs w:val="18"/>
              </w:rPr>
            </w:pPr>
            <w:r w:rsidRPr="004E2887">
              <w:rPr>
                <w:sz w:val="18"/>
                <w:szCs w:val="18"/>
              </w:rPr>
              <w:t>0.33</w:t>
            </w:r>
            <w:r w:rsidRPr="004E2887">
              <w:rPr>
                <w:sz w:val="18"/>
                <w:szCs w:val="18"/>
                <w:vertAlign w:val="superscript"/>
              </w:rPr>
              <w:t>b</w:t>
            </w:r>
          </w:p>
        </w:tc>
        <w:tc>
          <w:tcPr>
            <w:tcW w:w="1044" w:type="dxa"/>
            <w:tcBorders>
              <w:top w:val="nil"/>
            </w:tcBorders>
            <w:shd w:val="clear" w:color="auto" w:fill="auto"/>
            <w:vAlign w:val="center"/>
          </w:tcPr>
          <w:p w:rsidR="00FC60F3" w:rsidRPr="004E2887" w:rsidRDefault="00FC60F3" w:rsidP="004E2887">
            <w:pPr>
              <w:ind w:left="-207" w:right="347"/>
              <w:jc w:val="right"/>
              <w:rPr>
                <w:sz w:val="18"/>
                <w:szCs w:val="18"/>
              </w:rPr>
            </w:pPr>
            <w:r w:rsidRPr="004E2887">
              <w:rPr>
                <w:sz w:val="18"/>
                <w:szCs w:val="18"/>
              </w:rPr>
              <w:t>0.25</w:t>
            </w:r>
            <w:r w:rsidRPr="004E2887">
              <w:rPr>
                <w:sz w:val="18"/>
                <w:szCs w:val="18"/>
                <w:vertAlign w:val="superscript"/>
              </w:rPr>
              <w:t>c</w:t>
            </w:r>
          </w:p>
        </w:tc>
        <w:tc>
          <w:tcPr>
            <w:tcW w:w="1043" w:type="dxa"/>
            <w:tcBorders>
              <w:top w:val="nil"/>
            </w:tcBorders>
            <w:shd w:val="clear" w:color="auto" w:fill="auto"/>
            <w:vAlign w:val="center"/>
          </w:tcPr>
          <w:p w:rsidR="00FC60F3" w:rsidRPr="004E2887" w:rsidRDefault="00FC60F3" w:rsidP="004E2887">
            <w:pPr>
              <w:ind w:left="-207" w:right="347"/>
              <w:jc w:val="right"/>
              <w:rPr>
                <w:sz w:val="18"/>
                <w:szCs w:val="18"/>
              </w:rPr>
            </w:pPr>
            <w:r w:rsidRPr="004E2887">
              <w:rPr>
                <w:sz w:val="18"/>
                <w:szCs w:val="18"/>
              </w:rPr>
              <w:t>0.43</w:t>
            </w:r>
            <w:r w:rsidRPr="004E2887">
              <w:rPr>
                <w:sz w:val="18"/>
                <w:szCs w:val="18"/>
                <w:vertAlign w:val="superscript"/>
              </w:rPr>
              <w:t>a</w:t>
            </w:r>
          </w:p>
        </w:tc>
        <w:tc>
          <w:tcPr>
            <w:tcW w:w="1044" w:type="dxa"/>
            <w:tcBorders>
              <w:top w:val="nil"/>
            </w:tcBorders>
            <w:shd w:val="clear" w:color="auto" w:fill="auto"/>
            <w:vAlign w:val="center"/>
          </w:tcPr>
          <w:p w:rsidR="00FC60F3" w:rsidRPr="004E2887" w:rsidRDefault="00FC60F3" w:rsidP="004E2887">
            <w:pPr>
              <w:ind w:left="-207" w:right="347"/>
              <w:jc w:val="right"/>
              <w:rPr>
                <w:sz w:val="18"/>
                <w:szCs w:val="18"/>
              </w:rPr>
            </w:pPr>
            <w:r w:rsidRPr="004E2887">
              <w:rPr>
                <w:sz w:val="18"/>
                <w:szCs w:val="18"/>
              </w:rPr>
              <w:t>0.46</w:t>
            </w:r>
            <w:r w:rsidRPr="004E2887">
              <w:rPr>
                <w:sz w:val="18"/>
                <w:szCs w:val="18"/>
                <w:vertAlign w:val="superscript"/>
              </w:rPr>
              <w:t>a</w:t>
            </w:r>
          </w:p>
        </w:tc>
        <w:tc>
          <w:tcPr>
            <w:tcW w:w="750" w:type="dxa"/>
            <w:tcBorders>
              <w:top w:val="nil"/>
            </w:tcBorders>
            <w:shd w:val="clear" w:color="auto" w:fill="auto"/>
            <w:vAlign w:val="center"/>
          </w:tcPr>
          <w:p w:rsidR="00FC60F3" w:rsidRPr="004E2887" w:rsidRDefault="00FC60F3" w:rsidP="004E2887">
            <w:pPr>
              <w:ind w:left="-207" w:right="347"/>
              <w:jc w:val="right"/>
              <w:rPr>
                <w:sz w:val="18"/>
                <w:szCs w:val="18"/>
              </w:rPr>
            </w:pPr>
            <w:r w:rsidRPr="004E2887">
              <w:rPr>
                <w:sz w:val="18"/>
                <w:szCs w:val="18"/>
              </w:rPr>
              <w:t>0.04</w:t>
            </w:r>
          </w:p>
        </w:tc>
      </w:tr>
      <w:tr w:rsidR="00FC60F3" w:rsidRPr="004E2887" w:rsidTr="00DA1FFD">
        <w:trPr>
          <w:trHeight w:val="215"/>
          <w:jc w:val="center"/>
        </w:trPr>
        <w:tc>
          <w:tcPr>
            <w:tcW w:w="2306" w:type="dxa"/>
            <w:shd w:val="clear" w:color="auto" w:fill="auto"/>
            <w:vAlign w:val="center"/>
          </w:tcPr>
          <w:p w:rsidR="00FC60F3" w:rsidRPr="004E2887" w:rsidRDefault="00FC60F3" w:rsidP="004E2887">
            <w:pPr>
              <w:rPr>
                <w:sz w:val="18"/>
                <w:szCs w:val="18"/>
              </w:rPr>
            </w:pPr>
            <w:r w:rsidRPr="004E2887">
              <w:rPr>
                <w:sz w:val="18"/>
                <w:szCs w:val="18"/>
              </w:rPr>
              <w:t>Cholesterol (mg/dl)</w:t>
            </w:r>
          </w:p>
        </w:tc>
        <w:tc>
          <w:tcPr>
            <w:tcW w:w="1043"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149.67</w:t>
            </w:r>
            <w:r w:rsidRPr="004E2887">
              <w:rPr>
                <w:sz w:val="18"/>
                <w:szCs w:val="18"/>
                <w:vertAlign w:val="superscript"/>
              </w:rPr>
              <w:t>a</w:t>
            </w:r>
          </w:p>
        </w:tc>
        <w:tc>
          <w:tcPr>
            <w:tcW w:w="1044"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135.67</w:t>
            </w:r>
            <w:r w:rsidRPr="004E2887">
              <w:rPr>
                <w:sz w:val="18"/>
                <w:szCs w:val="18"/>
                <w:vertAlign w:val="superscript"/>
              </w:rPr>
              <w:t>b</w:t>
            </w:r>
          </w:p>
        </w:tc>
        <w:tc>
          <w:tcPr>
            <w:tcW w:w="1043"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113.67</w:t>
            </w:r>
            <w:r w:rsidRPr="004E2887">
              <w:rPr>
                <w:sz w:val="18"/>
                <w:szCs w:val="18"/>
                <w:vertAlign w:val="superscript"/>
              </w:rPr>
              <w:t>c</w:t>
            </w:r>
          </w:p>
        </w:tc>
        <w:tc>
          <w:tcPr>
            <w:tcW w:w="1044"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102.67</w:t>
            </w:r>
            <w:r w:rsidRPr="004E2887">
              <w:rPr>
                <w:sz w:val="18"/>
                <w:szCs w:val="18"/>
                <w:vertAlign w:val="superscript"/>
              </w:rPr>
              <w:t>d</w:t>
            </w:r>
          </w:p>
        </w:tc>
        <w:tc>
          <w:tcPr>
            <w:tcW w:w="750"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9.87</w:t>
            </w:r>
          </w:p>
        </w:tc>
      </w:tr>
      <w:tr w:rsidR="00FC60F3" w:rsidRPr="004E2887" w:rsidTr="00DA1FFD">
        <w:trPr>
          <w:trHeight w:val="215"/>
          <w:jc w:val="center"/>
        </w:trPr>
        <w:tc>
          <w:tcPr>
            <w:tcW w:w="2306" w:type="dxa"/>
            <w:shd w:val="clear" w:color="auto" w:fill="auto"/>
            <w:vAlign w:val="center"/>
          </w:tcPr>
          <w:p w:rsidR="00FC60F3" w:rsidRPr="004E2887" w:rsidRDefault="00FC60F3" w:rsidP="004E2887">
            <w:pPr>
              <w:rPr>
                <w:sz w:val="18"/>
                <w:szCs w:val="18"/>
              </w:rPr>
            </w:pPr>
            <w:r w:rsidRPr="004E2887">
              <w:rPr>
                <w:sz w:val="18"/>
                <w:szCs w:val="18"/>
              </w:rPr>
              <w:t>Total protein (mg/dl)</w:t>
            </w:r>
          </w:p>
        </w:tc>
        <w:tc>
          <w:tcPr>
            <w:tcW w:w="1043"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3.33</w:t>
            </w:r>
            <w:r w:rsidRPr="004E2887">
              <w:rPr>
                <w:sz w:val="18"/>
                <w:szCs w:val="18"/>
                <w:vertAlign w:val="superscript"/>
              </w:rPr>
              <w:t>a</w:t>
            </w:r>
          </w:p>
        </w:tc>
        <w:tc>
          <w:tcPr>
            <w:tcW w:w="1044"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3.43</w:t>
            </w:r>
            <w:r w:rsidRPr="004E2887">
              <w:rPr>
                <w:sz w:val="18"/>
                <w:szCs w:val="18"/>
                <w:vertAlign w:val="superscript"/>
              </w:rPr>
              <w:t>a</w:t>
            </w:r>
          </w:p>
        </w:tc>
        <w:tc>
          <w:tcPr>
            <w:tcW w:w="1043"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2.97</w:t>
            </w:r>
            <w:r w:rsidRPr="004E2887">
              <w:rPr>
                <w:sz w:val="18"/>
                <w:szCs w:val="18"/>
                <w:vertAlign w:val="superscript"/>
              </w:rPr>
              <w:t>b</w:t>
            </w:r>
          </w:p>
        </w:tc>
        <w:tc>
          <w:tcPr>
            <w:tcW w:w="1044"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2.50</w:t>
            </w:r>
            <w:r w:rsidRPr="004E2887">
              <w:rPr>
                <w:sz w:val="18"/>
                <w:szCs w:val="18"/>
                <w:vertAlign w:val="superscript"/>
              </w:rPr>
              <w:t>c</w:t>
            </w:r>
          </w:p>
        </w:tc>
        <w:tc>
          <w:tcPr>
            <w:tcW w:w="750"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0.15</w:t>
            </w:r>
          </w:p>
        </w:tc>
      </w:tr>
      <w:tr w:rsidR="00FC60F3" w:rsidRPr="004E2887" w:rsidTr="00DA1FFD">
        <w:trPr>
          <w:trHeight w:val="215"/>
          <w:jc w:val="center"/>
        </w:trPr>
        <w:tc>
          <w:tcPr>
            <w:tcW w:w="2306" w:type="dxa"/>
            <w:shd w:val="clear" w:color="auto" w:fill="auto"/>
            <w:vAlign w:val="center"/>
          </w:tcPr>
          <w:p w:rsidR="00FC60F3" w:rsidRPr="004E2887" w:rsidRDefault="00FC60F3" w:rsidP="004E2887">
            <w:pPr>
              <w:rPr>
                <w:sz w:val="18"/>
                <w:szCs w:val="18"/>
              </w:rPr>
            </w:pPr>
            <w:r w:rsidRPr="004E2887">
              <w:rPr>
                <w:sz w:val="18"/>
                <w:szCs w:val="18"/>
              </w:rPr>
              <w:t>Glucose (mg/dl)</w:t>
            </w:r>
          </w:p>
        </w:tc>
        <w:tc>
          <w:tcPr>
            <w:tcW w:w="1043"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146.14</w:t>
            </w:r>
            <w:r w:rsidRPr="004E2887">
              <w:rPr>
                <w:sz w:val="18"/>
                <w:szCs w:val="18"/>
                <w:vertAlign w:val="superscript"/>
              </w:rPr>
              <w:t>b</w:t>
            </w:r>
          </w:p>
        </w:tc>
        <w:tc>
          <w:tcPr>
            <w:tcW w:w="1044"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208.49</w:t>
            </w:r>
            <w:r w:rsidRPr="004E2887">
              <w:rPr>
                <w:sz w:val="18"/>
                <w:szCs w:val="18"/>
                <w:vertAlign w:val="superscript"/>
              </w:rPr>
              <w:t>a</w:t>
            </w:r>
          </w:p>
        </w:tc>
        <w:tc>
          <w:tcPr>
            <w:tcW w:w="1043"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179.66</w:t>
            </w:r>
            <w:r w:rsidRPr="004E2887">
              <w:rPr>
                <w:sz w:val="18"/>
                <w:szCs w:val="18"/>
                <w:vertAlign w:val="superscript"/>
              </w:rPr>
              <w:t>a</w:t>
            </w:r>
          </w:p>
        </w:tc>
        <w:tc>
          <w:tcPr>
            <w:tcW w:w="1044"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135.33</w:t>
            </w:r>
            <w:r w:rsidRPr="004E2887">
              <w:rPr>
                <w:sz w:val="18"/>
                <w:szCs w:val="18"/>
                <w:vertAlign w:val="superscript"/>
              </w:rPr>
              <w:t>b</w:t>
            </w:r>
          </w:p>
        </w:tc>
        <w:tc>
          <w:tcPr>
            <w:tcW w:w="750"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8.53</w:t>
            </w:r>
          </w:p>
        </w:tc>
      </w:tr>
      <w:tr w:rsidR="00FC60F3" w:rsidRPr="004E2887" w:rsidTr="00DA1FFD">
        <w:trPr>
          <w:trHeight w:val="215"/>
          <w:jc w:val="center"/>
        </w:trPr>
        <w:tc>
          <w:tcPr>
            <w:tcW w:w="2306" w:type="dxa"/>
            <w:shd w:val="clear" w:color="auto" w:fill="auto"/>
            <w:vAlign w:val="center"/>
          </w:tcPr>
          <w:p w:rsidR="00FC60F3" w:rsidRPr="004E2887" w:rsidRDefault="00FC60F3" w:rsidP="004E2887">
            <w:pPr>
              <w:rPr>
                <w:sz w:val="18"/>
                <w:szCs w:val="18"/>
              </w:rPr>
            </w:pPr>
            <w:r w:rsidRPr="004E2887">
              <w:rPr>
                <w:sz w:val="18"/>
                <w:szCs w:val="18"/>
              </w:rPr>
              <w:t>ALP (iu/</w:t>
            </w:r>
            <w:r w:rsidRPr="004E2887">
              <w:rPr>
                <w:i/>
                <w:sz w:val="18"/>
                <w:szCs w:val="18"/>
              </w:rPr>
              <w:t>l</w:t>
            </w:r>
            <w:r w:rsidRPr="004E2887">
              <w:rPr>
                <w:sz w:val="18"/>
                <w:szCs w:val="18"/>
              </w:rPr>
              <w:t>)</w:t>
            </w:r>
          </w:p>
        </w:tc>
        <w:tc>
          <w:tcPr>
            <w:tcW w:w="1043"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105.65</w:t>
            </w:r>
            <w:r w:rsidRPr="004E2887">
              <w:rPr>
                <w:sz w:val="18"/>
                <w:szCs w:val="18"/>
                <w:vertAlign w:val="superscript"/>
              </w:rPr>
              <w:t>d</w:t>
            </w:r>
          </w:p>
        </w:tc>
        <w:tc>
          <w:tcPr>
            <w:tcW w:w="1044"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111.20</w:t>
            </w:r>
            <w:r w:rsidRPr="004E2887">
              <w:rPr>
                <w:sz w:val="18"/>
                <w:szCs w:val="18"/>
                <w:vertAlign w:val="superscript"/>
              </w:rPr>
              <w:t>c</w:t>
            </w:r>
          </w:p>
        </w:tc>
        <w:tc>
          <w:tcPr>
            <w:tcW w:w="1043"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132.67</w:t>
            </w:r>
            <w:r w:rsidRPr="004E2887">
              <w:rPr>
                <w:sz w:val="18"/>
                <w:szCs w:val="18"/>
                <w:vertAlign w:val="superscript"/>
              </w:rPr>
              <w:t>b</w:t>
            </w:r>
          </w:p>
        </w:tc>
        <w:tc>
          <w:tcPr>
            <w:tcW w:w="1044"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145.00</w:t>
            </w:r>
            <w:r w:rsidRPr="004E2887">
              <w:rPr>
                <w:sz w:val="18"/>
                <w:szCs w:val="18"/>
                <w:vertAlign w:val="superscript"/>
              </w:rPr>
              <w:t>a</w:t>
            </w:r>
          </w:p>
        </w:tc>
        <w:tc>
          <w:tcPr>
            <w:tcW w:w="750"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2.85</w:t>
            </w:r>
          </w:p>
        </w:tc>
      </w:tr>
      <w:tr w:rsidR="00FC60F3" w:rsidRPr="004E2887" w:rsidTr="00DA1FFD">
        <w:trPr>
          <w:trHeight w:val="215"/>
          <w:jc w:val="center"/>
        </w:trPr>
        <w:tc>
          <w:tcPr>
            <w:tcW w:w="2306" w:type="dxa"/>
            <w:shd w:val="clear" w:color="auto" w:fill="auto"/>
            <w:vAlign w:val="center"/>
          </w:tcPr>
          <w:p w:rsidR="00FC60F3" w:rsidRPr="004E2887" w:rsidRDefault="00FC60F3" w:rsidP="004E2887">
            <w:pPr>
              <w:rPr>
                <w:sz w:val="18"/>
                <w:szCs w:val="18"/>
              </w:rPr>
            </w:pPr>
            <w:r w:rsidRPr="004E2887">
              <w:rPr>
                <w:sz w:val="18"/>
                <w:szCs w:val="18"/>
              </w:rPr>
              <w:t>AST (iu/</w:t>
            </w:r>
            <w:r w:rsidRPr="004E2887">
              <w:rPr>
                <w:i/>
                <w:sz w:val="18"/>
                <w:szCs w:val="18"/>
              </w:rPr>
              <w:t>l</w:t>
            </w:r>
            <w:r w:rsidRPr="004E2887">
              <w:rPr>
                <w:sz w:val="18"/>
                <w:szCs w:val="18"/>
              </w:rPr>
              <w:t>)</w:t>
            </w:r>
          </w:p>
        </w:tc>
        <w:tc>
          <w:tcPr>
            <w:tcW w:w="1043"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68.67</w:t>
            </w:r>
            <w:r w:rsidRPr="004E2887">
              <w:rPr>
                <w:sz w:val="18"/>
                <w:szCs w:val="18"/>
                <w:vertAlign w:val="superscript"/>
              </w:rPr>
              <w:t>c</w:t>
            </w:r>
          </w:p>
        </w:tc>
        <w:tc>
          <w:tcPr>
            <w:tcW w:w="1044"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70.00</w:t>
            </w:r>
            <w:r w:rsidRPr="004E2887">
              <w:rPr>
                <w:sz w:val="18"/>
                <w:szCs w:val="18"/>
                <w:vertAlign w:val="superscript"/>
              </w:rPr>
              <w:t>c</w:t>
            </w:r>
          </w:p>
        </w:tc>
        <w:tc>
          <w:tcPr>
            <w:tcW w:w="1043"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78.00</w:t>
            </w:r>
            <w:r w:rsidRPr="004E2887">
              <w:rPr>
                <w:sz w:val="18"/>
                <w:szCs w:val="18"/>
                <w:vertAlign w:val="superscript"/>
              </w:rPr>
              <w:t>b</w:t>
            </w:r>
          </w:p>
        </w:tc>
        <w:tc>
          <w:tcPr>
            <w:tcW w:w="1044"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85.67</w:t>
            </w:r>
            <w:r w:rsidRPr="004E2887">
              <w:rPr>
                <w:sz w:val="18"/>
                <w:szCs w:val="18"/>
                <w:vertAlign w:val="superscript"/>
              </w:rPr>
              <w:t>a</w:t>
            </w:r>
          </w:p>
        </w:tc>
        <w:tc>
          <w:tcPr>
            <w:tcW w:w="750" w:type="dxa"/>
            <w:shd w:val="clear" w:color="auto" w:fill="auto"/>
            <w:vAlign w:val="center"/>
          </w:tcPr>
          <w:p w:rsidR="00FC60F3" w:rsidRPr="004E2887" w:rsidRDefault="00FC60F3" w:rsidP="004E2887">
            <w:pPr>
              <w:ind w:left="-207" w:right="347"/>
              <w:jc w:val="right"/>
              <w:rPr>
                <w:sz w:val="18"/>
                <w:szCs w:val="18"/>
              </w:rPr>
            </w:pPr>
            <w:r w:rsidRPr="004E2887">
              <w:rPr>
                <w:sz w:val="18"/>
                <w:szCs w:val="18"/>
              </w:rPr>
              <w:t>3.99</w:t>
            </w:r>
          </w:p>
        </w:tc>
      </w:tr>
    </w:tbl>
    <w:p w:rsidR="00FC60F3" w:rsidRPr="004E2887" w:rsidRDefault="00FC60F3" w:rsidP="004E2887">
      <w:pPr>
        <w:spacing w:before="40"/>
        <w:jc w:val="both"/>
        <w:rPr>
          <w:sz w:val="16"/>
          <w:szCs w:val="16"/>
        </w:rPr>
      </w:pPr>
      <w:r w:rsidRPr="004E2887">
        <w:rPr>
          <w:sz w:val="16"/>
          <w:szCs w:val="16"/>
          <w:vertAlign w:val="superscript"/>
        </w:rPr>
        <w:t>a, b, c, d</w:t>
      </w:r>
      <w:r w:rsidRPr="004E2887">
        <w:rPr>
          <w:sz w:val="16"/>
          <w:szCs w:val="16"/>
        </w:rPr>
        <w:t xml:space="preserve"> Means in the same row with different superscripts di</w:t>
      </w:r>
      <w:r w:rsidR="004E2887">
        <w:rPr>
          <w:sz w:val="16"/>
          <w:szCs w:val="16"/>
        </w:rPr>
        <w:t xml:space="preserve">ffered  significantly (P&lt;0.05). </w:t>
      </w:r>
      <w:r w:rsidRPr="004E2887">
        <w:rPr>
          <w:sz w:val="16"/>
          <w:szCs w:val="16"/>
        </w:rPr>
        <w:t xml:space="preserve">TAPSM </w:t>
      </w:r>
      <w:r w:rsidRPr="004E2887">
        <w:rPr>
          <w:rFonts w:cs="Calibri"/>
          <w:sz w:val="16"/>
          <w:szCs w:val="16"/>
        </w:rPr>
        <w:t xml:space="preserve">– </w:t>
      </w:r>
      <w:r w:rsidRPr="004E2887">
        <w:rPr>
          <w:sz w:val="16"/>
          <w:szCs w:val="16"/>
        </w:rPr>
        <w:t xml:space="preserve">Toasted </w:t>
      </w:r>
      <w:r w:rsidRPr="004E2887">
        <w:rPr>
          <w:i/>
          <w:sz w:val="16"/>
          <w:szCs w:val="16"/>
        </w:rPr>
        <w:t>Adenanthera</w:t>
      </w:r>
      <w:r w:rsidR="002D729F">
        <w:rPr>
          <w:i/>
          <w:sz w:val="16"/>
          <w:szCs w:val="16"/>
        </w:rPr>
        <w:t xml:space="preserve"> </w:t>
      </w:r>
      <w:r w:rsidRPr="004E2887">
        <w:rPr>
          <w:i/>
          <w:sz w:val="16"/>
          <w:szCs w:val="16"/>
        </w:rPr>
        <w:t>pavonina</w:t>
      </w:r>
      <w:r w:rsidR="002D729F">
        <w:rPr>
          <w:i/>
          <w:sz w:val="16"/>
          <w:szCs w:val="16"/>
        </w:rPr>
        <w:t xml:space="preserve"> </w:t>
      </w:r>
      <w:r w:rsidRPr="004E2887">
        <w:rPr>
          <w:sz w:val="16"/>
          <w:szCs w:val="16"/>
        </w:rPr>
        <w:t xml:space="preserve">seed meal, SEM </w:t>
      </w:r>
      <w:r w:rsidRPr="004E2887">
        <w:rPr>
          <w:rFonts w:cs="Calibri"/>
          <w:sz w:val="16"/>
          <w:szCs w:val="16"/>
        </w:rPr>
        <w:t xml:space="preserve">– </w:t>
      </w:r>
      <w:r w:rsidRPr="004E2887">
        <w:rPr>
          <w:sz w:val="16"/>
          <w:szCs w:val="16"/>
        </w:rPr>
        <w:t>The standard error of the means,</w:t>
      </w:r>
      <w:r w:rsidR="002D729F">
        <w:rPr>
          <w:sz w:val="16"/>
          <w:szCs w:val="16"/>
        </w:rPr>
        <w:t xml:space="preserve"> </w:t>
      </w:r>
      <w:r w:rsidRPr="004E2887">
        <w:rPr>
          <w:sz w:val="16"/>
          <w:szCs w:val="16"/>
        </w:rPr>
        <w:t>ALP – Alkaline phosphatase, AST – Aspartate transaminase.</w:t>
      </w:r>
    </w:p>
    <w:p w:rsidR="004E2887" w:rsidRPr="00DA1FFD" w:rsidRDefault="004E2887" w:rsidP="004E2887">
      <w:pPr>
        <w:ind w:firstLine="426"/>
        <w:jc w:val="both"/>
      </w:pPr>
    </w:p>
    <w:p w:rsidR="00FC60F3" w:rsidRPr="004E2887" w:rsidRDefault="00FC60F3" w:rsidP="004E2887">
      <w:pPr>
        <w:ind w:firstLine="426"/>
        <w:jc w:val="both"/>
        <w:rPr>
          <w:sz w:val="22"/>
          <w:szCs w:val="22"/>
        </w:rPr>
      </w:pPr>
      <w:r w:rsidRPr="004E2887">
        <w:rPr>
          <w:sz w:val="22"/>
          <w:szCs w:val="22"/>
        </w:rPr>
        <w:t>The values obtained for urea in T</w:t>
      </w:r>
      <w:r w:rsidRPr="004E2887">
        <w:rPr>
          <w:sz w:val="22"/>
          <w:szCs w:val="22"/>
          <w:vertAlign w:val="subscript"/>
        </w:rPr>
        <w:t xml:space="preserve">1, </w:t>
      </w:r>
      <w:r w:rsidRPr="004E2887">
        <w:rPr>
          <w:sz w:val="22"/>
          <w:szCs w:val="22"/>
        </w:rPr>
        <w:t>T</w:t>
      </w:r>
      <w:r w:rsidRPr="004E2887">
        <w:rPr>
          <w:sz w:val="22"/>
          <w:szCs w:val="22"/>
          <w:vertAlign w:val="subscript"/>
        </w:rPr>
        <w:t>2</w:t>
      </w:r>
      <w:r w:rsidRPr="004E2887">
        <w:rPr>
          <w:sz w:val="22"/>
          <w:szCs w:val="22"/>
        </w:rPr>
        <w:t xml:space="preserve"> and T</w:t>
      </w:r>
      <w:r w:rsidRPr="004E2887">
        <w:rPr>
          <w:sz w:val="22"/>
          <w:szCs w:val="22"/>
          <w:vertAlign w:val="subscript"/>
        </w:rPr>
        <w:t xml:space="preserve">3 </w:t>
      </w:r>
      <w:r w:rsidRPr="004E2887">
        <w:rPr>
          <w:sz w:val="22"/>
          <w:szCs w:val="22"/>
        </w:rPr>
        <w:t>were similar (P&gt;0.05), but differed significantly (P&lt;0.05) from T</w:t>
      </w:r>
      <w:r w:rsidRPr="004E2887">
        <w:rPr>
          <w:sz w:val="22"/>
          <w:szCs w:val="22"/>
          <w:vertAlign w:val="subscript"/>
        </w:rPr>
        <w:t>4</w:t>
      </w:r>
      <w:r w:rsidRPr="004E2887">
        <w:rPr>
          <w:sz w:val="22"/>
          <w:szCs w:val="22"/>
        </w:rPr>
        <w:t>. High blood urea concentrations recorded in the birds as the level of TAPSM in the diets increased and as in T</w:t>
      </w:r>
      <w:r w:rsidRPr="004E2887">
        <w:rPr>
          <w:sz w:val="22"/>
          <w:szCs w:val="22"/>
          <w:vertAlign w:val="subscript"/>
        </w:rPr>
        <w:t>4</w:t>
      </w:r>
      <w:r w:rsidRPr="004E2887">
        <w:rPr>
          <w:sz w:val="22"/>
          <w:szCs w:val="22"/>
        </w:rPr>
        <w:t xml:space="preserve"> may be due to the protein quality of TAPSM (Kecceci et al., 1998).</w:t>
      </w:r>
    </w:p>
    <w:p w:rsidR="00FC60F3" w:rsidRPr="004E2887" w:rsidRDefault="00FC60F3" w:rsidP="004E2887">
      <w:pPr>
        <w:ind w:firstLine="426"/>
        <w:jc w:val="both"/>
        <w:rPr>
          <w:sz w:val="22"/>
          <w:szCs w:val="22"/>
        </w:rPr>
      </w:pPr>
      <w:r w:rsidRPr="004E2887">
        <w:rPr>
          <w:sz w:val="22"/>
          <w:szCs w:val="22"/>
        </w:rPr>
        <w:t xml:space="preserve">Creatinine is a waste product of muscle metabolism and a good measure of kidney function (Ologhobo et al., 1993). Creatinine values ranged from 0.46mg/dl </w:t>
      </w:r>
      <w:r w:rsidRPr="004E2887">
        <w:rPr>
          <w:sz w:val="22"/>
          <w:szCs w:val="22"/>
        </w:rPr>
        <w:lastRenderedPageBreak/>
        <w:t>in T</w:t>
      </w:r>
      <w:r w:rsidRPr="004E2887">
        <w:rPr>
          <w:sz w:val="22"/>
          <w:szCs w:val="22"/>
          <w:vertAlign w:val="subscript"/>
        </w:rPr>
        <w:t>4</w:t>
      </w:r>
      <w:r w:rsidRPr="004E2887">
        <w:rPr>
          <w:sz w:val="22"/>
          <w:szCs w:val="22"/>
        </w:rPr>
        <w:t xml:space="preserve"> to 0.25mg/dl in T</w:t>
      </w:r>
      <w:r w:rsidRPr="004E2887">
        <w:rPr>
          <w:sz w:val="22"/>
          <w:szCs w:val="22"/>
          <w:vertAlign w:val="subscript"/>
        </w:rPr>
        <w:t>2</w:t>
      </w:r>
      <w:r w:rsidRPr="004E2887">
        <w:rPr>
          <w:sz w:val="22"/>
          <w:szCs w:val="22"/>
        </w:rPr>
        <w:t xml:space="preserve"> with T</w:t>
      </w:r>
      <w:r w:rsidRPr="004E2887">
        <w:rPr>
          <w:sz w:val="22"/>
          <w:szCs w:val="22"/>
          <w:vertAlign w:val="subscript"/>
        </w:rPr>
        <w:t xml:space="preserve">4 </w:t>
      </w:r>
      <w:r w:rsidRPr="004E2887">
        <w:rPr>
          <w:sz w:val="22"/>
          <w:szCs w:val="22"/>
        </w:rPr>
        <w:t>having the highest value. The values of creatinine obtained in the present studies were lower than 1</w:t>
      </w:r>
      <w:r w:rsidRPr="004E2887">
        <w:rPr>
          <w:rFonts w:ascii="Cambria Math" w:hAnsi="Cambria Math"/>
          <w:sz w:val="22"/>
          <w:szCs w:val="22"/>
        </w:rPr>
        <w:t>‒</w:t>
      </w:r>
      <w:r w:rsidRPr="004E2887">
        <w:rPr>
          <w:sz w:val="22"/>
          <w:szCs w:val="22"/>
        </w:rPr>
        <w:t>2mg/dl reported for chickens (Reece and Swenson, 2004), which therefore suggested that there was no muscle wastage and birds did not survive at the expense of body reserves (Akinmutimi, 2004</w:t>
      </w:r>
      <w:r w:rsidR="00132B06">
        <w:rPr>
          <w:sz w:val="22"/>
          <w:szCs w:val="22"/>
        </w:rPr>
        <w:t>).</w:t>
      </w:r>
    </w:p>
    <w:p w:rsidR="00FC60F3" w:rsidRPr="004E2887" w:rsidRDefault="00FC60F3" w:rsidP="004E2887">
      <w:pPr>
        <w:ind w:firstLine="426"/>
        <w:jc w:val="both"/>
        <w:rPr>
          <w:sz w:val="22"/>
          <w:szCs w:val="22"/>
        </w:rPr>
      </w:pPr>
      <w:r w:rsidRPr="004E2887">
        <w:rPr>
          <w:sz w:val="22"/>
          <w:szCs w:val="22"/>
        </w:rPr>
        <w:t>Cholesterol values ranged from 149.67mg/dl in T</w:t>
      </w:r>
      <w:r w:rsidRPr="004E2887">
        <w:rPr>
          <w:sz w:val="22"/>
          <w:szCs w:val="22"/>
          <w:vertAlign w:val="subscript"/>
        </w:rPr>
        <w:t>1</w:t>
      </w:r>
      <w:r w:rsidRPr="004E2887">
        <w:rPr>
          <w:sz w:val="22"/>
          <w:szCs w:val="22"/>
        </w:rPr>
        <w:t xml:space="preserve"> to 102.67mg/dl in T</w:t>
      </w:r>
      <w:r w:rsidRPr="004E2887">
        <w:rPr>
          <w:sz w:val="22"/>
          <w:szCs w:val="22"/>
          <w:vertAlign w:val="subscript"/>
        </w:rPr>
        <w:t>4</w:t>
      </w:r>
      <w:r w:rsidRPr="004E2887">
        <w:rPr>
          <w:sz w:val="22"/>
          <w:szCs w:val="22"/>
        </w:rPr>
        <w:t>. The treatments differed significantly (P&lt;0.05), the values obtained in birds fed diets T</w:t>
      </w:r>
      <w:r w:rsidRPr="004E2887">
        <w:rPr>
          <w:sz w:val="22"/>
          <w:szCs w:val="22"/>
          <w:vertAlign w:val="subscript"/>
        </w:rPr>
        <w:t xml:space="preserve">1 </w:t>
      </w:r>
      <w:r w:rsidRPr="004E2887">
        <w:rPr>
          <w:sz w:val="22"/>
          <w:szCs w:val="22"/>
        </w:rPr>
        <w:t>(0%TAPSM) and T</w:t>
      </w:r>
      <w:r w:rsidRPr="004E2887">
        <w:rPr>
          <w:sz w:val="22"/>
          <w:szCs w:val="22"/>
          <w:vertAlign w:val="subscript"/>
        </w:rPr>
        <w:t>2</w:t>
      </w:r>
      <w:r w:rsidRPr="004E2887">
        <w:rPr>
          <w:sz w:val="22"/>
          <w:szCs w:val="22"/>
        </w:rPr>
        <w:t>(10% TAPSM) were within the normal range of 125</w:t>
      </w:r>
      <w:r w:rsidR="004E2887" w:rsidRPr="004E2887">
        <w:rPr>
          <w:rFonts w:ascii="Cambria Math" w:hAnsi="Cambria Math"/>
          <w:sz w:val="22"/>
          <w:szCs w:val="22"/>
        </w:rPr>
        <w:t>‒</w:t>
      </w:r>
      <w:r w:rsidRPr="004E2887">
        <w:rPr>
          <w:sz w:val="22"/>
          <w:szCs w:val="22"/>
        </w:rPr>
        <w:t>200mg/dl reported for healthy birds (Bolu and Adelakun, 2013) while the values obtained in birds fed diets T</w:t>
      </w:r>
      <w:r w:rsidRPr="004E2887">
        <w:rPr>
          <w:sz w:val="22"/>
          <w:szCs w:val="22"/>
          <w:vertAlign w:val="subscript"/>
        </w:rPr>
        <w:t>3</w:t>
      </w:r>
      <w:r w:rsidRPr="004E2887">
        <w:rPr>
          <w:sz w:val="22"/>
          <w:szCs w:val="22"/>
        </w:rPr>
        <w:t xml:space="preserve"> and T</w:t>
      </w:r>
      <w:r w:rsidRPr="004E2887">
        <w:rPr>
          <w:sz w:val="22"/>
          <w:szCs w:val="22"/>
          <w:vertAlign w:val="subscript"/>
        </w:rPr>
        <w:t xml:space="preserve">4 </w:t>
      </w:r>
      <w:r w:rsidRPr="004E2887">
        <w:rPr>
          <w:sz w:val="22"/>
          <w:szCs w:val="22"/>
        </w:rPr>
        <w:t>were below the normal range of 125</w:t>
      </w:r>
      <w:r w:rsidR="004E2887" w:rsidRPr="004E2887">
        <w:rPr>
          <w:rFonts w:ascii="Cambria Math" w:hAnsi="Cambria Math"/>
          <w:sz w:val="22"/>
          <w:szCs w:val="22"/>
        </w:rPr>
        <w:t>‒</w:t>
      </w:r>
      <w:r w:rsidRPr="004E2887">
        <w:rPr>
          <w:sz w:val="22"/>
          <w:szCs w:val="22"/>
        </w:rPr>
        <w:t xml:space="preserve">200mg/dl reported for healthy birds. </w:t>
      </w:r>
      <w:r w:rsidRPr="004E2887">
        <w:rPr>
          <w:i/>
          <w:sz w:val="22"/>
          <w:szCs w:val="22"/>
        </w:rPr>
        <w:t>Adenantherapavonina</w:t>
      </w:r>
      <w:r w:rsidRPr="004E2887">
        <w:rPr>
          <w:sz w:val="22"/>
          <w:szCs w:val="22"/>
        </w:rPr>
        <w:t xml:space="preserve"> seed meal contains high crude fibre and this factor may have accounted for the depressed cholesterol level obtained in birds fed diets T</w:t>
      </w:r>
      <w:r w:rsidRPr="004E2887">
        <w:rPr>
          <w:sz w:val="22"/>
          <w:szCs w:val="22"/>
          <w:vertAlign w:val="subscript"/>
        </w:rPr>
        <w:t xml:space="preserve">3 </w:t>
      </w:r>
      <w:r w:rsidRPr="004E2887">
        <w:rPr>
          <w:sz w:val="22"/>
          <w:szCs w:val="22"/>
        </w:rPr>
        <w:t>and T</w:t>
      </w:r>
      <w:r w:rsidRPr="004E2887">
        <w:rPr>
          <w:sz w:val="22"/>
          <w:szCs w:val="22"/>
          <w:vertAlign w:val="subscript"/>
        </w:rPr>
        <w:t>4</w:t>
      </w:r>
      <w:r w:rsidRPr="004E2887">
        <w:rPr>
          <w:sz w:val="22"/>
          <w:szCs w:val="22"/>
        </w:rPr>
        <w:t>. Intakes of 9</w:t>
      </w:r>
      <w:r w:rsidR="004E2887" w:rsidRPr="004E2887">
        <w:rPr>
          <w:rFonts w:ascii="Cambria Math" w:hAnsi="Cambria Math"/>
          <w:sz w:val="22"/>
          <w:szCs w:val="22"/>
        </w:rPr>
        <w:t>‒</w:t>
      </w:r>
      <w:r w:rsidRPr="004E2887">
        <w:rPr>
          <w:sz w:val="22"/>
          <w:szCs w:val="22"/>
        </w:rPr>
        <w:t>16.5g/day of varieties of soluble fibres have been shown to produce net reductions in serum cholesterol levels in humans (Reece and Swenson 2004), and may also be applicable to birds.</w:t>
      </w:r>
    </w:p>
    <w:p w:rsidR="00FC60F3" w:rsidRPr="004E2887" w:rsidRDefault="00FC60F3" w:rsidP="004E2887">
      <w:pPr>
        <w:ind w:firstLine="426"/>
        <w:jc w:val="both"/>
        <w:rPr>
          <w:sz w:val="22"/>
          <w:szCs w:val="22"/>
        </w:rPr>
      </w:pPr>
      <w:r w:rsidRPr="004E2887">
        <w:rPr>
          <w:sz w:val="22"/>
          <w:szCs w:val="22"/>
        </w:rPr>
        <w:t>Total protein values ranged from 3.43mg/dl in T</w:t>
      </w:r>
      <w:r w:rsidRPr="004E2887">
        <w:rPr>
          <w:sz w:val="22"/>
          <w:szCs w:val="22"/>
          <w:vertAlign w:val="subscript"/>
        </w:rPr>
        <w:t>2</w:t>
      </w:r>
      <w:r w:rsidRPr="004E2887">
        <w:rPr>
          <w:sz w:val="22"/>
          <w:szCs w:val="22"/>
        </w:rPr>
        <w:t xml:space="preserve"> to 2.50mg/dl in T</w:t>
      </w:r>
      <w:r w:rsidRPr="004E2887">
        <w:rPr>
          <w:sz w:val="22"/>
          <w:szCs w:val="22"/>
          <w:vertAlign w:val="subscript"/>
        </w:rPr>
        <w:t>4</w:t>
      </w:r>
      <w:r w:rsidRPr="004E2887">
        <w:rPr>
          <w:sz w:val="22"/>
          <w:szCs w:val="22"/>
        </w:rPr>
        <w:t>. There were significant (P&lt;0.05) differences among the treatment means. The values obtained in T</w:t>
      </w:r>
      <w:r w:rsidRPr="004E2887">
        <w:rPr>
          <w:sz w:val="22"/>
          <w:szCs w:val="22"/>
          <w:vertAlign w:val="subscript"/>
        </w:rPr>
        <w:t xml:space="preserve">1 </w:t>
      </w:r>
      <w:r w:rsidRPr="004E2887">
        <w:rPr>
          <w:sz w:val="22"/>
          <w:szCs w:val="22"/>
        </w:rPr>
        <w:t>and T</w:t>
      </w:r>
      <w:r w:rsidRPr="004E2887">
        <w:rPr>
          <w:sz w:val="22"/>
          <w:szCs w:val="22"/>
          <w:vertAlign w:val="subscript"/>
        </w:rPr>
        <w:t xml:space="preserve">2 </w:t>
      </w:r>
      <w:r w:rsidRPr="004E2887">
        <w:rPr>
          <w:sz w:val="22"/>
          <w:szCs w:val="22"/>
        </w:rPr>
        <w:t>were within the normal range (4.0–5.2mg/dl) reported for chickens (Reece and Swenson, 2004). Since total protein is usually a reflection of the protein quality fed, it would seem that the significant decrease with an increase in the level of TAPSM is an indication of the presence of a poor quality protein and poor protein utilization of test diets possibly caused by anti-nutritional factors in TAPSM.</w:t>
      </w:r>
    </w:p>
    <w:p w:rsidR="00FC60F3" w:rsidRPr="004E2887" w:rsidRDefault="00FC60F3" w:rsidP="004E2887">
      <w:pPr>
        <w:ind w:firstLine="426"/>
        <w:jc w:val="both"/>
        <w:rPr>
          <w:sz w:val="22"/>
          <w:szCs w:val="22"/>
        </w:rPr>
      </w:pPr>
      <w:r w:rsidRPr="004E2887">
        <w:rPr>
          <w:sz w:val="22"/>
          <w:szCs w:val="22"/>
        </w:rPr>
        <w:t>Glucose values ranged from 135.33mg/dl in T</w:t>
      </w:r>
      <w:r w:rsidRPr="004E2887">
        <w:rPr>
          <w:sz w:val="22"/>
          <w:szCs w:val="22"/>
          <w:vertAlign w:val="subscript"/>
        </w:rPr>
        <w:t>4</w:t>
      </w:r>
      <w:r w:rsidRPr="004E2887">
        <w:rPr>
          <w:sz w:val="22"/>
          <w:szCs w:val="22"/>
        </w:rPr>
        <w:t xml:space="preserve"> to 208.49mg/dl in T</w:t>
      </w:r>
      <w:r w:rsidRPr="004E2887">
        <w:rPr>
          <w:sz w:val="22"/>
          <w:szCs w:val="22"/>
          <w:vertAlign w:val="subscript"/>
        </w:rPr>
        <w:t>2</w:t>
      </w:r>
      <w:r w:rsidRPr="004E2887">
        <w:rPr>
          <w:sz w:val="22"/>
          <w:szCs w:val="22"/>
        </w:rPr>
        <w:t>. The values recorded fall within the recommended range of 130</w:t>
      </w:r>
      <w:r w:rsidRPr="004E2887">
        <w:rPr>
          <w:rFonts w:cs="Calibri"/>
          <w:sz w:val="22"/>
          <w:szCs w:val="22"/>
        </w:rPr>
        <w:t>‒</w:t>
      </w:r>
      <w:r w:rsidRPr="004E2887">
        <w:rPr>
          <w:sz w:val="22"/>
          <w:szCs w:val="22"/>
        </w:rPr>
        <w:t>270mg/dl for chickens (Reece and Swenson, 2004; Bolu and Adelakun, 2013). The values were also in line with the recommended range of 230</w:t>
      </w:r>
      <w:r w:rsidRPr="004E2887">
        <w:rPr>
          <w:rFonts w:cs="Calibri"/>
          <w:sz w:val="22"/>
          <w:szCs w:val="22"/>
        </w:rPr>
        <w:t>‒</w:t>
      </w:r>
      <w:r w:rsidRPr="004E2887">
        <w:rPr>
          <w:sz w:val="22"/>
          <w:szCs w:val="22"/>
        </w:rPr>
        <w:t>250mg/100ml for birds (Rubin, 2011). The values obtained differed significantly (P&lt;0.05) between treatments. Generally, birds can maintain a high and relatively constant blood sugar level even in low feed intake (Olomu, 1995)</w:t>
      </w:r>
    </w:p>
    <w:p w:rsidR="00FC60F3" w:rsidRPr="004E2887" w:rsidRDefault="00FC60F3" w:rsidP="004E2887">
      <w:pPr>
        <w:ind w:firstLine="426"/>
        <w:jc w:val="both"/>
        <w:rPr>
          <w:sz w:val="22"/>
          <w:szCs w:val="22"/>
        </w:rPr>
      </w:pPr>
      <w:r w:rsidRPr="004E2887">
        <w:rPr>
          <w:sz w:val="22"/>
          <w:szCs w:val="22"/>
        </w:rPr>
        <w:t>Serum enzyme activities have been used as indices of toxicity as well as for monitoring protein quality. Alkaline phosphatase (ALP) values ranged from 145.00 iu/l in T</w:t>
      </w:r>
      <w:r w:rsidRPr="004E2887">
        <w:rPr>
          <w:sz w:val="22"/>
          <w:szCs w:val="22"/>
          <w:vertAlign w:val="subscript"/>
        </w:rPr>
        <w:t>1</w:t>
      </w:r>
      <w:r w:rsidRPr="004E2887">
        <w:rPr>
          <w:sz w:val="22"/>
          <w:szCs w:val="22"/>
        </w:rPr>
        <w:t xml:space="preserve"> to 105.65 iu/l in T</w:t>
      </w:r>
      <w:r w:rsidRPr="004E2887">
        <w:rPr>
          <w:sz w:val="22"/>
          <w:szCs w:val="22"/>
          <w:vertAlign w:val="subscript"/>
        </w:rPr>
        <w:t>4</w:t>
      </w:r>
      <w:r w:rsidRPr="004E2887">
        <w:rPr>
          <w:sz w:val="22"/>
          <w:szCs w:val="22"/>
        </w:rPr>
        <w:t>. There were significant (P&lt;0.05) differences among the treatment means. The values increased as the level of TAPSM increased in the diets. ALP is predominantly found in the liver, kidney, intestine and placenta (Shipman et al., 2013). Aspartate transaminase (AST) values ranged from 68.67 iu/l in T</w:t>
      </w:r>
      <w:r w:rsidRPr="004E2887">
        <w:rPr>
          <w:sz w:val="22"/>
          <w:szCs w:val="22"/>
          <w:vertAlign w:val="subscript"/>
        </w:rPr>
        <w:t>1</w:t>
      </w:r>
      <w:r w:rsidRPr="004E2887">
        <w:rPr>
          <w:sz w:val="22"/>
          <w:szCs w:val="22"/>
        </w:rPr>
        <w:t xml:space="preserve"> to 85.676 iu/l in T</w:t>
      </w:r>
      <w:r w:rsidRPr="004E2887">
        <w:rPr>
          <w:sz w:val="22"/>
          <w:szCs w:val="22"/>
          <w:vertAlign w:val="subscript"/>
        </w:rPr>
        <w:t>4</w:t>
      </w:r>
      <w:r w:rsidRPr="004E2887">
        <w:rPr>
          <w:sz w:val="22"/>
          <w:szCs w:val="22"/>
        </w:rPr>
        <w:t xml:space="preserve">. The values increased significantly (P&lt;0.05) among treatments, which is an indication that TAPSM had a negative effect on the functioning of the liver and the kidney (Tennant, 1997).  </w:t>
      </w:r>
    </w:p>
    <w:p w:rsidR="00FC60F3" w:rsidRPr="004E2887" w:rsidRDefault="00FC60F3" w:rsidP="006951F4">
      <w:pPr>
        <w:jc w:val="center"/>
        <w:rPr>
          <w:sz w:val="22"/>
          <w:szCs w:val="22"/>
        </w:rPr>
      </w:pPr>
    </w:p>
    <w:p w:rsidR="00D64201" w:rsidRPr="00AA3901" w:rsidRDefault="00D64201" w:rsidP="00D64201">
      <w:pPr>
        <w:jc w:val="center"/>
        <w:rPr>
          <w:b/>
          <w:sz w:val="22"/>
          <w:szCs w:val="22"/>
        </w:rPr>
      </w:pPr>
      <w:r w:rsidRPr="00AA3901">
        <w:rPr>
          <w:b/>
          <w:sz w:val="22"/>
          <w:szCs w:val="22"/>
        </w:rPr>
        <w:lastRenderedPageBreak/>
        <w:t>Conclusion</w:t>
      </w:r>
    </w:p>
    <w:p w:rsidR="00D64201" w:rsidRPr="00AA3901" w:rsidRDefault="00D64201" w:rsidP="00D64201">
      <w:pPr>
        <w:jc w:val="center"/>
        <w:rPr>
          <w:sz w:val="22"/>
          <w:szCs w:val="22"/>
        </w:rPr>
      </w:pPr>
    </w:p>
    <w:p w:rsidR="00FC60F3" w:rsidRPr="006951F4" w:rsidRDefault="00FC60F3" w:rsidP="006951F4">
      <w:pPr>
        <w:ind w:firstLine="426"/>
        <w:jc w:val="both"/>
        <w:rPr>
          <w:color w:val="C00000"/>
          <w:sz w:val="22"/>
          <w:szCs w:val="22"/>
        </w:rPr>
      </w:pPr>
      <w:r w:rsidRPr="006951F4">
        <w:rPr>
          <w:sz w:val="22"/>
          <w:szCs w:val="22"/>
        </w:rPr>
        <w:t xml:space="preserve">The results obtained from this study indicated that finisher broilers could tolerate the 10% TAPSM inclusion level in the diet without any negative effect on the haematology and serum biochemistry. Feeding of TAPSM to broiler chickens is safe as no mortality was recorded throughout the period of the experiment. </w:t>
      </w:r>
      <w:r w:rsidRPr="006951F4">
        <w:rPr>
          <w:i/>
          <w:sz w:val="22"/>
          <w:szCs w:val="22"/>
        </w:rPr>
        <w:t>Adenanthera</w:t>
      </w:r>
      <w:r w:rsidR="002D729F">
        <w:rPr>
          <w:i/>
          <w:sz w:val="22"/>
          <w:szCs w:val="22"/>
        </w:rPr>
        <w:t xml:space="preserve"> </w:t>
      </w:r>
      <w:r w:rsidRPr="006951F4">
        <w:rPr>
          <w:i/>
          <w:sz w:val="22"/>
          <w:szCs w:val="22"/>
        </w:rPr>
        <w:t>pavonina</w:t>
      </w:r>
      <w:r w:rsidRPr="006951F4">
        <w:rPr>
          <w:sz w:val="22"/>
          <w:szCs w:val="22"/>
        </w:rPr>
        <w:t xml:space="preserve"> seed toasted for fifteen minutes at 60</w:t>
      </w:r>
      <w:r w:rsidRPr="006951F4">
        <w:rPr>
          <w:rFonts w:cs="Calibri"/>
          <w:sz w:val="22"/>
          <w:szCs w:val="22"/>
        </w:rPr>
        <w:t>‒</w:t>
      </w:r>
      <w:r w:rsidRPr="006951F4">
        <w:rPr>
          <w:sz w:val="22"/>
          <w:szCs w:val="22"/>
        </w:rPr>
        <w:t>65</w:t>
      </w:r>
      <w:r w:rsidRPr="006951F4">
        <w:rPr>
          <w:sz w:val="22"/>
          <w:szCs w:val="22"/>
          <w:vertAlign w:val="superscript"/>
        </w:rPr>
        <w:t>o</w:t>
      </w:r>
      <w:r w:rsidRPr="006951F4">
        <w:rPr>
          <w:sz w:val="22"/>
          <w:szCs w:val="22"/>
        </w:rPr>
        <w:t xml:space="preserve">C did not satisfactorily eliminate the anti-nutrients in the seeds. </w:t>
      </w:r>
      <w:r w:rsidRPr="006951F4">
        <w:rPr>
          <w:color w:val="000000"/>
          <w:sz w:val="22"/>
          <w:szCs w:val="22"/>
        </w:rPr>
        <w:t>Increased values of alkaline phosphatase in the blood across treatments suggested an increased activity of the liver due to the presence of toxic factors.</w:t>
      </w:r>
    </w:p>
    <w:p w:rsidR="00FC60F3" w:rsidRPr="006951F4" w:rsidRDefault="00FC60F3" w:rsidP="006951F4">
      <w:pPr>
        <w:jc w:val="center"/>
        <w:rPr>
          <w:sz w:val="22"/>
          <w:szCs w:val="22"/>
        </w:rPr>
      </w:pPr>
    </w:p>
    <w:p w:rsidR="00D64201" w:rsidRDefault="00D64201" w:rsidP="00990FEC">
      <w:pPr>
        <w:widowControl w:val="0"/>
        <w:jc w:val="center"/>
        <w:rPr>
          <w:b/>
          <w:sz w:val="22"/>
          <w:szCs w:val="22"/>
        </w:rPr>
      </w:pPr>
      <w:r w:rsidRPr="00831C98">
        <w:rPr>
          <w:b/>
          <w:sz w:val="22"/>
          <w:szCs w:val="22"/>
        </w:rPr>
        <w:t>References</w:t>
      </w:r>
    </w:p>
    <w:p w:rsidR="00D64201" w:rsidRPr="006C26B3" w:rsidRDefault="00D64201" w:rsidP="00990FEC">
      <w:pPr>
        <w:jc w:val="center"/>
        <w:rPr>
          <w:sz w:val="22"/>
          <w:szCs w:val="22"/>
        </w:rPr>
      </w:pPr>
    </w:p>
    <w:p w:rsidR="00FC60F3" w:rsidRPr="006951F4" w:rsidRDefault="00FC60F3" w:rsidP="006951F4">
      <w:pPr>
        <w:ind w:left="426" w:hanging="426"/>
        <w:jc w:val="both"/>
        <w:rPr>
          <w:sz w:val="18"/>
          <w:szCs w:val="18"/>
        </w:rPr>
      </w:pPr>
      <w:r w:rsidRPr="006951F4">
        <w:rPr>
          <w:sz w:val="18"/>
          <w:szCs w:val="18"/>
        </w:rPr>
        <w:t>Adedapo, A.M., Mogbojuri, O.M.</w:t>
      </w:r>
      <w:r w:rsidR="006951F4">
        <w:rPr>
          <w:sz w:val="18"/>
          <w:szCs w:val="18"/>
        </w:rPr>
        <w:t>,</w:t>
      </w:r>
      <w:r w:rsidR="002D729F">
        <w:rPr>
          <w:sz w:val="18"/>
          <w:szCs w:val="18"/>
        </w:rPr>
        <w:t xml:space="preserve"> </w:t>
      </w:r>
      <w:r w:rsidR="006951F4">
        <w:rPr>
          <w:sz w:val="18"/>
          <w:szCs w:val="18"/>
        </w:rPr>
        <w:t>&amp;</w:t>
      </w:r>
      <w:r w:rsidR="002D729F">
        <w:rPr>
          <w:sz w:val="18"/>
          <w:szCs w:val="18"/>
        </w:rPr>
        <w:t xml:space="preserve"> </w:t>
      </w:r>
      <w:r w:rsidRPr="006951F4">
        <w:rPr>
          <w:sz w:val="18"/>
          <w:szCs w:val="18"/>
        </w:rPr>
        <w:t>Emikpe, B.O. (2012).</w:t>
      </w:r>
      <w:r w:rsidR="002D729F">
        <w:rPr>
          <w:sz w:val="18"/>
          <w:szCs w:val="18"/>
        </w:rPr>
        <w:t xml:space="preserve"> </w:t>
      </w:r>
      <w:r w:rsidRPr="006951F4">
        <w:rPr>
          <w:sz w:val="18"/>
          <w:szCs w:val="18"/>
        </w:rPr>
        <w:t xml:space="preserve">Safety evaluation of the aqueous extract of leaves of </w:t>
      </w:r>
      <w:r w:rsidRPr="006951F4">
        <w:rPr>
          <w:i/>
          <w:sz w:val="18"/>
          <w:szCs w:val="18"/>
        </w:rPr>
        <w:t>Moringa</w:t>
      </w:r>
      <w:r w:rsidR="002D729F">
        <w:rPr>
          <w:i/>
          <w:sz w:val="18"/>
          <w:szCs w:val="18"/>
        </w:rPr>
        <w:t xml:space="preserve"> </w:t>
      </w:r>
      <w:r w:rsidRPr="006951F4">
        <w:rPr>
          <w:i/>
          <w:sz w:val="18"/>
          <w:szCs w:val="18"/>
        </w:rPr>
        <w:t>oleifera</w:t>
      </w:r>
      <w:r w:rsidRPr="006951F4">
        <w:rPr>
          <w:sz w:val="18"/>
          <w:szCs w:val="18"/>
        </w:rPr>
        <w:t xml:space="preserve"> in rats.</w:t>
      </w:r>
      <w:r w:rsidRPr="006951F4">
        <w:rPr>
          <w:i/>
          <w:sz w:val="18"/>
          <w:szCs w:val="18"/>
        </w:rPr>
        <w:t xml:space="preserve"> Journal of Medicinal plants Research 3</w:t>
      </w:r>
      <w:r w:rsidRPr="006951F4">
        <w:rPr>
          <w:sz w:val="18"/>
          <w:szCs w:val="18"/>
        </w:rPr>
        <w:t>(8)</w:t>
      </w:r>
      <w:r w:rsidR="006951F4">
        <w:rPr>
          <w:sz w:val="18"/>
          <w:szCs w:val="18"/>
        </w:rPr>
        <w:t xml:space="preserve">, </w:t>
      </w:r>
      <w:r w:rsidRPr="006951F4">
        <w:rPr>
          <w:sz w:val="18"/>
          <w:szCs w:val="18"/>
        </w:rPr>
        <w:t>586-591.</w:t>
      </w:r>
    </w:p>
    <w:p w:rsidR="00FC60F3" w:rsidRPr="00DA1FFD" w:rsidRDefault="00FC60F3" w:rsidP="006951F4">
      <w:pPr>
        <w:ind w:left="426" w:hanging="426"/>
        <w:jc w:val="both"/>
        <w:rPr>
          <w:spacing w:val="-2"/>
          <w:sz w:val="18"/>
          <w:szCs w:val="18"/>
        </w:rPr>
      </w:pPr>
      <w:r w:rsidRPr="00DA1FFD">
        <w:rPr>
          <w:spacing w:val="-2"/>
          <w:sz w:val="18"/>
          <w:szCs w:val="18"/>
        </w:rPr>
        <w:t>Adeyemo, I.A</w:t>
      </w:r>
      <w:r w:rsidR="006951F4" w:rsidRPr="00DA1FFD">
        <w:rPr>
          <w:spacing w:val="-2"/>
          <w:sz w:val="18"/>
          <w:szCs w:val="18"/>
        </w:rPr>
        <w:t>.,&amp;</w:t>
      </w:r>
      <w:r w:rsidRPr="00DA1FFD">
        <w:rPr>
          <w:spacing w:val="-2"/>
          <w:sz w:val="18"/>
          <w:szCs w:val="18"/>
        </w:rPr>
        <w:t xml:space="preserve"> Sani, A. (2013). Haematological parameters and serum biochemical indices of broiler chickens fed </w:t>
      </w:r>
      <w:r w:rsidR="002D729F">
        <w:rPr>
          <w:i/>
          <w:spacing w:val="-2"/>
          <w:sz w:val="18"/>
          <w:szCs w:val="18"/>
        </w:rPr>
        <w:t xml:space="preserve">Aspergilus </w:t>
      </w:r>
      <w:r w:rsidRPr="00DA1FFD">
        <w:rPr>
          <w:i/>
          <w:spacing w:val="-2"/>
          <w:sz w:val="18"/>
          <w:szCs w:val="18"/>
        </w:rPr>
        <w:t>niger</w:t>
      </w:r>
      <w:r w:rsidR="002D729F">
        <w:rPr>
          <w:i/>
          <w:spacing w:val="-2"/>
          <w:sz w:val="18"/>
          <w:szCs w:val="18"/>
        </w:rPr>
        <w:t xml:space="preserve"> </w:t>
      </w:r>
      <w:r w:rsidRPr="00DA1FFD">
        <w:rPr>
          <w:spacing w:val="-2"/>
          <w:sz w:val="18"/>
          <w:szCs w:val="18"/>
        </w:rPr>
        <w:t>hydrolyzed cassava peel meal based diet.</w:t>
      </w:r>
      <w:r w:rsidR="002D729F">
        <w:rPr>
          <w:spacing w:val="-2"/>
          <w:sz w:val="18"/>
          <w:szCs w:val="18"/>
        </w:rPr>
        <w:t xml:space="preserve"> </w:t>
      </w:r>
      <w:hyperlink r:id="rId8" w:history="1">
        <w:r w:rsidRPr="00DA1FFD">
          <w:rPr>
            <w:rStyle w:val="Hyperlink"/>
            <w:color w:val="auto"/>
            <w:spacing w:val="-2"/>
            <w:sz w:val="18"/>
            <w:szCs w:val="18"/>
            <w:u w:val="none"/>
          </w:rPr>
          <w:t>www.arpapress.com/volumes/Vol15Issue3/ijrras_15_3_24.pdf</w:t>
        </w:r>
      </w:hyperlink>
      <w:r w:rsidRPr="00DA1FFD">
        <w:rPr>
          <w:spacing w:val="-2"/>
          <w:sz w:val="18"/>
          <w:szCs w:val="18"/>
        </w:rPr>
        <w:t>410 – 415. Retrieved July 3, 2018</w:t>
      </w:r>
    </w:p>
    <w:p w:rsidR="00FC60F3" w:rsidRPr="006951F4" w:rsidRDefault="00FC60F3" w:rsidP="006951F4">
      <w:pPr>
        <w:ind w:left="426" w:hanging="426"/>
        <w:jc w:val="both"/>
        <w:rPr>
          <w:sz w:val="18"/>
          <w:szCs w:val="18"/>
        </w:rPr>
      </w:pPr>
      <w:r w:rsidRPr="006951F4">
        <w:rPr>
          <w:sz w:val="18"/>
          <w:szCs w:val="18"/>
        </w:rPr>
        <w:t>Adiele, J.G., Audo, H.O., Madu, T.</w:t>
      </w:r>
      <w:r w:rsidR="006951F4">
        <w:rPr>
          <w:sz w:val="18"/>
          <w:szCs w:val="18"/>
        </w:rPr>
        <w:t>, &amp;</w:t>
      </w:r>
      <w:r w:rsidR="002D729F">
        <w:rPr>
          <w:sz w:val="18"/>
          <w:szCs w:val="18"/>
        </w:rPr>
        <w:t xml:space="preserve"> Nwaogwugwu, R.O. (2005). </w:t>
      </w:r>
      <w:r w:rsidRPr="006951F4">
        <w:rPr>
          <w:sz w:val="18"/>
          <w:szCs w:val="18"/>
        </w:rPr>
        <w:t xml:space="preserve">Weather in 2005 at Umudike and its possible impact on root crops production. In: </w:t>
      </w:r>
      <w:r w:rsidRPr="006951F4">
        <w:rPr>
          <w:i/>
          <w:sz w:val="18"/>
          <w:szCs w:val="18"/>
        </w:rPr>
        <w:t>National Root Crops Research Institute Annual Report for 2005</w:t>
      </w:r>
      <w:r w:rsidRPr="006951F4">
        <w:rPr>
          <w:sz w:val="18"/>
          <w:szCs w:val="18"/>
        </w:rPr>
        <w:t xml:space="preserve">. pp </w:t>
      </w:r>
      <w:r w:rsidR="006951F4">
        <w:rPr>
          <w:sz w:val="18"/>
          <w:szCs w:val="18"/>
        </w:rPr>
        <w:t>252-</w:t>
      </w:r>
      <w:r w:rsidRPr="006951F4">
        <w:rPr>
          <w:sz w:val="18"/>
          <w:szCs w:val="18"/>
        </w:rPr>
        <w:t>255.</w:t>
      </w:r>
    </w:p>
    <w:p w:rsidR="00FC60F3" w:rsidRPr="006951F4" w:rsidRDefault="00FC60F3" w:rsidP="006951F4">
      <w:pPr>
        <w:ind w:left="426" w:hanging="426"/>
        <w:jc w:val="both"/>
        <w:rPr>
          <w:i/>
          <w:sz w:val="18"/>
          <w:szCs w:val="18"/>
        </w:rPr>
      </w:pPr>
      <w:r w:rsidRPr="006951F4">
        <w:rPr>
          <w:sz w:val="18"/>
          <w:szCs w:val="18"/>
        </w:rPr>
        <w:t>Agbabiaka, L.A., Madubuike, F.N., Ekenyem, B.U</w:t>
      </w:r>
      <w:r w:rsidR="006951F4">
        <w:rPr>
          <w:sz w:val="18"/>
          <w:szCs w:val="18"/>
        </w:rPr>
        <w:t>., &amp;</w:t>
      </w:r>
      <w:r w:rsidRPr="006951F4">
        <w:rPr>
          <w:sz w:val="18"/>
          <w:szCs w:val="18"/>
        </w:rPr>
        <w:t xml:space="preserve">Esonu, B.O. (2013). Effect of Tiger nut based diets on haematology and serum biochemistry of broiler finisher. </w:t>
      </w:r>
      <w:r w:rsidRPr="006951F4">
        <w:rPr>
          <w:i/>
          <w:sz w:val="18"/>
          <w:szCs w:val="18"/>
        </w:rPr>
        <w:t>Agriculture and Biology Journal of North America.</w:t>
      </w:r>
      <w:r w:rsidR="004C795C">
        <w:rPr>
          <w:i/>
          <w:sz w:val="18"/>
          <w:szCs w:val="18"/>
        </w:rPr>
        <w:t xml:space="preserve"> </w:t>
      </w:r>
      <w:r w:rsidRPr="006951F4">
        <w:rPr>
          <w:i/>
          <w:sz w:val="18"/>
          <w:szCs w:val="18"/>
        </w:rPr>
        <w:t>Doi: 10,5251/abjna.4.3.186.191</w:t>
      </w:r>
    </w:p>
    <w:p w:rsidR="00FC60F3" w:rsidRPr="006951F4" w:rsidRDefault="00FC60F3" w:rsidP="006951F4">
      <w:pPr>
        <w:ind w:left="426" w:hanging="426"/>
        <w:jc w:val="both"/>
        <w:rPr>
          <w:sz w:val="18"/>
          <w:szCs w:val="18"/>
        </w:rPr>
      </w:pPr>
      <w:r w:rsidRPr="006951F4">
        <w:rPr>
          <w:sz w:val="18"/>
          <w:szCs w:val="18"/>
        </w:rPr>
        <w:t>Agbalaya, K.K., Onigemo, A.A., Tijani, L.A., Oso, Y.A.A., Ishola O.J., Asafa, A.R., Agbaye, F.P</w:t>
      </w:r>
      <w:r w:rsidR="006951F4">
        <w:rPr>
          <w:sz w:val="18"/>
          <w:szCs w:val="18"/>
        </w:rPr>
        <w:t>., Anjola, A.O.J., Oviawe, J.A., &amp;</w:t>
      </w:r>
      <w:r w:rsidRPr="006951F4">
        <w:rPr>
          <w:sz w:val="18"/>
          <w:szCs w:val="18"/>
        </w:rPr>
        <w:t xml:space="preserve"> Awe, O.O.M. (2017). Growth performance, haematological characteristics, and serum biochemistry of Japanese quails fed with diets containing African pear seed meal. </w:t>
      </w:r>
      <w:r w:rsidRPr="006951F4">
        <w:rPr>
          <w:i/>
          <w:sz w:val="18"/>
          <w:szCs w:val="18"/>
        </w:rPr>
        <w:t>Nigerian Journal of Animal Science, 19</w:t>
      </w:r>
      <w:r w:rsidR="006951F4">
        <w:rPr>
          <w:sz w:val="18"/>
          <w:szCs w:val="18"/>
        </w:rPr>
        <w:t>(1), 157-</w:t>
      </w:r>
      <w:r w:rsidRPr="006951F4">
        <w:rPr>
          <w:sz w:val="18"/>
          <w:szCs w:val="18"/>
        </w:rPr>
        <w:t>165.</w:t>
      </w:r>
    </w:p>
    <w:p w:rsidR="00FC60F3" w:rsidRPr="006951F4" w:rsidRDefault="00FC60F3" w:rsidP="006951F4">
      <w:pPr>
        <w:ind w:left="426" w:hanging="426"/>
        <w:jc w:val="both"/>
        <w:rPr>
          <w:sz w:val="18"/>
          <w:szCs w:val="18"/>
        </w:rPr>
      </w:pPr>
      <w:r w:rsidRPr="00DA1FFD">
        <w:rPr>
          <w:spacing w:val="-2"/>
          <w:sz w:val="18"/>
          <w:szCs w:val="18"/>
        </w:rPr>
        <w:t xml:space="preserve">Akinmutimi, A.H. (2004). </w:t>
      </w:r>
      <w:r w:rsidRPr="00DA1FFD">
        <w:rPr>
          <w:i/>
          <w:spacing w:val="-2"/>
          <w:sz w:val="18"/>
          <w:szCs w:val="18"/>
        </w:rPr>
        <w:t xml:space="preserve">Evaluation of sword beans </w:t>
      </w:r>
      <w:r w:rsidRPr="00DA1FFD">
        <w:rPr>
          <w:spacing w:val="-2"/>
          <w:sz w:val="18"/>
          <w:szCs w:val="18"/>
        </w:rPr>
        <w:t>(</w:t>
      </w:r>
      <w:r w:rsidRPr="00DA1FFD">
        <w:rPr>
          <w:i/>
          <w:spacing w:val="-2"/>
          <w:sz w:val="18"/>
          <w:szCs w:val="18"/>
        </w:rPr>
        <w:t>Canavalia</w:t>
      </w:r>
      <w:r w:rsidR="004C795C">
        <w:rPr>
          <w:i/>
          <w:spacing w:val="-2"/>
          <w:sz w:val="18"/>
          <w:szCs w:val="18"/>
        </w:rPr>
        <w:t xml:space="preserve"> </w:t>
      </w:r>
      <w:r w:rsidRPr="00DA1FFD">
        <w:rPr>
          <w:i/>
          <w:spacing w:val="-2"/>
          <w:sz w:val="18"/>
          <w:szCs w:val="18"/>
        </w:rPr>
        <w:t>gladiata</w:t>
      </w:r>
      <w:r w:rsidRPr="00DA1FFD">
        <w:rPr>
          <w:spacing w:val="-2"/>
          <w:sz w:val="18"/>
          <w:szCs w:val="18"/>
        </w:rPr>
        <w:t xml:space="preserve">) </w:t>
      </w:r>
      <w:r w:rsidRPr="00DA1FFD">
        <w:rPr>
          <w:i/>
          <w:spacing w:val="-2"/>
          <w:sz w:val="18"/>
          <w:szCs w:val="18"/>
        </w:rPr>
        <w:t xml:space="preserve">as an alternative feed resource for broiler chickens. </w:t>
      </w:r>
      <w:r w:rsidRPr="00DA1FFD">
        <w:rPr>
          <w:spacing w:val="-2"/>
          <w:sz w:val="18"/>
          <w:szCs w:val="18"/>
        </w:rPr>
        <w:t>PhD thesis.</w:t>
      </w:r>
      <w:r w:rsidR="004C795C">
        <w:rPr>
          <w:spacing w:val="-2"/>
          <w:sz w:val="18"/>
          <w:szCs w:val="18"/>
        </w:rPr>
        <w:t xml:space="preserve"> </w:t>
      </w:r>
      <w:r w:rsidRPr="00DA1FFD">
        <w:rPr>
          <w:spacing w:val="-2"/>
          <w:sz w:val="18"/>
          <w:szCs w:val="18"/>
        </w:rPr>
        <w:t>Michael Okpara University</w:t>
      </w:r>
      <w:r w:rsidRPr="006951F4">
        <w:rPr>
          <w:sz w:val="18"/>
          <w:szCs w:val="18"/>
        </w:rPr>
        <w:t xml:space="preserve"> of Agriculture Umudike, Nigeria.</w:t>
      </w:r>
    </w:p>
    <w:p w:rsidR="00FC60F3" w:rsidRPr="006951F4" w:rsidRDefault="00FC60F3" w:rsidP="006951F4">
      <w:pPr>
        <w:ind w:left="426" w:hanging="426"/>
        <w:jc w:val="both"/>
        <w:rPr>
          <w:sz w:val="18"/>
          <w:szCs w:val="18"/>
        </w:rPr>
      </w:pPr>
      <w:r w:rsidRPr="006951F4">
        <w:rPr>
          <w:sz w:val="18"/>
          <w:szCs w:val="18"/>
        </w:rPr>
        <w:t>Alibi, O.M., Adejumo, D.,Ayoola, M</w:t>
      </w:r>
      <w:r w:rsidR="006951F4">
        <w:rPr>
          <w:sz w:val="18"/>
          <w:szCs w:val="18"/>
        </w:rPr>
        <w:t>.O.,Afolabi, K.D., Adewumi, A.A</w:t>
      </w:r>
      <w:r w:rsidRPr="006951F4">
        <w:rPr>
          <w:sz w:val="18"/>
          <w:szCs w:val="18"/>
        </w:rPr>
        <w:t>.</w:t>
      </w:r>
      <w:r w:rsidR="006951F4">
        <w:rPr>
          <w:sz w:val="18"/>
          <w:szCs w:val="18"/>
        </w:rPr>
        <w:t>, &amp;</w:t>
      </w:r>
      <w:r w:rsidR="004C795C">
        <w:rPr>
          <w:sz w:val="18"/>
          <w:szCs w:val="18"/>
        </w:rPr>
        <w:t xml:space="preserve"> </w:t>
      </w:r>
      <w:r w:rsidRPr="006951F4">
        <w:rPr>
          <w:sz w:val="18"/>
          <w:szCs w:val="18"/>
        </w:rPr>
        <w:t xml:space="preserve">Alabi, O.B. (2011). Changes in haematological and serum metabolites profile of broiler finisher fed with graded levels of indomie waste meal as replacement for maize. In: Adeniji, A.A., Olatunji E.A. and Gana, E.S. (Eds). </w:t>
      </w:r>
      <w:r w:rsidRPr="006951F4">
        <w:rPr>
          <w:i/>
          <w:sz w:val="18"/>
          <w:szCs w:val="18"/>
        </w:rPr>
        <w:t>Proceedings of the 36</w:t>
      </w:r>
      <w:r w:rsidRPr="006951F4">
        <w:rPr>
          <w:i/>
          <w:sz w:val="18"/>
          <w:szCs w:val="18"/>
          <w:vertAlign w:val="superscript"/>
        </w:rPr>
        <w:t>th</w:t>
      </w:r>
      <w:r w:rsidRPr="006951F4">
        <w:rPr>
          <w:i/>
          <w:sz w:val="18"/>
          <w:szCs w:val="18"/>
        </w:rPr>
        <w:t xml:space="preserve"> Annual Conference of Nigerian Society of Animal Production on </w:t>
      </w:r>
      <w:r w:rsidRPr="006951F4">
        <w:rPr>
          <w:sz w:val="18"/>
          <w:szCs w:val="18"/>
        </w:rPr>
        <w:t>Value re-orientation in Animal Production: A key to National food security and stable Economy</w:t>
      </w:r>
      <w:r w:rsidR="007E35A1">
        <w:rPr>
          <w:sz w:val="18"/>
          <w:szCs w:val="18"/>
        </w:rPr>
        <w:t>,</w:t>
      </w:r>
      <w:r w:rsidRPr="006951F4">
        <w:rPr>
          <w:sz w:val="18"/>
          <w:szCs w:val="18"/>
        </w:rPr>
        <w:t xml:space="preserve"> pp. 122-126</w:t>
      </w:r>
      <w:r w:rsidRPr="006951F4">
        <w:rPr>
          <w:i/>
          <w:sz w:val="18"/>
          <w:szCs w:val="18"/>
        </w:rPr>
        <w:t>.</w:t>
      </w:r>
    </w:p>
    <w:p w:rsidR="00FC60F3" w:rsidRPr="006951F4" w:rsidRDefault="00FC60F3" w:rsidP="006951F4">
      <w:pPr>
        <w:ind w:left="426" w:hanging="426"/>
        <w:jc w:val="both"/>
        <w:rPr>
          <w:i/>
          <w:sz w:val="18"/>
          <w:szCs w:val="18"/>
        </w:rPr>
      </w:pPr>
      <w:r w:rsidRPr="006951F4">
        <w:rPr>
          <w:sz w:val="18"/>
          <w:szCs w:val="18"/>
        </w:rPr>
        <w:t>Alu, S.E., Kaankuka, F.G., Bello, M</w:t>
      </w:r>
      <w:r w:rsidR="006951F4">
        <w:rPr>
          <w:sz w:val="18"/>
          <w:szCs w:val="18"/>
        </w:rPr>
        <w:t>., &amp;</w:t>
      </w:r>
      <w:r w:rsidR="004C795C">
        <w:rPr>
          <w:sz w:val="18"/>
          <w:szCs w:val="18"/>
        </w:rPr>
        <w:t xml:space="preserve"> </w:t>
      </w:r>
      <w:r w:rsidRPr="006951F4">
        <w:rPr>
          <w:sz w:val="18"/>
          <w:szCs w:val="18"/>
        </w:rPr>
        <w:t xml:space="preserve">Salau, E.S. (2013). Growth parameters and economic analysis of broiler finisher birds fed sugarcane scrapping meal (SCSM) - based diets. </w:t>
      </w:r>
      <w:r w:rsidRPr="006951F4">
        <w:rPr>
          <w:i/>
          <w:sz w:val="18"/>
          <w:szCs w:val="18"/>
        </w:rPr>
        <w:t>Journal of Life and</w:t>
      </w:r>
      <w:r w:rsidR="006951F4">
        <w:rPr>
          <w:i/>
          <w:sz w:val="18"/>
          <w:szCs w:val="18"/>
        </w:rPr>
        <w:t xml:space="preserve"> Physical Sciences,</w:t>
      </w:r>
      <w:r w:rsidRPr="006951F4">
        <w:rPr>
          <w:i/>
          <w:sz w:val="18"/>
          <w:szCs w:val="18"/>
        </w:rPr>
        <w:t xml:space="preserve"> 4</w:t>
      </w:r>
      <w:r w:rsidR="007E35A1">
        <w:rPr>
          <w:sz w:val="18"/>
          <w:szCs w:val="18"/>
        </w:rPr>
        <w:t xml:space="preserve">(2), </w:t>
      </w:r>
      <w:r w:rsidRPr="006951F4">
        <w:rPr>
          <w:sz w:val="18"/>
          <w:szCs w:val="18"/>
        </w:rPr>
        <w:t>51-60</w:t>
      </w:r>
      <w:r w:rsidR="006951F4">
        <w:rPr>
          <w:sz w:val="18"/>
          <w:szCs w:val="18"/>
        </w:rPr>
        <w:t>.</w:t>
      </w:r>
    </w:p>
    <w:p w:rsidR="00FC60F3" w:rsidRPr="006951F4" w:rsidRDefault="00FC60F3" w:rsidP="006951F4">
      <w:pPr>
        <w:ind w:left="426" w:hanging="426"/>
        <w:jc w:val="both"/>
        <w:rPr>
          <w:i/>
          <w:sz w:val="18"/>
          <w:szCs w:val="18"/>
        </w:rPr>
      </w:pPr>
      <w:r w:rsidRPr="006951F4">
        <w:rPr>
          <w:sz w:val="18"/>
          <w:szCs w:val="18"/>
        </w:rPr>
        <w:t>Amaefule, K.U., Ibe, S.N., Abasiekong, S.F.</w:t>
      </w:r>
      <w:r w:rsidR="006951F4">
        <w:rPr>
          <w:sz w:val="18"/>
          <w:szCs w:val="18"/>
        </w:rPr>
        <w:t>, &amp;</w:t>
      </w:r>
      <w:r w:rsidR="004C795C">
        <w:rPr>
          <w:sz w:val="18"/>
          <w:szCs w:val="18"/>
        </w:rPr>
        <w:t xml:space="preserve"> </w:t>
      </w:r>
      <w:r w:rsidRPr="006951F4">
        <w:rPr>
          <w:sz w:val="18"/>
          <w:szCs w:val="18"/>
        </w:rPr>
        <w:t xml:space="preserve">Onwudike, O.C. (2006). Response of weaner pigs to diets of different proportions and high levels of palm kernel meal and brewers dried grain in the humid tropics. </w:t>
      </w:r>
      <w:r w:rsidRPr="006951F4">
        <w:rPr>
          <w:i/>
          <w:sz w:val="18"/>
          <w:szCs w:val="18"/>
        </w:rPr>
        <w:t>Pakistan Journal of Nutrition 5</w:t>
      </w:r>
      <w:r w:rsidR="006951F4">
        <w:rPr>
          <w:sz w:val="18"/>
          <w:szCs w:val="18"/>
        </w:rPr>
        <w:t xml:space="preserve">(5), </w:t>
      </w:r>
      <w:r w:rsidRPr="006951F4">
        <w:rPr>
          <w:sz w:val="18"/>
          <w:szCs w:val="18"/>
        </w:rPr>
        <w:t>461-466</w:t>
      </w:r>
      <w:r w:rsidR="006951F4">
        <w:rPr>
          <w:sz w:val="18"/>
          <w:szCs w:val="18"/>
        </w:rPr>
        <w:t>.</w:t>
      </w:r>
    </w:p>
    <w:p w:rsidR="00FC60F3" w:rsidRPr="006951F4" w:rsidRDefault="00FC60F3" w:rsidP="006951F4">
      <w:pPr>
        <w:ind w:left="426" w:hanging="426"/>
        <w:jc w:val="both"/>
        <w:rPr>
          <w:sz w:val="18"/>
          <w:szCs w:val="18"/>
        </w:rPr>
      </w:pPr>
      <w:r w:rsidRPr="006951F4">
        <w:rPr>
          <w:sz w:val="18"/>
          <w:szCs w:val="18"/>
        </w:rPr>
        <w:t>Ani, A.O.</w:t>
      </w:r>
      <w:r w:rsidR="006951F4">
        <w:rPr>
          <w:sz w:val="18"/>
          <w:szCs w:val="18"/>
        </w:rPr>
        <w:t>,</w:t>
      </w:r>
      <w:r w:rsidR="004C795C">
        <w:rPr>
          <w:sz w:val="18"/>
          <w:szCs w:val="18"/>
        </w:rPr>
        <w:t xml:space="preserve"> </w:t>
      </w:r>
      <w:r w:rsidR="006951F4">
        <w:rPr>
          <w:sz w:val="18"/>
          <w:szCs w:val="18"/>
        </w:rPr>
        <w:t>&amp;</w:t>
      </w:r>
      <w:r w:rsidR="004C795C">
        <w:rPr>
          <w:sz w:val="18"/>
          <w:szCs w:val="18"/>
        </w:rPr>
        <w:t xml:space="preserve"> </w:t>
      </w:r>
      <w:r w:rsidR="006951F4">
        <w:rPr>
          <w:sz w:val="18"/>
          <w:szCs w:val="18"/>
        </w:rPr>
        <w:t>Adiegwu, I.</w:t>
      </w:r>
      <w:r w:rsidRPr="006951F4">
        <w:rPr>
          <w:sz w:val="18"/>
          <w:szCs w:val="18"/>
        </w:rPr>
        <w:t>I. (2005).The feeding value of Velvet beans (</w:t>
      </w:r>
      <w:r w:rsidRPr="006951F4">
        <w:rPr>
          <w:i/>
          <w:sz w:val="18"/>
          <w:szCs w:val="18"/>
        </w:rPr>
        <w:t>Mucuna</w:t>
      </w:r>
      <w:r w:rsidR="004C795C">
        <w:rPr>
          <w:i/>
          <w:sz w:val="18"/>
          <w:szCs w:val="18"/>
        </w:rPr>
        <w:t xml:space="preserve"> </w:t>
      </w:r>
      <w:r w:rsidRPr="006951F4">
        <w:rPr>
          <w:i/>
          <w:sz w:val="18"/>
          <w:szCs w:val="18"/>
        </w:rPr>
        <w:t>pruriens</w:t>
      </w:r>
      <w:r w:rsidRPr="006951F4">
        <w:rPr>
          <w:sz w:val="18"/>
          <w:szCs w:val="18"/>
        </w:rPr>
        <w:t>) to weaner rabbit.</w:t>
      </w:r>
      <w:r w:rsidR="004C795C">
        <w:rPr>
          <w:sz w:val="18"/>
          <w:szCs w:val="18"/>
        </w:rPr>
        <w:t xml:space="preserve"> </w:t>
      </w:r>
      <w:r w:rsidRPr="006951F4">
        <w:rPr>
          <w:i/>
          <w:sz w:val="18"/>
          <w:szCs w:val="18"/>
        </w:rPr>
        <w:t>Proceddings of 21</w:t>
      </w:r>
      <w:r w:rsidRPr="006951F4">
        <w:rPr>
          <w:i/>
          <w:sz w:val="18"/>
          <w:szCs w:val="18"/>
          <w:vertAlign w:val="superscript"/>
        </w:rPr>
        <w:t>st</w:t>
      </w:r>
      <w:r w:rsidRPr="006951F4">
        <w:rPr>
          <w:i/>
          <w:sz w:val="18"/>
          <w:szCs w:val="18"/>
        </w:rPr>
        <w:t xml:space="preserve"> Annual Conference.Nigerian society of Animal Production.</w:t>
      </w:r>
      <w:r w:rsidR="004C795C">
        <w:rPr>
          <w:i/>
          <w:sz w:val="18"/>
          <w:szCs w:val="18"/>
        </w:rPr>
        <w:t xml:space="preserve"> </w:t>
      </w:r>
      <w:r w:rsidRPr="006951F4">
        <w:rPr>
          <w:i/>
          <w:sz w:val="18"/>
          <w:szCs w:val="18"/>
        </w:rPr>
        <w:t>Nsukka</w:t>
      </w:r>
      <w:r w:rsidR="007E35A1">
        <w:rPr>
          <w:i/>
          <w:sz w:val="18"/>
          <w:szCs w:val="18"/>
        </w:rPr>
        <w:t xml:space="preserve">, </w:t>
      </w:r>
      <w:r w:rsidRPr="006951F4">
        <w:rPr>
          <w:sz w:val="18"/>
          <w:szCs w:val="18"/>
        </w:rPr>
        <w:t>pp. 186-189.</w:t>
      </w:r>
    </w:p>
    <w:p w:rsidR="00FC60F3" w:rsidRPr="006951F4" w:rsidRDefault="00FC60F3" w:rsidP="006951F4">
      <w:pPr>
        <w:ind w:left="426" w:hanging="426"/>
        <w:jc w:val="both"/>
        <w:rPr>
          <w:sz w:val="18"/>
          <w:szCs w:val="18"/>
        </w:rPr>
      </w:pPr>
      <w:r w:rsidRPr="006951F4">
        <w:rPr>
          <w:sz w:val="18"/>
          <w:szCs w:val="18"/>
        </w:rPr>
        <w:t>A.O.A.C. (2006).</w:t>
      </w:r>
      <w:r w:rsidR="004C795C">
        <w:rPr>
          <w:sz w:val="18"/>
          <w:szCs w:val="18"/>
        </w:rPr>
        <w:t xml:space="preserve"> </w:t>
      </w:r>
      <w:r w:rsidRPr="006951F4">
        <w:rPr>
          <w:sz w:val="18"/>
          <w:szCs w:val="18"/>
        </w:rPr>
        <w:t>Official Methods of Analysis of the Association of</w:t>
      </w:r>
      <w:r w:rsidR="007E35A1">
        <w:rPr>
          <w:sz w:val="18"/>
          <w:szCs w:val="18"/>
        </w:rPr>
        <w:t xml:space="preserve"> Official Analytical Chemists.</w:t>
      </w:r>
      <w:r w:rsidRPr="006951F4">
        <w:rPr>
          <w:sz w:val="18"/>
          <w:szCs w:val="18"/>
        </w:rPr>
        <w:t>18</w:t>
      </w:r>
      <w:r w:rsidRPr="006951F4">
        <w:rPr>
          <w:sz w:val="18"/>
          <w:szCs w:val="18"/>
          <w:vertAlign w:val="superscript"/>
        </w:rPr>
        <w:t>th</w:t>
      </w:r>
      <w:r w:rsidRPr="006951F4">
        <w:rPr>
          <w:sz w:val="18"/>
          <w:szCs w:val="18"/>
        </w:rPr>
        <w:t xml:space="preserve"> Edition. Washington D.C., USA.</w:t>
      </w:r>
    </w:p>
    <w:p w:rsidR="00FC60F3" w:rsidRPr="006951F4" w:rsidRDefault="00FC60F3" w:rsidP="006951F4">
      <w:pPr>
        <w:ind w:left="426" w:hanging="426"/>
        <w:jc w:val="both"/>
        <w:rPr>
          <w:sz w:val="18"/>
          <w:szCs w:val="18"/>
        </w:rPr>
      </w:pPr>
      <w:r w:rsidRPr="006951F4">
        <w:rPr>
          <w:sz w:val="18"/>
          <w:szCs w:val="18"/>
        </w:rPr>
        <w:lastRenderedPageBreak/>
        <w:t>Awoniyi, T.A., Aletor, M., Adebayi, I.A.</w:t>
      </w:r>
      <w:r w:rsidR="006951F4">
        <w:rPr>
          <w:sz w:val="18"/>
          <w:szCs w:val="18"/>
        </w:rPr>
        <w:t>, &amp;</w:t>
      </w:r>
      <w:r w:rsidR="004C795C">
        <w:rPr>
          <w:sz w:val="18"/>
          <w:szCs w:val="18"/>
        </w:rPr>
        <w:t xml:space="preserve"> </w:t>
      </w:r>
      <w:r w:rsidRPr="006951F4">
        <w:rPr>
          <w:sz w:val="18"/>
          <w:szCs w:val="18"/>
        </w:rPr>
        <w:t xml:space="preserve">Oyekule, B.O. (2000). Observations on some erythrocyte indices of broiler chicken raised on maggot meal based diets. </w:t>
      </w:r>
      <w:r w:rsidRPr="004C795C">
        <w:rPr>
          <w:i/>
          <w:sz w:val="18"/>
          <w:szCs w:val="18"/>
        </w:rPr>
        <w:t>Book of Proceedings of the 25</w:t>
      </w:r>
      <w:r w:rsidRPr="004C795C">
        <w:rPr>
          <w:i/>
          <w:sz w:val="18"/>
          <w:szCs w:val="18"/>
          <w:vertAlign w:val="superscript"/>
        </w:rPr>
        <w:t xml:space="preserve">th </w:t>
      </w:r>
      <w:r w:rsidRPr="004C795C">
        <w:rPr>
          <w:i/>
          <w:sz w:val="18"/>
          <w:szCs w:val="18"/>
        </w:rPr>
        <w:t>Annual Conference of the Nigerian Society for Animal Production</w:t>
      </w:r>
      <w:r w:rsidRPr="006951F4">
        <w:rPr>
          <w:sz w:val="18"/>
          <w:szCs w:val="18"/>
        </w:rPr>
        <w:t xml:space="preserve"> (</w:t>
      </w:r>
      <w:r w:rsidRPr="006951F4">
        <w:rPr>
          <w:i/>
          <w:sz w:val="18"/>
          <w:szCs w:val="18"/>
        </w:rPr>
        <w:t xml:space="preserve">NSAP), </w:t>
      </w:r>
      <w:r w:rsidRPr="006951F4">
        <w:rPr>
          <w:sz w:val="18"/>
          <w:szCs w:val="18"/>
        </w:rPr>
        <w:t>Umudike</w:t>
      </w:r>
      <w:r w:rsidR="007E35A1">
        <w:rPr>
          <w:sz w:val="18"/>
          <w:szCs w:val="18"/>
        </w:rPr>
        <w:t>,</w:t>
      </w:r>
      <w:r w:rsidRPr="006951F4">
        <w:rPr>
          <w:sz w:val="18"/>
          <w:szCs w:val="18"/>
        </w:rPr>
        <w:t xml:space="preserve"> pp. 225-228.</w:t>
      </w:r>
    </w:p>
    <w:p w:rsidR="00FC60F3" w:rsidRPr="006951F4" w:rsidRDefault="00FC60F3" w:rsidP="006951F4">
      <w:pPr>
        <w:ind w:left="426" w:hanging="426"/>
        <w:jc w:val="both"/>
        <w:rPr>
          <w:sz w:val="18"/>
          <w:szCs w:val="18"/>
        </w:rPr>
      </w:pPr>
      <w:r w:rsidRPr="006951F4">
        <w:rPr>
          <w:sz w:val="18"/>
          <w:szCs w:val="18"/>
        </w:rPr>
        <w:t>Bolu, S.A</w:t>
      </w:r>
      <w:r w:rsidR="006951F4">
        <w:rPr>
          <w:sz w:val="18"/>
          <w:szCs w:val="18"/>
        </w:rPr>
        <w:t>., &amp;</w:t>
      </w:r>
      <w:r w:rsidR="004C795C">
        <w:rPr>
          <w:sz w:val="18"/>
          <w:szCs w:val="18"/>
        </w:rPr>
        <w:t xml:space="preserve"> </w:t>
      </w:r>
      <w:r w:rsidRPr="006951F4">
        <w:rPr>
          <w:sz w:val="18"/>
          <w:szCs w:val="18"/>
        </w:rPr>
        <w:t xml:space="preserve">Adelakun, M.T (2013). Effect of Alphamune G on performance, serum and haematological parameters of </w:t>
      </w:r>
      <w:r w:rsidRPr="006951F4">
        <w:rPr>
          <w:i/>
          <w:sz w:val="18"/>
          <w:szCs w:val="18"/>
        </w:rPr>
        <w:t xml:space="preserve">Escherichia coli </w:t>
      </w:r>
      <w:r w:rsidRPr="006951F4">
        <w:rPr>
          <w:sz w:val="18"/>
          <w:szCs w:val="18"/>
        </w:rPr>
        <w:t xml:space="preserve">challenged turkey poults. </w:t>
      </w:r>
      <w:r w:rsidRPr="006951F4">
        <w:rPr>
          <w:i/>
          <w:sz w:val="18"/>
          <w:szCs w:val="18"/>
        </w:rPr>
        <w:t>Nigerian Journal of Animal Production</w:t>
      </w:r>
      <w:r w:rsidRPr="006951F4">
        <w:rPr>
          <w:sz w:val="18"/>
          <w:szCs w:val="18"/>
        </w:rPr>
        <w:t xml:space="preserve">, </w:t>
      </w:r>
      <w:r w:rsidRPr="006951F4">
        <w:rPr>
          <w:i/>
          <w:sz w:val="18"/>
          <w:szCs w:val="18"/>
        </w:rPr>
        <w:t>40</w:t>
      </w:r>
      <w:r w:rsidR="006951F4">
        <w:rPr>
          <w:sz w:val="18"/>
          <w:szCs w:val="18"/>
        </w:rPr>
        <w:t xml:space="preserve"> (2), 112-</w:t>
      </w:r>
      <w:r w:rsidRPr="006951F4">
        <w:rPr>
          <w:sz w:val="18"/>
          <w:szCs w:val="18"/>
        </w:rPr>
        <w:t>121</w:t>
      </w:r>
    </w:p>
    <w:p w:rsidR="00FC60F3" w:rsidRPr="006951F4" w:rsidRDefault="00FC60F3" w:rsidP="006951F4">
      <w:pPr>
        <w:ind w:left="426" w:hanging="426"/>
        <w:jc w:val="both"/>
        <w:rPr>
          <w:sz w:val="18"/>
          <w:szCs w:val="18"/>
        </w:rPr>
      </w:pPr>
      <w:r w:rsidRPr="006951F4">
        <w:rPr>
          <w:sz w:val="18"/>
          <w:szCs w:val="18"/>
        </w:rPr>
        <w:t xml:space="preserve">Banerjee, G.C. (2005). </w:t>
      </w:r>
      <w:r w:rsidRPr="006951F4">
        <w:rPr>
          <w:i/>
          <w:sz w:val="18"/>
          <w:szCs w:val="18"/>
        </w:rPr>
        <w:t>A Textbook of Animal Husbandry</w:t>
      </w:r>
      <w:r w:rsidRPr="006951F4">
        <w:rPr>
          <w:sz w:val="18"/>
          <w:szCs w:val="18"/>
        </w:rPr>
        <w:t>.8</w:t>
      </w:r>
      <w:r w:rsidRPr="006951F4">
        <w:rPr>
          <w:sz w:val="18"/>
          <w:szCs w:val="18"/>
          <w:vertAlign w:val="superscript"/>
        </w:rPr>
        <w:t>th</w:t>
      </w:r>
      <w:r w:rsidRPr="006951F4">
        <w:rPr>
          <w:sz w:val="18"/>
          <w:szCs w:val="18"/>
        </w:rPr>
        <w:t xml:space="preserve"> Edition. Oxford and IBH Publishing </w:t>
      </w:r>
      <w:r w:rsidR="007E35A1">
        <w:rPr>
          <w:sz w:val="18"/>
          <w:szCs w:val="18"/>
        </w:rPr>
        <w:t>Co PVT Ltd, New Dehli,</w:t>
      </w:r>
      <w:r w:rsidR="006951F4">
        <w:rPr>
          <w:sz w:val="18"/>
          <w:szCs w:val="18"/>
        </w:rPr>
        <w:t xml:space="preserve"> pp 118-</w:t>
      </w:r>
      <w:r w:rsidRPr="006951F4">
        <w:rPr>
          <w:sz w:val="18"/>
          <w:szCs w:val="18"/>
        </w:rPr>
        <w:t>143.</w:t>
      </w:r>
    </w:p>
    <w:p w:rsidR="00FC60F3" w:rsidRPr="006951F4" w:rsidRDefault="00FC60F3" w:rsidP="006951F4">
      <w:pPr>
        <w:ind w:left="426" w:hanging="426"/>
        <w:jc w:val="both"/>
        <w:rPr>
          <w:i/>
          <w:sz w:val="18"/>
          <w:szCs w:val="18"/>
        </w:rPr>
      </w:pPr>
      <w:r w:rsidRPr="006951F4">
        <w:rPr>
          <w:sz w:val="18"/>
          <w:szCs w:val="18"/>
        </w:rPr>
        <w:t xml:space="preserve">Camara, A., Toupou, K., Diallo, D. </w:t>
      </w:r>
      <w:r w:rsidR="004C795C">
        <w:rPr>
          <w:sz w:val="18"/>
          <w:szCs w:val="18"/>
        </w:rPr>
        <w:t xml:space="preserve">&amp; </w:t>
      </w:r>
      <w:r w:rsidRPr="006951F4">
        <w:rPr>
          <w:sz w:val="18"/>
          <w:szCs w:val="18"/>
        </w:rPr>
        <w:t xml:space="preserve">Berhe, T. (2003). Studies on </w:t>
      </w:r>
      <w:r w:rsidRPr="006951F4">
        <w:rPr>
          <w:i/>
          <w:sz w:val="18"/>
          <w:szCs w:val="18"/>
        </w:rPr>
        <w:t>Mucuna</w:t>
      </w:r>
      <w:r w:rsidRPr="006951F4">
        <w:rPr>
          <w:sz w:val="18"/>
          <w:szCs w:val="18"/>
        </w:rPr>
        <w:t xml:space="preserve">as poultry and pig feed in the Republic of Guinea. </w:t>
      </w:r>
      <w:r w:rsidRPr="006951F4">
        <w:rPr>
          <w:i/>
          <w:sz w:val="18"/>
          <w:szCs w:val="18"/>
        </w:rPr>
        <w:t>Tropical and Subtropical Agroecosystems, 1</w:t>
      </w:r>
      <w:r w:rsidR="006951F4">
        <w:rPr>
          <w:i/>
          <w:sz w:val="18"/>
          <w:szCs w:val="18"/>
        </w:rPr>
        <w:t xml:space="preserve">, </w:t>
      </w:r>
      <w:r w:rsidRPr="006951F4">
        <w:rPr>
          <w:sz w:val="18"/>
          <w:szCs w:val="18"/>
        </w:rPr>
        <w:t>247-251</w:t>
      </w:r>
      <w:r w:rsidR="00F5349B">
        <w:rPr>
          <w:sz w:val="18"/>
          <w:szCs w:val="18"/>
        </w:rPr>
        <w:t>.</w:t>
      </w:r>
    </w:p>
    <w:p w:rsidR="00FC60F3" w:rsidRPr="006951F4" w:rsidRDefault="00FC60F3" w:rsidP="006951F4">
      <w:pPr>
        <w:ind w:left="426" w:hanging="426"/>
        <w:jc w:val="both"/>
        <w:rPr>
          <w:sz w:val="18"/>
          <w:szCs w:val="18"/>
        </w:rPr>
      </w:pPr>
      <w:r w:rsidRPr="006951F4">
        <w:rPr>
          <w:sz w:val="18"/>
          <w:szCs w:val="18"/>
        </w:rPr>
        <w:t xml:space="preserve">Emiola, I.A., Ojediran, T.K </w:t>
      </w:r>
      <w:r w:rsidR="004C795C">
        <w:rPr>
          <w:sz w:val="18"/>
          <w:szCs w:val="18"/>
        </w:rPr>
        <w:t xml:space="preserve">&amp; </w:t>
      </w:r>
      <w:r w:rsidRPr="006951F4">
        <w:rPr>
          <w:sz w:val="18"/>
          <w:szCs w:val="18"/>
        </w:rPr>
        <w:t xml:space="preserve">Ajayi, J.A (2013). Biochemical and Haematological indices of broiler chickens fed differently processed legume seed meals. </w:t>
      </w:r>
      <w:r w:rsidRPr="006951F4">
        <w:rPr>
          <w:i/>
          <w:sz w:val="18"/>
          <w:szCs w:val="18"/>
        </w:rPr>
        <w:t>International Journal of applied Agricultura</w:t>
      </w:r>
      <w:r w:rsidR="00313A70">
        <w:rPr>
          <w:i/>
          <w:sz w:val="18"/>
          <w:szCs w:val="18"/>
        </w:rPr>
        <w:t xml:space="preserve">l and Apicultural Research, 9 </w:t>
      </w:r>
      <w:r w:rsidR="00313A70" w:rsidRPr="00313A70">
        <w:rPr>
          <w:sz w:val="18"/>
          <w:szCs w:val="18"/>
        </w:rPr>
        <w:t>(1</w:t>
      </w:r>
      <w:r w:rsidR="007E35A1">
        <w:rPr>
          <w:sz w:val="18"/>
          <w:szCs w:val="18"/>
        </w:rPr>
        <w:t xml:space="preserve">&amp;2), </w:t>
      </w:r>
      <w:r w:rsidRPr="00313A70">
        <w:rPr>
          <w:sz w:val="18"/>
          <w:szCs w:val="18"/>
        </w:rPr>
        <w:t>140-149.</w:t>
      </w:r>
    </w:p>
    <w:p w:rsidR="00FC60F3" w:rsidRPr="006951F4" w:rsidRDefault="00FC60F3" w:rsidP="006951F4">
      <w:pPr>
        <w:ind w:left="426" w:hanging="426"/>
        <w:jc w:val="both"/>
        <w:rPr>
          <w:color w:val="0563C1"/>
          <w:sz w:val="18"/>
          <w:szCs w:val="18"/>
          <w:u w:val="single"/>
        </w:rPr>
      </w:pPr>
      <w:r w:rsidRPr="006951F4">
        <w:rPr>
          <w:sz w:val="18"/>
          <w:szCs w:val="18"/>
        </w:rPr>
        <w:t>Esonu, B.O., Opara, M.M., Okoli, I.C., Obikaonu, H.O., Udedibie, A.B.I.</w:t>
      </w:r>
      <w:r w:rsidR="006951F4">
        <w:rPr>
          <w:sz w:val="18"/>
          <w:szCs w:val="18"/>
        </w:rPr>
        <w:t>,</w:t>
      </w:r>
      <w:r w:rsidR="004C795C">
        <w:rPr>
          <w:sz w:val="18"/>
          <w:szCs w:val="18"/>
        </w:rPr>
        <w:t xml:space="preserve"> </w:t>
      </w:r>
      <w:r w:rsidR="006951F4">
        <w:rPr>
          <w:sz w:val="18"/>
          <w:szCs w:val="18"/>
        </w:rPr>
        <w:t>&amp;</w:t>
      </w:r>
      <w:r w:rsidR="004C795C">
        <w:rPr>
          <w:sz w:val="18"/>
          <w:szCs w:val="18"/>
        </w:rPr>
        <w:t xml:space="preserve"> </w:t>
      </w:r>
      <w:r w:rsidRPr="006951F4">
        <w:rPr>
          <w:sz w:val="18"/>
          <w:szCs w:val="18"/>
        </w:rPr>
        <w:t>Iheahiulor, O.O.M. (2006). Physiological response of laying birds to neem (</w:t>
      </w:r>
      <w:r w:rsidRPr="006951F4">
        <w:rPr>
          <w:i/>
          <w:sz w:val="18"/>
          <w:szCs w:val="18"/>
        </w:rPr>
        <w:t>Azadirachta</w:t>
      </w:r>
      <w:r w:rsidR="004C795C">
        <w:rPr>
          <w:i/>
          <w:sz w:val="18"/>
          <w:szCs w:val="18"/>
        </w:rPr>
        <w:t xml:space="preserve"> </w:t>
      </w:r>
      <w:r w:rsidRPr="006951F4">
        <w:rPr>
          <w:i/>
          <w:sz w:val="18"/>
          <w:szCs w:val="18"/>
        </w:rPr>
        <w:t>indica</w:t>
      </w:r>
      <w:r w:rsidRPr="006951F4">
        <w:rPr>
          <w:sz w:val="18"/>
          <w:szCs w:val="18"/>
        </w:rPr>
        <w:t>) leaf meal based diets in body weight, organ characteristics and haematology. Online Journal of Health and Allied Sciences.</w:t>
      </w:r>
      <w:hyperlink r:id="rId9" w:history="1">
        <w:r w:rsidRPr="006951F4">
          <w:rPr>
            <w:rStyle w:val="Hyperlink"/>
            <w:color w:val="auto"/>
            <w:sz w:val="18"/>
            <w:szCs w:val="18"/>
            <w:u w:val="none"/>
          </w:rPr>
          <w:t>http://.ojhas.org/issue18/2006 2-4.htm</w:t>
        </w:r>
      </w:hyperlink>
      <w:r w:rsidRPr="006951F4">
        <w:rPr>
          <w:sz w:val="18"/>
          <w:szCs w:val="18"/>
        </w:rPr>
        <w:t>.Retrieved July 3, 2018.</w:t>
      </w:r>
    </w:p>
    <w:p w:rsidR="006951F4" w:rsidRDefault="00FC60F3" w:rsidP="006951F4">
      <w:pPr>
        <w:ind w:left="426" w:hanging="426"/>
        <w:jc w:val="both"/>
        <w:rPr>
          <w:sz w:val="18"/>
          <w:szCs w:val="18"/>
        </w:rPr>
      </w:pPr>
      <w:r w:rsidRPr="006951F4">
        <w:rPr>
          <w:sz w:val="18"/>
          <w:szCs w:val="18"/>
        </w:rPr>
        <w:t>Ezeagu, I.E., Gopan-Krishna, A.G., Khatoon, S.</w:t>
      </w:r>
      <w:r w:rsidR="006951F4">
        <w:rPr>
          <w:sz w:val="18"/>
          <w:szCs w:val="18"/>
        </w:rPr>
        <w:t>,</w:t>
      </w:r>
      <w:r w:rsidR="004C795C">
        <w:rPr>
          <w:sz w:val="18"/>
          <w:szCs w:val="18"/>
        </w:rPr>
        <w:t xml:space="preserve"> </w:t>
      </w:r>
      <w:r w:rsidR="006951F4">
        <w:rPr>
          <w:sz w:val="18"/>
          <w:szCs w:val="18"/>
        </w:rPr>
        <w:t>&amp;</w:t>
      </w:r>
      <w:r w:rsidRPr="006951F4">
        <w:rPr>
          <w:sz w:val="18"/>
          <w:szCs w:val="18"/>
        </w:rPr>
        <w:t xml:space="preserve"> Gowda, L.R. (2004). Physico-chemical characterization of seed oil and nutrient assessment of </w:t>
      </w:r>
      <w:r w:rsidRPr="006951F4">
        <w:rPr>
          <w:i/>
          <w:sz w:val="18"/>
          <w:szCs w:val="18"/>
        </w:rPr>
        <w:t>Adenathera</w:t>
      </w:r>
      <w:r w:rsidR="004C795C">
        <w:rPr>
          <w:i/>
          <w:sz w:val="18"/>
          <w:szCs w:val="18"/>
        </w:rPr>
        <w:t xml:space="preserve"> </w:t>
      </w:r>
      <w:r w:rsidRPr="006951F4">
        <w:rPr>
          <w:i/>
          <w:sz w:val="18"/>
          <w:szCs w:val="18"/>
        </w:rPr>
        <w:t>pavonina</w:t>
      </w:r>
      <w:r w:rsidRPr="006951F4">
        <w:rPr>
          <w:sz w:val="18"/>
          <w:szCs w:val="18"/>
        </w:rPr>
        <w:t xml:space="preserve"> (l): an underutilized tropical legume. </w:t>
      </w:r>
      <w:r w:rsidR="004C795C">
        <w:rPr>
          <w:i/>
          <w:sz w:val="18"/>
          <w:szCs w:val="18"/>
        </w:rPr>
        <w:t xml:space="preserve">Ecology of food Nutrition, </w:t>
      </w:r>
      <w:r w:rsidR="006951F4" w:rsidRPr="006951F4">
        <w:rPr>
          <w:i/>
          <w:sz w:val="18"/>
          <w:szCs w:val="18"/>
        </w:rPr>
        <w:t xml:space="preserve">43 </w:t>
      </w:r>
      <w:r w:rsidR="006951F4">
        <w:rPr>
          <w:sz w:val="18"/>
          <w:szCs w:val="18"/>
        </w:rPr>
        <w:t xml:space="preserve">(4), </w:t>
      </w:r>
      <w:r w:rsidRPr="006951F4">
        <w:rPr>
          <w:sz w:val="18"/>
          <w:szCs w:val="18"/>
        </w:rPr>
        <w:t>295-305.</w:t>
      </w:r>
    </w:p>
    <w:p w:rsidR="00FC60F3" w:rsidRPr="006951F4" w:rsidRDefault="00FC60F3" w:rsidP="006951F4">
      <w:pPr>
        <w:ind w:left="426" w:hanging="426"/>
        <w:jc w:val="both"/>
        <w:rPr>
          <w:i/>
          <w:sz w:val="18"/>
          <w:szCs w:val="18"/>
        </w:rPr>
      </w:pPr>
      <w:r w:rsidRPr="006951F4">
        <w:rPr>
          <w:sz w:val="18"/>
          <w:szCs w:val="18"/>
        </w:rPr>
        <w:t>Folorunso, L.A., Falaye, A.E.</w:t>
      </w:r>
      <w:r w:rsidR="006951F4">
        <w:rPr>
          <w:sz w:val="18"/>
          <w:szCs w:val="18"/>
        </w:rPr>
        <w:t>, &amp;</w:t>
      </w:r>
      <w:r w:rsidR="004C795C">
        <w:rPr>
          <w:sz w:val="18"/>
          <w:szCs w:val="18"/>
        </w:rPr>
        <w:t xml:space="preserve"> </w:t>
      </w:r>
      <w:r w:rsidRPr="006951F4">
        <w:rPr>
          <w:sz w:val="18"/>
          <w:szCs w:val="18"/>
        </w:rPr>
        <w:t xml:space="preserve">Duru, S. (2016). Misrepresentation: Case study of metabolizable energy determination in feed and ingredient samples. </w:t>
      </w:r>
      <w:r w:rsidRPr="006951F4">
        <w:rPr>
          <w:i/>
          <w:sz w:val="18"/>
          <w:szCs w:val="18"/>
        </w:rPr>
        <w:t xml:space="preserve">Nigeria Journal of Animal Production 43 </w:t>
      </w:r>
      <w:r w:rsidRPr="006951F4">
        <w:rPr>
          <w:sz w:val="18"/>
          <w:szCs w:val="18"/>
        </w:rPr>
        <w:t>(1)</w:t>
      </w:r>
      <w:r w:rsidR="006951F4" w:rsidRPr="006951F4">
        <w:rPr>
          <w:sz w:val="18"/>
          <w:szCs w:val="18"/>
        </w:rPr>
        <w:t>,</w:t>
      </w:r>
      <w:r w:rsidRPr="006951F4">
        <w:rPr>
          <w:sz w:val="18"/>
          <w:szCs w:val="18"/>
        </w:rPr>
        <w:t xml:space="preserve"> 11</w:t>
      </w:r>
      <w:r w:rsidR="006951F4">
        <w:rPr>
          <w:sz w:val="18"/>
          <w:szCs w:val="18"/>
        </w:rPr>
        <w:t>1-</w:t>
      </w:r>
      <w:r w:rsidRPr="006951F4">
        <w:rPr>
          <w:sz w:val="18"/>
          <w:szCs w:val="18"/>
        </w:rPr>
        <w:t>114.</w:t>
      </w:r>
    </w:p>
    <w:p w:rsidR="00FC60F3" w:rsidRPr="006951F4" w:rsidRDefault="00FC60F3" w:rsidP="006951F4">
      <w:pPr>
        <w:ind w:left="426" w:hanging="426"/>
        <w:jc w:val="both"/>
        <w:rPr>
          <w:sz w:val="18"/>
          <w:szCs w:val="18"/>
        </w:rPr>
      </w:pPr>
      <w:r w:rsidRPr="006951F4">
        <w:rPr>
          <w:sz w:val="18"/>
          <w:szCs w:val="18"/>
        </w:rPr>
        <w:t>Frandson, R.D</w:t>
      </w:r>
      <w:r w:rsidR="007E35A1">
        <w:rPr>
          <w:sz w:val="18"/>
          <w:szCs w:val="18"/>
        </w:rPr>
        <w:t>.</w:t>
      </w:r>
      <w:r w:rsidRPr="006951F4">
        <w:rPr>
          <w:sz w:val="18"/>
          <w:szCs w:val="18"/>
        </w:rPr>
        <w:t xml:space="preserve"> (1981). </w:t>
      </w:r>
      <w:r w:rsidRPr="006951F4">
        <w:rPr>
          <w:i/>
          <w:sz w:val="18"/>
          <w:szCs w:val="18"/>
        </w:rPr>
        <w:t>Anatomy and Physiology of Farm Animals</w:t>
      </w:r>
      <w:r w:rsidRPr="006951F4">
        <w:rPr>
          <w:sz w:val="18"/>
          <w:szCs w:val="18"/>
        </w:rPr>
        <w:t>. 3</w:t>
      </w:r>
      <w:r w:rsidRPr="006951F4">
        <w:rPr>
          <w:sz w:val="18"/>
          <w:szCs w:val="18"/>
          <w:vertAlign w:val="superscript"/>
        </w:rPr>
        <w:t>rd</w:t>
      </w:r>
      <w:r w:rsidRPr="006951F4">
        <w:rPr>
          <w:sz w:val="18"/>
          <w:szCs w:val="18"/>
        </w:rPr>
        <w:t>Edn. Published by Bialliere Tindall London, pp. 62-94</w:t>
      </w:r>
      <w:r w:rsidRPr="006951F4">
        <w:rPr>
          <w:i/>
          <w:sz w:val="18"/>
          <w:szCs w:val="18"/>
        </w:rPr>
        <w:t>.</w:t>
      </w:r>
    </w:p>
    <w:p w:rsidR="00FC60F3" w:rsidRPr="006951F4" w:rsidRDefault="006951F4" w:rsidP="006951F4">
      <w:pPr>
        <w:ind w:left="426" w:hanging="426"/>
        <w:jc w:val="both"/>
        <w:rPr>
          <w:sz w:val="18"/>
          <w:szCs w:val="18"/>
        </w:rPr>
      </w:pPr>
      <w:r>
        <w:rPr>
          <w:sz w:val="18"/>
          <w:szCs w:val="18"/>
        </w:rPr>
        <w:t>Iheukwumere</w:t>
      </w:r>
      <w:r w:rsidR="007E35A1">
        <w:rPr>
          <w:sz w:val="18"/>
          <w:szCs w:val="18"/>
        </w:rPr>
        <w:t>,</w:t>
      </w:r>
      <w:r>
        <w:rPr>
          <w:sz w:val="18"/>
          <w:szCs w:val="18"/>
        </w:rPr>
        <w:t xml:space="preserve"> F. </w:t>
      </w:r>
      <w:r w:rsidR="00FC60F3" w:rsidRPr="006951F4">
        <w:rPr>
          <w:sz w:val="18"/>
          <w:szCs w:val="18"/>
        </w:rPr>
        <w:t xml:space="preserve">(2008). Effect of mixed feeding regime on litter performance traits of rabbit does. </w:t>
      </w:r>
      <w:r w:rsidR="00FC60F3" w:rsidRPr="006951F4">
        <w:rPr>
          <w:i/>
          <w:sz w:val="18"/>
          <w:szCs w:val="18"/>
        </w:rPr>
        <w:t>Pakistan Journal of Nutrit</w:t>
      </w:r>
      <w:r>
        <w:rPr>
          <w:i/>
          <w:sz w:val="18"/>
          <w:szCs w:val="18"/>
        </w:rPr>
        <w:t>ion</w:t>
      </w:r>
      <w:r w:rsidR="00313A70">
        <w:rPr>
          <w:i/>
          <w:sz w:val="18"/>
          <w:szCs w:val="18"/>
        </w:rPr>
        <w:t>,</w:t>
      </w:r>
      <w:r>
        <w:rPr>
          <w:i/>
          <w:sz w:val="18"/>
          <w:szCs w:val="18"/>
        </w:rPr>
        <w:t xml:space="preserve"> 7 </w:t>
      </w:r>
      <w:r w:rsidRPr="006951F4">
        <w:rPr>
          <w:sz w:val="18"/>
          <w:szCs w:val="18"/>
        </w:rPr>
        <w:t>(4),</w:t>
      </w:r>
      <w:r w:rsidR="00FC60F3" w:rsidRPr="006951F4">
        <w:rPr>
          <w:sz w:val="18"/>
          <w:szCs w:val="18"/>
        </w:rPr>
        <w:t xml:space="preserve"> 594-596</w:t>
      </w:r>
      <w:r>
        <w:rPr>
          <w:sz w:val="18"/>
          <w:szCs w:val="18"/>
        </w:rPr>
        <w:t>.</w:t>
      </w:r>
    </w:p>
    <w:p w:rsidR="00FC60F3" w:rsidRPr="006951F4" w:rsidRDefault="00FC60F3" w:rsidP="006951F4">
      <w:pPr>
        <w:ind w:left="426" w:hanging="426"/>
        <w:jc w:val="both"/>
        <w:rPr>
          <w:sz w:val="18"/>
          <w:szCs w:val="18"/>
        </w:rPr>
      </w:pPr>
      <w:r w:rsidRPr="006951F4">
        <w:rPr>
          <w:sz w:val="18"/>
          <w:szCs w:val="18"/>
        </w:rPr>
        <w:t>Iyayi, E.</w:t>
      </w:r>
      <w:r w:rsidR="006951F4">
        <w:rPr>
          <w:sz w:val="18"/>
          <w:szCs w:val="18"/>
        </w:rPr>
        <w:t>A., Ososanya, T.O., Taiwo, V.O., &amp;</w:t>
      </w:r>
      <w:r w:rsidR="004C795C">
        <w:rPr>
          <w:sz w:val="18"/>
          <w:szCs w:val="18"/>
        </w:rPr>
        <w:t xml:space="preserve"> </w:t>
      </w:r>
      <w:r w:rsidRPr="006951F4">
        <w:rPr>
          <w:sz w:val="18"/>
          <w:szCs w:val="18"/>
        </w:rPr>
        <w:t>Adeniji, O.A. (2006). Growth, haematology and organ histopthology in broilers fed raw and processed Velvet bean based diets. Conference on International Agricultural Research for development.</w:t>
      </w:r>
      <w:r w:rsidR="004C795C">
        <w:rPr>
          <w:sz w:val="18"/>
          <w:szCs w:val="18"/>
        </w:rPr>
        <w:t xml:space="preserve"> </w:t>
      </w:r>
      <w:hyperlink r:id="rId10" w:history="1">
        <w:r w:rsidRPr="00313A70">
          <w:rPr>
            <w:rStyle w:val="Hyperlink"/>
            <w:color w:val="auto"/>
            <w:sz w:val="18"/>
            <w:szCs w:val="18"/>
            <w:u w:val="none"/>
          </w:rPr>
          <w:t>https://www.researchgate.net/publication/237127081</w:t>
        </w:r>
      </w:hyperlink>
      <w:r w:rsidRPr="00313A70">
        <w:rPr>
          <w:sz w:val="18"/>
          <w:szCs w:val="18"/>
        </w:rPr>
        <w:t>. R</w:t>
      </w:r>
      <w:r w:rsidRPr="006951F4">
        <w:rPr>
          <w:sz w:val="18"/>
          <w:szCs w:val="18"/>
        </w:rPr>
        <w:t>etrieved, January 12, 2018.</w:t>
      </w:r>
    </w:p>
    <w:p w:rsidR="00FC60F3" w:rsidRPr="006951F4" w:rsidRDefault="00FC60F3" w:rsidP="006951F4">
      <w:pPr>
        <w:ind w:left="426" w:hanging="426"/>
        <w:jc w:val="both"/>
        <w:rPr>
          <w:sz w:val="18"/>
          <w:szCs w:val="18"/>
        </w:rPr>
      </w:pPr>
      <w:r w:rsidRPr="006951F4">
        <w:rPr>
          <w:sz w:val="18"/>
          <w:szCs w:val="18"/>
        </w:rPr>
        <w:t xml:space="preserve">Jain, A.C. (1986). </w:t>
      </w:r>
      <w:r w:rsidRPr="006951F4">
        <w:rPr>
          <w:i/>
          <w:sz w:val="18"/>
          <w:szCs w:val="18"/>
        </w:rPr>
        <w:t>Schalms Veterinary Haematology</w:t>
      </w:r>
      <w:r w:rsidRPr="006951F4">
        <w:rPr>
          <w:sz w:val="18"/>
          <w:szCs w:val="18"/>
        </w:rPr>
        <w:t>.4</w:t>
      </w:r>
      <w:r w:rsidRPr="006951F4">
        <w:rPr>
          <w:sz w:val="18"/>
          <w:szCs w:val="18"/>
          <w:vertAlign w:val="superscript"/>
        </w:rPr>
        <w:t>th</w:t>
      </w:r>
      <w:r w:rsidRPr="006951F4">
        <w:rPr>
          <w:sz w:val="18"/>
          <w:szCs w:val="18"/>
        </w:rPr>
        <w:t xml:space="preserve"> Ed. Lea and Febiger, Philadelphia, USA.</w:t>
      </w:r>
    </w:p>
    <w:p w:rsidR="00FC60F3" w:rsidRPr="006951F4" w:rsidRDefault="00FC60F3" w:rsidP="006951F4">
      <w:pPr>
        <w:ind w:left="426" w:hanging="426"/>
        <w:jc w:val="both"/>
        <w:rPr>
          <w:sz w:val="18"/>
          <w:szCs w:val="18"/>
        </w:rPr>
      </w:pPr>
      <w:r w:rsidRPr="006951F4">
        <w:rPr>
          <w:sz w:val="18"/>
          <w:szCs w:val="18"/>
        </w:rPr>
        <w:t>Kecceci, T.H., Oguz, Kurtoglu, V.</w:t>
      </w:r>
      <w:r w:rsidR="00313A70">
        <w:rPr>
          <w:sz w:val="18"/>
          <w:szCs w:val="18"/>
        </w:rPr>
        <w:t xml:space="preserve">, &amp;Demet, O. </w:t>
      </w:r>
      <w:r w:rsidRPr="006951F4">
        <w:rPr>
          <w:sz w:val="18"/>
          <w:szCs w:val="18"/>
        </w:rPr>
        <w:t>(1998). Effect of polyvinylpyrrolidon, synthetic zeolite and bentonite on serum biochemistry and haematological characteristics of broiler chickens during aflatoxicosis.</w:t>
      </w:r>
      <w:r w:rsidR="004C795C">
        <w:rPr>
          <w:sz w:val="18"/>
          <w:szCs w:val="18"/>
        </w:rPr>
        <w:t xml:space="preserve"> </w:t>
      </w:r>
      <w:r w:rsidRPr="006951F4">
        <w:rPr>
          <w:i/>
          <w:sz w:val="18"/>
          <w:szCs w:val="18"/>
        </w:rPr>
        <w:t>British Poultry Science</w:t>
      </w:r>
      <w:r w:rsidR="00313A70">
        <w:rPr>
          <w:i/>
          <w:sz w:val="18"/>
          <w:szCs w:val="18"/>
        </w:rPr>
        <w:t>,</w:t>
      </w:r>
      <w:r w:rsidRPr="006951F4">
        <w:rPr>
          <w:i/>
          <w:sz w:val="18"/>
          <w:szCs w:val="18"/>
        </w:rPr>
        <w:t xml:space="preserve"> 39</w:t>
      </w:r>
      <w:r w:rsidR="00313A70">
        <w:rPr>
          <w:sz w:val="18"/>
          <w:szCs w:val="18"/>
        </w:rPr>
        <w:t xml:space="preserve">, </w:t>
      </w:r>
      <w:r w:rsidRPr="00313A70">
        <w:rPr>
          <w:sz w:val="18"/>
          <w:szCs w:val="18"/>
        </w:rPr>
        <w:t>152-158</w:t>
      </w:r>
      <w:r w:rsidR="00313A70">
        <w:rPr>
          <w:sz w:val="18"/>
          <w:szCs w:val="18"/>
        </w:rPr>
        <w:t>.</w:t>
      </w:r>
    </w:p>
    <w:p w:rsidR="00FC60F3" w:rsidRPr="006951F4" w:rsidRDefault="00FC60F3" w:rsidP="006951F4">
      <w:pPr>
        <w:ind w:left="426" w:hanging="426"/>
        <w:jc w:val="both"/>
        <w:rPr>
          <w:sz w:val="18"/>
          <w:szCs w:val="18"/>
        </w:rPr>
      </w:pPr>
      <w:r w:rsidRPr="006951F4">
        <w:rPr>
          <w:sz w:val="18"/>
          <w:szCs w:val="18"/>
        </w:rPr>
        <w:t>Kohn, R.E.</w:t>
      </w:r>
      <w:r w:rsidR="00313A70">
        <w:rPr>
          <w:sz w:val="18"/>
          <w:szCs w:val="18"/>
        </w:rPr>
        <w:t>, &amp;</w:t>
      </w:r>
      <w:r w:rsidRPr="006951F4">
        <w:rPr>
          <w:sz w:val="18"/>
          <w:szCs w:val="18"/>
        </w:rPr>
        <w:t xml:space="preserve"> Allen, H.E. (1995).</w:t>
      </w:r>
      <w:r w:rsidR="004C795C">
        <w:rPr>
          <w:sz w:val="18"/>
          <w:szCs w:val="18"/>
        </w:rPr>
        <w:t xml:space="preserve"> </w:t>
      </w:r>
      <w:r w:rsidRPr="006951F4">
        <w:rPr>
          <w:sz w:val="18"/>
          <w:szCs w:val="18"/>
        </w:rPr>
        <w:t>A Standard Haemagglutination Inhibition for (ND).</w:t>
      </w:r>
      <w:r w:rsidR="004C795C">
        <w:rPr>
          <w:sz w:val="18"/>
          <w:szCs w:val="18"/>
        </w:rPr>
        <w:t xml:space="preserve"> </w:t>
      </w:r>
      <w:r w:rsidRPr="006951F4">
        <w:rPr>
          <w:sz w:val="18"/>
          <w:szCs w:val="18"/>
        </w:rPr>
        <w:t>A comparison of macro and micro-methods.</w:t>
      </w:r>
      <w:r w:rsidR="004C795C">
        <w:rPr>
          <w:sz w:val="18"/>
          <w:szCs w:val="18"/>
        </w:rPr>
        <w:t xml:space="preserve"> </w:t>
      </w:r>
      <w:r w:rsidRPr="006951F4">
        <w:rPr>
          <w:i/>
          <w:sz w:val="18"/>
          <w:szCs w:val="18"/>
        </w:rPr>
        <w:t>Veterinary Records</w:t>
      </w:r>
      <w:r w:rsidR="00313A70">
        <w:rPr>
          <w:sz w:val="18"/>
          <w:szCs w:val="18"/>
        </w:rPr>
        <w:t>,</w:t>
      </w:r>
      <w:r w:rsidR="004C795C">
        <w:rPr>
          <w:sz w:val="18"/>
          <w:szCs w:val="18"/>
        </w:rPr>
        <w:t xml:space="preserve"> </w:t>
      </w:r>
      <w:r w:rsidR="00313A70">
        <w:rPr>
          <w:i/>
          <w:sz w:val="18"/>
          <w:szCs w:val="18"/>
        </w:rPr>
        <w:t xml:space="preserve">15, </w:t>
      </w:r>
      <w:r w:rsidRPr="00313A70">
        <w:rPr>
          <w:sz w:val="18"/>
          <w:szCs w:val="18"/>
        </w:rPr>
        <w:t>120</w:t>
      </w:r>
      <w:r w:rsidR="00313A70" w:rsidRPr="00313A70">
        <w:rPr>
          <w:sz w:val="18"/>
          <w:szCs w:val="18"/>
        </w:rPr>
        <w:t>-</w:t>
      </w:r>
      <w:r w:rsidRPr="00313A70">
        <w:rPr>
          <w:sz w:val="18"/>
          <w:szCs w:val="18"/>
        </w:rPr>
        <w:t>123</w:t>
      </w:r>
      <w:r w:rsidR="00313A70" w:rsidRPr="00313A70">
        <w:rPr>
          <w:sz w:val="18"/>
          <w:szCs w:val="18"/>
        </w:rPr>
        <w:t>.</w:t>
      </w:r>
    </w:p>
    <w:p w:rsidR="00FC60F3" w:rsidRPr="006951F4" w:rsidRDefault="00FC60F3" w:rsidP="006951F4">
      <w:pPr>
        <w:ind w:left="426" w:hanging="426"/>
        <w:jc w:val="both"/>
        <w:rPr>
          <w:sz w:val="18"/>
          <w:szCs w:val="18"/>
        </w:rPr>
      </w:pPr>
      <w:r w:rsidRPr="006951F4">
        <w:rPr>
          <w:sz w:val="18"/>
          <w:szCs w:val="18"/>
        </w:rPr>
        <w:t>Kwari, I.D., Igwebuike, J.U., Mohammed, I.D.</w:t>
      </w:r>
      <w:r w:rsidR="00313A70">
        <w:rPr>
          <w:sz w:val="18"/>
          <w:szCs w:val="18"/>
        </w:rPr>
        <w:t>, &amp;</w:t>
      </w:r>
      <w:r w:rsidR="004C795C">
        <w:rPr>
          <w:sz w:val="18"/>
          <w:szCs w:val="18"/>
        </w:rPr>
        <w:t xml:space="preserve"> </w:t>
      </w:r>
      <w:r w:rsidRPr="006951F4">
        <w:rPr>
          <w:sz w:val="18"/>
          <w:szCs w:val="18"/>
        </w:rPr>
        <w:t>Diarra, S.S. (2011).Growth, haematology and serum chemistry of broiler chickens fed raw or processed Sorrel (</w:t>
      </w:r>
      <w:r w:rsidRPr="006951F4">
        <w:rPr>
          <w:i/>
          <w:sz w:val="18"/>
          <w:szCs w:val="18"/>
        </w:rPr>
        <w:t xml:space="preserve">Hibiscus </w:t>
      </w:r>
      <w:r w:rsidR="00F5349B">
        <w:rPr>
          <w:i/>
          <w:sz w:val="18"/>
          <w:szCs w:val="18"/>
        </w:rPr>
        <w:t>s</w:t>
      </w:r>
      <w:r w:rsidR="00F5349B" w:rsidRPr="006951F4">
        <w:rPr>
          <w:i/>
          <w:sz w:val="18"/>
          <w:szCs w:val="18"/>
        </w:rPr>
        <w:t>abdariffa</w:t>
      </w:r>
      <w:r w:rsidRPr="006951F4">
        <w:rPr>
          <w:sz w:val="18"/>
          <w:szCs w:val="18"/>
        </w:rPr>
        <w:t>) seed meal in a semi-arid environment.</w:t>
      </w:r>
      <w:r w:rsidR="004C795C">
        <w:rPr>
          <w:sz w:val="18"/>
          <w:szCs w:val="18"/>
        </w:rPr>
        <w:t xml:space="preserve"> </w:t>
      </w:r>
      <w:r w:rsidRPr="006951F4">
        <w:rPr>
          <w:i/>
          <w:sz w:val="18"/>
          <w:szCs w:val="18"/>
        </w:rPr>
        <w:t>International Journal of Science and Nature, 2</w:t>
      </w:r>
      <w:r w:rsidRPr="00313A70">
        <w:rPr>
          <w:sz w:val="18"/>
          <w:szCs w:val="18"/>
        </w:rPr>
        <w:t>(1)</w:t>
      </w:r>
      <w:r w:rsidR="00313A70" w:rsidRPr="00313A70">
        <w:rPr>
          <w:sz w:val="18"/>
          <w:szCs w:val="18"/>
        </w:rPr>
        <w:t>,</w:t>
      </w:r>
      <w:r w:rsidRPr="00313A70">
        <w:rPr>
          <w:sz w:val="18"/>
          <w:szCs w:val="18"/>
        </w:rPr>
        <w:t xml:space="preserve"> 22-27.</w:t>
      </w:r>
    </w:p>
    <w:p w:rsidR="00FC60F3" w:rsidRPr="006951F4" w:rsidRDefault="00FC60F3" w:rsidP="006951F4">
      <w:pPr>
        <w:ind w:left="426" w:hanging="426"/>
        <w:jc w:val="both"/>
        <w:rPr>
          <w:sz w:val="18"/>
          <w:szCs w:val="18"/>
        </w:rPr>
      </w:pPr>
      <w:r w:rsidRPr="006951F4">
        <w:rPr>
          <w:sz w:val="18"/>
          <w:szCs w:val="18"/>
        </w:rPr>
        <w:t>Madubike, F.N.</w:t>
      </w:r>
      <w:r w:rsidR="00313A70">
        <w:rPr>
          <w:sz w:val="18"/>
          <w:szCs w:val="18"/>
        </w:rPr>
        <w:t>, &amp;</w:t>
      </w:r>
      <w:r w:rsidR="004C795C">
        <w:rPr>
          <w:sz w:val="18"/>
          <w:szCs w:val="18"/>
        </w:rPr>
        <w:t xml:space="preserve"> </w:t>
      </w:r>
      <w:r w:rsidRPr="006951F4">
        <w:rPr>
          <w:sz w:val="18"/>
          <w:szCs w:val="18"/>
        </w:rPr>
        <w:t xml:space="preserve">Ekenyem, B.U (2006). Assessment of </w:t>
      </w:r>
      <w:r w:rsidRPr="006951F4">
        <w:rPr>
          <w:i/>
          <w:sz w:val="18"/>
          <w:szCs w:val="18"/>
        </w:rPr>
        <w:t>Ipomoea asarifolia</w:t>
      </w:r>
      <w:r w:rsidRPr="006951F4">
        <w:rPr>
          <w:sz w:val="18"/>
          <w:szCs w:val="18"/>
        </w:rPr>
        <w:t xml:space="preserve"> leaf meal feed ingredient in broiler chick production. </w:t>
      </w:r>
      <w:r w:rsidRPr="006951F4">
        <w:rPr>
          <w:i/>
          <w:sz w:val="18"/>
          <w:szCs w:val="18"/>
        </w:rPr>
        <w:t>International Journal of Poultry Science 5</w:t>
      </w:r>
      <w:r w:rsidRPr="00313A70">
        <w:rPr>
          <w:sz w:val="18"/>
          <w:szCs w:val="18"/>
        </w:rPr>
        <w:t>(1)</w:t>
      </w:r>
      <w:r w:rsidR="00313A70">
        <w:rPr>
          <w:sz w:val="18"/>
          <w:szCs w:val="18"/>
        </w:rPr>
        <w:t>,</w:t>
      </w:r>
      <w:r w:rsidRPr="00313A70">
        <w:rPr>
          <w:sz w:val="18"/>
          <w:szCs w:val="18"/>
        </w:rPr>
        <w:t xml:space="preserve"> 9-12.</w:t>
      </w:r>
    </w:p>
    <w:p w:rsidR="00FC60F3" w:rsidRPr="006951F4" w:rsidRDefault="00FC60F3" w:rsidP="006951F4">
      <w:pPr>
        <w:ind w:left="426" w:hanging="426"/>
        <w:jc w:val="both"/>
        <w:rPr>
          <w:sz w:val="18"/>
          <w:szCs w:val="18"/>
        </w:rPr>
      </w:pPr>
      <w:r w:rsidRPr="006951F4">
        <w:rPr>
          <w:sz w:val="18"/>
          <w:szCs w:val="18"/>
        </w:rPr>
        <w:t>Maxwell, M.H., Robertson, W.J., Spencer, S.</w:t>
      </w:r>
      <w:r w:rsidR="00313A70">
        <w:rPr>
          <w:sz w:val="18"/>
          <w:szCs w:val="18"/>
        </w:rPr>
        <w:t>,</w:t>
      </w:r>
      <w:r w:rsidR="004C795C">
        <w:rPr>
          <w:sz w:val="18"/>
          <w:szCs w:val="18"/>
        </w:rPr>
        <w:t xml:space="preserve"> </w:t>
      </w:r>
      <w:r w:rsidR="00313A70">
        <w:rPr>
          <w:sz w:val="18"/>
          <w:szCs w:val="18"/>
        </w:rPr>
        <w:t>&amp;</w:t>
      </w:r>
      <w:r w:rsidR="004C795C">
        <w:rPr>
          <w:sz w:val="18"/>
          <w:szCs w:val="18"/>
        </w:rPr>
        <w:t xml:space="preserve"> </w:t>
      </w:r>
      <w:r w:rsidRPr="006951F4">
        <w:rPr>
          <w:sz w:val="18"/>
          <w:szCs w:val="18"/>
        </w:rPr>
        <w:t xml:space="preserve">Maclorquodale, C.C. (1990). Comparison of haematological parameters in restricted and </w:t>
      </w:r>
      <w:r w:rsidRPr="006951F4">
        <w:rPr>
          <w:i/>
          <w:sz w:val="18"/>
          <w:szCs w:val="18"/>
        </w:rPr>
        <w:t>ad libitum</w:t>
      </w:r>
      <w:r w:rsidRPr="006951F4">
        <w:rPr>
          <w:sz w:val="18"/>
          <w:szCs w:val="18"/>
        </w:rPr>
        <w:t xml:space="preserve"> fed domestic fowls</w:t>
      </w:r>
      <w:r w:rsidR="00F5349B">
        <w:rPr>
          <w:sz w:val="18"/>
          <w:szCs w:val="18"/>
        </w:rPr>
        <w:t>.</w:t>
      </w:r>
      <w:r w:rsidR="004C795C">
        <w:rPr>
          <w:sz w:val="18"/>
          <w:szCs w:val="18"/>
        </w:rPr>
        <w:t xml:space="preserve"> </w:t>
      </w:r>
      <w:r w:rsidRPr="006951F4">
        <w:rPr>
          <w:i/>
          <w:sz w:val="18"/>
          <w:szCs w:val="18"/>
        </w:rPr>
        <w:t>British Poultry Science, 31</w:t>
      </w:r>
      <w:r w:rsidR="00313A70">
        <w:rPr>
          <w:i/>
          <w:sz w:val="18"/>
          <w:szCs w:val="18"/>
        </w:rPr>
        <w:t>,</w:t>
      </w:r>
      <w:r w:rsidRPr="00313A70">
        <w:rPr>
          <w:sz w:val="18"/>
          <w:szCs w:val="18"/>
        </w:rPr>
        <w:t xml:space="preserve"> 407-413.</w:t>
      </w:r>
    </w:p>
    <w:p w:rsidR="00FC60F3" w:rsidRPr="006951F4" w:rsidRDefault="00FC60F3" w:rsidP="006951F4">
      <w:pPr>
        <w:ind w:left="426" w:hanging="426"/>
        <w:jc w:val="both"/>
        <w:rPr>
          <w:sz w:val="18"/>
          <w:szCs w:val="18"/>
        </w:rPr>
      </w:pPr>
      <w:r w:rsidRPr="006951F4">
        <w:rPr>
          <w:sz w:val="18"/>
          <w:szCs w:val="18"/>
        </w:rPr>
        <w:t>Merck (2010).</w:t>
      </w:r>
      <w:r w:rsidR="004C795C">
        <w:rPr>
          <w:sz w:val="18"/>
          <w:szCs w:val="18"/>
        </w:rPr>
        <w:t xml:space="preserve"> </w:t>
      </w:r>
      <w:r w:rsidRPr="006951F4">
        <w:rPr>
          <w:i/>
          <w:sz w:val="18"/>
          <w:szCs w:val="18"/>
        </w:rPr>
        <w:t>The Merck Veterinary Manual</w:t>
      </w:r>
      <w:r w:rsidRPr="006951F4">
        <w:rPr>
          <w:sz w:val="18"/>
          <w:szCs w:val="18"/>
        </w:rPr>
        <w:t xml:space="preserve"> 10</w:t>
      </w:r>
      <w:r w:rsidRPr="006951F4">
        <w:rPr>
          <w:sz w:val="18"/>
          <w:szCs w:val="18"/>
          <w:vertAlign w:val="superscript"/>
        </w:rPr>
        <w:t>th</w:t>
      </w:r>
      <w:r w:rsidRPr="006951F4">
        <w:rPr>
          <w:sz w:val="18"/>
          <w:szCs w:val="18"/>
        </w:rPr>
        <w:t xml:space="preserve"> edition Merck &amp; Co, Inc. Whitehouse station N.J. U.S.A</w:t>
      </w:r>
      <w:r w:rsidR="007E35A1">
        <w:rPr>
          <w:sz w:val="18"/>
          <w:szCs w:val="18"/>
        </w:rPr>
        <w:t>,</w:t>
      </w:r>
      <w:r w:rsidRPr="006951F4">
        <w:rPr>
          <w:sz w:val="18"/>
          <w:szCs w:val="18"/>
        </w:rPr>
        <w:t xml:space="preserve"> pp</w:t>
      </w:r>
      <w:r w:rsidRPr="00313A70">
        <w:rPr>
          <w:i/>
          <w:sz w:val="18"/>
          <w:szCs w:val="18"/>
        </w:rPr>
        <w:t>. 1463-1524</w:t>
      </w:r>
    </w:p>
    <w:p w:rsidR="00FC60F3" w:rsidRPr="006951F4" w:rsidRDefault="00FC60F3" w:rsidP="006951F4">
      <w:pPr>
        <w:ind w:left="426" w:hanging="426"/>
        <w:jc w:val="both"/>
        <w:rPr>
          <w:sz w:val="18"/>
          <w:szCs w:val="18"/>
        </w:rPr>
      </w:pPr>
      <w:r w:rsidRPr="006951F4">
        <w:rPr>
          <w:sz w:val="18"/>
          <w:szCs w:val="18"/>
        </w:rPr>
        <w:t>Murray, R.K</w:t>
      </w:r>
      <w:r w:rsidR="00313A70">
        <w:rPr>
          <w:sz w:val="18"/>
          <w:szCs w:val="18"/>
        </w:rPr>
        <w:t>.</w:t>
      </w:r>
      <w:r w:rsidRPr="006951F4">
        <w:rPr>
          <w:sz w:val="18"/>
          <w:szCs w:val="18"/>
        </w:rPr>
        <w:t xml:space="preserve"> (2009). Red and white blood cells in: Murray, R.K., Benden, D.A., Botham, K.M., Kennelly, P.J., Rodwell, P.W </w:t>
      </w:r>
      <w:r w:rsidR="004C795C">
        <w:rPr>
          <w:sz w:val="18"/>
          <w:szCs w:val="18"/>
        </w:rPr>
        <w:t>&amp;</w:t>
      </w:r>
      <w:r w:rsidRPr="006951F4">
        <w:rPr>
          <w:sz w:val="18"/>
          <w:szCs w:val="18"/>
        </w:rPr>
        <w:t xml:space="preserve"> Weil, P.A (Eds). </w:t>
      </w:r>
      <w:r w:rsidRPr="006951F4">
        <w:rPr>
          <w:i/>
          <w:sz w:val="18"/>
          <w:szCs w:val="18"/>
        </w:rPr>
        <w:t xml:space="preserve">Harpers’s illustrated biochemistry </w:t>
      </w:r>
      <w:r w:rsidRPr="006951F4">
        <w:rPr>
          <w:sz w:val="18"/>
          <w:szCs w:val="18"/>
        </w:rPr>
        <w:t>28</w:t>
      </w:r>
      <w:r w:rsidRPr="006951F4">
        <w:rPr>
          <w:sz w:val="18"/>
          <w:szCs w:val="18"/>
          <w:vertAlign w:val="superscript"/>
        </w:rPr>
        <w:t>th</w:t>
      </w:r>
      <w:r w:rsidRPr="006951F4">
        <w:rPr>
          <w:sz w:val="18"/>
          <w:szCs w:val="18"/>
        </w:rPr>
        <w:t xml:space="preserve"> Edition. Mc Graw Hill Lange Medical Publications, New York</w:t>
      </w:r>
      <w:r w:rsidRPr="00313A70">
        <w:rPr>
          <w:sz w:val="18"/>
          <w:szCs w:val="18"/>
        </w:rPr>
        <w:t>, pp. 593-608.</w:t>
      </w:r>
    </w:p>
    <w:p w:rsidR="00FC60F3" w:rsidRPr="006951F4" w:rsidRDefault="00FC60F3" w:rsidP="006951F4">
      <w:pPr>
        <w:ind w:left="426" w:hanging="426"/>
        <w:jc w:val="both"/>
        <w:rPr>
          <w:sz w:val="18"/>
          <w:szCs w:val="18"/>
        </w:rPr>
      </w:pPr>
      <w:r w:rsidRPr="006951F4">
        <w:rPr>
          <w:sz w:val="18"/>
          <w:szCs w:val="18"/>
        </w:rPr>
        <w:lastRenderedPageBreak/>
        <w:t>Obi, I.U. (1990).</w:t>
      </w:r>
      <w:r w:rsidR="004C795C">
        <w:rPr>
          <w:sz w:val="18"/>
          <w:szCs w:val="18"/>
        </w:rPr>
        <w:t xml:space="preserve"> </w:t>
      </w:r>
      <w:r w:rsidRPr="006951F4">
        <w:rPr>
          <w:i/>
          <w:sz w:val="18"/>
          <w:szCs w:val="18"/>
        </w:rPr>
        <w:t>Statistical Methods of Detecting Differences between Treatment Means,</w:t>
      </w:r>
      <w:r w:rsidRPr="006951F4">
        <w:rPr>
          <w:sz w:val="18"/>
          <w:szCs w:val="18"/>
        </w:rPr>
        <w:t xml:space="preserve"> 2</w:t>
      </w:r>
      <w:r w:rsidRPr="006951F4">
        <w:rPr>
          <w:sz w:val="18"/>
          <w:szCs w:val="18"/>
          <w:vertAlign w:val="superscript"/>
        </w:rPr>
        <w:t>nd</w:t>
      </w:r>
      <w:r w:rsidRPr="006951F4">
        <w:rPr>
          <w:sz w:val="18"/>
          <w:szCs w:val="18"/>
        </w:rPr>
        <w:t xml:space="preserve"> Edition, Snap Press, Enugu, Nigeria</w:t>
      </w:r>
      <w:r w:rsidR="007E35A1">
        <w:rPr>
          <w:sz w:val="18"/>
          <w:szCs w:val="18"/>
        </w:rPr>
        <w:t>,</w:t>
      </w:r>
      <w:r w:rsidRPr="006951F4">
        <w:rPr>
          <w:sz w:val="18"/>
          <w:szCs w:val="18"/>
        </w:rPr>
        <w:t xml:space="preserve"> pp</w:t>
      </w:r>
      <w:r w:rsidRPr="00313A70">
        <w:rPr>
          <w:sz w:val="18"/>
          <w:szCs w:val="18"/>
        </w:rPr>
        <w:t>. 1</w:t>
      </w:r>
      <w:r w:rsidR="00313A70">
        <w:rPr>
          <w:sz w:val="18"/>
          <w:szCs w:val="18"/>
        </w:rPr>
        <w:t>-</w:t>
      </w:r>
      <w:r w:rsidRPr="00313A70">
        <w:rPr>
          <w:sz w:val="18"/>
          <w:szCs w:val="18"/>
        </w:rPr>
        <w:t>25.</w:t>
      </w:r>
    </w:p>
    <w:p w:rsidR="00FC60F3" w:rsidRPr="006951F4" w:rsidRDefault="00FC60F3" w:rsidP="006951F4">
      <w:pPr>
        <w:ind w:left="426" w:hanging="426"/>
        <w:jc w:val="both"/>
        <w:rPr>
          <w:i/>
          <w:sz w:val="18"/>
          <w:szCs w:val="18"/>
        </w:rPr>
      </w:pPr>
      <w:r w:rsidRPr="006951F4">
        <w:rPr>
          <w:sz w:val="18"/>
          <w:szCs w:val="18"/>
        </w:rPr>
        <w:t>Obikaonu, H.O., Okoli, I.C., Opara, M.N., Okoro., V.M.O., Ogbuewu, I.P., Etuk, E.B</w:t>
      </w:r>
      <w:r w:rsidR="00313A70">
        <w:rPr>
          <w:sz w:val="18"/>
          <w:szCs w:val="18"/>
        </w:rPr>
        <w:t>., &amp;</w:t>
      </w:r>
      <w:r w:rsidR="004C795C">
        <w:rPr>
          <w:sz w:val="18"/>
          <w:szCs w:val="18"/>
        </w:rPr>
        <w:t xml:space="preserve"> </w:t>
      </w:r>
      <w:r w:rsidR="00313A70">
        <w:rPr>
          <w:sz w:val="18"/>
          <w:szCs w:val="18"/>
        </w:rPr>
        <w:t xml:space="preserve">Udedibie, A.B.I. </w:t>
      </w:r>
      <w:r w:rsidRPr="006951F4">
        <w:rPr>
          <w:sz w:val="18"/>
          <w:szCs w:val="18"/>
        </w:rPr>
        <w:t>(2012). Haematological and Serum biochemical indices of starter broilers fed leaf meal of neem (</w:t>
      </w:r>
      <w:r w:rsidRPr="006951F4">
        <w:rPr>
          <w:i/>
          <w:sz w:val="18"/>
          <w:szCs w:val="18"/>
        </w:rPr>
        <w:t>Azadirachta</w:t>
      </w:r>
      <w:r w:rsidR="004C795C">
        <w:rPr>
          <w:i/>
          <w:sz w:val="18"/>
          <w:szCs w:val="18"/>
        </w:rPr>
        <w:t xml:space="preserve"> </w:t>
      </w:r>
      <w:r w:rsidRPr="006951F4">
        <w:rPr>
          <w:i/>
          <w:sz w:val="18"/>
          <w:szCs w:val="18"/>
        </w:rPr>
        <w:t>indica</w:t>
      </w:r>
      <w:r w:rsidRPr="006951F4">
        <w:rPr>
          <w:sz w:val="18"/>
          <w:szCs w:val="18"/>
        </w:rPr>
        <w:t xml:space="preserve">). </w:t>
      </w:r>
      <w:r w:rsidRPr="006951F4">
        <w:rPr>
          <w:i/>
          <w:sz w:val="18"/>
          <w:szCs w:val="18"/>
        </w:rPr>
        <w:t>Journal of Agricultural Technology,</w:t>
      </w:r>
      <w:r w:rsidR="00313A70">
        <w:rPr>
          <w:i/>
          <w:sz w:val="18"/>
          <w:szCs w:val="18"/>
        </w:rPr>
        <w:t xml:space="preserve"> 8 </w:t>
      </w:r>
      <w:r w:rsidR="00313A70" w:rsidRPr="00313A70">
        <w:rPr>
          <w:sz w:val="18"/>
          <w:szCs w:val="18"/>
        </w:rPr>
        <w:t>(1),</w:t>
      </w:r>
      <w:r w:rsidRPr="00313A70">
        <w:rPr>
          <w:sz w:val="18"/>
          <w:szCs w:val="18"/>
        </w:rPr>
        <w:t xml:space="preserve"> 71-79.</w:t>
      </w:r>
    </w:p>
    <w:p w:rsidR="00FC60F3" w:rsidRPr="006951F4" w:rsidRDefault="00FC60F3" w:rsidP="006951F4">
      <w:pPr>
        <w:ind w:left="426" w:hanging="426"/>
        <w:jc w:val="both"/>
        <w:rPr>
          <w:sz w:val="18"/>
          <w:szCs w:val="18"/>
        </w:rPr>
      </w:pPr>
      <w:r w:rsidRPr="006951F4">
        <w:rPr>
          <w:sz w:val="18"/>
          <w:szCs w:val="18"/>
        </w:rPr>
        <w:t xml:space="preserve">Odoemelam, V.U., Ndelekwute, E.K., Igbonaeme U.J. </w:t>
      </w:r>
      <w:r w:rsidR="00F5349B">
        <w:rPr>
          <w:sz w:val="18"/>
          <w:szCs w:val="18"/>
        </w:rPr>
        <w:t>&amp;</w:t>
      </w:r>
      <w:r w:rsidR="004C795C">
        <w:rPr>
          <w:sz w:val="18"/>
          <w:szCs w:val="18"/>
        </w:rPr>
        <w:t xml:space="preserve"> </w:t>
      </w:r>
      <w:r w:rsidRPr="006951F4">
        <w:rPr>
          <w:sz w:val="18"/>
          <w:szCs w:val="18"/>
        </w:rPr>
        <w:t>Ogbuewu, I.P. (2014).Comparative effect of Basil leaf (</w:t>
      </w:r>
      <w:r w:rsidRPr="006951F4">
        <w:rPr>
          <w:i/>
          <w:sz w:val="18"/>
          <w:szCs w:val="18"/>
        </w:rPr>
        <w:t>Ocimumgratissimum</w:t>
      </w:r>
      <w:r w:rsidRPr="006951F4">
        <w:rPr>
          <w:sz w:val="18"/>
          <w:szCs w:val="18"/>
        </w:rPr>
        <w:t>) meal and antibiotic growth promoter (Oxytetracycline HCL) on haematology and biochemical indices of broiler chickens.</w:t>
      </w:r>
      <w:r w:rsidR="004C795C">
        <w:rPr>
          <w:sz w:val="18"/>
          <w:szCs w:val="18"/>
        </w:rPr>
        <w:t xml:space="preserve"> </w:t>
      </w:r>
      <w:r w:rsidRPr="006951F4">
        <w:rPr>
          <w:i/>
          <w:sz w:val="18"/>
          <w:szCs w:val="18"/>
        </w:rPr>
        <w:t>Nigeria Journal of Animal Science, 16</w:t>
      </w:r>
      <w:r w:rsidR="00313A70">
        <w:rPr>
          <w:sz w:val="18"/>
          <w:szCs w:val="18"/>
        </w:rPr>
        <w:t>(2),</w:t>
      </w:r>
      <w:r w:rsidRPr="00313A70">
        <w:rPr>
          <w:sz w:val="18"/>
          <w:szCs w:val="18"/>
        </w:rPr>
        <w:t xml:space="preserve"> 235-243.</w:t>
      </w:r>
    </w:p>
    <w:p w:rsidR="00FC60F3" w:rsidRPr="006951F4" w:rsidRDefault="00FC60F3" w:rsidP="006951F4">
      <w:pPr>
        <w:ind w:left="426" w:hanging="426"/>
        <w:jc w:val="both"/>
        <w:rPr>
          <w:sz w:val="18"/>
          <w:szCs w:val="18"/>
        </w:rPr>
      </w:pPr>
      <w:r w:rsidRPr="006951F4">
        <w:rPr>
          <w:sz w:val="18"/>
          <w:szCs w:val="18"/>
        </w:rPr>
        <w:t>Oko, O.O.K., Iso, I.E., Udoh, S.P.</w:t>
      </w:r>
      <w:r w:rsidR="00313A70">
        <w:rPr>
          <w:sz w:val="18"/>
          <w:szCs w:val="18"/>
        </w:rPr>
        <w:t>, &amp;</w:t>
      </w:r>
      <w:r w:rsidR="004C795C">
        <w:rPr>
          <w:sz w:val="18"/>
          <w:szCs w:val="18"/>
        </w:rPr>
        <w:t xml:space="preserve"> </w:t>
      </w:r>
      <w:r w:rsidRPr="006951F4">
        <w:rPr>
          <w:sz w:val="18"/>
          <w:szCs w:val="18"/>
        </w:rPr>
        <w:t>Mbre, J.I. (2011).</w:t>
      </w:r>
      <w:r w:rsidR="004C795C">
        <w:rPr>
          <w:sz w:val="18"/>
          <w:szCs w:val="18"/>
        </w:rPr>
        <w:t xml:space="preserve"> </w:t>
      </w:r>
      <w:r w:rsidRPr="006951F4">
        <w:rPr>
          <w:sz w:val="18"/>
          <w:szCs w:val="18"/>
        </w:rPr>
        <w:t>Effect of dietary kaoline supplementation on the growth performance and serum chemistry of broilers.</w:t>
      </w:r>
      <w:r w:rsidR="004C795C">
        <w:rPr>
          <w:sz w:val="18"/>
          <w:szCs w:val="18"/>
        </w:rPr>
        <w:t xml:space="preserve"> </w:t>
      </w:r>
      <w:r w:rsidRPr="006951F4">
        <w:rPr>
          <w:i/>
          <w:sz w:val="18"/>
          <w:szCs w:val="18"/>
        </w:rPr>
        <w:t>Nigerian Journal of Animal Production, 13</w:t>
      </w:r>
      <w:r w:rsidR="00313A70">
        <w:rPr>
          <w:sz w:val="18"/>
          <w:szCs w:val="18"/>
        </w:rPr>
        <w:t>,</w:t>
      </w:r>
      <w:r w:rsidRPr="00313A70">
        <w:rPr>
          <w:sz w:val="18"/>
          <w:szCs w:val="18"/>
        </w:rPr>
        <w:t xml:space="preserve"> 96-102.</w:t>
      </w:r>
    </w:p>
    <w:p w:rsidR="00FC60F3" w:rsidRPr="00313A70" w:rsidRDefault="00FC60F3" w:rsidP="006951F4">
      <w:pPr>
        <w:ind w:left="426" w:hanging="426"/>
        <w:jc w:val="both"/>
        <w:rPr>
          <w:sz w:val="18"/>
          <w:szCs w:val="18"/>
        </w:rPr>
      </w:pPr>
      <w:r w:rsidRPr="006951F4">
        <w:rPr>
          <w:sz w:val="18"/>
          <w:szCs w:val="18"/>
        </w:rPr>
        <w:t>Ologhobo, A.B., Apata, A., Oyejide, A</w:t>
      </w:r>
      <w:r w:rsidR="00313A70">
        <w:rPr>
          <w:sz w:val="18"/>
          <w:szCs w:val="18"/>
        </w:rPr>
        <w:t>., &amp;</w:t>
      </w:r>
      <w:r w:rsidR="004C795C">
        <w:rPr>
          <w:sz w:val="18"/>
          <w:szCs w:val="18"/>
        </w:rPr>
        <w:t xml:space="preserve"> </w:t>
      </w:r>
      <w:r w:rsidRPr="006951F4">
        <w:rPr>
          <w:sz w:val="18"/>
          <w:szCs w:val="18"/>
        </w:rPr>
        <w:t>Akinpelu, R.O. (1993). Toxicity of raw lima beans (</w:t>
      </w:r>
      <w:r w:rsidRPr="006951F4">
        <w:rPr>
          <w:i/>
          <w:sz w:val="18"/>
          <w:szCs w:val="18"/>
        </w:rPr>
        <w:t>Phaseolus</w:t>
      </w:r>
      <w:r w:rsidR="004C795C">
        <w:rPr>
          <w:i/>
          <w:sz w:val="18"/>
          <w:szCs w:val="18"/>
        </w:rPr>
        <w:t xml:space="preserve"> </w:t>
      </w:r>
      <w:r w:rsidRPr="006951F4">
        <w:rPr>
          <w:i/>
          <w:sz w:val="18"/>
          <w:szCs w:val="18"/>
        </w:rPr>
        <w:t>lunatus</w:t>
      </w:r>
      <w:r w:rsidRPr="006951F4">
        <w:rPr>
          <w:sz w:val="18"/>
          <w:szCs w:val="18"/>
        </w:rPr>
        <w:t xml:space="preserve">) and Lima beans fractions for growing chicks. </w:t>
      </w:r>
      <w:r w:rsidRPr="006951F4">
        <w:rPr>
          <w:i/>
          <w:sz w:val="18"/>
          <w:szCs w:val="18"/>
        </w:rPr>
        <w:t>British Poultry Science, 34</w:t>
      </w:r>
      <w:r w:rsidR="00313A70">
        <w:rPr>
          <w:i/>
          <w:sz w:val="18"/>
          <w:szCs w:val="18"/>
        </w:rPr>
        <w:t>,</w:t>
      </w:r>
      <w:r w:rsidRPr="00313A70">
        <w:rPr>
          <w:sz w:val="18"/>
          <w:szCs w:val="18"/>
        </w:rPr>
        <w:t>505-522</w:t>
      </w:r>
      <w:r w:rsidR="00313A70">
        <w:rPr>
          <w:sz w:val="18"/>
          <w:szCs w:val="18"/>
        </w:rPr>
        <w:t>.</w:t>
      </w:r>
    </w:p>
    <w:p w:rsidR="00FC60F3" w:rsidRPr="00313A70" w:rsidRDefault="00FC60F3" w:rsidP="006951F4">
      <w:pPr>
        <w:ind w:left="426" w:hanging="426"/>
        <w:jc w:val="both"/>
        <w:rPr>
          <w:sz w:val="18"/>
          <w:szCs w:val="18"/>
        </w:rPr>
      </w:pPr>
      <w:r w:rsidRPr="006951F4">
        <w:rPr>
          <w:sz w:val="18"/>
          <w:szCs w:val="18"/>
        </w:rPr>
        <w:t xml:space="preserve">Olomu, J.M. (1995). </w:t>
      </w:r>
      <w:r w:rsidRPr="006951F4">
        <w:rPr>
          <w:i/>
          <w:sz w:val="18"/>
          <w:szCs w:val="18"/>
        </w:rPr>
        <w:t>Monogastric Animal Nutrition</w:t>
      </w:r>
      <w:r w:rsidRPr="006951F4">
        <w:rPr>
          <w:sz w:val="18"/>
          <w:szCs w:val="18"/>
        </w:rPr>
        <w:t>.</w:t>
      </w:r>
      <w:r w:rsidR="004C795C">
        <w:rPr>
          <w:sz w:val="18"/>
          <w:szCs w:val="18"/>
        </w:rPr>
        <w:t xml:space="preserve"> </w:t>
      </w:r>
      <w:r w:rsidRPr="006951F4">
        <w:rPr>
          <w:sz w:val="18"/>
          <w:szCs w:val="18"/>
        </w:rPr>
        <w:t>A. Jachem Publication, Benin City. Nigeria</w:t>
      </w:r>
      <w:r w:rsidR="007E35A1">
        <w:rPr>
          <w:sz w:val="18"/>
          <w:szCs w:val="18"/>
        </w:rPr>
        <w:t>,</w:t>
      </w:r>
      <w:r w:rsidRPr="006951F4">
        <w:rPr>
          <w:sz w:val="18"/>
          <w:szCs w:val="18"/>
        </w:rPr>
        <w:t xml:space="preserve"> pp. </w:t>
      </w:r>
      <w:r w:rsidRPr="00313A70">
        <w:rPr>
          <w:sz w:val="18"/>
          <w:szCs w:val="18"/>
        </w:rPr>
        <w:t>67-163</w:t>
      </w:r>
      <w:r w:rsidR="00313A70">
        <w:rPr>
          <w:sz w:val="18"/>
          <w:szCs w:val="18"/>
        </w:rPr>
        <w:t>.</w:t>
      </w:r>
    </w:p>
    <w:p w:rsidR="00FC60F3" w:rsidRPr="00DA1FFD" w:rsidRDefault="00FC60F3" w:rsidP="006951F4">
      <w:pPr>
        <w:ind w:left="426" w:hanging="426"/>
        <w:jc w:val="both"/>
        <w:rPr>
          <w:spacing w:val="-2"/>
          <w:sz w:val="18"/>
          <w:szCs w:val="18"/>
        </w:rPr>
      </w:pPr>
      <w:r w:rsidRPr="00DA1FFD">
        <w:rPr>
          <w:spacing w:val="-2"/>
          <w:sz w:val="18"/>
          <w:szCs w:val="18"/>
        </w:rPr>
        <w:t>Olugbemi, T.S., Mutayoba, S.K.</w:t>
      </w:r>
      <w:r w:rsidR="00313A70" w:rsidRPr="00DA1FFD">
        <w:rPr>
          <w:spacing w:val="-2"/>
          <w:sz w:val="18"/>
          <w:szCs w:val="18"/>
        </w:rPr>
        <w:t xml:space="preserve">, </w:t>
      </w:r>
      <w:r w:rsidR="004C795C">
        <w:rPr>
          <w:spacing w:val="-2"/>
          <w:sz w:val="18"/>
          <w:szCs w:val="18"/>
        </w:rPr>
        <w:t xml:space="preserve"> </w:t>
      </w:r>
      <w:r w:rsidR="00313A70" w:rsidRPr="00DA1FFD">
        <w:rPr>
          <w:spacing w:val="-2"/>
          <w:sz w:val="18"/>
          <w:szCs w:val="18"/>
        </w:rPr>
        <w:t>&amp;</w:t>
      </w:r>
      <w:r w:rsidR="004C795C">
        <w:rPr>
          <w:spacing w:val="-2"/>
          <w:sz w:val="18"/>
          <w:szCs w:val="18"/>
        </w:rPr>
        <w:t xml:space="preserve"> </w:t>
      </w:r>
      <w:r w:rsidRPr="00DA1FFD">
        <w:rPr>
          <w:spacing w:val="-2"/>
          <w:sz w:val="18"/>
          <w:szCs w:val="18"/>
        </w:rPr>
        <w:t xml:space="preserve">Lekule, F.P. (2010). Effect of </w:t>
      </w:r>
      <w:r w:rsidRPr="00DA1FFD">
        <w:rPr>
          <w:i/>
          <w:spacing w:val="-2"/>
          <w:sz w:val="18"/>
          <w:szCs w:val="18"/>
        </w:rPr>
        <w:t>Moringa</w:t>
      </w:r>
      <w:r w:rsidR="004C795C">
        <w:rPr>
          <w:i/>
          <w:spacing w:val="-2"/>
          <w:sz w:val="18"/>
          <w:szCs w:val="18"/>
        </w:rPr>
        <w:t xml:space="preserve"> </w:t>
      </w:r>
      <w:r w:rsidRPr="00DA1FFD">
        <w:rPr>
          <w:i/>
          <w:spacing w:val="-2"/>
          <w:sz w:val="18"/>
          <w:szCs w:val="18"/>
        </w:rPr>
        <w:t>oleifera</w:t>
      </w:r>
      <w:r w:rsidRPr="00DA1FFD">
        <w:rPr>
          <w:spacing w:val="-2"/>
          <w:sz w:val="18"/>
          <w:szCs w:val="18"/>
        </w:rPr>
        <w:t xml:space="preserve"> inclusion in cassava based diets fed to broiler chickens</w:t>
      </w:r>
      <w:r w:rsidRPr="00DA1FFD">
        <w:rPr>
          <w:i/>
          <w:spacing w:val="-2"/>
          <w:sz w:val="18"/>
          <w:szCs w:val="18"/>
        </w:rPr>
        <w:t>. International Journal of Poultry Science, 2</w:t>
      </w:r>
      <w:r w:rsidRPr="00DA1FFD">
        <w:rPr>
          <w:spacing w:val="-2"/>
          <w:sz w:val="18"/>
          <w:szCs w:val="18"/>
        </w:rPr>
        <w:t>(4)</w:t>
      </w:r>
      <w:r w:rsidR="00313A70" w:rsidRPr="00DA1FFD">
        <w:rPr>
          <w:spacing w:val="-2"/>
          <w:sz w:val="18"/>
          <w:szCs w:val="18"/>
        </w:rPr>
        <w:t>,</w:t>
      </w:r>
      <w:r w:rsidRPr="00DA1FFD">
        <w:rPr>
          <w:spacing w:val="-2"/>
          <w:sz w:val="18"/>
          <w:szCs w:val="18"/>
        </w:rPr>
        <w:t xml:space="preserve"> 363-367.</w:t>
      </w:r>
    </w:p>
    <w:p w:rsidR="00FC60F3" w:rsidRPr="00DA1FFD" w:rsidRDefault="00FC60F3" w:rsidP="006951F4">
      <w:pPr>
        <w:ind w:left="426" w:hanging="426"/>
        <w:jc w:val="both"/>
        <w:rPr>
          <w:spacing w:val="-2"/>
          <w:sz w:val="18"/>
          <w:szCs w:val="18"/>
        </w:rPr>
      </w:pPr>
      <w:r w:rsidRPr="00DA1FFD">
        <w:rPr>
          <w:spacing w:val="-2"/>
          <w:sz w:val="18"/>
          <w:szCs w:val="18"/>
        </w:rPr>
        <w:t>Onunkwo, D.N.</w:t>
      </w:r>
      <w:r w:rsidR="00313A70" w:rsidRPr="00DA1FFD">
        <w:rPr>
          <w:spacing w:val="-2"/>
          <w:sz w:val="18"/>
          <w:szCs w:val="18"/>
        </w:rPr>
        <w:t>, &amp;</w:t>
      </w:r>
      <w:r w:rsidRPr="00DA1FFD">
        <w:rPr>
          <w:spacing w:val="-2"/>
          <w:sz w:val="18"/>
          <w:szCs w:val="18"/>
        </w:rPr>
        <w:t xml:space="preserve"> George, O.S. (2015).</w:t>
      </w:r>
      <w:r w:rsidR="004C795C">
        <w:rPr>
          <w:spacing w:val="-2"/>
          <w:sz w:val="18"/>
          <w:szCs w:val="18"/>
        </w:rPr>
        <w:t xml:space="preserve"> </w:t>
      </w:r>
      <w:r w:rsidRPr="00DA1FFD">
        <w:rPr>
          <w:spacing w:val="-2"/>
          <w:sz w:val="18"/>
          <w:szCs w:val="18"/>
        </w:rPr>
        <w:t xml:space="preserve">Effect of </w:t>
      </w:r>
      <w:r w:rsidRPr="00DA1FFD">
        <w:rPr>
          <w:i/>
          <w:spacing w:val="-2"/>
          <w:sz w:val="18"/>
          <w:szCs w:val="18"/>
        </w:rPr>
        <w:t>Moringa</w:t>
      </w:r>
      <w:r w:rsidRPr="00DA1FFD">
        <w:rPr>
          <w:spacing w:val="-2"/>
          <w:sz w:val="18"/>
          <w:szCs w:val="18"/>
        </w:rPr>
        <w:t xml:space="preserve"> leaf meal on the growth performance and carcass characteristics of broiler birds.</w:t>
      </w:r>
      <w:r w:rsidR="004C795C">
        <w:rPr>
          <w:spacing w:val="-2"/>
          <w:sz w:val="18"/>
          <w:szCs w:val="18"/>
        </w:rPr>
        <w:t xml:space="preserve"> </w:t>
      </w:r>
      <w:r w:rsidRPr="00DA1FFD">
        <w:rPr>
          <w:i/>
          <w:spacing w:val="-2"/>
          <w:sz w:val="18"/>
          <w:szCs w:val="18"/>
        </w:rPr>
        <w:t xml:space="preserve">Journal of Agriculture and Veterinary Science, 8 </w:t>
      </w:r>
      <w:r w:rsidRPr="00DA1FFD">
        <w:rPr>
          <w:spacing w:val="-2"/>
          <w:sz w:val="18"/>
          <w:szCs w:val="18"/>
        </w:rPr>
        <w:t>(3)</w:t>
      </w:r>
      <w:r w:rsidR="00313A70" w:rsidRPr="00DA1FFD">
        <w:rPr>
          <w:spacing w:val="-2"/>
          <w:sz w:val="18"/>
          <w:szCs w:val="18"/>
        </w:rPr>
        <w:t xml:space="preserve">, </w:t>
      </w:r>
      <w:r w:rsidRPr="00DA1FFD">
        <w:rPr>
          <w:spacing w:val="-2"/>
          <w:sz w:val="18"/>
          <w:szCs w:val="18"/>
        </w:rPr>
        <w:t>63-66.</w:t>
      </w:r>
    </w:p>
    <w:p w:rsidR="00FC60F3" w:rsidRPr="00313A70" w:rsidRDefault="00FC60F3" w:rsidP="006951F4">
      <w:pPr>
        <w:autoSpaceDE w:val="0"/>
        <w:autoSpaceDN w:val="0"/>
        <w:adjustRightInd w:val="0"/>
        <w:ind w:left="426" w:hanging="426"/>
        <w:jc w:val="both"/>
        <w:rPr>
          <w:sz w:val="18"/>
          <w:szCs w:val="18"/>
          <w:lang w:val="en-US"/>
        </w:rPr>
      </w:pPr>
      <w:r w:rsidRPr="00313A70">
        <w:rPr>
          <w:sz w:val="18"/>
          <w:szCs w:val="18"/>
          <w:lang w:val="en-US"/>
        </w:rPr>
        <w:t>Orwa</w:t>
      </w:r>
      <w:r w:rsidR="00313A70" w:rsidRPr="00313A70">
        <w:rPr>
          <w:sz w:val="18"/>
          <w:szCs w:val="18"/>
          <w:lang w:val="en-US"/>
        </w:rPr>
        <w:t>, C,</w:t>
      </w:r>
      <w:r w:rsidRPr="00313A70">
        <w:rPr>
          <w:sz w:val="18"/>
          <w:szCs w:val="18"/>
          <w:lang w:val="en-US"/>
        </w:rPr>
        <w:t>A., Mutua, A., Kindt R, Jamnadass,</w:t>
      </w:r>
      <w:r w:rsidR="00313A70" w:rsidRPr="00313A70">
        <w:rPr>
          <w:sz w:val="18"/>
          <w:szCs w:val="18"/>
          <w:lang w:val="en-US"/>
        </w:rPr>
        <w:t xml:space="preserve"> R., </w:t>
      </w:r>
      <w:r w:rsidR="00313A70" w:rsidRPr="00313A70">
        <w:rPr>
          <w:sz w:val="18"/>
          <w:szCs w:val="18"/>
        </w:rPr>
        <w:t>&amp;</w:t>
      </w:r>
      <w:r w:rsidR="004C795C">
        <w:rPr>
          <w:sz w:val="18"/>
          <w:szCs w:val="18"/>
        </w:rPr>
        <w:t xml:space="preserve"> </w:t>
      </w:r>
      <w:r w:rsidRPr="00313A70">
        <w:rPr>
          <w:sz w:val="18"/>
          <w:szCs w:val="18"/>
          <w:lang w:val="en-US"/>
        </w:rPr>
        <w:t xml:space="preserve">Anthony, S. (2009). Agroforestry Database: a tree reference and selection guide version 4.0 </w:t>
      </w:r>
      <w:hyperlink r:id="rId11" w:history="1">
        <w:r w:rsidRPr="00313A70">
          <w:rPr>
            <w:rStyle w:val="Hyperlink"/>
            <w:color w:val="auto"/>
            <w:sz w:val="18"/>
            <w:szCs w:val="18"/>
            <w:u w:val="none"/>
            <w:lang w:val="en-US"/>
          </w:rPr>
          <w:t>http://www.worldagroforestry.org/sites/treedbs/treedatabases.asp. Retrieved July 3</w:t>
        </w:r>
      </w:hyperlink>
      <w:r w:rsidRPr="00313A70">
        <w:rPr>
          <w:sz w:val="18"/>
          <w:szCs w:val="18"/>
          <w:lang w:val="en-US"/>
        </w:rPr>
        <w:t>, 2018.</w:t>
      </w:r>
    </w:p>
    <w:p w:rsidR="00FC60F3" w:rsidRPr="006951F4" w:rsidRDefault="00FC60F3" w:rsidP="006951F4">
      <w:pPr>
        <w:ind w:left="426" w:hanging="426"/>
        <w:jc w:val="both"/>
        <w:rPr>
          <w:sz w:val="18"/>
          <w:szCs w:val="18"/>
        </w:rPr>
      </w:pPr>
      <w:r w:rsidRPr="006951F4">
        <w:rPr>
          <w:sz w:val="18"/>
          <w:szCs w:val="18"/>
        </w:rPr>
        <w:t>Pauzenga, U. (1985). Feeding Parent Stock.</w:t>
      </w:r>
      <w:r w:rsidR="004C795C">
        <w:rPr>
          <w:sz w:val="18"/>
          <w:szCs w:val="18"/>
        </w:rPr>
        <w:t xml:space="preserve"> </w:t>
      </w:r>
      <w:r w:rsidRPr="006951F4">
        <w:rPr>
          <w:i/>
          <w:sz w:val="18"/>
          <w:szCs w:val="18"/>
        </w:rPr>
        <w:t>Zootecnia International</w:t>
      </w:r>
      <w:r w:rsidR="007E35A1">
        <w:rPr>
          <w:i/>
          <w:iCs/>
          <w:sz w:val="18"/>
          <w:szCs w:val="18"/>
        </w:rPr>
        <w:t>,</w:t>
      </w:r>
      <w:r w:rsidR="004C795C">
        <w:rPr>
          <w:i/>
          <w:iCs/>
          <w:sz w:val="18"/>
          <w:szCs w:val="18"/>
        </w:rPr>
        <w:t xml:space="preserve"> </w:t>
      </w:r>
      <w:r w:rsidR="004C795C" w:rsidRPr="004C795C">
        <w:rPr>
          <w:iCs/>
          <w:sz w:val="18"/>
          <w:szCs w:val="18"/>
        </w:rPr>
        <w:t>December 1985,</w:t>
      </w:r>
      <w:r w:rsidR="004C795C">
        <w:rPr>
          <w:i/>
          <w:iCs/>
          <w:sz w:val="18"/>
          <w:szCs w:val="18"/>
        </w:rPr>
        <w:t xml:space="preserve"> </w:t>
      </w:r>
      <w:r w:rsidRPr="00313A70">
        <w:rPr>
          <w:sz w:val="18"/>
          <w:szCs w:val="18"/>
        </w:rPr>
        <w:t>22-25.</w:t>
      </w:r>
    </w:p>
    <w:p w:rsidR="00FC60F3" w:rsidRPr="006951F4" w:rsidRDefault="00FC60F3" w:rsidP="006951F4">
      <w:pPr>
        <w:ind w:left="426" w:hanging="426"/>
        <w:jc w:val="both"/>
        <w:rPr>
          <w:sz w:val="18"/>
          <w:szCs w:val="18"/>
        </w:rPr>
      </w:pPr>
      <w:r w:rsidRPr="006951F4">
        <w:rPr>
          <w:sz w:val="18"/>
          <w:szCs w:val="18"/>
        </w:rPr>
        <w:t>Pellet, P.Z</w:t>
      </w:r>
      <w:r w:rsidR="00313A70">
        <w:rPr>
          <w:sz w:val="18"/>
          <w:szCs w:val="18"/>
        </w:rPr>
        <w:t>. &amp;</w:t>
      </w:r>
      <w:r w:rsidRPr="006951F4">
        <w:rPr>
          <w:sz w:val="18"/>
          <w:szCs w:val="18"/>
        </w:rPr>
        <w:t xml:space="preserve"> Young, N.P (1980). Nutritional evaluation of protein feeds. United Nation Universal World Hunger Pro</w:t>
      </w:r>
      <w:r w:rsidR="00313A70">
        <w:rPr>
          <w:sz w:val="18"/>
          <w:szCs w:val="18"/>
        </w:rPr>
        <w:t>gramme.</w:t>
      </w:r>
      <w:r w:rsidR="004C795C">
        <w:rPr>
          <w:sz w:val="18"/>
          <w:szCs w:val="18"/>
        </w:rPr>
        <w:t xml:space="preserve"> </w:t>
      </w:r>
      <w:r w:rsidRPr="006951F4">
        <w:rPr>
          <w:i/>
          <w:sz w:val="18"/>
          <w:szCs w:val="18"/>
        </w:rPr>
        <w:t>Food and Nutrition Bulletin, 4</w:t>
      </w:r>
      <w:r w:rsidR="007E35A1">
        <w:rPr>
          <w:sz w:val="18"/>
          <w:szCs w:val="18"/>
        </w:rPr>
        <w:t>,</w:t>
      </w:r>
      <w:r w:rsidRPr="00313A70">
        <w:rPr>
          <w:sz w:val="18"/>
          <w:szCs w:val="18"/>
        </w:rPr>
        <w:t xml:space="preserve"> 154.</w:t>
      </w:r>
    </w:p>
    <w:p w:rsidR="00FC60F3" w:rsidRPr="006951F4" w:rsidRDefault="00FC60F3" w:rsidP="006951F4">
      <w:pPr>
        <w:ind w:left="426" w:hanging="426"/>
        <w:jc w:val="both"/>
        <w:rPr>
          <w:sz w:val="18"/>
          <w:szCs w:val="18"/>
        </w:rPr>
      </w:pPr>
      <w:r w:rsidRPr="006951F4">
        <w:rPr>
          <w:sz w:val="18"/>
          <w:szCs w:val="18"/>
        </w:rPr>
        <w:t>Reece, W.O.</w:t>
      </w:r>
      <w:r w:rsidR="00313A70">
        <w:rPr>
          <w:sz w:val="18"/>
          <w:szCs w:val="18"/>
        </w:rPr>
        <w:t>, &amp;</w:t>
      </w:r>
      <w:r w:rsidRPr="006951F4">
        <w:rPr>
          <w:sz w:val="18"/>
          <w:szCs w:val="18"/>
        </w:rPr>
        <w:t xml:space="preserve"> Swenson, M.J. (2004).</w:t>
      </w:r>
      <w:r w:rsidR="004C795C">
        <w:rPr>
          <w:sz w:val="18"/>
          <w:szCs w:val="18"/>
        </w:rPr>
        <w:t xml:space="preserve"> </w:t>
      </w:r>
      <w:r w:rsidRPr="006951F4">
        <w:rPr>
          <w:sz w:val="18"/>
          <w:szCs w:val="18"/>
        </w:rPr>
        <w:t>The composition and function of blood. In: Reece, W.O. (Ed).</w:t>
      </w:r>
      <w:r w:rsidR="004C795C">
        <w:rPr>
          <w:sz w:val="18"/>
          <w:szCs w:val="18"/>
        </w:rPr>
        <w:t xml:space="preserve"> </w:t>
      </w:r>
      <w:r w:rsidRPr="006951F4">
        <w:rPr>
          <w:i/>
          <w:sz w:val="18"/>
          <w:szCs w:val="18"/>
        </w:rPr>
        <w:t>Dukes physiology of domestic animals.</w:t>
      </w:r>
      <w:r w:rsidRPr="006951F4">
        <w:rPr>
          <w:sz w:val="18"/>
          <w:szCs w:val="18"/>
        </w:rPr>
        <w:t>12</w:t>
      </w:r>
      <w:r w:rsidRPr="006951F4">
        <w:rPr>
          <w:sz w:val="18"/>
          <w:szCs w:val="18"/>
          <w:vertAlign w:val="superscript"/>
        </w:rPr>
        <w:t>th</w:t>
      </w:r>
      <w:r w:rsidRPr="006951F4">
        <w:rPr>
          <w:sz w:val="18"/>
          <w:szCs w:val="18"/>
        </w:rPr>
        <w:t xml:space="preserve"> Edition.</w:t>
      </w:r>
      <w:r w:rsidR="004C795C">
        <w:rPr>
          <w:sz w:val="18"/>
          <w:szCs w:val="18"/>
        </w:rPr>
        <w:t xml:space="preserve"> </w:t>
      </w:r>
      <w:r w:rsidRPr="006951F4">
        <w:rPr>
          <w:sz w:val="18"/>
          <w:szCs w:val="18"/>
        </w:rPr>
        <w:t>Comstock Publishing Associates, London</w:t>
      </w:r>
      <w:r w:rsidR="00313A70">
        <w:rPr>
          <w:sz w:val="18"/>
          <w:szCs w:val="18"/>
        </w:rPr>
        <w:t>,</w:t>
      </w:r>
      <w:r w:rsidRPr="00313A70">
        <w:rPr>
          <w:sz w:val="18"/>
          <w:szCs w:val="18"/>
        </w:rPr>
        <w:t xml:space="preserve"> pp. 26-52.</w:t>
      </w:r>
    </w:p>
    <w:p w:rsidR="00FC60F3" w:rsidRPr="006951F4" w:rsidRDefault="00FC60F3" w:rsidP="006951F4">
      <w:pPr>
        <w:ind w:left="426" w:hanging="426"/>
        <w:jc w:val="both"/>
        <w:rPr>
          <w:sz w:val="18"/>
          <w:szCs w:val="18"/>
        </w:rPr>
      </w:pPr>
      <w:r w:rsidRPr="006951F4">
        <w:rPr>
          <w:sz w:val="18"/>
          <w:szCs w:val="18"/>
        </w:rPr>
        <w:t xml:space="preserve">Rubin, R.C. (2011). Dietary Fiber, </w:t>
      </w:r>
      <w:r w:rsidRPr="004C795C">
        <w:rPr>
          <w:sz w:val="18"/>
          <w:szCs w:val="18"/>
        </w:rPr>
        <w:t>New insights on health benefits</w:t>
      </w:r>
      <w:r w:rsidRPr="006951F4">
        <w:rPr>
          <w:i/>
          <w:sz w:val="18"/>
          <w:szCs w:val="18"/>
        </w:rPr>
        <w:t>. Today’s Dietician, 13</w:t>
      </w:r>
      <w:r w:rsidRPr="00313A70">
        <w:rPr>
          <w:sz w:val="18"/>
          <w:szCs w:val="18"/>
        </w:rPr>
        <w:t xml:space="preserve"> (2</w:t>
      </w:r>
      <w:r w:rsidR="00313A70">
        <w:rPr>
          <w:sz w:val="18"/>
          <w:szCs w:val="18"/>
        </w:rPr>
        <w:t>),</w:t>
      </w:r>
      <w:r w:rsidRPr="00313A70">
        <w:rPr>
          <w:sz w:val="18"/>
          <w:szCs w:val="18"/>
        </w:rPr>
        <w:t xml:space="preserve"> 42.</w:t>
      </w:r>
    </w:p>
    <w:p w:rsidR="00FC60F3" w:rsidRPr="00DA1FFD" w:rsidRDefault="00FC60F3" w:rsidP="006951F4">
      <w:pPr>
        <w:ind w:left="426" w:hanging="426"/>
        <w:jc w:val="both"/>
        <w:rPr>
          <w:sz w:val="18"/>
          <w:szCs w:val="18"/>
        </w:rPr>
      </w:pPr>
      <w:r w:rsidRPr="006951F4">
        <w:rPr>
          <w:sz w:val="18"/>
          <w:szCs w:val="18"/>
        </w:rPr>
        <w:t>Shipman, K.E</w:t>
      </w:r>
      <w:r w:rsidR="00313A70">
        <w:rPr>
          <w:sz w:val="18"/>
          <w:szCs w:val="18"/>
        </w:rPr>
        <w:t>.</w:t>
      </w:r>
      <w:r w:rsidRPr="006951F4">
        <w:rPr>
          <w:sz w:val="18"/>
          <w:szCs w:val="18"/>
        </w:rPr>
        <w:t>, Holt, A.D.</w:t>
      </w:r>
      <w:r w:rsidR="00313A70">
        <w:rPr>
          <w:sz w:val="18"/>
          <w:szCs w:val="18"/>
        </w:rPr>
        <w:t>, &amp;</w:t>
      </w:r>
      <w:r w:rsidR="004C795C">
        <w:rPr>
          <w:sz w:val="18"/>
          <w:szCs w:val="18"/>
        </w:rPr>
        <w:t xml:space="preserve"> </w:t>
      </w:r>
      <w:r w:rsidRPr="006951F4">
        <w:rPr>
          <w:sz w:val="18"/>
          <w:szCs w:val="18"/>
        </w:rPr>
        <w:t>Gana, K. (2013).</w:t>
      </w:r>
      <w:r w:rsidR="004C795C">
        <w:rPr>
          <w:sz w:val="18"/>
          <w:szCs w:val="18"/>
        </w:rPr>
        <w:t xml:space="preserve"> </w:t>
      </w:r>
      <w:r w:rsidRPr="006951F4">
        <w:rPr>
          <w:sz w:val="18"/>
          <w:szCs w:val="18"/>
        </w:rPr>
        <w:t>Interpreting an isolated raised serum alkaline phosphate in an asymptomatic patient</w:t>
      </w:r>
      <w:r w:rsidRPr="00DA1FFD">
        <w:rPr>
          <w:sz w:val="18"/>
          <w:szCs w:val="18"/>
        </w:rPr>
        <w:t>.</w:t>
      </w:r>
      <w:r w:rsidR="004C795C">
        <w:rPr>
          <w:sz w:val="18"/>
          <w:szCs w:val="18"/>
        </w:rPr>
        <w:t xml:space="preserve"> </w:t>
      </w:r>
      <w:hyperlink r:id="rId12" w:history="1">
        <w:r w:rsidRPr="00DA1FFD">
          <w:rPr>
            <w:rStyle w:val="Hyperlink"/>
            <w:iCs/>
            <w:color w:val="auto"/>
            <w:sz w:val="18"/>
            <w:szCs w:val="18"/>
            <w:u w:val="none"/>
          </w:rPr>
          <w:t>https://doi.org/10.1136/bmj.f976</w:t>
        </w:r>
      </w:hyperlink>
      <w:r w:rsidRPr="00DA1FFD">
        <w:rPr>
          <w:rStyle w:val="Hyperlink"/>
          <w:iCs/>
          <w:color w:val="auto"/>
          <w:sz w:val="18"/>
          <w:szCs w:val="18"/>
          <w:u w:val="none"/>
        </w:rPr>
        <w:t xml:space="preserve"> Retrieved July 3, 2018.</w:t>
      </w:r>
    </w:p>
    <w:p w:rsidR="00FC60F3" w:rsidRPr="006951F4" w:rsidRDefault="00FC60F3" w:rsidP="00132B06">
      <w:pPr>
        <w:ind w:left="426" w:hanging="426"/>
        <w:jc w:val="both"/>
        <w:rPr>
          <w:sz w:val="18"/>
          <w:szCs w:val="18"/>
        </w:rPr>
      </w:pPr>
      <w:r w:rsidRPr="006951F4">
        <w:rPr>
          <w:sz w:val="18"/>
          <w:szCs w:val="18"/>
        </w:rPr>
        <w:t>Steel, R.G.D.</w:t>
      </w:r>
      <w:r w:rsidR="00313A70">
        <w:rPr>
          <w:sz w:val="18"/>
          <w:szCs w:val="18"/>
        </w:rPr>
        <w:t>,</w:t>
      </w:r>
      <w:r w:rsidR="004C795C">
        <w:rPr>
          <w:sz w:val="18"/>
          <w:szCs w:val="18"/>
        </w:rPr>
        <w:t xml:space="preserve"> </w:t>
      </w:r>
      <w:r w:rsidR="00313A70">
        <w:rPr>
          <w:sz w:val="18"/>
          <w:szCs w:val="18"/>
        </w:rPr>
        <w:t>&amp;</w:t>
      </w:r>
      <w:r w:rsidR="004C795C">
        <w:rPr>
          <w:sz w:val="18"/>
          <w:szCs w:val="18"/>
        </w:rPr>
        <w:t xml:space="preserve"> </w:t>
      </w:r>
      <w:r w:rsidRPr="006951F4">
        <w:rPr>
          <w:sz w:val="18"/>
          <w:szCs w:val="18"/>
        </w:rPr>
        <w:t>Torrie, J.H. (1980).</w:t>
      </w:r>
      <w:r w:rsidR="004C795C">
        <w:rPr>
          <w:sz w:val="18"/>
          <w:szCs w:val="18"/>
        </w:rPr>
        <w:t xml:space="preserve"> </w:t>
      </w:r>
      <w:r w:rsidRPr="006951F4">
        <w:rPr>
          <w:i/>
          <w:sz w:val="18"/>
          <w:szCs w:val="18"/>
        </w:rPr>
        <w:t xml:space="preserve">Principles and procedures of statistics: A biometric approach. </w:t>
      </w:r>
      <w:r w:rsidRPr="006951F4">
        <w:rPr>
          <w:sz w:val="18"/>
          <w:szCs w:val="18"/>
        </w:rPr>
        <w:t>2</w:t>
      </w:r>
      <w:r w:rsidRPr="006951F4">
        <w:rPr>
          <w:sz w:val="18"/>
          <w:szCs w:val="18"/>
          <w:vertAlign w:val="superscript"/>
        </w:rPr>
        <w:t>nd</w:t>
      </w:r>
      <w:r w:rsidRPr="006951F4">
        <w:rPr>
          <w:sz w:val="18"/>
          <w:szCs w:val="18"/>
        </w:rPr>
        <w:t xml:space="preserve"> Edition.</w:t>
      </w:r>
      <w:r w:rsidR="004C795C">
        <w:rPr>
          <w:sz w:val="18"/>
          <w:szCs w:val="18"/>
        </w:rPr>
        <w:t xml:space="preserve"> </w:t>
      </w:r>
      <w:r w:rsidRPr="004C795C">
        <w:rPr>
          <w:sz w:val="18"/>
          <w:szCs w:val="18"/>
        </w:rPr>
        <w:t>Mcgraw- H Books Company Inc. New York</w:t>
      </w:r>
      <w:r w:rsidR="007E35A1" w:rsidRPr="004C795C">
        <w:rPr>
          <w:sz w:val="18"/>
          <w:szCs w:val="18"/>
        </w:rPr>
        <w:t>,</w:t>
      </w:r>
      <w:r w:rsidR="00313A70">
        <w:rPr>
          <w:sz w:val="18"/>
          <w:szCs w:val="18"/>
        </w:rPr>
        <w:t xml:space="preserve"> pp. 137-</w:t>
      </w:r>
      <w:r w:rsidRPr="006951F4">
        <w:rPr>
          <w:sz w:val="18"/>
          <w:szCs w:val="18"/>
        </w:rPr>
        <w:t>171</w:t>
      </w:r>
      <w:r w:rsidR="00132B06">
        <w:rPr>
          <w:sz w:val="18"/>
          <w:szCs w:val="18"/>
        </w:rPr>
        <w:t>.</w:t>
      </w:r>
    </w:p>
    <w:p w:rsidR="00FC60F3" w:rsidRPr="006951F4" w:rsidRDefault="00FC60F3" w:rsidP="006951F4">
      <w:pPr>
        <w:ind w:left="426" w:hanging="426"/>
        <w:jc w:val="both"/>
        <w:rPr>
          <w:sz w:val="18"/>
          <w:szCs w:val="18"/>
        </w:rPr>
      </w:pPr>
      <w:r w:rsidRPr="006951F4">
        <w:rPr>
          <w:sz w:val="18"/>
          <w:szCs w:val="18"/>
        </w:rPr>
        <w:t xml:space="preserve">Tennant, B.C. (1997). Hepatic Function. In: Kaneko, J.J., Harvey J.W. and Bruss, M.L. (Eds). </w:t>
      </w:r>
      <w:r w:rsidRPr="006951F4">
        <w:rPr>
          <w:i/>
          <w:sz w:val="18"/>
          <w:szCs w:val="18"/>
        </w:rPr>
        <w:t>Clinical Biochemistry of Domestic Animals</w:t>
      </w:r>
      <w:r w:rsidRPr="006951F4">
        <w:rPr>
          <w:sz w:val="18"/>
          <w:szCs w:val="18"/>
        </w:rPr>
        <w:t>. 5</w:t>
      </w:r>
      <w:r w:rsidRPr="006951F4">
        <w:rPr>
          <w:sz w:val="18"/>
          <w:szCs w:val="18"/>
          <w:vertAlign w:val="superscript"/>
        </w:rPr>
        <w:t>th</w:t>
      </w:r>
      <w:r w:rsidRPr="006951F4">
        <w:rPr>
          <w:sz w:val="18"/>
          <w:szCs w:val="18"/>
        </w:rPr>
        <w:t xml:space="preserve"> Edition, Academic Press San Diego, California, U.S.A.</w:t>
      </w:r>
      <w:r w:rsidR="007E35A1">
        <w:rPr>
          <w:sz w:val="18"/>
          <w:szCs w:val="18"/>
        </w:rPr>
        <w:t>,</w:t>
      </w:r>
      <w:r w:rsidRPr="006951F4">
        <w:rPr>
          <w:sz w:val="18"/>
          <w:szCs w:val="18"/>
        </w:rPr>
        <w:t xml:space="preserve"> pp</w:t>
      </w:r>
      <w:r w:rsidR="004C795C">
        <w:rPr>
          <w:sz w:val="18"/>
          <w:szCs w:val="18"/>
        </w:rPr>
        <w:t xml:space="preserve">. </w:t>
      </w:r>
      <w:r w:rsidRPr="00132B06">
        <w:rPr>
          <w:sz w:val="18"/>
          <w:szCs w:val="18"/>
        </w:rPr>
        <w:t>327</w:t>
      </w:r>
      <w:r w:rsidR="00132B06">
        <w:rPr>
          <w:sz w:val="18"/>
          <w:szCs w:val="18"/>
        </w:rPr>
        <w:t>-</w:t>
      </w:r>
      <w:r w:rsidRPr="00132B06">
        <w:rPr>
          <w:sz w:val="18"/>
          <w:szCs w:val="18"/>
        </w:rPr>
        <w:t>352.</w:t>
      </w:r>
    </w:p>
    <w:p w:rsidR="00FC60F3" w:rsidRPr="006951F4" w:rsidRDefault="00FC60F3" w:rsidP="006951F4">
      <w:pPr>
        <w:ind w:left="426" w:hanging="426"/>
        <w:jc w:val="both"/>
        <w:rPr>
          <w:sz w:val="18"/>
          <w:szCs w:val="18"/>
        </w:rPr>
      </w:pPr>
      <w:r w:rsidRPr="006951F4">
        <w:rPr>
          <w:sz w:val="18"/>
          <w:szCs w:val="18"/>
        </w:rPr>
        <w:t>Ugwuene, M.C</w:t>
      </w:r>
      <w:r w:rsidR="00132B06">
        <w:rPr>
          <w:sz w:val="18"/>
          <w:szCs w:val="18"/>
        </w:rPr>
        <w:t>.</w:t>
      </w:r>
      <w:r w:rsidRPr="006951F4">
        <w:rPr>
          <w:sz w:val="18"/>
          <w:szCs w:val="18"/>
        </w:rPr>
        <w:t xml:space="preserve"> (2011). Replacement value of palm kernel meal for maize on carcass characteristics of turkeys.</w:t>
      </w:r>
      <w:r w:rsidR="004C795C">
        <w:rPr>
          <w:sz w:val="18"/>
          <w:szCs w:val="18"/>
        </w:rPr>
        <w:t xml:space="preserve"> </w:t>
      </w:r>
      <w:r w:rsidRPr="006951F4">
        <w:rPr>
          <w:i/>
          <w:sz w:val="18"/>
          <w:szCs w:val="18"/>
        </w:rPr>
        <w:t>Nigerian Journal of Animal Science, 13</w:t>
      </w:r>
      <w:r w:rsidR="00132B06">
        <w:rPr>
          <w:sz w:val="18"/>
          <w:szCs w:val="18"/>
        </w:rPr>
        <w:t>,</w:t>
      </w:r>
      <w:r w:rsidRPr="00132B06">
        <w:rPr>
          <w:sz w:val="18"/>
          <w:szCs w:val="18"/>
        </w:rPr>
        <w:t xml:space="preserve"> 86-95.</w:t>
      </w:r>
    </w:p>
    <w:p w:rsidR="00FC60F3" w:rsidRPr="006951F4" w:rsidRDefault="00FC60F3" w:rsidP="006951F4">
      <w:pPr>
        <w:ind w:left="426" w:hanging="426"/>
        <w:jc w:val="both"/>
        <w:rPr>
          <w:sz w:val="18"/>
          <w:szCs w:val="18"/>
        </w:rPr>
      </w:pPr>
      <w:r w:rsidRPr="006951F4">
        <w:rPr>
          <w:sz w:val="18"/>
          <w:szCs w:val="18"/>
        </w:rPr>
        <w:t xml:space="preserve">Ukpabi, </w:t>
      </w:r>
      <w:r w:rsidR="00132B06">
        <w:rPr>
          <w:sz w:val="18"/>
          <w:szCs w:val="18"/>
        </w:rPr>
        <w:t>U.H., Abdu, L.S., Ugbemudia, K., &amp;</w:t>
      </w:r>
      <w:r w:rsidR="004C795C">
        <w:rPr>
          <w:sz w:val="18"/>
          <w:szCs w:val="18"/>
        </w:rPr>
        <w:t xml:space="preserve"> </w:t>
      </w:r>
      <w:r w:rsidRPr="006951F4">
        <w:rPr>
          <w:sz w:val="18"/>
          <w:szCs w:val="18"/>
        </w:rPr>
        <w:t xml:space="preserve">Maduka, I.J. (2009). Haematology, blood chemistry and organ weight of finisher broilers fed varying levels of </w:t>
      </w:r>
      <w:r w:rsidRPr="006951F4">
        <w:rPr>
          <w:i/>
          <w:sz w:val="18"/>
          <w:szCs w:val="18"/>
        </w:rPr>
        <w:t>Gomphrena</w:t>
      </w:r>
      <w:r w:rsidR="004C795C">
        <w:rPr>
          <w:i/>
          <w:sz w:val="18"/>
          <w:szCs w:val="18"/>
        </w:rPr>
        <w:t xml:space="preserve"> </w:t>
      </w:r>
      <w:r w:rsidRPr="006951F4">
        <w:rPr>
          <w:i/>
          <w:sz w:val="18"/>
          <w:szCs w:val="18"/>
        </w:rPr>
        <w:t>celosioides</w:t>
      </w:r>
      <w:r w:rsidRPr="006951F4">
        <w:rPr>
          <w:sz w:val="18"/>
          <w:szCs w:val="18"/>
        </w:rPr>
        <w:t xml:space="preserve"> Mart leaf meal. </w:t>
      </w:r>
      <w:r w:rsidRPr="006951F4">
        <w:rPr>
          <w:i/>
          <w:sz w:val="18"/>
          <w:szCs w:val="18"/>
        </w:rPr>
        <w:t>Journal of Food and Fibre Production</w:t>
      </w:r>
      <w:r w:rsidRPr="006951F4">
        <w:rPr>
          <w:sz w:val="18"/>
          <w:szCs w:val="18"/>
        </w:rPr>
        <w:t xml:space="preserve">, </w:t>
      </w:r>
      <w:r w:rsidRPr="00132B06">
        <w:rPr>
          <w:i/>
          <w:sz w:val="18"/>
          <w:szCs w:val="18"/>
        </w:rPr>
        <w:t>2</w:t>
      </w:r>
      <w:r w:rsidRPr="006951F4">
        <w:rPr>
          <w:sz w:val="18"/>
          <w:szCs w:val="18"/>
        </w:rPr>
        <w:t>(1</w:t>
      </w:r>
      <w:r w:rsidRPr="00132B06">
        <w:rPr>
          <w:sz w:val="18"/>
          <w:szCs w:val="18"/>
        </w:rPr>
        <w:t>)</w:t>
      </w:r>
      <w:r w:rsidR="00132B06">
        <w:rPr>
          <w:sz w:val="18"/>
          <w:szCs w:val="18"/>
        </w:rPr>
        <w:t>,</w:t>
      </w:r>
      <w:r w:rsidR="004C795C">
        <w:rPr>
          <w:sz w:val="18"/>
          <w:szCs w:val="18"/>
        </w:rPr>
        <w:t xml:space="preserve"> </w:t>
      </w:r>
      <w:r w:rsidR="00132B06">
        <w:rPr>
          <w:sz w:val="18"/>
          <w:szCs w:val="18"/>
        </w:rPr>
        <w:t>375-</w:t>
      </w:r>
      <w:r w:rsidRPr="00132B06">
        <w:rPr>
          <w:sz w:val="18"/>
          <w:szCs w:val="18"/>
        </w:rPr>
        <w:t>367.</w:t>
      </w:r>
    </w:p>
    <w:p w:rsidR="00FC60F3" w:rsidRPr="006951F4" w:rsidRDefault="00FC60F3" w:rsidP="006951F4">
      <w:pPr>
        <w:ind w:left="426" w:hanging="426"/>
        <w:jc w:val="both"/>
        <w:rPr>
          <w:bCs/>
          <w:sz w:val="18"/>
          <w:szCs w:val="18"/>
        </w:rPr>
      </w:pPr>
      <w:r w:rsidRPr="006951F4">
        <w:rPr>
          <w:bCs/>
          <w:sz w:val="18"/>
          <w:szCs w:val="18"/>
        </w:rPr>
        <w:t>Ukpabi, U.H, Mbachu, C.L.</w:t>
      </w:r>
      <w:r w:rsidR="006951F4">
        <w:rPr>
          <w:bCs/>
          <w:sz w:val="18"/>
          <w:szCs w:val="18"/>
        </w:rPr>
        <w:t>, &amp;</w:t>
      </w:r>
      <w:r w:rsidR="004C795C">
        <w:rPr>
          <w:bCs/>
          <w:sz w:val="18"/>
          <w:szCs w:val="18"/>
        </w:rPr>
        <w:t xml:space="preserve"> </w:t>
      </w:r>
      <w:r w:rsidRPr="006951F4">
        <w:rPr>
          <w:bCs/>
          <w:sz w:val="18"/>
          <w:szCs w:val="18"/>
        </w:rPr>
        <w:t>Nwazue, B. (2015).</w:t>
      </w:r>
      <w:r w:rsidR="004C795C">
        <w:rPr>
          <w:bCs/>
          <w:sz w:val="18"/>
          <w:szCs w:val="18"/>
        </w:rPr>
        <w:t xml:space="preserve"> </w:t>
      </w:r>
      <w:r w:rsidRPr="006951F4">
        <w:rPr>
          <w:bCs/>
          <w:sz w:val="18"/>
          <w:szCs w:val="18"/>
        </w:rPr>
        <w:t xml:space="preserve">Effect of inclusion of different levels of raw </w:t>
      </w:r>
      <w:r w:rsidRPr="006951F4">
        <w:rPr>
          <w:bCs/>
          <w:i/>
          <w:sz w:val="18"/>
          <w:szCs w:val="18"/>
        </w:rPr>
        <w:t>Adenanthera</w:t>
      </w:r>
      <w:r w:rsidR="004C795C">
        <w:rPr>
          <w:bCs/>
          <w:i/>
          <w:sz w:val="18"/>
          <w:szCs w:val="18"/>
        </w:rPr>
        <w:t xml:space="preserve"> </w:t>
      </w:r>
      <w:r w:rsidRPr="006951F4">
        <w:rPr>
          <w:bCs/>
          <w:i/>
          <w:sz w:val="18"/>
          <w:szCs w:val="18"/>
        </w:rPr>
        <w:t>pavonina</w:t>
      </w:r>
      <w:r w:rsidRPr="006951F4">
        <w:rPr>
          <w:bCs/>
          <w:sz w:val="18"/>
          <w:szCs w:val="18"/>
        </w:rPr>
        <w:t xml:space="preserve"> seed meal (RAPSM) on haematology and blood chemistry of finisher broilers.</w:t>
      </w:r>
      <w:r w:rsidRPr="006951F4">
        <w:rPr>
          <w:bCs/>
          <w:i/>
          <w:sz w:val="18"/>
          <w:szCs w:val="18"/>
        </w:rPr>
        <w:t xml:space="preserve">Nigerian Journal of Animal Science,17 </w:t>
      </w:r>
      <w:r w:rsidRPr="006951F4">
        <w:rPr>
          <w:bCs/>
          <w:sz w:val="18"/>
          <w:szCs w:val="18"/>
        </w:rPr>
        <w:t>(1)</w:t>
      </w:r>
      <w:r w:rsidR="006951F4" w:rsidRPr="006951F4">
        <w:rPr>
          <w:bCs/>
          <w:sz w:val="18"/>
          <w:szCs w:val="18"/>
        </w:rPr>
        <w:t xml:space="preserve">, </w:t>
      </w:r>
      <w:r w:rsidRPr="006951F4">
        <w:rPr>
          <w:bCs/>
          <w:sz w:val="18"/>
          <w:szCs w:val="18"/>
        </w:rPr>
        <w:t>28</w:t>
      </w:r>
      <w:r w:rsidR="006951F4" w:rsidRPr="006951F4">
        <w:rPr>
          <w:bCs/>
          <w:sz w:val="18"/>
          <w:szCs w:val="18"/>
        </w:rPr>
        <w:t>-</w:t>
      </w:r>
      <w:r w:rsidRPr="006951F4">
        <w:rPr>
          <w:bCs/>
          <w:sz w:val="18"/>
          <w:szCs w:val="18"/>
        </w:rPr>
        <w:t>36.</w:t>
      </w:r>
    </w:p>
    <w:p w:rsidR="00FC60F3" w:rsidRPr="006951F4" w:rsidRDefault="006951F4" w:rsidP="006951F4">
      <w:pPr>
        <w:ind w:left="426" w:hanging="426"/>
        <w:jc w:val="both"/>
        <w:rPr>
          <w:sz w:val="18"/>
          <w:szCs w:val="18"/>
        </w:rPr>
      </w:pPr>
      <w:r>
        <w:rPr>
          <w:sz w:val="18"/>
          <w:szCs w:val="18"/>
        </w:rPr>
        <w:t>Umezuruike, V.</w:t>
      </w:r>
      <w:r w:rsidR="00FC60F3" w:rsidRPr="006951F4">
        <w:rPr>
          <w:sz w:val="18"/>
          <w:szCs w:val="18"/>
        </w:rPr>
        <w:t xml:space="preserve">U. (2006). </w:t>
      </w:r>
      <w:r w:rsidR="00FC60F3" w:rsidRPr="006951F4">
        <w:rPr>
          <w:i/>
          <w:sz w:val="18"/>
          <w:szCs w:val="18"/>
        </w:rPr>
        <w:t>Different methods of processing Adenanthera</w:t>
      </w:r>
      <w:r w:rsidR="006A4FAC">
        <w:rPr>
          <w:i/>
          <w:sz w:val="18"/>
          <w:szCs w:val="18"/>
        </w:rPr>
        <w:t xml:space="preserve"> </w:t>
      </w:r>
      <w:r w:rsidR="00FC60F3" w:rsidRPr="006951F4">
        <w:rPr>
          <w:i/>
          <w:sz w:val="18"/>
          <w:szCs w:val="18"/>
        </w:rPr>
        <w:t>pavonina seed</w:t>
      </w:r>
      <w:r w:rsidR="00FC60F3" w:rsidRPr="006951F4">
        <w:rPr>
          <w:sz w:val="18"/>
          <w:szCs w:val="18"/>
        </w:rPr>
        <w:t>, PGD project, Abia State University, Uturu, Nigeria.</w:t>
      </w:r>
    </w:p>
    <w:p w:rsidR="003B055F" w:rsidRPr="00DA1FFD" w:rsidRDefault="003B055F" w:rsidP="0071506D">
      <w:pPr>
        <w:ind w:left="425" w:hanging="425"/>
        <w:jc w:val="both"/>
        <w:rPr>
          <w:sz w:val="16"/>
          <w:szCs w:val="16"/>
        </w:rPr>
      </w:pPr>
    </w:p>
    <w:p w:rsidR="001A2AD0" w:rsidRPr="00B27FE2" w:rsidRDefault="001A2AD0" w:rsidP="001A2AD0">
      <w:pPr>
        <w:autoSpaceDE w:val="0"/>
        <w:autoSpaceDN w:val="0"/>
        <w:adjustRightInd w:val="0"/>
        <w:ind w:left="709" w:hanging="709"/>
        <w:jc w:val="right"/>
        <w:rPr>
          <w:sz w:val="18"/>
          <w:szCs w:val="18"/>
        </w:rPr>
      </w:pPr>
      <w:r w:rsidRPr="00B27FE2">
        <w:rPr>
          <w:sz w:val="18"/>
          <w:szCs w:val="18"/>
        </w:rPr>
        <w:t xml:space="preserve">Received: </w:t>
      </w:r>
      <w:r w:rsidR="00B27FE2" w:rsidRPr="00B27FE2">
        <w:rPr>
          <w:sz w:val="18"/>
          <w:szCs w:val="18"/>
        </w:rPr>
        <w:t>February28</w:t>
      </w:r>
      <w:r w:rsidRPr="00B27FE2">
        <w:rPr>
          <w:sz w:val="18"/>
          <w:szCs w:val="18"/>
        </w:rPr>
        <w:t>, 201</w:t>
      </w:r>
      <w:r w:rsidR="00560DD1" w:rsidRPr="00B27FE2">
        <w:rPr>
          <w:sz w:val="18"/>
          <w:szCs w:val="18"/>
        </w:rPr>
        <w:t>8</w:t>
      </w:r>
    </w:p>
    <w:p w:rsidR="001A2AD0" w:rsidRDefault="001A2AD0" w:rsidP="001A2AD0">
      <w:pPr>
        <w:autoSpaceDE w:val="0"/>
        <w:autoSpaceDN w:val="0"/>
        <w:adjustRightInd w:val="0"/>
        <w:ind w:left="709" w:hanging="709"/>
        <w:jc w:val="right"/>
        <w:rPr>
          <w:sz w:val="18"/>
          <w:szCs w:val="18"/>
        </w:rPr>
      </w:pPr>
      <w:r w:rsidRPr="00B27FE2">
        <w:rPr>
          <w:sz w:val="18"/>
          <w:szCs w:val="18"/>
        </w:rPr>
        <w:t xml:space="preserve">Accepted: </w:t>
      </w:r>
      <w:r w:rsidR="00B27FE2" w:rsidRPr="00B27FE2">
        <w:rPr>
          <w:sz w:val="18"/>
          <w:szCs w:val="18"/>
        </w:rPr>
        <w:t>August13</w:t>
      </w:r>
      <w:r w:rsidRPr="00B27FE2">
        <w:rPr>
          <w:sz w:val="18"/>
          <w:szCs w:val="18"/>
        </w:rPr>
        <w:t>, 201</w:t>
      </w:r>
      <w:r w:rsidR="00560DD1" w:rsidRPr="00B27FE2">
        <w:rPr>
          <w:sz w:val="18"/>
          <w:szCs w:val="18"/>
        </w:rPr>
        <w:t>8</w:t>
      </w:r>
    </w:p>
    <w:p w:rsidR="00B27FE2" w:rsidRPr="007A4B8C" w:rsidRDefault="00B27FE2" w:rsidP="006A4FAC">
      <w:pPr>
        <w:autoSpaceDE w:val="0"/>
        <w:autoSpaceDN w:val="0"/>
        <w:adjustRightInd w:val="0"/>
        <w:rPr>
          <w:sz w:val="18"/>
          <w:szCs w:val="18"/>
        </w:rPr>
      </w:pPr>
    </w:p>
    <w:p w:rsidR="00B27FE2" w:rsidRDefault="00B27FE2" w:rsidP="00B27FE2">
      <w:pPr>
        <w:jc w:val="center"/>
        <w:rPr>
          <w:sz w:val="22"/>
          <w:szCs w:val="22"/>
        </w:rPr>
      </w:pPr>
      <w:r w:rsidRPr="00132B06">
        <w:rPr>
          <w:sz w:val="22"/>
          <w:szCs w:val="22"/>
        </w:rPr>
        <w:t xml:space="preserve">UTICAJ SAČME </w:t>
      </w:r>
      <w:r>
        <w:rPr>
          <w:sz w:val="22"/>
          <w:szCs w:val="22"/>
        </w:rPr>
        <w:t>TOSTIRANOG</w:t>
      </w:r>
      <w:r w:rsidRPr="00132B06">
        <w:rPr>
          <w:sz w:val="22"/>
          <w:szCs w:val="22"/>
        </w:rPr>
        <w:t xml:space="preserve"> SEMENA BILJKE </w:t>
      </w:r>
      <w:r w:rsidRPr="00132B06">
        <w:rPr>
          <w:i/>
          <w:sz w:val="22"/>
          <w:szCs w:val="22"/>
        </w:rPr>
        <w:t>ADENANTHERA PAVONINA</w:t>
      </w:r>
      <w:r w:rsidRPr="00132B06">
        <w:rPr>
          <w:sz w:val="22"/>
          <w:szCs w:val="22"/>
        </w:rPr>
        <w:t xml:space="preserve"> NA HEMATOLOŠKE I BIOHEMIJSKE PARAMETRE </w:t>
      </w:r>
      <w:r>
        <w:rPr>
          <w:sz w:val="22"/>
          <w:szCs w:val="22"/>
        </w:rPr>
        <w:t>BROJLERA U ZAVRŠNOM TOVU</w:t>
      </w:r>
    </w:p>
    <w:p w:rsidR="00B27FE2" w:rsidRPr="00132B06" w:rsidRDefault="00B27FE2" w:rsidP="00B27FE2">
      <w:pPr>
        <w:jc w:val="center"/>
        <w:rPr>
          <w:sz w:val="22"/>
          <w:szCs w:val="22"/>
        </w:rPr>
      </w:pPr>
    </w:p>
    <w:p w:rsidR="00B27FE2" w:rsidRPr="00132B06" w:rsidRDefault="00B27FE2" w:rsidP="00B27FE2">
      <w:pPr>
        <w:jc w:val="center"/>
        <w:rPr>
          <w:b/>
          <w:sz w:val="22"/>
          <w:szCs w:val="22"/>
        </w:rPr>
      </w:pPr>
      <w:r w:rsidRPr="00132B06">
        <w:rPr>
          <w:b/>
          <w:color w:val="000000"/>
          <w:sz w:val="22"/>
          <w:szCs w:val="22"/>
        </w:rPr>
        <w:t>Ugochukwu H. Ukpabi</w:t>
      </w:r>
      <w:r w:rsidRPr="00132B06">
        <w:rPr>
          <w:rStyle w:val="FootnoteReference"/>
          <w:b/>
          <w:sz w:val="22"/>
          <w:szCs w:val="22"/>
        </w:rPr>
        <w:footnoteReference w:customMarkFollows="1" w:id="3"/>
        <w:t>*</w:t>
      </w:r>
      <w:r w:rsidRPr="00132B06">
        <w:rPr>
          <w:b/>
          <w:color w:val="000000"/>
          <w:sz w:val="22"/>
          <w:szCs w:val="22"/>
        </w:rPr>
        <w:t>, Chinwendu L. Mbachu</w:t>
      </w:r>
      <w:r w:rsidRPr="00132B06">
        <w:rPr>
          <w:b/>
          <w:sz w:val="22"/>
          <w:szCs w:val="22"/>
        </w:rPr>
        <w:t>iIkechukwu E. Chikwem</w:t>
      </w:r>
    </w:p>
    <w:p w:rsidR="00B27FE2" w:rsidRDefault="00B27FE2" w:rsidP="00B27FE2">
      <w:pPr>
        <w:jc w:val="center"/>
        <w:rPr>
          <w:sz w:val="22"/>
          <w:szCs w:val="22"/>
        </w:rPr>
      </w:pPr>
    </w:p>
    <w:p w:rsidR="00B27FE2" w:rsidRDefault="00B27FE2" w:rsidP="00B27FE2">
      <w:pPr>
        <w:jc w:val="center"/>
        <w:rPr>
          <w:color w:val="000000"/>
          <w:sz w:val="22"/>
          <w:szCs w:val="22"/>
        </w:rPr>
      </w:pPr>
      <w:r w:rsidRPr="00132B06">
        <w:rPr>
          <w:sz w:val="22"/>
          <w:szCs w:val="22"/>
        </w:rPr>
        <w:t>Odsekzastočarstvoiribarstvo,</w:t>
      </w:r>
      <w:r w:rsidRPr="00132B06">
        <w:rPr>
          <w:color w:val="000000"/>
          <w:sz w:val="22"/>
          <w:szCs w:val="22"/>
        </w:rPr>
        <w:t xml:space="preserve">Univerzitet u državiAbia, </w:t>
      </w:r>
    </w:p>
    <w:p w:rsidR="00B27FE2" w:rsidRPr="00132B06" w:rsidRDefault="00B27FE2" w:rsidP="00B27FE2">
      <w:pPr>
        <w:jc w:val="center"/>
        <w:rPr>
          <w:sz w:val="22"/>
          <w:szCs w:val="22"/>
        </w:rPr>
      </w:pPr>
      <w:r w:rsidRPr="00132B06">
        <w:rPr>
          <w:color w:val="000000"/>
          <w:sz w:val="22"/>
          <w:szCs w:val="22"/>
        </w:rPr>
        <w:t>KampusUmuahia, Nigerija</w:t>
      </w:r>
    </w:p>
    <w:p w:rsidR="00B27FE2" w:rsidRPr="00132B06" w:rsidRDefault="00B27FE2" w:rsidP="00B27FE2">
      <w:pPr>
        <w:jc w:val="center"/>
        <w:rPr>
          <w:sz w:val="22"/>
          <w:szCs w:val="22"/>
        </w:rPr>
      </w:pPr>
    </w:p>
    <w:p w:rsidR="00B27FE2" w:rsidRPr="00132B06" w:rsidRDefault="00B27FE2" w:rsidP="00B27FE2">
      <w:pPr>
        <w:widowControl w:val="0"/>
        <w:jc w:val="center"/>
        <w:rPr>
          <w:sz w:val="22"/>
          <w:szCs w:val="22"/>
          <w:lang w:val="pl-PL"/>
        </w:rPr>
      </w:pPr>
      <w:r w:rsidRPr="00132B06">
        <w:rPr>
          <w:sz w:val="22"/>
          <w:szCs w:val="22"/>
          <w:lang w:val="pl-PL"/>
        </w:rPr>
        <w:t>R e z i m e</w:t>
      </w:r>
    </w:p>
    <w:p w:rsidR="00B27FE2" w:rsidRPr="00201A57" w:rsidRDefault="00B27FE2" w:rsidP="00B27FE2">
      <w:pPr>
        <w:widowControl w:val="0"/>
        <w:jc w:val="center"/>
        <w:rPr>
          <w:sz w:val="22"/>
          <w:szCs w:val="22"/>
          <w:lang w:val="pl-PL"/>
        </w:rPr>
      </w:pPr>
    </w:p>
    <w:p w:rsidR="00B27FE2" w:rsidRPr="00455427" w:rsidRDefault="00B27FE2" w:rsidP="00B27FE2">
      <w:pPr>
        <w:ind w:firstLine="425"/>
        <w:jc w:val="both"/>
        <w:rPr>
          <w:sz w:val="22"/>
          <w:szCs w:val="22"/>
          <w:lang w:val="pl-PL"/>
        </w:rPr>
      </w:pPr>
      <w:r w:rsidRPr="007813E9">
        <w:rPr>
          <w:sz w:val="22"/>
          <w:szCs w:val="22"/>
          <w:lang w:val="pl-PL"/>
        </w:rPr>
        <w:t xml:space="preserve">Ispitivan je uticaj </w:t>
      </w:r>
      <w:r>
        <w:rPr>
          <w:sz w:val="22"/>
          <w:szCs w:val="22"/>
          <w:lang w:val="pl-PL"/>
        </w:rPr>
        <w:t xml:space="preserve">različitih količina tostiranog semena biljke </w:t>
      </w:r>
      <w:r w:rsidRPr="007813E9">
        <w:rPr>
          <w:i/>
          <w:sz w:val="22"/>
          <w:szCs w:val="22"/>
          <w:lang w:val="pl-PL"/>
        </w:rPr>
        <w:t>Adenanthera pavonina</w:t>
      </w:r>
      <w:r w:rsidRPr="007813E9">
        <w:rPr>
          <w:sz w:val="22"/>
          <w:szCs w:val="22"/>
          <w:lang w:val="pl-PL"/>
        </w:rPr>
        <w:t xml:space="preserve"> (engl. </w:t>
      </w:r>
      <w:r w:rsidRPr="00134CA7">
        <w:rPr>
          <w:i/>
          <w:sz w:val="22"/>
          <w:szCs w:val="22"/>
          <w:lang w:val="pl-PL"/>
        </w:rPr>
        <w:t xml:space="preserve">toasted </w:t>
      </w:r>
      <w:r w:rsidRPr="00455427">
        <w:rPr>
          <w:i/>
          <w:sz w:val="22"/>
          <w:szCs w:val="22"/>
          <w:lang w:val="pl-PL"/>
        </w:rPr>
        <w:t>Adenanthera pavonina</w:t>
      </w:r>
      <w:r w:rsidRPr="00134CA7">
        <w:rPr>
          <w:i/>
          <w:sz w:val="22"/>
          <w:szCs w:val="22"/>
          <w:lang w:val="pl-PL"/>
        </w:rPr>
        <w:t xml:space="preserve"> seed meal</w:t>
      </w:r>
      <w:r w:rsidRPr="007813E9">
        <w:rPr>
          <w:rFonts w:ascii="Cambria Math" w:hAnsi="Cambria Math"/>
          <w:sz w:val="22"/>
          <w:szCs w:val="22"/>
          <w:lang w:val="pl-PL"/>
        </w:rPr>
        <w:t>‒</w:t>
      </w:r>
      <w:r w:rsidRPr="007813E9">
        <w:rPr>
          <w:sz w:val="22"/>
          <w:szCs w:val="22"/>
          <w:lang w:val="pl-PL"/>
        </w:rPr>
        <w:t xml:space="preserve"> TAPSM) na hematološke i biohemijske indekse </w:t>
      </w:r>
      <w:r>
        <w:rPr>
          <w:sz w:val="22"/>
          <w:szCs w:val="22"/>
          <w:lang w:val="pl-PL"/>
        </w:rPr>
        <w:t>brojlera,</w:t>
      </w:r>
      <w:r w:rsidRPr="007813E9">
        <w:rPr>
          <w:sz w:val="22"/>
          <w:szCs w:val="22"/>
          <w:lang w:val="pl-PL"/>
        </w:rPr>
        <w:t xml:space="preserve"> u petonedeljnom ogledu sa 84 </w:t>
      </w:r>
      <w:r>
        <w:rPr>
          <w:sz w:val="22"/>
          <w:szCs w:val="22"/>
          <w:lang w:val="pl-PL"/>
        </w:rPr>
        <w:t xml:space="preserve">pilića </w:t>
      </w:r>
      <w:r w:rsidRPr="007813E9">
        <w:rPr>
          <w:sz w:val="22"/>
          <w:szCs w:val="22"/>
          <w:lang w:val="pl-PL"/>
        </w:rPr>
        <w:t>(</w:t>
      </w:r>
      <w:r>
        <w:rPr>
          <w:sz w:val="22"/>
          <w:szCs w:val="22"/>
          <w:lang w:val="pl-PL"/>
        </w:rPr>
        <w:t>starih pet nedelja</w:t>
      </w:r>
      <w:r w:rsidRPr="007813E9">
        <w:rPr>
          <w:sz w:val="22"/>
          <w:szCs w:val="22"/>
          <w:lang w:val="pl-PL"/>
        </w:rPr>
        <w:t xml:space="preserve">) </w:t>
      </w:r>
      <w:r>
        <w:rPr>
          <w:sz w:val="22"/>
          <w:szCs w:val="22"/>
          <w:lang w:val="pl-PL"/>
        </w:rPr>
        <w:t xml:space="preserve">raspoređenih u </w:t>
      </w:r>
      <w:r w:rsidRPr="007813E9">
        <w:rPr>
          <w:sz w:val="22"/>
          <w:szCs w:val="22"/>
          <w:lang w:val="pl-PL"/>
        </w:rPr>
        <w:t xml:space="preserve"> četiri grupe po 21 </w:t>
      </w:r>
      <w:r>
        <w:rPr>
          <w:sz w:val="22"/>
          <w:szCs w:val="22"/>
          <w:lang w:val="pl-PL"/>
        </w:rPr>
        <w:t>jedinke</w:t>
      </w:r>
      <w:r w:rsidRPr="007813E9">
        <w:rPr>
          <w:sz w:val="22"/>
          <w:szCs w:val="22"/>
          <w:lang w:val="pl-PL"/>
        </w:rPr>
        <w:t>. Svaka grupa je imala tri ponavljanja sa 7 brojlera. Četiri ogledna obroka bila su formulisana tako da sadrže 0, 10, 20 odnosno 30% TAPSM, koji su predstavljeni kao T</w:t>
      </w:r>
      <w:r w:rsidRPr="007813E9">
        <w:rPr>
          <w:sz w:val="22"/>
          <w:szCs w:val="22"/>
          <w:vertAlign w:val="subscript"/>
          <w:lang w:val="pl-PL"/>
        </w:rPr>
        <w:t>1</w:t>
      </w:r>
      <w:r w:rsidRPr="007813E9">
        <w:rPr>
          <w:sz w:val="22"/>
          <w:szCs w:val="22"/>
          <w:lang w:val="pl-PL"/>
        </w:rPr>
        <w:t>, T</w:t>
      </w:r>
      <w:r w:rsidRPr="007813E9">
        <w:rPr>
          <w:sz w:val="22"/>
          <w:szCs w:val="22"/>
          <w:vertAlign w:val="subscript"/>
          <w:lang w:val="pl-PL"/>
        </w:rPr>
        <w:t>2</w:t>
      </w:r>
      <w:r w:rsidRPr="007813E9">
        <w:rPr>
          <w:sz w:val="22"/>
          <w:szCs w:val="22"/>
          <w:lang w:val="pl-PL"/>
        </w:rPr>
        <w:t>, T</w:t>
      </w:r>
      <w:r w:rsidRPr="007813E9">
        <w:rPr>
          <w:sz w:val="22"/>
          <w:szCs w:val="22"/>
          <w:vertAlign w:val="subscript"/>
          <w:lang w:val="pl-PL"/>
        </w:rPr>
        <w:t>3</w:t>
      </w:r>
      <w:r w:rsidRPr="007813E9">
        <w:rPr>
          <w:sz w:val="22"/>
          <w:szCs w:val="22"/>
          <w:lang w:val="pl-PL"/>
        </w:rPr>
        <w:t xml:space="preserve"> odnosno T</w:t>
      </w:r>
      <w:r w:rsidRPr="007813E9">
        <w:rPr>
          <w:sz w:val="22"/>
          <w:szCs w:val="22"/>
          <w:vertAlign w:val="subscript"/>
          <w:lang w:val="pl-PL"/>
        </w:rPr>
        <w:t>4</w:t>
      </w:r>
      <w:r w:rsidRPr="007813E9">
        <w:rPr>
          <w:sz w:val="22"/>
          <w:szCs w:val="22"/>
          <w:lang w:val="pl-PL"/>
        </w:rPr>
        <w:t xml:space="preserve">. </w:t>
      </w:r>
      <w:r w:rsidRPr="00455427">
        <w:rPr>
          <w:sz w:val="22"/>
          <w:szCs w:val="22"/>
          <w:lang w:val="pl-PL"/>
        </w:rPr>
        <w:t>Po modelu potpuno slučajnog plana, predviđena su četiri obroka za ptice, koje su bile smeštene u  objektu sa dubokom prostirkom.</w:t>
      </w:r>
      <w:r w:rsidRPr="007813E9">
        <w:rPr>
          <w:sz w:val="22"/>
          <w:szCs w:val="22"/>
          <w:lang w:val="pl-PL"/>
        </w:rPr>
        <w:t xml:space="preserve"> Hran</w:t>
      </w:r>
      <w:r>
        <w:rPr>
          <w:sz w:val="22"/>
          <w:szCs w:val="22"/>
          <w:lang w:val="pl-PL"/>
        </w:rPr>
        <w:t>a</w:t>
      </w:r>
      <w:r w:rsidRPr="007813E9">
        <w:rPr>
          <w:sz w:val="22"/>
          <w:szCs w:val="22"/>
          <w:lang w:val="pl-PL"/>
        </w:rPr>
        <w:t xml:space="preserve"> i voda su pilićima bili ponuđeni </w:t>
      </w:r>
      <w:r w:rsidRPr="007813E9">
        <w:rPr>
          <w:i/>
          <w:sz w:val="22"/>
          <w:szCs w:val="22"/>
          <w:lang w:val="pl-PL"/>
        </w:rPr>
        <w:t>ad libitum</w:t>
      </w:r>
      <w:r w:rsidRPr="007813E9">
        <w:rPr>
          <w:sz w:val="22"/>
          <w:szCs w:val="22"/>
          <w:lang w:val="pl-PL"/>
        </w:rPr>
        <w:t>. Hematološki parametri su ukazali na značajan (P&lt;0,05) pad hemoglobina (10,20, 9,03, 8,60 i 7,63 g/dl), hematokrita (28,33, 26,10, 25,60 i 25,20%), ukupnih eritrocita (4,23, 4,00, 3,99 i 3,99 ×10</w:t>
      </w:r>
      <w:r w:rsidRPr="007813E9">
        <w:rPr>
          <w:sz w:val="22"/>
          <w:szCs w:val="22"/>
          <w:vertAlign w:val="superscript"/>
          <w:lang w:val="pl-PL"/>
        </w:rPr>
        <w:t>6</w:t>
      </w:r>
      <w:r w:rsidRPr="007813E9">
        <w:rPr>
          <w:sz w:val="22"/>
          <w:szCs w:val="22"/>
          <w:lang w:val="pl-PL"/>
        </w:rPr>
        <w:t xml:space="preserve">/µl), </w:t>
      </w:r>
      <w:r>
        <w:rPr>
          <w:sz w:val="22"/>
          <w:szCs w:val="22"/>
          <w:lang w:val="pl-PL"/>
        </w:rPr>
        <w:t>prosečne zapremine eritrocita</w:t>
      </w:r>
      <w:r w:rsidRPr="007813E9">
        <w:rPr>
          <w:sz w:val="22"/>
          <w:szCs w:val="22"/>
          <w:lang w:val="pl-PL"/>
        </w:rPr>
        <w:t xml:space="preserve"> (66,97, 65,25, 64,16 i 63,15 fl), </w:t>
      </w:r>
      <w:r>
        <w:rPr>
          <w:sz w:val="22"/>
          <w:szCs w:val="22"/>
          <w:lang w:val="pl-PL"/>
        </w:rPr>
        <w:t xml:space="preserve">prosečne mase hemoglobina po eritrocitu </w:t>
      </w:r>
      <w:r w:rsidRPr="007813E9">
        <w:rPr>
          <w:sz w:val="22"/>
          <w:szCs w:val="22"/>
          <w:lang w:val="pl-PL"/>
        </w:rPr>
        <w:t xml:space="preserve"> (24,11, 22,57, 21,55 i 19,12pg) i srednje koncentracije hemoglobina u eritrocitu (35,66, 34,59, 33,59 i 30,27%) </w:t>
      </w:r>
      <w:r>
        <w:rPr>
          <w:sz w:val="22"/>
          <w:szCs w:val="22"/>
          <w:lang w:val="pl-PL"/>
        </w:rPr>
        <w:t>sa porastom</w:t>
      </w:r>
      <w:r w:rsidRPr="007813E9">
        <w:rPr>
          <w:sz w:val="22"/>
          <w:szCs w:val="22"/>
          <w:lang w:val="pl-PL"/>
        </w:rPr>
        <w:t xml:space="preserve"> nivoa TAPS</w:t>
      </w:r>
      <w:r>
        <w:rPr>
          <w:sz w:val="22"/>
          <w:szCs w:val="22"/>
          <w:lang w:val="pl-PL"/>
        </w:rPr>
        <w:t xml:space="preserve">M u obrocima. Ukupni leukociti </w:t>
      </w:r>
      <w:r w:rsidRPr="007813E9">
        <w:rPr>
          <w:sz w:val="22"/>
          <w:szCs w:val="22"/>
          <w:lang w:val="pl-PL"/>
        </w:rPr>
        <w:t>(71,76, 73,40, 75,07 i 76,17 ×10</w:t>
      </w:r>
      <w:r w:rsidRPr="007813E9">
        <w:rPr>
          <w:sz w:val="22"/>
          <w:szCs w:val="22"/>
          <w:vertAlign w:val="superscript"/>
          <w:lang w:val="pl-PL"/>
        </w:rPr>
        <w:t>3</w:t>
      </w:r>
      <w:r w:rsidRPr="007813E9">
        <w:rPr>
          <w:sz w:val="22"/>
          <w:szCs w:val="22"/>
          <w:lang w:val="pl-PL"/>
        </w:rPr>
        <w:t xml:space="preserve">/µl) povećavali su se značajno (P&lt;0,05) kako se nivo TAPSM povećavao. </w:t>
      </w:r>
      <w:r w:rsidRPr="00455427">
        <w:rPr>
          <w:sz w:val="22"/>
          <w:szCs w:val="22"/>
          <w:lang w:val="pl-PL"/>
        </w:rPr>
        <w:t>Druge vrednosti su bile kao što sledi: urea (4,00, 5,00, 6,67 i 10,00 mg/dl), kreatinin (0,33, 0,25, 0,43 i 0,46mg/dl), holesterol (149,67, 135,67, 113,67 i 102,67 mg/dl), ukupni proteini (3,33, 3,43, 2,97 i 2,50mg/dl), glukoza (146,14, 208,49, 179,66 i 135,33 mg/dl), alkalna fosfataza (105,65, 111,2, 132,67 i 145,00 iu/</w:t>
      </w:r>
      <w:r w:rsidRPr="00455427">
        <w:rPr>
          <w:i/>
          <w:sz w:val="22"/>
          <w:szCs w:val="22"/>
          <w:lang w:val="pl-PL"/>
        </w:rPr>
        <w:t>l</w:t>
      </w:r>
      <w:r w:rsidRPr="00455427">
        <w:rPr>
          <w:sz w:val="22"/>
          <w:szCs w:val="22"/>
          <w:lang w:val="pl-PL"/>
        </w:rPr>
        <w:t>) i aspartat transaminaza (68,68, 70,00, 78,00 i 85,67 iu/</w:t>
      </w:r>
      <w:r w:rsidRPr="00455427">
        <w:rPr>
          <w:i/>
          <w:sz w:val="22"/>
          <w:szCs w:val="22"/>
          <w:lang w:val="pl-PL"/>
        </w:rPr>
        <w:t>l</w:t>
      </w:r>
      <w:r w:rsidRPr="00455427">
        <w:rPr>
          <w:sz w:val="22"/>
          <w:szCs w:val="22"/>
          <w:lang w:val="pl-PL"/>
        </w:rPr>
        <w:t xml:space="preserve">). Da zaključimo, 10% TAPSM u obrocima za brojlere najpovoljnije </w:t>
      </w:r>
      <w:r w:rsidRPr="00D67B28">
        <w:rPr>
          <w:sz w:val="22"/>
          <w:szCs w:val="22"/>
          <w:lang w:val="pl-PL"/>
        </w:rPr>
        <w:t>je</w:t>
      </w:r>
      <w:r w:rsidR="00AA4398">
        <w:rPr>
          <w:sz w:val="22"/>
          <w:szCs w:val="22"/>
          <w:lang w:val="pl-PL"/>
        </w:rPr>
        <w:t xml:space="preserve"> </w:t>
      </w:r>
      <w:r w:rsidRPr="00455427">
        <w:rPr>
          <w:sz w:val="22"/>
          <w:szCs w:val="22"/>
          <w:lang w:val="pl-PL"/>
        </w:rPr>
        <w:t>uticao na hematološke i biohemijske parametre.</w:t>
      </w:r>
    </w:p>
    <w:p w:rsidR="00990FEC" w:rsidRPr="006A4FAC" w:rsidRDefault="00B27FE2" w:rsidP="006A4FAC">
      <w:pPr>
        <w:ind w:firstLine="425"/>
        <w:jc w:val="both"/>
        <w:rPr>
          <w:sz w:val="22"/>
          <w:szCs w:val="22"/>
          <w:lang w:val="pl-PL"/>
        </w:rPr>
      </w:pPr>
      <w:r w:rsidRPr="00455427">
        <w:rPr>
          <w:b/>
          <w:sz w:val="22"/>
          <w:szCs w:val="22"/>
          <w:lang w:val="pl-PL"/>
        </w:rPr>
        <w:t>Ključne reči:</w:t>
      </w:r>
      <w:r w:rsidR="00AA4398">
        <w:rPr>
          <w:b/>
          <w:sz w:val="22"/>
          <w:szCs w:val="22"/>
          <w:lang w:val="pl-PL"/>
        </w:rPr>
        <w:t xml:space="preserve"> </w:t>
      </w:r>
      <w:r w:rsidRPr="00455427">
        <w:rPr>
          <w:i/>
          <w:sz w:val="22"/>
          <w:szCs w:val="22"/>
          <w:lang w:val="pl-PL"/>
        </w:rPr>
        <w:t>Adenanthera pavonina</w:t>
      </w:r>
      <w:r w:rsidRPr="00455427">
        <w:rPr>
          <w:sz w:val="22"/>
          <w:szCs w:val="22"/>
          <w:lang w:val="pl-PL"/>
        </w:rPr>
        <w:t>, tostiran, brojleri</w:t>
      </w:r>
      <w:r>
        <w:rPr>
          <w:sz w:val="22"/>
          <w:szCs w:val="22"/>
          <w:lang w:val="pl-PL"/>
        </w:rPr>
        <w:t xml:space="preserve"> u završnom tovu</w:t>
      </w:r>
      <w:r w:rsidRPr="00455427">
        <w:rPr>
          <w:sz w:val="22"/>
          <w:szCs w:val="22"/>
          <w:lang w:val="pl-PL"/>
        </w:rPr>
        <w:t>, hematološki parametri, biohemijski parametri.</w:t>
      </w:r>
    </w:p>
    <w:p w:rsidR="007C7760" w:rsidRDefault="007C7760" w:rsidP="00132B06">
      <w:pPr>
        <w:ind w:firstLine="425"/>
        <w:jc w:val="both"/>
        <w:rPr>
          <w:sz w:val="22"/>
          <w:szCs w:val="22"/>
        </w:rPr>
      </w:pPr>
    </w:p>
    <w:p w:rsidR="00D64201" w:rsidRPr="006A4FAC" w:rsidRDefault="00D64201" w:rsidP="00D64201">
      <w:pPr>
        <w:autoSpaceDE w:val="0"/>
        <w:autoSpaceDN w:val="0"/>
        <w:adjustRightInd w:val="0"/>
        <w:ind w:firstLine="425"/>
        <w:jc w:val="right"/>
        <w:rPr>
          <w:sz w:val="18"/>
          <w:szCs w:val="18"/>
        </w:rPr>
      </w:pPr>
      <w:r w:rsidRPr="006A4FAC">
        <w:rPr>
          <w:sz w:val="18"/>
          <w:szCs w:val="18"/>
        </w:rPr>
        <w:t xml:space="preserve">Primljeno: </w:t>
      </w:r>
      <w:r w:rsidR="00B27FE2" w:rsidRPr="006A4FAC">
        <w:rPr>
          <w:sz w:val="18"/>
          <w:szCs w:val="18"/>
        </w:rPr>
        <w:t>28</w:t>
      </w:r>
      <w:r w:rsidRPr="006A4FAC">
        <w:rPr>
          <w:sz w:val="18"/>
          <w:szCs w:val="18"/>
        </w:rPr>
        <w:t xml:space="preserve">. </w:t>
      </w:r>
      <w:r w:rsidR="00B27FE2" w:rsidRPr="006A4FAC">
        <w:rPr>
          <w:sz w:val="18"/>
          <w:szCs w:val="18"/>
        </w:rPr>
        <w:t>februara</w:t>
      </w:r>
      <w:r w:rsidRPr="006A4FAC">
        <w:rPr>
          <w:sz w:val="18"/>
          <w:szCs w:val="18"/>
        </w:rPr>
        <w:t xml:space="preserve"> 201</w:t>
      </w:r>
      <w:r w:rsidR="00560DD1" w:rsidRPr="006A4FAC">
        <w:rPr>
          <w:sz w:val="18"/>
          <w:szCs w:val="18"/>
        </w:rPr>
        <w:t>8</w:t>
      </w:r>
      <w:r w:rsidRPr="006A4FAC">
        <w:rPr>
          <w:sz w:val="18"/>
          <w:szCs w:val="18"/>
        </w:rPr>
        <w:t>.</w:t>
      </w:r>
    </w:p>
    <w:p w:rsidR="00D64201" w:rsidRDefault="00D64201" w:rsidP="00D64201">
      <w:pPr>
        <w:autoSpaceDE w:val="0"/>
        <w:autoSpaceDN w:val="0"/>
        <w:adjustRightInd w:val="0"/>
        <w:ind w:left="709" w:hanging="709"/>
        <w:jc w:val="right"/>
        <w:rPr>
          <w:sz w:val="18"/>
          <w:szCs w:val="18"/>
        </w:rPr>
      </w:pPr>
      <w:r w:rsidRPr="006A4FAC">
        <w:rPr>
          <w:sz w:val="18"/>
          <w:szCs w:val="18"/>
        </w:rPr>
        <w:t xml:space="preserve">Odobreno: </w:t>
      </w:r>
      <w:r w:rsidR="00B27FE2" w:rsidRPr="006A4FAC">
        <w:rPr>
          <w:sz w:val="18"/>
          <w:szCs w:val="18"/>
        </w:rPr>
        <w:t>13</w:t>
      </w:r>
      <w:r w:rsidRPr="006A4FAC">
        <w:rPr>
          <w:sz w:val="18"/>
          <w:szCs w:val="18"/>
        </w:rPr>
        <w:t xml:space="preserve">. </w:t>
      </w:r>
      <w:r w:rsidR="00B27FE2" w:rsidRPr="006A4FAC">
        <w:rPr>
          <w:sz w:val="18"/>
          <w:szCs w:val="18"/>
        </w:rPr>
        <w:t>avgusta</w:t>
      </w:r>
      <w:bookmarkStart w:id="0" w:name="_GoBack"/>
      <w:bookmarkEnd w:id="0"/>
      <w:r w:rsidRPr="006A4FAC">
        <w:rPr>
          <w:sz w:val="18"/>
          <w:szCs w:val="18"/>
        </w:rPr>
        <w:t xml:space="preserve"> 201</w:t>
      </w:r>
      <w:r w:rsidR="00560DD1" w:rsidRPr="006A4FAC">
        <w:rPr>
          <w:sz w:val="18"/>
          <w:szCs w:val="18"/>
        </w:rPr>
        <w:t>8</w:t>
      </w:r>
      <w:r w:rsidRPr="006A4FAC">
        <w:rPr>
          <w:sz w:val="18"/>
          <w:szCs w:val="18"/>
        </w:rPr>
        <w:t>.</w:t>
      </w:r>
    </w:p>
    <w:sectPr w:rsidR="00D64201" w:rsidSect="00292D6B">
      <w:headerReference w:type="even" r:id="rId13"/>
      <w:headerReference w:type="default" r:id="rId14"/>
      <w:headerReference w:type="first" r:id="rId15"/>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C57" w:rsidRDefault="00251C57">
      <w:r>
        <w:separator/>
      </w:r>
    </w:p>
  </w:endnote>
  <w:endnote w:type="continuationSeparator" w:id="1">
    <w:p w:rsidR="00251C57" w:rsidRDefault="00251C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OpenSymbol">
    <w:altName w:val="Courier New"/>
    <w:charset w:val="00"/>
    <w:family w:val="auto"/>
    <w:pitch w:val="variable"/>
    <w:sig w:usb0="00000003"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C57" w:rsidRDefault="00251C57">
      <w:r>
        <w:separator/>
      </w:r>
    </w:p>
  </w:footnote>
  <w:footnote w:type="continuationSeparator" w:id="1">
    <w:p w:rsidR="00251C57" w:rsidRDefault="00251C57">
      <w:r>
        <w:continuationSeparator/>
      </w:r>
    </w:p>
  </w:footnote>
  <w:footnote w:id="2">
    <w:p w:rsidR="004C795C" w:rsidRPr="00A10618" w:rsidRDefault="004C795C" w:rsidP="00F43465">
      <w:pPr>
        <w:pStyle w:val="FootnoteText"/>
        <w:jc w:val="both"/>
        <w:rPr>
          <w:sz w:val="18"/>
          <w:szCs w:val="18"/>
          <w:lang w:val="en-US"/>
        </w:rPr>
      </w:pPr>
      <w:r w:rsidRPr="00A10618">
        <w:rPr>
          <w:rStyle w:val="FootnoteReference"/>
          <w:sz w:val="18"/>
          <w:szCs w:val="18"/>
          <w:lang w:val="en-US"/>
        </w:rPr>
        <w:t>*</w:t>
      </w:r>
      <w:r w:rsidRPr="00A10618">
        <w:rPr>
          <w:color w:val="191919"/>
          <w:sz w:val="18"/>
          <w:szCs w:val="18"/>
          <w:lang w:val="en-US"/>
        </w:rPr>
        <w:t xml:space="preserve">Corresponding author: e-mail: </w:t>
      </w:r>
      <w:hyperlink r:id="rId1" w:history="1">
        <w:r w:rsidRPr="00F43465">
          <w:rPr>
            <w:rStyle w:val="Hyperlink"/>
            <w:color w:val="auto"/>
            <w:sz w:val="18"/>
            <w:szCs w:val="18"/>
            <w:u w:val="none"/>
          </w:rPr>
          <w:t>uhukpabi@yahoo.com</w:t>
        </w:r>
      </w:hyperlink>
    </w:p>
  </w:footnote>
  <w:footnote w:id="3">
    <w:p w:rsidR="004C795C" w:rsidRPr="007C7760" w:rsidRDefault="004C795C" w:rsidP="00B27FE2">
      <w:pPr>
        <w:pStyle w:val="FootnoteText"/>
        <w:jc w:val="both"/>
        <w:rPr>
          <w:sz w:val="18"/>
          <w:szCs w:val="18"/>
          <w:lang w:val="pl-PL"/>
        </w:rPr>
      </w:pPr>
      <w:r w:rsidRPr="007C7760">
        <w:rPr>
          <w:rStyle w:val="FootnoteReference"/>
          <w:sz w:val="18"/>
          <w:szCs w:val="18"/>
          <w:lang w:val="pl-PL"/>
        </w:rPr>
        <w:t>*</w:t>
      </w:r>
      <w:r w:rsidRPr="007C7760">
        <w:rPr>
          <w:color w:val="191919"/>
          <w:sz w:val="18"/>
          <w:szCs w:val="18"/>
          <w:lang w:val="pl-PL"/>
        </w:rPr>
        <w:t xml:space="preserve">Autor za kontakt: e-mail: </w:t>
      </w:r>
      <w:hyperlink r:id="rId2" w:history="1">
        <w:r w:rsidRPr="00F43465">
          <w:rPr>
            <w:rStyle w:val="Hyperlink"/>
            <w:sz w:val="18"/>
            <w:szCs w:val="18"/>
          </w:rPr>
          <w:t>uhukpabi@yahoo.com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95C" w:rsidRPr="00292D6B" w:rsidRDefault="004C795C" w:rsidP="003E2BC8">
    <w:pPr>
      <w:pStyle w:val="Header"/>
      <w:framePr w:wrap="around" w:vAnchor="text" w:hAnchor="page" w:x="2264" w:y="24"/>
      <w:rPr>
        <w:rStyle w:val="PageNumber"/>
        <w:sz w:val="18"/>
      </w:rPr>
    </w:pPr>
    <w:r w:rsidRPr="00292D6B">
      <w:rPr>
        <w:rStyle w:val="PageNumber"/>
        <w:sz w:val="18"/>
      </w:rPr>
      <w:fldChar w:fldCharType="begin"/>
    </w:r>
    <w:r w:rsidRPr="00292D6B">
      <w:rPr>
        <w:rStyle w:val="PageNumber"/>
        <w:sz w:val="18"/>
      </w:rPr>
      <w:instrText xml:space="preserve">PAGE  </w:instrText>
    </w:r>
    <w:r w:rsidRPr="00292D6B">
      <w:rPr>
        <w:rStyle w:val="PageNumber"/>
        <w:sz w:val="18"/>
      </w:rPr>
      <w:fldChar w:fldCharType="separate"/>
    </w:r>
    <w:r w:rsidR="00AA4398">
      <w:rPr>
        <w:rStyle w:val="PageNumber"/>
        <w:noProof/>
        <w:sz w:val="18"/>
      </w:rPr>
      <w:t>12</w:t>
    </w:r>
    <w:r w:rsidRPr="00292D6B">
      <w:rPr>
        <w:rStyle w:val="PageNumber"/>
        <w:sz w:val="18"/>
      </w:rPr>
      <w:fldChar w:fldCharType="end"/>
    </w:r>
  </w:p>
  <w:p w:rsidR="004C795C" w:rsidRPr="00F43465" w:rsidRDefault="004C795C" w:rsidP="00F43465">
    <w:pPr>
      <w:pStyle w:val="Header"/>
      <w:pBdr>
        <w:bottom w:val="single" w:sz="4" w:space="1" w:color="auto"/>
      </w:pBdr>
      <w:jc w:val="center"/>
      <w:rPr>
        <w:sz w:val="18"/>
        <w:szCs w:val="18"/>
        <w:lang w:val="en-US"/>
      </w:rPr>
    </w:pPr>
    <w:r w:rsidRPr="00F43465">
      <w:rPr>
        <w:color w:val="000000"/>
        <w:sz w:val="18"/>
        <w:szCs w:val="18"/>
      </w:rPr>
      <w:t>Ugochukwu H. Ukpabi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95C" w:rsidRPr="009C09D1" w:rsidRDefault="004C795C">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6A4FAC">
      <w:rPr>
        <w:rStyle w:val="PageNumber"/>
        <w:noProof/>
        <w:sz w:val="18"/>
      </w:rPr>
      <w:t>13</w:t>
    </w:r>
    <w:r w:rsidRPr="004D3E6C">
      <w:rPr>
        <w:rStyle w:val="PageNumber"/>
        <w:sz w:val="18"/>
      </w:rPr>
      <w:fldChar w:fldCharType="end"/>
    </w:r>
  </w:p>
  <w:p w:rsidR="004C795C" w:rsidRPr="002D729F" w:rsidRDefault="004C795C" w:rsidP="00127F3C">
    <w:pPr>
      <w:widowControl w:val="0"/>
      <w:jc w:val="center"/>
      <w:rPr>
        <w:sz w:val="18"/>
        <w:szCs w:val="18"/>
      </w:rPr>
    </w:pPr>
    <w:r w:rsidRPr="002D729F">
      <w:rPr>
        <w:sz w:val="18"/>
        <w:szCs w:val="18"/>
      </w:rPr>
      <w:t xml:space="preserve">Effect of toasted </w:t>
    </w:r>
    <w:r w:rsidRPr="002D729F">
      <w:rPr>
        <w:i/>
        <w:sz w:val="18"/>
        <w:szCs w:val="18"/>
      </w:rPr>
      <w:t>A. pavonina</w:t>
    </w:r>
    <w:r w:rsidRPr="002D729F">
      <w:rPr>
        <w:sz w:val="18"/>
        <w:szCs w:val="18"/>
      </w:rPr>
      <w:t xml:space="preserve"> seed meal on haematology and blood chemistry of broiler chickens</w:t>
    </w:r>
  </w:p>
  <w:p w:rsidR="004C795C" w:rsidRPr="00FC60F3" w:rsidRDefault="004C795C" w:rsidP="00E23ECF">
    <w:pPr>
      <w:pStyle w:val="Header"/>
      <w:pBdr>
        <w:bottom w:val="single" w:sz="4" w:space="1" w:color="auto"/>
      </w:pBdr>
      <w:tabs>
        <w:tab w:val="clear" w:pos="4320"/>
        <w:tab w:val="center" w:pos="3685"/>
        <w:tab w:val="left" w:pos="6050"/>
      </w:tabs>
      <w:jc w:val="center"/>
      <w:rPr>
        <w:color w:val="FF0000"/>
        <w:sz w:val="18"/>
        <w:szCs w:val="18"/>
        <w:lang w:val="sr-Latn-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4C795C" w:rsidRPr="00897BE7" w:rsidTr="008A1EFB">
      <w:tc>
        <w:tcPr>
          <w:tcW w:w="3686" w:type="dxa"/>
        </w:tcPr>
        <w:p w:rsidR="004C795C" w:rsidRPr="004D3E6C" w:rsidRDefault="004C795C">
          <w:pPr>
            <w:rPr>
              <w:sz w:val="18"/>
              <w:szCs w:val="18"/>
              <w:lang w:val="en-US"/>
            </w:rPr>
          </w:pPr>
          <w:r w:rsidRPr="004D3E6C">
            <w:rPr>
              <w:sz w:val="18"/>
              <w:szCs w:val="18"/>
              <w:lang w:val="en-US"/>
            </w:rPr>
            <w:t>Journal of Agricultural Sciences</w:t>
          </w:r>
        </w:p>
        <w:p w:rsidR="004C795C" w:rsidRPr="004D3E6C" w:rsidRDefault="004C795C"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3</w:t>
          </w:r>
          <w:r w:rsidRPr="004D3E6C">
            <w:rPr>
              <w:sz w:val="18"/>
              <w:szCs w:val="18"/>
              <w:lang w:val="en-US"/>
            </w:rPr>
            <w:t>, 201</w:t>
          </w:r>
          <w:r>
            <w:rPr>
              <w:sz w:val="18"/>
              <w:szCs w:val="18"/>
              <w:lang w:val="en-US"/>
            </w:rPr>
            <w:t>8</w:t>
          </w:r>
        </w:p>
        <w:p w:rsidR="004C795C" w:rsidRPr="00621E03" w:rsidRDefault="004C795C"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4C795C" w:rsidRPr="00DE2892" w:rsidRDefault="004C795C" w:rsidP="008A1EFB">
          <w:pPr>
            <w:pStyle w:val="BodyText"/>
            <w:tabs>
              <w:tab w:val="right" w:leader="dot" w:pos="7371"/>
            </w:tabs>
            <w:spacing w:after="0"/>
            <w:jc w:val="right"/>
            <w:rPr>
              <w:sz w:val="18"/>
              <w:szCs w:val="18"/>
            </w:rPr>
          </w:pPr>
          <w:hyperlink r:id="rId1" w:history="1">
            <w:r w:rsidRPr="00DE2892">
              <w:rPr>
                <w:rStyle w:val="Hyperlink"/>
                <w:color w:val="auto"/>
                <w:sz w:val="18"/>
                <w:szCs w:val="18"/>
                <w:u w:val="none"/>
              </w:rPr>
              <w:t>https://doi.org/</w:t>
            </w:r>
          </w:hyperlink>
        </w:p>
        <w:p w:rsidR="004C795C" w:rsidRPr="00DE2892" w:rsidRDefault="004C795C"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4C795C" w:rsidRPr="00897BE7" w:rsidRDefault="004C795C"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4C795C" w:rsidRPr="00621E03" w:rsidRDefault="004C795C">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1746720"/>
    <w:lvl w:ilvl="0">
      <w:start w:val="1"/>
      <w:numFmt w:val="bullet"/>
      <w:lvlText w:val=""/>
      <w:lvlJc w:val="left"/>
      <w:pPr>
        <w:tabs>
          <w:tab w:val="num" w:pos="360"/>
        </w:tabs>
        <w:ind w:left="360" w:hanging="360"/>
      </w:pPr>
      <w:rPr>
        <w:rFonts w:ascii="Symbol" w:hAnsi="Symbol" w:hint="default"/>
      </w:rPr>
    </w:lvl>
  </w:abstractNum>
  <w:abstractNum w:abstractNumId="1">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D38D6"/>
    <w:multiLevelType w:val="hybridMultilevel"/>
    <w:tmpl w:val="D40EA8E0"/>
    <w:lvl w:ilvl="0" w:tplc="B1906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603CE2"/>
    <w:multiLevelType w:val="multilevel"/>
    <w:tmpl w:val="D4A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7D4162"/>
    <w:multiLevelType w:val="hybridMultilevel"/>
    <w:tmpl w:val="22F46DAE"/>
    <w:lvl w:ilvl="0" w:tplc="24DC5FDC">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72459C"/>
    <w:multiLevelType w:val="hybridMultilevel"/>
    <w:tmpl w:val="E53810E4"/>
    <w:lvl w:ilvl="0" w:tplc="B8A2B2B2">
      <w:start w:val="1"/>
      <w:numFmt w:val="upp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A0F55AE"/>
    <w:multiLevelType w:val="hybridMultilevel"/>
    <w:tmpl w:val="869ED4B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BCD44AB"/>
    <w:multiLevelType w:val="hybridMultilevel"/>
    <w:tmpl w:val="EAA415D8"/>
    <w:lvl w:ilvl="0" w:tplc="8EC46018">
      <w:start w:val="1"/>
      <w:numFmt w:val="upp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52695CEA"/>
    <w:multiLevelType w:val="multilevel"/>
    <w:tmpl w:val="B27EF9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54092685"/>
    <w:multiLevelType w:val="hybridMultilevel"/>
    <w:tmpl w:val="DBCCA6E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56E2F2D"/>
    <w:multiLevelType w:val="multilevel"/>
    <w:tmpl w:val="2D1C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6D0466"/>
    <w:multiLevelType w:val="multilevel"/>
    <w:tmpl w:val="C3CC14D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num>
  <w:num w:numId="3">
    <w:abstractNumId w:val="2"/>
  </w:num>
  <w:num w:numId="4">
    <w:abstractNumId w:val="10"/>
  </w:num>
  <w:num w:numId="5">
    <w:abstractNumId w:val="3"/>
  </w:num>
  <w:num w:numId="6">
    <w:abstractNumId w:val="8"/>
  </w:num>
  <w:num w:numId="7">
    <w:abstractNumId w:val="11"/>
  </w:num>
  <w:num w:numId="8">
    <w:abstractNumId w:val="9"/>
  </w:num>
  <w:num w:numId="9">
    <w:abstractNumId w:val="6"/>
  </w:num>
  <w:num w:numId="10">
    <w:abstractNumId w:val="7"/>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5"/>
  <w:hyphenationZone w:val="425"/>
  <w:evenAndOddHeaders/>
  <w:drawingGridHorizontalSpacing w:val="100"/>
  <w:displayHorizontalDrawingGridEvery w:val="2"/>
  <w:characterSpacingControl w:val="doNotCompress"/>
  <w:hdrShapeDefaults>
    <o:shapedefaults v:ext="edit" spidmax="99330"/>
  </w:hdrShapeDefaults>
  <w:footnotePr>
    <w:numFmt w:val="chicago"/>
    <w:footnote w:id="0"/>
    <w:footnote w:id="1"/>
  </w:footnotePr>
  <w:endnotePr>
    <w:numFmt w:val="chicago"/>
    <w:endnote w:id="0"/>
    <w:endnote w:id="1"/>
  </w:endnotePr>
  <w:compat/>
  <w:rsids>
    <w:rsidRoot w:val="00864A51"/>
    <w:rsid w:val="00000392"/>
    <w:rsid w:val="00001280"/>
    <w:rsid w:val="0000178A"/>
    <w:rsid w:val="0000417E"/>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466"/>
    <w:rsid w:val="000435F3"/>
    <w:rsid w:val="00043BFB"/>
    <w:rsid w:val="0004639B"/>
    <w:rsid w:val="000503F4"/>
    <w:rsid w:val="00050B5D"/>
    <w:rsid w:val="00052689"/>
    <w:rsid w:val="00052FA2"/>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4319"/>
    <w:rsid w:val="000A50C0"/>
    <w:rsid w:val="000A71D5"/>
    <w:rsid w:val="000B4472"/>
    <w:rsid w:val="000B52C0"/>
    <w:rsid w:val="000B69DD"/>
    <w:rsid w:val="000C169F"/>
    <w:rsid w:val="000C24AC"/>
    <w:rsid w:val="000C2AD1"/>
    <w:rsid w:val="000C6E7A"/>
    <w:rsid w:val="000C6F4D"/>
    <w:rsid w:val="000D1FFB"/>
    <w:rsid w:val="000D20CD"/>
    <w:rsid w:val="000D219A"/>
    <w:rsid w:val="000D260A"/>
    <w:rsid w:val="000D35CB"/>
    <w:rsid w:val="000D4687"/>
    <w:rsid w:val="000D5967"/>
    <w:rsid w:val="000D735F"/>
    <w:rsid w:val="000E26E3"/>
    <w:rsid w:val="000E2F35"/>
    <w:rsid w:val="000E4C10"/>
    <w:rsid w:val="000E62B7"/>
    <w:rsid w:val="000E734C"/>
    <w:rsid w:val="000F0A5C"/>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27F3C"/>
    <w:rsid w:val="00130AB4"/>
    <w:rsid w:val="0013134B"/>
    <w:rsid w:val="001317FE"/>
    <w:rsid w:val="00131ADC"/>
    <w:rsid w:val="00131D44"/>
    <w:rsid w:val="00132B06"/>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367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3DE5"/>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66ED"/>
    <w:rsid w:val="00200718"/>
    <w:rsid w:val="00201A57"/>
    <w:rsid w:val="0020322E"/>
    <w:rsid w:val="002050B2"/>
    <w:rsid w:val="00206FBE"/>
    <w:rsid w:val="0020733E"/>
    <w:rsid w:val="0021095B"/>
    <w:rsid w:val="002133A4"/>
    <w:rsid w:val="002146D9"/>
    <w:rsid w:val="00214D74"/>
    <w:rsid w:val="002162CD"/>
    <w:rsid w:val="00217B59"/>
    <w:rsid w:val="00220ABC"/>
    <w:rsid w:val="0022110B"/>
    <w:rsid w:val="00221494"/>
    <w:rsid w:val="002240A2"/>
    <w:rsid w:val="00224466"/>
    <w:rsid w:val="00224893"/>
    <w:rsid w:val="00224C1D"/>
    <w:rsid w:val="002305A2"/>
    <w:rsid w:val="00230FDE"/>
    <w:rsid w:val="0023306B"/>
    <w:rsid w:val="00235305"/>
    <w:rsid w:val="002364FE"/>
    <w:rsid w:val="002377A8"/>
    <w:rsid w:val="00244D67"/>
    <w:rsid w:val="00245107"/>
    <w:rsid w:val="002454B5"/>
    <w:rsid w:val="00245ED9"/>
    <w:rsid w:val="00247469"/>
    <w:rsid w:val="002477FE"/>
    <w:rsid w:val="00247C75"/>
    <w:rsid w:val="00250D92"/>
    <w:rsid w:val="002515CC"/>
    <w:rsid w:val="00251C57"/>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374"/>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D729F"/>
    <w:rsid w:val="002E204F"/>
    <w:rsid w:val="002E2B30"/>
    <w:rsid w:val="002E3AE3"/>
    <w:rsid w:val="002E4BAE"/>
    <w:rsid w:val="002E5831"/>
    <w:rsid w:val="002E6660"/>
    <w:rsid w:val="002E73CC"/>
    <w:rsid w:val="002E746A"/>
    <w:rsid w:val="002F1017"/>
    <w:rsid w:val="002F1527"/>
    <w:rsid w:val="002F18D9"/>
    <w:rsid w:val="002F42C3"/>
    <w:rsid w:val="002F51E0"/>
    <w:rsid w:val="0030070D"/>
    <w:rsid w:val="00300E3E"/>
    <w:rsid w:val="003011AD"/>
    <w:rsid w:val="003025AF"/>
    <w:rsid w:val="0030448E"/>
    <w:rsid w:val="00306CCB"/>
    <w:rsid w:val="003122C0"/>
    <w:rsid w:val="00313A70"/>
    <w:rsid w:val="00315827"/>
    <w:rsid w:val="00320918"/>
    <w:rsid w:val="00324C5D"/>
    <w:rsid w:val="0032797E"/>
    <w:rsid w:val="00330389"/>
    <w:rsid w:val="00332631"/>
    <w:rsid w:val="00333D80"/>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3F"/>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3F717F"/>
    <w:rsid w:val="0040230D"/>
    <w:rsid w:val="004035BD"/>
    <w:rsid w:val="0040436E"/>
    <w:rsid w:val="00406CFA"/>
    <w:rsid w:val="004137CF"/>
    <w:rsid w:val="00414BE9"/>
    <w:rsid w:val="004254B6"/>
    <w:rsid w:val="004271D0"/>
    <w:rsid w:val="0043112D"/>
    <w:rsid w:val="00431E24"/>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72923"/>
    <w:rsid w:val="00477547"/>
    <w:rsid w:val="004779C9"/>
    <w:rsid w:val="004814CA"/>
    <w:rsid w:val="00482CCE"/>
    <w:rsid w:val="00483968"/>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6D10"/>
    <w:rsid w:val="004C795C"/>
    <w:rsid w:val="004D16FA"/>
    <w:rsid w:val="004D3E6C"/>
    <w:rsid w:val="004D49A0"/>
    <w:rsid w:val="004D6193"/>
    <w:rsid w:val="004D69D5"/>
    <w:rsid w:val="004E00BB"/>
    <w:rsid w:val="004E194F"/>
    <w:rsid w:val="004E2887"/>
    <w:rsid w:val="004E7C02"/>
    <w:rsid w:val="004F0D80"/>
    <w:rsid w:val="004F4232"/>
    <w:rsid w:val="00500CFE"/>
    <w:rsid w:val="005012CC"/>
    <w:rsid w:val="00503F63"/>
    <w:rsid w:val="00504F0C"/>
    <w:rsid w:val="00512348"/>
    <w:rsid w:val="00515087"/>
    <w:rsid w:val="00516C2D"/>
    <w:rsid w:val="005174E4"/>
    <w:rsid w:val="00520381"/>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0DD1"/>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475"/>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1F4"/>
    <w:rsid w:val="0069544A"/>
    <w:rsid w:val="006971F3"/>
    <w:rsid w:val="00697616"/>
    <w:rsid w:val="006A0DEE"/>
    <w:rsid w:val="006A1B85"/>
    <w:rsid w:val="006A2BFF"/>
    <w:rsid w:val="006A3692"/>
    <w:rsid w:val="006A4BB5"/>
    <w:rsid w:val="006A4EB6"/>
    <w:rsid w:val="006A4FAC"/>
    <w:rsid w:val="006A51EB"/>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3135"/>
    <w:rsid w:val="00704127"/>
    <w:rsid w:val="00706C1B"/>
    <w:rsid w:val="00706F3E"/>
    <w:rsid w:val="007070FB"/>
    <w:rsid w:val="00707B1A"/>
    <w:rsid w:val="007102A9"/>
    <w:rsid w:val="00711578"/>
    <w:rsid w:val="00712A9D"/>
    <w:rsid w:val="00713171"/>
    <w:rsid w:val="00714BE3"/>
    <w:rsid w:val="0071506D"/>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1046"/>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111A"/>
    <w:rsid w:val="007B722F"/>
    <w:rsid w:val="007B74B6"/>
    <w:rsid w:val="007C0719"/>
    <w:rsid w:val="007C0BF5"/>
    <w:rsid w:val="007C1539"/>
    <w:rsid w:val="007C1953"/>
    <w:rsid w:val="007C28BD"/>
    <w:rsid w:val="007C39B9"/>
    <w:rsid w:val="007C5AD2"/>
    <w:rsid w:val="007C7760"/>
    <w:rsid w:val="007D07F3"/>
    <w:rsid w:val="007D3126"/>
    <w:rsid w:val="007D5A6F"/>
    <w:rsid w:val="007D603D"/>
    <w:rsid w:val="007D6765"/>
    <w:rsid w:val="007D71E0"/>
    <w:rsid w:val="007E0565"/>
    <w:rsid w:val="007E35A1"/>
    <w:rsid w:val="007E6569"/>
    <w:rsid w:val="007E73DA"/>
    <w:rsid w:val="007E7C6B"/>
    <w:rsid w:val="007F0B17"/>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2663B"/>
    <w:rsid w:val="00834AE3"/>
    <w:rsid w:val="008379C6"/>
    <w:rsid w:val="00837A24"/>
    <w:rsid w:val="00840A86"/>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170D"/>
    <w:rsid w:val="008F3CE6"/>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6F42"/>
    <w:rsid w:val="00950F9E"/>
    <w:rsid w:val="00952EDD"/>
    <w:rsid w:val="00954586"/>
    <w:rsid w:val="009563A2"/>
    <w:rsid w:val="00957735"/>
    <w:rsid w:val="00961664"/>
    <w:rsid w:val="00961BAF"/>
    <w:rsid w:val="009639E2"/>
    <w:rsid w:val="00967BAD"/>
    <w:rsid w:val="00974C06"/>
    <w:rsid w:val="00974F86"/>
    <w:rsid w:val="00977327"/>
    <w:rsid w:val="0097768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618"/>
    <w:rsid w:val="00A10BD5"/>
    <w:rsid w:val="00A127DD"/>
    <w:rsid w:val="00A12CF5"/>
    <w:rsid w:val="00A14FFB"/>
    <w:rsid w:val="00A15D57"/>
    <w:rsid w:val="00A160F9"/>
    <w:rsid w:val="00A167D4"/>
    <w:rsid w:val="00A21C06"/>
    <w:rsid w:val="00A24693"/>
    <w:rsid w:val="00A25ADE"/>
    <w:rsid w:val="00A26053"/>
    <w:rsid w:val="00A30EAD"/>
    <w:rsid w:val="00A30EE7"/>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3E7F"/>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398"/>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E6A2C"/>
    <w:rsid w:val="00AF0364"/>
    <w:rsid w:val="00AF084A"/>
    <w:rsid w:val="00AF0976"/>
    <w:rsid w:val="00AF1C40"/>
    <w:rsid w:val="00AF1E3D"/>
    <w:rsid w:val="00AF2080"/>
    <w:rsid w:val="00AF3F77"/>
    <w:rsid w:val="00AF6A40"/>
    <w:rsid w:val="00B010C5"/>
    <w:rsid w:val="00B011CE"/>
    <w:rsid w:val="00B017CE"/>
    <w:rsid w:val="00B04CE4"/>
    <w:rsid w:val="00B0763A"/>
    <w:rsid w:val="00B1002E"/>
    <w:rsid w:val="00B13B7F"/>
    <w:rsid w:val="00B17B9F"/>
    <w:rsid w:val="00B17E64"/>
    <w:rsid w:val="00B205A9"/>
    <w:rsid w:val="00B21021"/>
    <w:rsid w:val="00B24B31"/>
    <w:rsid w:val="00B27FE2"/>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BC1"/>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9524E"/>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8F4"/>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2E13"/>
    <w:rsid w:val="00C85591"/>
    <w:rsid w:val="00C91E64"/>
    <w:rsid w:val="00C9291F"/>
    <w:rsid w:val="00C949E3"/>
    <w:rsid w:val="00C96B26"/>
    <w:rsid w:val="00CA4429"/>
    <w:rsid w:val="00CA46BD"/>
    <w:rsid w:val="00CA68CA"/>
    <w:rsid w:val="00CB1E73"/>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0BB7"/>
    <w:rsid w:val="00D02C82"/>
    <w:rsid w:val="00D040F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1FFD"/>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21A9"/>
    <w:rsid w:val="00DD362A"/>
    <w:rsid w:val="00DD39AC"/>
    <w:rsid w:val="00DD3BE2"/>
    <w:rsid w:val="00DD3C21"/>
    <w:rsid w:val="00DD4027"/>
    <w:rsid w:val="00DD5D23"/>
    <w:rsid w:val="00DD618C"/>
    <w:rsid w:val="00DD6572"/>
    <w:rsid w:val="00DE14F3"/>
    <w:rsid w:val="00DE2892"/>
    <w:rsid w:val="00DE7796"/>
    <w:rsid w:val="00DF15F5"/>
    <w:rsid w:val="00DF52EB"/>
    <w:rsid w:val="00DF5F81"/>
    <w:rsid w:val="00DF7959"/>
    <w:rsid w:val="00DF7AD5"/>
    <w:rsid w:val="00E0048F"/>
    <w:rsid w:val="00E10641"/>
    <w:rsid w:val="00E13530"/>
    <w:rsid w:val="00E1657A"/>
    <w:rsid w:val="00E17013"/>
    <w:rsid w:val="00E216BB"/>
    <w:rsid w:val="00E2365E"/>
    <w:rsid w:val="00E23ECF"/>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64CC4"/>
    <w:rsid w:val="00E64CD0"/>
    <w:rsid w:val="00E74001"/>
    <w:rsid w:val="00E74FA6"/>
    <w:rsid w:val="00E75F8A"/>
    <w:rsid w:val="00E84DB9"/>
    <w:rsid w:val="00E8527E"/>
    <w:rsid w:val="00E85354"/>
    <w:rsid w:val="00E86297"/>
    <w:rsid w:val="00E863F0"/>
    <w:rsid w:val="00E86C96"/>
    <w:rsid w:val="00E9100B"/>
    <w:rsid w:val="00E92FA5"/>
    <w:rsid w:val="00E93FB0"/>
    <w:rsid w:val="00E951D8"/>
    <w:rsid w:val="00E955DB"/>
    <w:rsid w:val="00E96DC2"/>
    <w:rsid w:val="00EA10DF"/>
    <w:rsid w:val="00EA141C"/>
    <w:rsid w:val="00EA23AD"/>
    <w:rsid w:val="00EA4F2B"/>
    <w:rsid w:val="00EA7B9E"/>
    <w:rsid w:val="00EB7469"/>
    <w:rsid w:val="00EB770E"/>
    <w:rsid w:val="00EC164A"/>
    <w:rsid w:val="00EC1961"/>
    <w:rsid w:val="00EC1B40"/>
    <w:rsid w:val="00EC5081"/>
    <w:rsid w:val="00ED0F2A"/>
    <w:rsid w:val="00ED2A13"/>
    <w:rsid w:val="00ED3AC6"/>
    <w:rsid w:val="00ED5C5D"/>
    <w:rsid w:val="00ED7160"/>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3620"/>
    <w:rsid w:val="00F16C0E"/>
    <w:rsid w:val="00F17E5F"/>
    <w:rsid w:val="00F217F8"/>
    <w:rsid w:val="00F2321F"/>
    <w:rsid w:val="00F234BA"/>
    <w:rsid w:val="00F24B94"/>
    <w:rsid w:val="00F24BA2"/>
    <w:rsid w:val="00F26015"/>
    <w:rsid w:val="00F2638F"/>
    <w:rsid w:val="00F27164"/>
    <w:rsid w:val="00F312B5"/>
    <w:rsid w:val="00F33675"/>
    <w:rsid w:val="00F36C2A"/>
    <w:rsid w:val="00F370C5"/>
    <w:rsid w:val="00F37CB0"/>
    <w:rsid w:val="00F4019E"/>
    <w:rsid w:val="00F4083E"/>
    <w:rsid w:val="00F43465"/>
    <w:rsid w:val="00F440A5"/>
    <w:rsid w:val="00F47F2C"/>
    <w:rsid w:val="00F51A3A"/>
    <w:rsid w:val="00F51C2E"/>
    <w:rsid w:val="00F5212E"/>
    <w:rsid w:val="00F5349B"/>
    <w:rsid w:val="00F56A38"/>
    <w:rsid w:val="00F56C10"/>
    <w:rsid w:val="00F61AA9"/>
    <w:rsid w:val="00F62F1B"/>
    <w:rsid w:val="00F656E1"/>
    <w:rsid w:val="00F67F4C"/>
    <w:rsid w:val="00F71F16"/>
    <w:rsid w:val="00F72132"/>
    <w:rsid w:val="00F723AF"/>
    <w:rsid w:val="00F73F51"/>
    <w:rsid w:val="00F754D1"/>
    <w:rsid w:val="00F82E45"/>
    <w:rsid w:val="00F83EE0"/>
    <w:rsid w:val="00F879DE"/>
    <w:rsid w:val="00F913BA"/>
    <w:rsid w:val="00F93E41"/>
    <w:rsid w:val="00F942F1"/>
    <w:rsid w:val="00F972B1"/>
    <w:rsid w:val="00F97E69"/>
    <w:rsid w:val="00FA0B96"/>
    <w:rsid w:val="00FA10B6"/>
    <w:rsid w:val="00FA3E3E"/>
    <w:rsid w:val="00FA55C3"/>
    <w:rsid w:val="00FA5B67"/>
    <w:rsid w:val="00FA798E"/>
    <w:rsid w:val="00FB4015"/>
    <w:rsid w:val="00FB62B6"/>
    <w:rsid w:val="00FB647B"/>
    <w:rsid w:val="00FB6AAD"/>
    <w:rsid w:val="00FC3C6D"/>
    <w:rsid w:val="00FC3DF3"/>
    <w:rsid w:val="00FC475D"/>
    <w:rsid w:val="00FC60F3"/>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qFormat/>
    <w:rsid w:val="002A2342"/>
  </w:style>
  <w:style w:type="paragraph" w:styleId="BalloonText">
    <w:name w:val="Balloon Text"/>
    <w:basedOn w:val="Normal"/>
    <w:link w:val="BalloonTextChar"/>
    <w:uiPriority w:val="99"/>
    <w:semiHidden/>
    <w:qFormat/>
    <w:rsid w:val="002A2342"/>
    <w:rPr>
      <w:rFonts w:ascii="Tahoma" w:hAnsi="Tahoma"/>
      <w:sz w:val="16"/>
      <w:szCs w:val="16"/>
    </w:rPr>
  </w:style>
  <w:style w:type="character" w:customStyle="1" w:styleId="BalloonTextChar">
    <w:name w:val="Balloon Text Char"/>
    <w:link w:val="BalloonText"/>
    <w:uiPriority w:val="99"/>
    <w:semiHidden/>
    <w:qFormat/>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 w:type="character" w:customStyle="1" w:styleId="CorpodetextoChar">
    <w:name w:val="Corpo de texto Char"/>
    <w:link w:val="Corpodotexto"/>
    <w:qFormat/>
    <w:rsid w:val="00EC164A"/>
  </w:style>
  <w:style w:type="paragraph" w:customStyle="1" w:styleId="Corpodotexto">
    <w:name w:val="Corpo do texto"/>
    <w:basedOn w:val="Normal"/>
    <w:link w:val="CorpodetextoChar"/>
    <w:rsid w:val="00EC164A"/>
    <w:pPr>
      <w:suppressAutoHyphens/>
      <w:spacing w:after="120"/>
    </w:pPr>
    <w:rPr>
      <w:lang w:val="en-US" w:eastAsia="en-US"/>
    </w:rPr>
  </w:style>
  <w:style w:type="character" w:customStyle="1" w:styleId="PrprioChar">
    <w:name w:val="Próprio Char"/>
    <w:link w:val="Prprio"/>
    <w:qFormat/>
    <w:rsid w:val="00EC164A"/>
    <w:rPr>
      <w:spacing w:val="5"/>
      <w:szCs w:val="24"/>
      <w:lang w:bidi="en-US"/>
    </w:rPr>
  </w:style>
  <w:style w:type="paragraph" w:customStyle="1" w:styleId="Prprio">
    <w:name w:val="Próprio"/>
    <w:basedOn w:val="Heading1"/>
    <w:link w:val="PrprioChar"/>
    <w:qFormat/>
    <w:rsid w:val="00EC164A"/>
    <w:pPr>
      <w:suppressAutoHyphens/>
      <w:jc w:val="both"/>
    </w:pPr>
    <w:rPr>
      <w:b w:val="0"/>
      <w:spacing w:val="5"/>
      <w:sz w:val="20"/>
      <w:szCs w:val="24"/>
      <w:lang w:val="en-US" w:eastAsia="en-US" w:bidi="en-US"/>
    </w:rPr>
  </w:style>
  <w:style w:type="character" w:customStyle="1" w:styleId="LinkdaInternet">
    <w:name w:val="Link da Internet"/>
    <w:uiPriority w:val="99"/>
    <w:semiHidden/>
    <w:unhideWhenUsed/>
    <w:rsid w:val="00EC164A"/>
    <w:rPr>
      <w:color w:val="0000FF"/>
      <w:u w:val="single"/>
    </w:rPr>
  </w:style>
  <w:style w:type="character" w:customStyle="1" w:styleId="Marcas">
    <w:name w:val="Marcas"/>
    <w:qFormat/>
    <w:rsid w:val="00EC164A"/>
    <w:rPr>
      <w:rFonts w:ascii="OpenSymbol" w:eastAsia="OpenSymbol" w:hAnsi="OpenSymbol" w:cs="OpenSymbol"/>
    </w:rPr>
  </w:style>
  <w:style w:type="paragraph" w:styleId="List">
    <w:name w:val="List"/>
    <w:basedOn w:val="Corpodotexto"/>
    <w:rsid w:val="00EC164A"/>
    <w:rPr>
      <w:rFonts w:cs="Mangal"/>
      <w:color w:val="00000A"/>
      <w:lang w:val="pt-BR"/>
    </w:rPr>
  </w:style>
  <w:style w:type="paragraph" w:customStyle="1" w:styleId="ndice">
    <w:name w:val="Índice"/>
    <w:basedOn w:val="Normal"/>
    <w:qFormat/>
    <w:rsid w:val="00EC164A"/>
    <w:pPr>
      <w:suppressLineNumbers/>
      <w:suppressAutoHyphens/>
      <w:spacing w:line="276" w:lineRule="auto"/>
    </w:pPr>
    <w:rPr>
      <w:rFonts w:ascii="Calibri" w:eastAsia="Calibri" w:hAnsi="Calibri" w:cs="Mangal"/>
      <w:color w:val="00000A"/>
      <w:sz w:val="22"/>
      <w:szCs w:val="22"/>
      <w:lang w:val="pt-BR" w:eastAsia="en-US"/>
    </w:rPr>
  </w:style>
  <w:style w:type="character" w:customStyle="1" w:styleId="current-selection">
    <w:name w:val="current-selection"/>
    <w:basedOn w:val="DefaultParagraphFont"/>
    <w:rsid w:val="00EC164A"/>
  </w:style>
  <w:style w:type="character" w:customStyle="1" w:styleId="a0">
    <w:name w:val="_"/>
    <w:basedOn w:val="DefaultParagraphFont"/>
    <w:rsid w:val="00EC164A"/>
  </w:style>
  <w:style w:type="character" w:customStyle="1" w:styleId="fff">
    <w:name w:val="fff"/>
    <w:basedOn w:val="DefaultParagraphFont"/>
    <w:rsid w:val="00EC164A"/>
  </w:style>
  <w:style w:type="character" w:customStyle="1" w:styleId="ff2">
    <w:name w:val="ff2"/>
    <w:basedOn w:val="DefaultParagraphFont"/>
    <w:rsid w:val="00EC164A"/>
  </w:style>
  <w:style w:type="character" w:customStyle="1" w:styleId="enhanced-author">
    <w:name w:val="enhanced-author"/>
    <w:basedOn w:val="DefaultParagraphFont"/>
    <w:rsid w:val="00EC164A"/>
  </w:style>
  <w:style w:type="paragraph" w:customStyle="1" w:styleId="Padro">
    <w:name w:val="Padrão"/>
    <w:rsid w:val="00EC164A"/>
    <w:pPr>
      <w:tabs>
        <w:tab w:val="left" w:pos="708"/>
      </w:tabs>
      <w:suppressAutoHyphens/>
      <w:spacing w:after="200" w:line="276" w:lineRule="auto"/>
    </w:pPr>
    <w:rPr>
      <w:sz w:val="24"/>
      <w:lang w:val="es-ES" w:eastAsia="es-ES"/>
    </w:rPr>
  </w:style>
  <w:style w:type="paragraph" w:styleId="ListBullet">
    <w:name w:val="List Bullet"/>
    <w:basedOn w:val="Normal"/>
    <w:uiPriority w:val="99"/>
    <w:unhideWhenUsed/>
    <w:rsid w:val="003B033F"/>
    <w:pPr>
      <w:tabs>
        <w:tab w:val="num" w:pos="360"/>
      </w:tabs>
      <w:spacing w:after="160" w:line="259" w:lineRule="auto"/>
      <w:ind w:left="360" w:hanging="360"/>
      <w:contextualSpacing/>
    </w:pPr>
    <w:rPr>
      <w:rFonts w:ascii="Calibri" w:eastAsia="Calibri" w:hAnsi="Calibri"/>
      <w:sz w:val="22"/>
      <w:szCs w:val="22"/>
      <w:lang w:eastAsia="en-US"/>
    </w:rPr>
  </w:style>
  <w:style w:type="character" w:customStyle="1" w:styleId="btn-xs">
    <w:name w:val="btn-xs"/>
    <w:basedOn w:val="DefaultParagraphFont"/>
    <w:rsid w:val="003B03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papress.com/volumes/Vol15Issue3/IJRRAS_15_3_24.pdf"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36/bmj.f97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agroforestry.org/sites/treedbs/treedatabases.asp.%20Retrieved%20July%20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researchgate.net/publication/237127081" TargetMode="External"/><Relationship Id="rId4" Type="http://schemas.openxmlformats.org/officeDocument/2006/relationships/settings" Target="settings.xml"/><Relationship Id="rId9" Type="http://schemas.openxmlformats.org/officeDocument/2006/relationships/hyperlink" Target="http://.ojhas.org/issue18/2006%202-4.htm"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uhukpabi@yahoo.com" TargetMode="External"/><Relationship Id="rId1" Type="http://schemas.openxmlformats.org/officeDocument/2006/relationships/hyperlink" Target="mailto:uhukpabi@yahoo.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278D5-7CC5-49B8-A759-89840137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5015</Words>
  <Characters>28589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33537</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5</cp:revision>
  <cp:lastPrinted>2017-11-24T10:58:00Z</cp:lastPrinted>
  <dcterms:created xsi:type="dcterms:W3CDTF">2018-10-04T11:07:00Z</dcterms:created>
  <dcterms:modified xsi:type="dcterms:W3CDTF">2018-10-04T11:45:00Z</dcterms:modified>
</cp:coreProperties>
</file>