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BA18C2" w:rsidRDefault="00BF3CA8" w:rsidP="00BA18C2">
      <w:pPr>
        <w:widowControl w:val="0"/>
        <w:jc w:val="center"/>
        <w:rPr>
          <w:sz w:val="22"/>
          <w:szCs w:val="22"/>
        </w:rPr>
      </w:pPr>
    </w:p>
    <w:p w:rsidR="00BF3CA8" w:rsidRPr="00BA18C2" w:rsidRDefault="00BF3CA8" w:rsidP="00BA18C2">
      <w:pPr>
        <w:widowControl w:val="0"/>
        <w:jc w:val="center"/>
        <w:rPr>
          <w:sz w:val="22"/>
          <w:szCs w:val="22"/>
        </w:rPr>
      </w:pPr>
    </w:p>
    <w:p w:rsidR="00BF3CA8" w:rsidRPr="00BA18C2" w:rsidRDefault="00BF3CA8" w:rsidP="00BA18C2">
      <w:pPr>
        <w:widowControl w:val="0"/>
        <w:jc w:val="center"/>
        <w:rPr>
          <w:sz w:val="22"/>
          <w:szCs w:val="22"/>
        </w:rPr>
      </w:pPr>
    </w:p>
    <w:p w:rsidR="00BA18C2" w:rsidRDefault="00BA18C2" w:rsidP="00BA18C2">
      <w:pPr>
        <w:spacing w:after="120"/>
        <w:contextualSpacing/>
        <w:jc w:val="center"/>
        <w:rPr>
          <w:sz w:val="22"/>
          <w:szCs w:val="22"/>
        </w:rPr>
      </w:pPr>
      <w:r w:rsidRPr="00BA18C2">
        <w:rPr>
          <w:sz w:val="22"/>
          <w:szCs w:val="22"/>
        </w:rPr>
        <w:t xml:space="preserve">DEHYDROGENAZE POLYMORPHISM AS A TOOL FOR </w:t>
      </w:r>
    </w:p>
    <w:p w:rsidR="00BA18C2" w:rsidRDefault="00BA18C2" w:rsidP="00BA18C2">
      <w:pPr>
        <w:spacing w:after="120"/>
        <w:contextualSpacing/>
        <w:jc w:val="center"/>
        <w:rPr>
          <w:sz w:val="22"/>
          <w:szCs w:val="22"/>
        </w:rPr>
      </w:pPr>
      <w:r w:rsidRPr="00BA18C2">
        <w:rPr>
          <w:sz w:val="22"/>
          <w:szCs w:val="22"/>
        </w:rPr>
        <w:t xml:space="preserve">EARLY SELECTION OF LOW VIGOUR ROOTSTOCK FOR </w:t>
      </w:r>
    </w:p>
    <w:p w:rsidR="00BA18C2" w:rsidRPr="00BA18C2" w:rsidRDefault="00BA18C2" w:rsidP="00BA18C2">
      <w:pPr>
        <w:spacing w:after="120"/>
        <w:contextualSpacing/>
        <w:jc w:val="center"/>
        <w:rPr>
          <w:sz w:val="22"/>
          <w:szCs w:val="22"/>
        </w:rPr>
      </w:pPr>
      <w:r w:rsidRPr="00BA18C2">
        <w:rPr>
          <w:sz w:val="22"/>
          <w:szCs w:val="22"/>
        </w:rPr>
        <w:t>SWEET AND SOUR CHERRY</w:t>
      </w:r>
    </w:p>
    <w:p w:rsidR="00BA18C2" w:rsidRPr="00BA18C2" w:rsidRDefault="00BA18C2" w:rsidP="00BA18C2">
      <w:pPr>
        <w:spacing w:after="120"/>
        <w:contextualSpacing/>
        <w:jc w:val="center"/>
        <w:rPr>
          <w:sz w:val="22"/>
          <w:szCs w:val="22"/>
        </w:rPr>
      </w:pPr>
    </w:p>
    <w:p w:rsidR="00BA18C2" w:rsidRDefault="00BA18C2" w:rsidP="00BA18C2">
      <w:pPr>
        <w:spacing w:after="120"/>
        <w:contextualSpacing/>
        <w:jc w:val="center"/>
        <w:rPr>
          <w:b/>
          <w:sz w:val="22"/>
          <w:szCs w:val="22"/>
        </w:rPr>
      </w:pPr>
      <w:r w:rsidRPr="00BA18C2">
        <w:rPr>
          <w:b/>
          <w:sz w:val="22"/>
          <w:szCs w:val="22"/>
        </w:rPr>
        <w:t>Slavica D. Čolić</w:t>
      </w:r>
      <w:r w:rsidRPr="00BA18C2">
        <w:rPr>
          <w:b/>
          <w:sz w:val="22"/>
          <w:szCs w:val="22"/>
          <w:vertAlign w:val="superscript"/>
        </w:rPr>
        <w:t>1</w:t>
      </w:r>
      <w:r w:rsidRPr="00BA18C2">
        <w:rPr>
          <w:rStyle w:val="FootnoteReference"/>
          <w:b/>
          <w:bCs/>
          <w:sz w:val="22"/>
          <w:szCs w:val="22"/>
          <w:vertAlign w:val="baseline"/>
        </w:rPr>
        <w:footnoteReference w:id="2"/>
      </w:r>
      <w:r w:rsidRPr="00BA18C2">
        <w:rPr>
          <w:b/>
          <w:sz w:val="22"/>
          <w:szCs w:val="22"/>
          <w:lang w:val="en-US"/>
        </w:rPr>
        <w:t>,</w:t>
      </w:r>
      <w:r w:rsidRPr="00BA18C2">
        <w:rPr>
          <w:b/>
          <w:sz w:val="22"/>
          <w:szCs w:val="22"/>
        </w:rPr>
        <w:t xml:space="preserve"> Vera S. Rakonjac</w:t>
      </w:r>
      <w:r w:rsidRPr="00BA18C2">
        <w:rPr>
          <w:b/>
          <w:sz w:val="22"/>
          <w:szCs w:val="22"/>
          <w:vertAlign w:val="superscript"/>
        </w:rPr>
        <w:t>2</w:t>
      </w:r>
      <w:r w:rsidRPr="00BA18C2">
        <w:rPr>
          <w:b/>
          <w:sz w:val="22"/>
          <w:szCs w:val="22"/>
        </w:rPr>
        <w:t xml:space="preserve">, </w:t>
      </w:r>
    </w:p>
    <w:p w:rsidR="00BA18C2" w:rsidRPr="00BA18C2" w:rsidRDefault="00BA18C2" w:rsidP="00BA18C2">
      <w:pPr>
        <w:spacing w:after="120"/>
        <w:contextualSpacing/>
        <w:jc w:val="center"/>
        <w:rPr>
          <w:b/>
          <w:sz w:val="22"/>
          <w:szCs w:val="22"/>
        </w:rPr>
      </w:pPr>
      <w:r w:rsidRPr="00BA18C2">
        <w:rPr>
          <w:b/>
          <w:sz w:val="22"/>
          <w:szCs w:val="22"/>
        </w:rPr>
        <w:t>Dragan T. Nikolić</w:t>
      </w:r>
      <w:r w:rsidRPr="00BA18C2">
        <w:rPr>
          <w:b/>
          <w:sz w:val="22"/>
          <w:szCs w:val="22"/>
          <w:vertAlign w:val="superscript"/>
        </w:rPr>
        <w:t>2</w:t>
      </w:r>
      <w:r w:rsidRPr="00BA18C2">
        <w:rPr>
          <w:b/>
          <w:sz w:val="22"/>
          <w:szCs w:val="22"/>
        </w:rPr>
        <w:t xml:space="preserve"> and Milica M. Fotirić Akšić</w:t>
      </w:r>
      <w:r w:rsidRPr="00BA18C2">
        <w:rPr>
          <w:b/>
          <w:sz w:val="22"/>
          <w:szCs w:val="22"/>
          <w:vertAlign w:val="superscript"/>
        </w:rPr>
        <w:t>2</w:t>
      </w:r>
    </w:p>
    <w:p w:rsidR="00BA18C2" w:rsidRPr="00BA18C2" w:rsidRDefault="00BA18C2" w:rsidP="00BA18C2">
      <w:pPr>
        <w:spacing w:after="120"/>
        <w:contextualSpacing/>
        <w:jc w:val="center"/>
        <w:rPr>
          <w:i/>
          <w:sz w:val="22"/>
          <w:szCs w:val="22"/>
        </w:rPr>
      </w:pPr>
    </w:p>
    <w:p w:rsidR="00BA18C2" w:rsidRPr="00BA18C2" w:rsidRDefault="00BA18C2" w:rsidP="00BA18C2">
      <w:pPr>
        <w:spacing w:after="120"/>
        <w:contextualSpacing/>
        <w:jc w:val="center"/>
        <w:rPr>
          <w:sz w:val="22"/>
          <w:szCs w:val="22"/>
        </w:rPr>
      </w:pPr>
      <w:r w:rsidRPr="00BA18C2">
        <w:rPr>
          <w:sz w:val="22"/>
          <w:szCs w:val="22"/>
          <w:vertAlign w:val="superscript"/>
        </w:rPr>
        <w:t>1</w:t>
      </w:r>
      <w:r w:rsidRPr="00BA18C2">
        <w:rPr>
          <w:sz w:val="22"/>
          <w:szCs w:val="22"/>
        </w:rPr>
        <w:t>Institute for Science Application in Agriculture,</w:t>
      </w:r>
    </w:p>
    <w:p w:rsidR="00BA18C2" w:rsidRPr="00BA18C2" w:rsidRDefault="00BA18C2" w:rsidP="00BA18C2">
      <w:pPr>
        <w:spacing w:after="120"/>
        <w:contextualSpacing/>
        <w:jc w:val="center"/>
        <w:rPr>
          <w:sz w:val="22"/>
          <w:szCs w:val="22"/>
        </w:rPr>
      </w:pPr>
      <w:r w:rsidRPr="00BA18C2">
        <w:rPr>
          <w:sz w:val="22"/>
          <w:szCs w:val="22"/>
        </w:rPr>
        <w:t>Blvd despota Stefana 68b, 11000 Belgrade, Serbia</w:t>
      </w:r>
    </w:p>
    <w:p w:rsidR="00BA18C2" w:rsidRPr="00BA18C2" w:rsidRDefault="00BA18C2" w:rsidP="00BA18C2">
      <w:pPr>
        <w:spacing w:after="120"/>
        <w:contextualSpacing/>
        <w:jc w:val="center"/>
        <w:rPr>
          <w:sz w:val="22"/>
          <w:szCs w:val="22"/>
        </w:rPr>
      </w:pPr>
      <w:r w:rsidRPr="00BA18C2">
        <w:rPr>
          <w:sz w:val="22"/>
          <w:szCs w:val="22"/>
          <w:vertAlign w:val="superscript"/>
        </w:rPr>
        <w:t>2</w:t>
      </w:r>
      <w:r w:rsidRPr="00BA18C2">
        <w:rPr>
          <w:sz w:val="22"/>
          <w:szCs w:val="22"/>
        </w:rPr>
        <w:t>University of Belgrade, Faculty of Agriculture,</w:t>
      </w:r>
    </w:p>
    <w:p w:rsidR="00BA18C2" w:rsidRPr="00BA18C2" w:rsidRDefault="00BA18C2" w:rsidP="00BA18C2">
      <w:pPr>
        <w:spacing w:after="120"/>
        <w:contextualSpacing/>
        <w:jc w:val="center"/>
        <w:rPr>
          <w:sz w:val="22"/>
          <w:szCs w:val="22"/>
        </w:rPr>
      </w:pPr>
      <w:r w:rsidRPr="00BA18C2">
        <w:rPr>
          <w:sz w:val="22"/>
          <w:szCs w:val="22"/>
        </w:rPr>
        <w:t>Nemanjina 6, 11080 Belgrade-Zemun, Serbia</w:t>
      </w:r>
    </w:p>
    <w:p w:rsidR="00BA18C2" w:rsidRPr="00BA18C2" w:rsidRDefault="00BA18C2" w:rsidP="00BA18C2">
      <w:pPr>
        <w:jc w:val="center"/>
        <w:rPr>
          <w:sz w:val="22"/>
          <w:szCs w:val="22"/>
        </w:rPr>
      </w:pPr>
    </w:p>
    <w:p w:rsidR="00BA18C2" w:rsidRPr="00BA18C2" w:rsidRDefault="007D5A6F" w:rsidP="00BA18C2">
      <w:pPr>
        <w:ind w:firstLine="425"/>
        <w:contextualSpacing/>
        <w:jc w:val="both"/>
        <w:rPr>
          <w:b/>
          <w:sz w:val="22"/>
          <w:szCs w:val="22"/>
        </w:rPr>
      </w:pPr>
      <w:r w:rsidRPr="00BA18C2">
        <w:rPr>
          <w:b/>
          <w:sz w:val="22"/>
          <w:szCs w:val="22"/>
        </w:rPr>
        <w:t xml:space="preserve">Abstract: </w:t>
      </w:r>
      <w:r w:rsidR="00BA18C2" w:rsidRPr="00BA18C2">
        <w:rPr>
          <w:sz w:val="22"/>
          <w:szCs w:val="22"/>
          <w:lang w:val="sr-Latn-CS"/>
        </w:rPr>
        <w:t>The c</w:t>
      </w:r>
      <w:r w:rsidR="00BA18C2" w:rsidRPr="00BA18C2">
        <w:rPr>
          <w:rStyle w:val="hps"/>
          <w:sz w:val="22"/>
          <w:szCs w:val="22"/>
        </w:rPr>
        <w:t xml:space="preserve">orrelation of dehydrogenase isoenzyme profile with plant/tree vigour of twenty genotypes belonging to the genus </w:t>
      </w:r>
      <w:r w:rsidR="00BA18C2" w:rsidRPr="00BA18C2">
        <w:rPr>
          <w:rStyle w:val="hps"/>
          <w:i/>
          <w:sz w:val="22"/>
          <w:szCs w:val="22"/>
        </w:rPr>
        <w:t>Prunus</w:t>
      </w:r>
      <w:r w:rsidR="00BA18C2" w:rsidRPr="00BA18C2">
        <w:rPr>
          <w:rStyle w:val="hps"/>
          <w:sz w:val="22"/>
          <w:szCs w:val="22"/>
        </w:rPr>
        <w:t xml:space="preserve"> and the subgenus </w:t>
      </w:r>
      <w:r w:rsidR="00BA18C2" w:rsidRPr="00BA18C2">
        <w:rPr>
          <w:rStyle w:val="hps"/>
          <w:i/>
          <w:sz w:val="22"/>
          <w:szCs w:val="22"/>
        </w:rPr>
        <w:t>Cerasus</w:t>
      </w:r>
      <w:r w:rsidR="00BA18C2" w:rsidRPr="00BA18C2">
        <w:rPr>
          <w:rStyle w:val="hps"/>
          <w:sz w:val="22"/>
          <w:szCs w:val="22"/>
        </w:rPr>
        <w:t xml:space="preserve"> as well as to four commercial rootstocks (Colt, Gisela 5, Gisela 6 and MaxMa 14) was investigated in this study. Principal component analysis was applied for</w:t>
      </w:r>
      <w:r w:rsidR="00BA18C2" w:rsidRPr="00BA18C2">
        <w:rPr>
          <w:rFonts w:eastAsia="GulliverRM"/>
          <w:sz w:val="22"/>
          <w:szCs w:val="22"/>
        </w:rPr>
        <w:t xml:space="preserve"> the classification of the cherry rootstocks based on vigour traits and polymorphism of isoenzymes in order to determine </w:t>
      </w:r>
      <w:r w:rsidR="00BA18C2" w:rsidRPr="00BA18C2">
        <w:rPr>
          <w:sz w:val="22"/>
          <w:szCs w:val="22"/>
        </w:rPr>
        <w:t>the most useful</w:t>
      </w:r>
      <w:r w:rsidR="00BA18C2" w:rsidRPr="00BA18C2">
        <w:rPr>
          <w:rFonts w:eastAsia="GulliverRM"/>
          <w:sz w:val="22"/>
          <w:szCs w:val="22"/>
        </w:rPr>
        <w:t xml:space="preserve"> </w:t>
      </w:r>
      <w:r w:rsidR="00BA18C2" w:rsidRPr="00BA18C2">
        <w:rPr>
          <w:sz w:val="22"/>
          <w:szCs w:val="22"/>
        </w:rPr>
        <w:t xml:space="preserve">dehydrogenase enzyme </w:t>
      </w:r>
      <w:r w:rsidR="00BA18C2" w:rsidRPr="00BA18C2">
        <w:rPr>
          <w:rStyle w:val="hps"/>
          <w:sz w:val="22"/>
          <w:szCs w:val="22"/>
        </w:rPr>
        <w:t xml:space="preserve">in the preselecting process of cherry rootstocks. The most influential variables which led to the separation of low vigorous genotypes from other genotypes were </w:t>
      </w:r>
      <w:r w:rsidR="00BA18C2" w:rsidRPr="00BA18C2">
        <w:rPr>
          <w:sz w:val="22"/>
          <w:szCs w:val="22"/>
        </w:rPr>
        <w:t>isocitrate dehydrogenase</w:t>
      </w:r>
      <w:r w:rsidR="00BA18C2" w:rsidRPr="00BA18C2">
        <w:rPr>
          <w:rStyle w:val="hps"/>
          <w:sz w:val="22"/>
          <w:szCs w:val="22"/>
        </w:rPr>
        <w:t xml:space="preserve">, malate dehydrogenase and </w:t>
      </w:r>
      <w:r w:rsidR="00BA18C2" w:rsidRPr="00BA18C2">
        <w:rPr>
          <w:sz w:val="22"/>
          <w:szCs w:val="22"/>
        </w:rPr>
        <w:t>phosphogluconate dehydrogenase</w:t>
      </w:r>
      <w:r w:rsidR="00BA18C2" w:rsidRPr="00BA18C2">
        <w:rPr>
          <w:rStyle w:val="hps"/>
          <w:sz w:val="22"/>
          <w:szCs w:val="22"/>
        </w:rPr>
        <w:t xml:space="preserve">. Since both significant and negative correlations were observed between tree vigour and malate dehydrogenase, as well as between tree vigour and </w:t>
      </w:r>
      <w:r w:rsidR="00BA18C2" w:rsidRPr="00BA18C2">
        <w:rPr>
          <w:sz w:val="22"/>
          <w:szCs w:val="22"/>
        </w:rPr>
        <w:t>phosphogluconate dehydrogenase</w:t>
      </w:r>
      <w:r w:rsidR="00BA18C2" w:rsidRPr="00BA18C2">
        <w:rPr>
          <w:rStyle w:val="hps"/>
          <w:sz w:val="22"/>
          <w:szCs w:val="22"/>
        </w:rPr>
        <w:t xml:space="preserve">, those systems can be used for early selection of low vigour rootstocks. Our results suggest that the association between low vigour and malate dehydrogenase genotype </w:t>
      </w:r>
      <w:r w:rsidR="00BA18C2" w:rsidRPr="00BA18C2">
        <w:rPr>
          <w:rStyle w:val="hps"/>
          <w:i/>
          <w:sz w:val="22"/>
          <w:szCs w:val="22"/>
        </w:rPr>
        <w:t>ab</w:t>
      </w:r>
      <w:r w:rsidR="00BA18C2" w:rsidRPr="00BA18C2">
        <w:rPr>
          <w:rStyle w:val="hps"/>
          <w:sz w:val="22"/>
          <w:szCs w:val="22"/>
        </w:rPr>
        <w:t xml:space="preserve"> provides a convenient marker that can be characterised even at the seedling stage, and could be applied in early rootstock selection and breeding programmes.</w:t>
      </w:r>
    </w:p>
    <w:p w:rsidR="00BA18C2" w:rsidRPr="00BA18C2" w:rsidRDefault="00BA18C2" w:rsidP="00BA18C2">
      <w:pPr>
        <w:ind w:firstLine="425"/>
        <w:contextualSpacing/>
        <w:jc w:val="both"/>
        <w:rPr>
          <w:b/>
          <w:sz w:val="22"/>
          <w:szCs w:val="22"/>
        </w:rPr>
      </w:pPr>
      <w:r w:rsidRPr="00BA18C2">
        <w:rPr>
          <w:b/>
          <w:sz w:val="22"/>
          <w:szCs w:val="22"/>
        </w:rPr>
        <w:t>Key words:</w:t>
      </w:r>
      <w:r w:rsidRPr="00BA18C2">
        <w:rPr>
          <w:sz w:val="22"/>
          <w:szCs w:val="22"/>
        </w:rPr>
        <w:t xml:space="preserve"> prediction, vigour, rootstock, isoenzyme, correlation, principal component analysis.</w:t>
      </w:r>
    </w:p>
    <w:p w:rsidR="00D64201" w:rsidRPr="00BA18C2" w:rsidRDefault="00D64201" w:rsidP="00BA18C2">
      <w:pPr>
        <w:ind w:firstLine="425"/>
        <w:jc w:val="both"/>
        <w:rPr>
          <w:sz w:val="22"/>
          <w:szCs w:val="22"/>
        </w:rPr>
      </w:pPr>
    </w:p>
    <w:p w:rsidR="00D64201" w:rsidRPr="00C34CE7" w:rsidRDefault="00D64201" w:rsidP="00D64201">
      <w:pPr>
        <w:jc w:val="center"/>
        <w:rPr>
          <w:b/>
          <w:spacing w:val="2"/>
          <w:sz w:val="22"/>
          <w:szCs w:val="22"/>
        </w:rPr>
      </w:pPr>
      <w:r w:rsidRPr="00C34CE7">
        <w:rPr>
          <w:b/>
          <w:spacing w:val="2"/>
          <w:sz w:val="22"/>
          <w:szCs w:val="22"/>
        </w:rPr>
        <w:t>Introduction</w:t>
      </w:r>
    </w:p>
    <w:p w:rsidR="00D64201" w:rsidRPr="002454B5" w:rsidRDefault="00D64201" w:rsidP="00D64201">
      <w:pPr>
        <w:contextualSpacing/>
        <w:jc w:val="center"/>
        <w:rPr>
          <w:spacing w:val="2"/>
        </w:rPr>
      </w:pPr>
    </w:p>
    <w:p w:rsidR="00BA18C2" w:rsidRPr="00BA18C2" w:rsidRDefault="00BA18C2" w:rsidP="00BA18C2">
      <w:pPr>
        <w:widowControl w:val="0"/>
        <w:autoSpaceDE w:val="0"/>
        <w:autoSpaceDN w:val="0"/>
        <w:adjustRightInd w:val="0"/>
        <w:ind w:firstLine="425"/>
        <w:contextualSpacing/>
        <w:jc w:val="both"/>
        <w:rPr>
          <w:rStyle w:val="hps"/>
          <w:sz w:val="22"/>
          <w:szCs w:val="22"/>
        </w:rPr>
      </w:pPr>
      <w:r w:rsidRPr="00BA18C2">
        <w:rPr>
          <w:rStyle w:val="a"/>
          <w:sz w:val="22"/>
          <w:szCs w:val="22"/>
        </w:rPr>
        <w:t>Traditionally, the vigourous seedling rootstocks, Mazzard (</w:t>
      </w:r>
      <w:r w:rsidRPr="00BA18C2">
        <w:rPr>
          <w:rStyle w:val="a"/>
          <w:i/>
          <w:sz w:val="22"/>
          <w:szCs w:val="22"/>
        </w:rPr>
        <w:t>Prunus avium</w:t>
      </w:r>
      <w:r w:rsidRPr="00BA18C2">
        <w:rPr>
          <w:rStyle w:val="a"/>
          <w:sz w:val="22"/>
          <w:szCs w:val="22"/>
        </w:rPr>
        <w:t xml:space="preserve"> L.) and Mahaleb (</w:t>
      </w:r>
      <w:r w:rsidRPr="00BA18C2">
        <w:rPr>
          <w:rStyle w:val="a"/>
          <w:i/>
          <w:sz w:val="22"/>
          <w:szCs w:val="22"/>
        </w:rPr>
        <w:t>Prunus mahaleb</w:t>
      </w:r>
      <w:r w:rsidRPr="00BA18C2">
        <w:rPr>
          <w:rStyle w:val="a"/>
          <w:sz w:val="22"/>
          <w:szCs w:val="22"/>
        </w:rPr>
        <w:t xml:space="preserve"> L.), are commonly used for cherry budding and grafting. According to Lang (2000), these rootstocks have good compatibility with most cherry cultivars and good adaptability to different soil conditions. Their main </w:t>
      </w:r>
      <w:r w:rsidRPr="00BA18C2">
        <w:rPr>
          <w:rStyle w:val="a"/>
          <w:sz w:val="22"/>
          <w:szCs w:val="22"/>
        </w:rPr>
        <w:lastRenderedPageBreak/>
        <w:t xml:space="preserve">disadvantages are high vigour, late entry into full bearing and unevenness of morphological and physiological characteristics of a grafted cultivar. </w:t>
      </w:r>
      <w:r w:rsidRPr="00BA18C2">
        <w:rPr>
          <w:rStyle w:val="hps"/>
          <w:sz w:val="22"/>
          <w:szCs w:val="22"/>
        </w:rPr>
        <w:t xml:space="preserve">According to Ercisli et al. (2006), growers in Turkey, which is the world leader in sweet cherry production, preferred to use Mazzard seedlings for sweet cherries because of its good soil adaptability, while </w:t>
      </w:r>
      <w:r w:rsidRPr="00BA18C2">
        <w:rPr>
          <w:rStyle w:val="hps"/>
          <w:i/>
          <w:sz w:val="22"/>
          <w:szCs w:val="22"/>
        </w:rPr>
        <w:t>P. mahaleb</w:t>
      </w:r>
      <w:r w:rsidRPr="00BA18C2">
        <w:rPr>
          <w:rStyle w:val="hps"/>
          <w:sz w:val="22"/>
          <w:szCs w:val="22"/>
        </w:rPr>
        <w:t xml:space="preserve"> seedlings were used only on calcareous droughty soils. On the other hand, </w:t>
      </w:r>
      <w:r w:rsidRPr="00BA18C2">
        <w:rPr>
          <w:rStyle w:val="hps"/>
          <w:i/>
          <w:sz w:val="22"/>
          <w:szCs w:val="22"/>
        </w:rPr>
        <w:t>P. mahaleb</w:t>
      </w:r>
      <w:r w:rsidRPr="00BA18C2">
        <w:rPr>
          <w:rStyle w:val="hps"/>
          <w:sz w:val="22"/>
          <w:szCs w:val="22"/>
        </w:rPr>
        <w:t xml:space="preserve"> still remains the main choice for sour cherry producers, because of its tolerance to drought, smaller tree size, good precocity and high productivity. Ercisli et al. (2006) have also stated that the use of low vigour rootstocks Gisela 5 and Gisela 6 is spreading very fast in Turkey. </w:t>
      </w:r>
    </w:p>
    <w:p w:rsidR="00BA18C2" w:rsidRPr="00BA18C2" w:rsidRDefault="00BA18C2" w:rsidP="00BA18C2">
      <w:pPr>
        <w:widowControl w:val="0"/>
        <w:autoSpaceDE w:val="0"/>
        <w:autoSpaceDN w:val="0"/>
        <w:adjustRightInd w:val="0"/>
        <w:ind w:firstLine="425"/>
        <w:contextualSpacing/>
        <w:jc w:val="both"/>
        <w:rPr>
          <w:rStyle w:val="a"/>
          <w:sz w:val="22"/>
          <w:szCs w:val="22"/>
        </w:rPr>
      </w:pPr>
      <w:r w:rsidRPr="00BA18C2">
        <w:rPr>
          <w:rStyle w:val="a"/>
          <w:sz w:val="22"/>
          <w:szCs w:val="22"/>
        </w:rPr>
        <w:t xml:space="preserve">Milošević et al. (2014) have reported that in Serbian sweet cherry orchards, the most widely used rootstocks are seedlings of </w:t>
      </w:r>
      <w:r w:rsidRPr="00BA18C2">
        <w:rPr>
          <w:rStyle w:val="a"/>
          <w:i/>
          <w:sz w:val="22"/>
          <w:szCs w:val="22"/>
        </w:rPr>
        <w:t>P. avium</w:t>
      </w:r>
      <w:r w:rsidRPr="00BA18C2">
        <w:rPr>
          <w:rStyle w:val="a"/>
          <w:sz w:val="22"/>
          <w:szCs w:val="22"/>
        </w:rPr>
        <w:t xml:space="preserve"> L. (Mazzard), sporadically Colt, then seedlings of </w:t>
      </w:r>
      <w:r w:rsidRPr="00BA18C2">
        <w:rPr>
          <w:rStyle w:val="a"/>
          <w:i/>
          <w:sz w:val="22"/>
          <w:szCs w:val="22"/>
        </w:rPr>
        <w:t>P. mahaleb</w:t>
      </w:r>
      <w:r w:rsidRPr="00BA18C2">
        <w:rPr>
          <w:rStyle w:val="a"/>
          <w:sz w:val="22"/>
          <w:szCs w:val="22"/>
        </w:rPr>
        <w:t xml:space="preserve"> L. (Mahaleb), Gisela 5 and MaxMa 14. Over the past 25 years, interest of Serbian sweet cherry growers in low and medium vigour rootstocks has increased due to the fact that smaller trees reduce production cost, especially training, pruning, harvesting as well as disease and pest protection.</w:t>
      </w:r>
    </w:p>
    <w:p w:rsidR="00BA18C2" w:rsidRPr="00BA18C2" w:rsidRDefault="00BA18C2" w:rsidP="00BA18C2">
      <w:pPr>
        <w:widowControl w:val="0"/>
        <w:autoSpaceDE w:val="0"/>
        <w:autoSpaceDN w:val="0"/>
        <w:adjustRightInd w:val="0"/>
        <w:ind w:firstLine="425"/>
        <w:contextualSpacing/>
        <w:jc w:val="both"/>
        <w:rPr>
          <w:rStyle w:val="hps"/>
          <w:sz w:val="22"/>
          <w:szCs w:val="22"/>
        </w:rPr>
      </w:pPr>
      <w:r w:rsidRPr="00BA18C2">
        <w:rPr>
          <w:rStyle w:val="a"/>
          <w:sz w:val="22"/>
          <w:szCs w:val="22"/>
        </w:rPr>
        <w:t>In order to overcome the problem of vigorous trees, intensive work has been done on development of rootstocks with reduced vigour. In the last couple of decades, Hrotk</w:t>
      </w:r>
      <w:r w:rsidRPr="00BA18C2">
        <w:rPr>
          <w:sz w:val="22"/>
          <w:szCs w:val="22"/>
        </w:rPr>
        <w:t>ó</w:t>
      </w:r>
      <w:r w:rsidRPr="00BA18C2">
        <w:rPr>
          <w:rStyle w:val="a"/>
          <w:sz w:val="22"/>
          <w:szCs w:val="22"/>
        </w:rPr>
        <w:t xml:space="preserve"> (2016) has analysed </w:t>
      </w:r>
      <w:r w:rsidRPr="00BA18C2">
        <w:rPr>
          <w:rStyle w:val="a"/>
          <w:i/>
          <w:sz w:val="22"/>
          <w:szCs w:val="22"/>
        </w:rPr>
        <w:t xml:space="preserve">P. fruticosa, </w:t>
      </w:r>
      <w:r w:rsidRPr="00BA18C2">
        <w:rPr>
          <w:rStyle w:val="a"/>
          <w:sz w:val="22"/>
          <w:szCs w:val="22"/>
        </w:rPr>
        <w:t xml:space="preserve">its hybrids collected from the natural flora of Hungary, and </w:t>
      </w:r>
      <w:r w:rsidRPr="00BA18C2">
        <w:rPr>
          <w:rStyle w:val="a"/>
          <w:i/>
          <w:sz w:val="22"/>
          <w:szCs w:val="22"/>
        </w:rPr>
        <w:t>P. fruticosa</w:t>
      </w:r>
      <w:r w:rsidRPr="00BA18C2">
        <w:rPr>
          <w:rStyle w:val="a"/>
          <w:sz w:val="22"/>
          <w:szCs w:val="22"/>
        </w:rPr>
        <w:t xml:space="preserve"> × </w:t>
      </w:r>
      <w:r w:rsidRPr="00BA18C2">
        <w:rPr>
          <w:rStyle w:val="a"/>
          <w:i/>
          <w:sz w:val="22"/>
          <w:szCs w:val="22"/>
        </w:rPr>
        <w:t>P. mahaleb</w:t>
      </w:r>
      <w:r w:rsidRPr="00BA18C2">
        <w:rPr>
          <w:rStyle w:val="a"/>
          <w:sz w:val="22"/>
          <w:szCs w:val="22"/>
        </w:rPr>
        <w:t xml:space="preserve"> hybrids in order to create dwarfing rootstocks. I</w:t>
      </w:r>
      <w:r w:rsidRPr="00BA18C2">
        <w:rPr>
          <w:rStyle w:val="hps"/>
          <w:sz w:val="22"/>
          <w:szCs w:val="22"/>
        </w:rPr>
        <w:t xml:space="preserve">n Serbia, </w:t>
      </w:r>
      <w:r w:rsidRPr="00BA18C2">
        <w:rPr>
          <w:rStyle w:val="a"/>
          <w:sz w:val="22"/>
          <w:szCs w:val="22"/>
        </w:rPr>
        <w:t>d</w:t>
      </w:r>
      <w:r w:rsidRPr="00BA18C2">
        <w:rPr>
          <w:rStyle w:val="hps"/>
          <w:sz w:val="22"/>
          <w:szCs w:val="22"/>
        </w:rPr>
        <w:t>ue to low vigour, ‘Oblačinska’ sour cherry (</w:t>
      </w:r>
      <w:r w:rsidRPr="00BA18C2">
        <w:rPr>
          <w:rStyle w:val="hps"/>
          <w:i/>
          <w:sz w:val="22"/>
          <w:szCs w:val="22"/>
        </w:rPr>
        <w:t>P. cerasus</w:t>
      </w:r>
      <w:r w:rsidRPr="00BA18C2">
        <w:rPr>
          <w:rStyle w:val="hps"/>
          <w:sz w:val="22"/>
          <w:szCs w:val="22"/>
        </w:rPr>
        <w:t xml:space="preserve">) has been traditionally used as a dwarfing rootstock for sweet and sour cherries. ‘Oblačinska’ is an autochthonous and heterogeneous cultivar, and is the most extensively planted sour cherry cultivar in Serbian commercial orchards. Trees have low vigour and are suitable for dense planting (Rakonjac et al., 2010). </w:t>
      </w:r>
    </w:p>
    <w:p w:rsidR="00BA18C2" w:rsidRPr="00BA18C2" w:rsidRDefault="00BA18C2" w:rsidP="00BA18C2">
      <w:pPr>
        <w:widowControl w:val="0"/>
        <w:autoSpaceDE w:val="0"/>
        <w:autoSpaceDN w:val="0"/>
        <w:adjustRightInd w:val="0"/>
        <w:ind w:firstLine="425"/>
        <w:contextualSpacing/>
        <w:jc w:val="both"/>
        <w:rPr>
          <w:rStyle w:val="hps"/>
          <w:sz w:val="22"/>
          <w:szCs w:val="22"/>
        </w:rPr>
      </w:pPr>
      <w:r w:rsidRPr="00BA18C2">
        <w:rPr>
          <w:rStyle w:val="hps"/>
          <w:sz w:val="22"/>
          <w:szCs w:val="22"/>
        </w:rPr>
        <w:t>The selection of dwarfing rootstocks for fruit crops has received great attention in the last decades. Reduced vegetative growth is a desirable trait that contributes to the higher productivity (even in the early years of orchard establishment), lower</w:t>
      </w:r>
      <w:r w:rsidRPr="00BA18C2" w:rsidDel="0056777C">
        <w:rPr>
          <w:rStyle w:val="hps"/>
          <w:sz w:val="22"/>
          <w:szCs w:val="22"/>
        </w:rPr>
        <w:t xml:space="preserve"> </w:t>
      </w:r>
      <w:r w:rsidRPr="00BA18C2">
        <w:rPr>
          <w:rStyle w:val="hps"/>
          <w:sz w:val="22"/>
          <w:szCs w:val="22"/>
        </w:rPr>
        <w:t>pesticide usage (Olmstead et al., 2004) and more cost-effective orchard maintenance (Seleznyova et al., 2008; Fassio et al., 2009). Dwarfing rootstocks also reduce labour costs by reducing canopy volume and lowering the fruiting zone to a height where a high percentage of fruit may be harvested (Lang, 2000; Whiting et al., 2005).</w:t>
      </w:r>
    </w:p>
    <w:p w:rsidR="00BA18C2" w:rsidRPr="00BA18C2" w:rsidRDefault="00BA18C2" w:rsidP="00BA18C2">
      <w:pPr>
        <w:widowControl w:val="0"/>
        <w:autoSpaceDE w:val="0"/>
        <w:autoSpaceDN w:val="0"/>
        <w:adjustRightInd w:val="0"/>
        <w:ind w:firstLine="425"/>
        <w:contextualSpacing/>
        <w:jc w:val="both"/>
        <w:rPr>
          <w:rStyle w:val="hps"/>
          <w:sz w:val="22"/>
          <w:szCs w:val="22"/>
        </w:rPr>
      </w:pPr>
      <w:r w:rsidRPr="00BA18C2">
        <w:rPr>
          <w:rStyle w:val="hps"/>
          <w:sz w:val="22"/>
          <w:szCs w:val="22"/>
        </w:rPr>
        <w:t xml:space="preserve">The prediction of the tree vigour potential is very important in rootstock breeding. Various prediction methods such as measurements of tree height, tree spread and trunk girth at the seedling stage (Miller, 1977), relationship between malate dehydrogenase (MDH) isozyme genotype and plant vigour (Werner and Moxley, 1991), anatomical characteristics of roots and stems (Zorić et al., 2011), hydraulic conductance of seedlings (Iwasaki et al., 2011) and root and rootstock stem hydraulic conductivities (Ljubojević et al., 2013) were applied in the previous studies. </w:t>
      </w:r>
    </w:p>
    <w:p w:rsidR="00BA18C2" w:rsidRPr="00BA18C2" w:rsidRDefault="00BA18C2" w:rsidP="00BA18C2">
      <w:pPr>
        <w:widowControl w:val="0"/>
        <w:autoSpaceDE w:val="0"/>
        <w:autoSpaceDN w:val="0"/>
        <w:adjustRightInd w:val="0"/>
        <w:ind w:firstLine="425"/>
        <w:contextualSpacing/>
        <w:jc w:val="both"/>
        <w:rPr>
          <w:rStyle w:val="a"/>
          <w:sz w:val="22"/>
          <w:szCs w:val="22"/>
        </w:rPr>
      </w:pPr>
      <w:r w:rsidRPr="00BA18C2">
        <w:rPr>
          <w:rStyle w:val="a"/>
          <w:sz w:val="22"/>
          <w:szCs w:val="22"/>
        </w:rPr>
        <w:lastRenderedPageBreak/>
        <w:t xml:space="preserve">Isoenzyme variability is an abundant source of genetic markers that can be used for early selection of genotypes with desirable economic traits. Since the relationship between isozyme variation and tree growth is well-known in peach, the correlation of isoenzyme profile with plant vigour of twenty </w:t>
      </w:r>
      <w:r w:rsidRPr="00BA18C2">
        <w:rPr>
          <w:rStyle w:val="a"/>
          <w:i/>
          <w:sz w:val="22"/>
          <w:szCs w:val="22"/>
        </w:rPr>
        <w:t>Prunus</w:t>
      </w:r>
      <w:r w:rsidRPr="00BA18C2">
        <w:rPr>
          <w:rStyle w:val="a"/>
          <w:sz w:val="22"/>
          <w:szCs w:val="22"/>
        </w:rPr>
        <w:t xml:space="preserve"> (subgenus </w:t>
      </w:r>
      <w:r w:rsidRPr="00BA18C2">
        <w:rPr>
          <w:rStyle w:val="a"/>
          <w:i/>
          <w:sz w:val="22"/>
          <w:szCs w:val="22"/>
        </w:rPr>
        <w:t>Cerasus</w:t>
      </w:r>
      <w:r w:rsidRPr="00BA18C2">
        <w:rPr>
          <w:rStyle w:val="a"/>
          <w:sz w:val="22"/>
          <w:szCs w:val="22"/>
        </w:rPr>
        <w:t>) genotypes</w:t>
      </w:r>
      <w:r w:rsidRPr="00BA18C2">
        <w:rPr>
          <w:rStyle w:val="a"/>
          <w:i/>
          <w:sz w:val="22"/>
          <w:szCs w:val="22"/>
        </w:rPr>
        <w:t xml:space="preserve"> </w:t>
      </w:r>
      <w:r w:rsidRPr="00BA18C2">
        <w:rPr>
          <w:rStyle w:val="a"/>
          <w:sz w:val="22"/>
          <w:szCs w:val="22"/>
        </w:rPr>
        <w:t>and four interspecies hybrids was investigated in this study. The main goal was to evaluate the potential application of isoenzymes in the preselecting process of low vigour rootstocks for cherries.</w:t>
      </w:r>
    </w:p>
    <w:p w:rsidR="00C34CE7" w:rsidRPr="00BA18C2" w:rsidRDefault="00C34CE7" w:rsidP="00BA18C2">
      <w:pPr>
        <w:widowControl w:val="0"/>
        <w:adjustRightInd w:val="0"/>
        <w:jc w:val="center"/>
        <w:rPr>
          <w:rFonts w:eastAsia="Calibri"/>
          <w:bCs/>
          <w:sz w:val="22"/>
          <w:szCs w:val="22"/>
        </w:rPr>
      </w:pPr>
    </w:p>
    <w:p w:rsidR="00D64201" w:rsidRPr="001A1BE7" w:rsidRDefault="00D64201" w:rsidP="00D64201">
      <w:pPr>
        <w:jc w:val="center"/>
        <w:rPr>
          <w:b/>
          <w:sz w:val="22"/>
          <w:szCs w:val="22"/>
        </w:rPr>
      </w:pPr>
      <w:r w:rsidRPr="001A1BE7">
        <w:rPr>
          <w:b/>
          <w:sz w:val="22"/>
          <w:szCs w:val="22"/>
        </w:rPr>
        <w:t>Materials and Methods</w:t>
      </w:r>
    </w:p>
    <w:p w:rsidR="00D64201" w:rsidRPr="00BA18C2" w:rsidRDefault="00D64201" w:rsidP="00874533">
      <w:pPr>
        <w:pStyle w:val="BodyTextIndent2"/>
        <w:widowControl w:val="0"/>
        <w:tabs>
          <w:tab w:val="left" w:pos="426"/>
        </w:tabs>
        <w:ind w:firstLine="0"/>
        <w:jc w:val="center"/>
        <w:rPr>
          <w:spacing w:val="4"/>
        </w:rPr>
      </w:pPr>
    </w:p>
    <w:p w:rsidR="00BA18C2" w:rsidRPr="00BA18C2" w:rsidRDefault="00BA18C2" w:rsidP="00BA18C2">
      <w:pPr>
        <w:widowControl w:val="0"/>
        <w:autoSpaceDE w:val="0"/>
        <w:autoSpaceDN w:val="0"/>
        <w:adjustRightInd w:val="0"/>
        <w:ind w:firstLine="425"/>
        <w:contextualSpacing/>
        <w:jc w:val="both"/>
        <w:rPr>
          <w:sz w:val="22"/>
          <w:szCs w:val="22"/>
        </w:rPr>
      </w:pPr>
      <w:r w:rsidRPr="00BA18C2">
        <w:rPr>
          <w:sz w:val="22"/>
          <w:szCs w:val="22"/>
        </w:rPr>
        <w:t xml:space="preserve">Plant material consisted of 20 cherry genotypes belonging to </w:t>
      </w:r>
      <w:r w:rsidRPr="00BA18C2">
        <w:rPr>
          <w:i/>
          <w:sz w:val="22"/>
          <w:szCs w:val="22"/>
        </w:rPr>
        <w:t>Prunus cerasus</w:t>
      </w:r>
      <w:r w:rsidRPr="00BA18C2">
        <w:rPr>
          <w:sz w:val="22"/>
          <w:szCs w:val="22"/>
        </w:rPr>
        <w:t xml:space="preserve"> (8), </w:t>
      </w:r>
      <w:r w:rsidRPr="00BA18C2">
        <w:rPr>
          <w:i/>
          <w:sz w:val="22"/>
          <w:szCs w:val="22"/>
        </w:rPr>
        <w:t>Prunus avium</w:t>
      </w:r>
      <w:r w:rsidRPr="00BA18C2">
        <w:rPr>
          <w:sz w:val="22"/>
          <w:szCs w:val="22"/>
        </w:rPr>
        <w:t xml:space="preserve"> (4), </w:t>
      </w:r>
      <w:r w:rsidRPr="00BA18C2">
        <w:rPr>
          <w:i/>
          <w:sz w:val="22"/>
          <w:szCs w:val="22"/>
        </w:rPr>
        <w:t>Prunus fruticosa</w:t>
      </w:r>
      <w:r w:rsidRPr="00BA18C2">
        <w:rPr>
          <w:sz w:val="22"/>
          <w:szCs w:val="22"/>
        </w:rPr>
        <w:t xml:space="preserve"> (6), </w:t>
      </w:r>
      <w:r w:rsidRPr="00BA18C2">
        <w:rPr>
          <w:i/>
          <w:sz w:val="22"/>
          <w:szCs w:val="22"/>
        </w:rPr>
        <w:t>Prunus mahaleb</w:t>
      </w:r>
      <w:r w:rsidRPr="00BA18C2">
        <w:rPr>
          <w:sz w:val="22"/>
          <w:szCs w:val="22"/>
        </w:rPr>
        <w:t xml:space="preserve"> (2), together with four interspecies hybrids (commercial rootstocks) including Colt, Gisela 5, Gisela 6 and MaxMa 14. </w:t>
      </w:r>
      <w:r w:rsidRPr="00BA18C2">
        <w:rPr>
          <w:i/>
          <w:sz w:val="22"/>
          <w:szCs w:val="22"/>
        </w:rPr>
        <w:t>P. cerasus</w:t>
      </w:r>
      <w:r w:rsidRPr="00BA18C2">
        <w:rPr>
          <w:sz w:val="22"/>
          <w:szCs w:val="22"/>
        </w:rPr>
        <w:t xml:space="preserve"> (‘Oblačinska’ sour cherry), </w:t>
      </w:r>
      <w:r w:rsidRPr="00BA18C2">
        <w:rPr>
          <w:i/>
          <w:sz w:val="22"/>
          <w:szCs w:val="22"/>
        </w:rPr>
        <w:t>P. avium</w:t>
      </w:r>
      <w:r w:rsidRPr="00BA18C2">
        <w:rPr>
          <w:sz w:val="22"/>
          <w:szCs w:val="22"/>
        </w:rPr>
        <w:t xml:space="preserve">, </w:t>
      </w:r>
      <w:r w:rsidRPr="00BA18C2">
        <w:rPr>
          <w:i/>
          <w:sz w:val="22"/>
          <w:szCs w:val="22"/>
        </w:rPr>
        <w:t>P. fruticosa</w:t>
      </w:r>
      <w:r w:rsidRPr="00BA18C2">
        <w:rPr>
          <w:sz w:val="22"/>
          <w:szCs w:val="22"/>
        </w:rPr>
        <w:t xml:space="preserve"> and </w:t>
      </w:r>
      <w:r w:rsidRPr="00BA18C2">
        <w:rPr>
          <w:i/>
          <w:sz w:val="22"/>
          <w:szCs w:val="22"/>
        </w:rPr>
        <w:t>P. mahaleb</w:t>
      </w:r>
      <w:r w:rsidRPr="00BA18C2">
        <w:rPr>
          <w:sz w:val="22"/>
          <w:szCs w:val="22"/>
        </w:rPr>
        <w:t xml:space="preserve"> genotypes were selected from natural populations of Serbia. The selection was done according to the observed diversity in phenological and morphological traits of trees and fruits. </w:t>
      </w:r>
    </w:p>
    <w:p w:rsidR="00BA18C2" w:rsidRPr="00BA18C2" w:rsidRDefault="00BA18C2" w:rsidP="00BA18C2">
      <w:pPr>
        <w:widowControl w:val="0"/>
        <w:ind w:firstLine="425"/>
        <w:contextualSpacing/>
        <w:jc w:val="both"/>
        <w:rPr>
          <w:sz w:val="22"/>
          <w:szCs w:val="22"/>
        </w:rPr>
      </w:pPr>
      <w:r w:rsidRPr="00BA18C2">
        <w:rPr>
          <w:sz w:val="22"/>
          <w:szCs w:val="22"/>
        </w:rPr>
        <w:t xml:space="preserve">Tree vigour (TV), leaf length (LL) and leaf width (LW) were observed </w:t>
      </w:r>
      <w:r w:rsidRPr="00BA18C2">
        <w:rPr>
          <w:i/>
          <w:sz w:val="22"/>
          <w:szCs w:val="22"/>
        </w:rPr>
        <w:t>in situ</w:t>
      </w:r>
      <w:r w:rsidRPr="00BA18C2">
        <w:rPr>
          <w:sz w:val="22"/>
          <w:szCs w:val="22"/>
        </w:rPr>
        <w:t xml:space="preserve"> for </w:t>
      </w:r>
      <w:r w:rsidRPr="00BA18C2">
        <w:rPr>
          <w:i/>
          <w:sz w:val="22"/>
          <w:szCs w:val="22"/>
        </w:rPr>
        <w:t>Prunus sp</w:t>
      </w:r>
      <w:r w:rsidRPr="00BA18C2">
        <w:rPr>
          <w:sz w:val="22"/>
          <w:szCs w:val="22"/>
        </w:rPr>
        <w:t>. genotypes and in a nursery for Colt, Gisela 5, Gisela 6 and MaxMa 14 rootstocks, during two consecutive years</w:t>
      </w:r>
      <w:r w:rsidRPr="00BA18C2">
        <w:rPr>
          <w:i/>
          <w:sz w:val="22"/>
          <w:szCs w:val="22"/>
        </w:rPr>
        <w:t xml:space="preserve"> </w:t>
      </w:r>
      <w:r w:rsidRPr="00BA18C2">
        <w:rPr>
          <w:sz w:val="22"/>
          <w:szCs w:val="22"/>
        </w:rPr>
        <w:t>(2014 – 2015). A description of tree vigour (3 – weak; 5 – medium; 7 – strong; 9 – extremely strong) was based on descriptors provided by the International Union for the Protection of New Varieties of Plants (UPOV, 2006) and The International Board for Plant Genetic Resources (Schmid et al., 1985), while leaf length (LL) and leaf width (LW) were measured on a sample of 30 leaves per genotype, taken randomly from 1-year-old shoots. During the study, pruning and irrigation were not applied.</w:t>
      </w:r>
    </w:p>
    <w:p w:rsidR="00BA18C2" w:rsidRPr="00BA18C2" w:rsidRDefault="00BA18C2" w:rsidP="00BA18C2">
      <w:pPr>
        <w:widowControl w:val="0"/>
        <w:ind w:firstLine="425"/>
        <w:contextualSpacing/>
        <w:jc w:val="both"/>
        <w:rPr>
          <w:sz w:val="22"/>
          <w:szCs w:val="22"/>
        </w:rPr>
      </w:pPr>
      <w:r w:rsidRPr="00BA18C2">
        <w:rPr>
          <w:sz w:val="22"/>
          <w:szCs w:val="22"/>
        </w:rPr>
        <w:t>Seven dehydrogenase enzyme systems were analysed: alcohol dehydrogenase (ADH), glutamate dehydrogenase (GDH), isocitrate dehydrogenase (IDH), formate dehydrogen</w:t>
      </w:r>
      <w:r w:rsidR="008D5395">
        <w:rPr>
          <w:sz w:val="22"/>
          <w:szCs w:val="22"/>
        </w:rPr>
        <w:t>ase (FDH), malate dehydrogenase</w:t>
      </w:r>
      <w:r w:rsidR="008D5395">
        <w:rPr>
          <w:sz w:val="22"/>
          <w:szCs w:val="22"/>
          <w:lang/>
        </w:rPr>
        <w:t xml:space="preserve"> </w:t>
      </w:r>
      <w:r w:rsidRPr="00BA18C2">
        <w:rPr>
          <w:sz w:val="22"/>
          <w:szCs w:val="22"/>
        </w:rPr>
        <w:t xml:space="preserve">(MDH), phosphogluconate dehydrogenase (PGD) and shikimate dehydrogenase (SDH). Two independent samples from each genotype were used for protein extraction. The inner bark from one-year-old shoots at the dormant stage was used for the extraction and evaluation of isoenzyme activity. Vertical polyacrylamide gel electrophoresis (PAGE) was used for the isoenzyme analysis. Polyacrylamide gel containing 8% acrylamide was used for separation. Sample preparation and staining procedures were done in accordance with the protocols given by Bošković et al. (1994) for stone fruit species. Electrophoresis was performed at +4 °C and consisted of three phases. Prior to sample loading, pre-electrophoresis was done for 45 minutes at 100 V. Afterwards, samples of 25 μl of enzyme extracts were loaded. The second phase lasted for 45 minutes at 100 V. The third stage was carried out at 400 V for 3 h. As for the majority of enzymes, staining was performed in accordance with the </w:t>
      </w:r>
      <w:r w:rsidRPr="00BA18C2">
        <w:rPr>
          <w:sz w:val="22"/>
          <w:szCs w:val="22"/>
        </w:rPr>
        <w:lastRenderedPageBreak/>
        <w:t xml:space="preserve">protocol given by Bošković et al. (1994), and for FDH in accordance with Wendel and Weeden (1989). Gels were visually observed and bands that represented isoenzyme patterns were analysed. The loci of the same enzyme system were numbered progressively, from the slowest-migrating to the fastest-migrating form, beginning with locus 1. Data for dehydrogenase isoenzyme polymorphism and isoenzyme banding patterns of evaluated genotypes was taken from the previous study of Čolić et al. (2012). Numbers corresponding to isoenzyme banding patterns among each system represent different phenotypes, based on the number and position of bands on the gels. </w:t>
      </w:r>
    </w:p>
    <w:p w:rsidR="00BA18C2" w:rsidRPr="00BA18C2" w:rsidRDefault="00BA18C2" w:rsidP="00BA18C2">
      <w:pPr>
        <w:widowControl w:val="0"/>
        <w:autoSpaceDE w:val="0"/>
        <w:autoSpaceDN w:val="0"/>
        <w:adjustRightInd w:val="0"/>
        <w:ind w:firstLine="425"/>
        <w:jc w:val="both"/>
        <w:rPr>
          <w:sz w:val="22"/>
          <w:szCs w:val="22"/>
        </w:rPr>
      </w:pPr>
      <w:r w:rsidRPr="00BA18C2">
        <w:rPr>
          <w:sz w:val="22"/>
          <w:szCs w:val="22"/>
        </w:rPr>
        <w:t xml:space="preserve">For the purpose of statistical analysis, individual means for the traits and zymograme patterns were used. </w:t>
      </w:r>
      <w:r w:rsidRPr="00BA18C2">
        <w:rPr>
          <w:rFonts w:eastAsia="GulliverRM"/>
          <w:sz w:val="22"/>
          <w:szCs w:val="22"/>
        </w:rPr>
        <w:t>Relationships among the genotypes were investigated by principal component analysis (PCA). The correlation between the traits was determined using the Pearson correlation coefficient.</w:t>
      </w:r>
      <w:r w:rsidRPr="00BA18C2">
        <w:rPr>
          <w:sz w:val="22"/>
          <w:szCs w:val="22"/>
        </w:rPr>
        <w:t xml:space="preserve"> Data processing was performed using the statistic programme ‘Statistica’ Version 6.0 for Windows (StatSoft, Inc., Tulsa, Oklahoma, USA).</w:t>
      </w:r>
    </w:p>
    <w:p w:rsidR="00D64201" w:rsidRPr="001A2AD0" w:rsidRDefault="00D64201" w:rsidP="00B04CE4">
      <w:pPr>
        <w:jc w:val="center"/>
        <w:rPr>
          <w:sz w:val="22"/>
          <w:szCs w:val="22"/>
        </w:rPr>
      </w:pPr>
    </w:p>
    <w:p w:rsidR="00D64201" w:rsidRPr="001A2AD0" w:rsidRDefault="00D64201" w:rsidP="00D64201">
      <w:pPr>
        <w:jc w:val="center"/>
        <w:rPr>
          <w:b/>
          <w:sz w:val="22"/>
          <w:szCs w:val="22"/>
        </w:rPr>
      </w:pPr>
      <w:r w:rsidRPr="001A2AD0">
        <w:rPr>
          <w:b/>
          <w:sz w:val="22"/>
          <w:szCs w:val="22"/>
        </w:rPr>
        <w:t>Results and Discussion</w:t>
      </w:r>
    </w:p>
    <w:p w:rsidR="00D64201" w:rsidRPr="001A2AD0" w:rsidRDefault="00D64201" w:rsidP="005174E4">
      <w:pPr>
        <w:jc w:val="center"/>
        <w:rPr>
          <w:sz w:val="22"/>
          <w:szCs w:val="22"/>
        </w:rPr>
      </w:pPr>
    </w:p>
    <w:p w:rsidR="00BA18C2" w:rsidRPr="003B7416" w:rsidRDefault="00BA18C2" w:rsidP="00BA18C2">
      <w:pPr>
        <w:widowControl w:val="0"/>
        <w:ind w:firstLine="425"/>
        <w:contextualSpacing/>
        <w:jc w:val="both"/>
        <w:rPr>
          <w:spacing w:val="-2"/>
          <w:sz w:val="22"/>
          <w:szCs w:val="22"/>
          <w:lang w:val="sr-Latn-CS"/>
        </w:rPr>
      </w:pPr>
      <w:r w:rsidRPr="003B7416">
        <w:rPr>
          <w:spacing w:val="-2"/>
          <w:sz w:val="22"/>
          <w:szCs w:val="22"/>
          <w:lang w:val="sr-Latn-CS"/>
        </w:rPr>
        <w:t xml:space="preserve">Although the mechanism by which the rootstock regulates scion characteristics has not been identified, it is well known that rootstock influences the tree growth (Cantín et al., 2010), vigour, fruit and leaf properties (Rakonjac et al., 2016). </w:t>
      </w:r>
    </w:p>
    <w:p w:rsidR="00BA18C2" w:rsidRPr="00BA18C2" w:rsidRDefault="00BA18C2" w:rsidP="00BA18C2">
      <w:pPr>
        <w:widowControl w:val="0"/>
        <w:ind w:firstLine="425"/>
        <w:contextualSpacing/>
        <w:jc w:val="both"/>
        <w:rPr>
          <w:sz w:val="22"/>
          <w:szCs w:val="22"/>
        </w:rPr>
      </w:pPr>
      <w:r w:rsidRPr="00BA18C2">
        <w:rPr>
          <w:sz w:val="22"/>
          <w:szCs w:val="22"/>
          <w:lang w:val="sr-Latn-CS"/>
        </w:rPr>
        <w:t xml:space="preserve">The morphological characteristics and isoenzyme profile of the studied genotypes are shown in </w:t>
      </w:r>
      <w:r w:rsidRPr="003B7416">
        <w:rPr>
          <w:sz w:val="22"/>
          <w:szCs w:val="22"/>
          <w:highlight w:val="yellow"/>
          <w:lang w:val="sr-Latn-CS"/>
        </w:rPr>
        <w:t>Table 1. As e</w:t>
      </w:r>
      <w:r w:rsidRPr="00BA18C2">
        <w:rPr>
          <w:sz w:val="22"/>
          <w:szCs w:val="22"/>
          <w:lang w:val="sr-Latn-CS"/>
        </w:rPr>
        <w:t xml:space="preserve">xpected, the wild cherry genotypes were characterised by the longest and widest leaves and strong tree vigour, ranging from medium to extremly strong. On the basis of </w:t>
      </w:r>
      <w:r w:rsidRPr="00BA18C2">
        <w:rPr>
          <w:sz w:val="22"/>
          <w:szCs w:val="22"/>
        </w:rPr>
        <w:t>tree vigour,</w:t>
      </w:r>
      <w:r w:rsidRPr="00BA18C2">
        <w:rPr>
          <w:sz w:val="22"/>
          <w:szCs w:val="22"/>
          <w:lang w:val="sr-Latn-CS"/>
        </w:rPr>
        <w:t xml:space="preserve"> sour cherry </w:t>
      </w:r>
      <w:r w:rsidRPr="00BA18C2">
        <w:rPr>
          <w:sz w:val="22"/>
          <w:szCs w:val="22"/>
        </w:rPr>
        <w:t xml:space="preserve">genotypes can be divided into two groups, having weak or medium vigour. Sour cherry leaves were smaller compared to sweet cherry, with LL ranging from 5.6 to 9.3 cm, and LW from 2.8 to 4.7 cm. Among studied genotypes, </w:t>
      </w:r>
      <w:r w:rsidRPr="00BA18C2">
        <w:rPr>
          <w:i/>
          <w:sz w:val="22"/>
          <w:szCs w:val="22"/>
        </w:rPr>
        <w:t>P. mahaleb</w:t>
      </w:r>
      <w:r w:rsidRPr="00BA18C2">
        <w:rPr>
          <w:sz w:val="22"/>
          <w:szCs w:val="22"/>
        </w:rPr>
        <w:t xml:space="preserve"> was characterized by the most vigorous tree, while leaf measurements were similar to sour cherries. The lowest vigour, like in Gisela 5 and Gisela 6, was observed also in P</w:t>
      </w:r>
      <w:r w:rsidRPr="00BA18C2">
        <w:rPr>
          <w:i/>
          <w:sz w:val="22"/>
          <w:szCs w:val="22"/>
        </w:rPr>
        <w:t>. fruticosa</w:t>
      </w:r>
      <w:r w:rsidRPr="00BA18C2">
        <w:rPr>
          <w:sz w:val="22"/>
          <w:szCs w:val="22"/>
        </w:rPr>
        <w:t xml:space="preserve"> genotypes, with exception of SV 3. Similarly, in this group, we observed the smallest leaves with the lowest values for LL and LW. Among studied rootstocks, the most vigorous was Colt, followed by Max Ma 14. Rootstocks Gisela 5 and Gisela 6 were distinguished by their lowest vigou</w:t>
      </w:r>
      <w:r w:rsidR="006239BD">
        <w:rPr>
          <w:sz w:val="22"/>
          <w:szCs w:val="22"/>
        </w:rPr>
        <w:t>r.</w:t>
      </w:r>
    </w:p>
    <w:p w:rsidR="00BA18C2" w:rsidRPr="00BA18C2" w:rsidRDefault="00BA18C2" w:rsidP="00BA18C2">
      <w:pPr>
        <w:widowControl w:val="0"/>
        <w:autoSpaceDE w:val="0"/>
        <w:autoSpaceDN w:val="0"/>
        <w:adjustRightInd w:val="0"/>
        <w:ind w:firstLine="425"/>
        <w:jc w:val="both"/>
        <w:rPr>
          <w:sz w:val="22"/>
          <w:szCs w:val="22"/>
        </w:rPr>
      </w:pPr>
      <w:r w:rsidRPr="00BA18C2">
        <w:rPr>
          <w:sz w:val="22"/>
          <w:szCs w:val="22"/>
        </w:rPr>
        <w:t xml:space="preserve">Čolić et al. (2012) found significant dehydrogenase isoenzyme polymorphism in the genus </w:t>
      </w:r>
      <w:r w:rsidRPr="00BA18C2">
        <w:rPr>
          <w:i/>
          <w:sz w:val="22"/>
          <w:szCs w:val="22"/>
        </w:rPr>
        <w:t>Prunus</w:t>
      </w:r>
      <w:r w:rsidRPr="00BA18C2">
        <w:rPr>
          <w:sz w:val="22"/>
          <w:szCs w:val="22"/>
        </w:rPr>
        <w:t xml:space="preserve">, the subgenus </w:t>
      </w:r>
      <w:r w:rsidRPr="00BA18C2">
        <w:rPr>
          <w:i/>
          <w:sz w:val="22"/>
          <w:szCs w:val="22"/>
        </w:rPr>
        <w:t>Cerasus</w:t>
      </w:r>
      <w:r w:rsidRPr="00BA18C2">
        <w:rPr>
          <w:sz w:val="22"/>
          <w:szCs w:val="22"/>
        </w:rPr>
        <w:t xml:space="preserve">. In the studied material, seven dehydrogenase systems (ADH, GDH, IDH, MDH, PGD and SDH) were polymorphic, while FDH was monomorphic. The patterns of polymorphic systems for each of the studied genotypes are presented </w:t>
      </w:r>
      <w:r w:rsidRPr="003B7416">
        <w:rPr>
          <w:sz w:val="22"/>
          <w:szCs w:val="22"/>
          <w:highlight w:val="yellow"/>
        </w:rPr>
        <w:t>in Table 1.</w:t>
      </w:r>
      <w:r w:rsidRPr="00BA18C2">
        <w:rPr>
          <w:sz w:val="22"/>
          <w:szCs w:val="22"/>
        </w:rPr>
        <w:t xml:space="preserve"> </w:t>
      </w:r>
    </w:p>
    <w:p w:rsidR="00BA18C2" w:rsidRDefault="00BA18C2" w:rsidP="00BA18C2">
      <w:pPr>
        <w:widowControl w:val="0"/>
        <w:autoSpaceDE w:val="0"/>
        <w:autoSpaceDN w:val="0"/>
        <w:adjustRightInd w:val="0"/>
        <w:ind w:firstLine="425"/>
        <w:jc w:val="both"/>
        <w:rPr>
          <w:sz w:val="22"/>
          <w:szCs w:val="22"/>
        </w:rPr>
      </w:pPr>
      <w:r w:rsidRPr="00BA18C2">
        <w:rPr>
          <w:sz w:val="22"/>
          <w:szCs w:val="22"/>
        </w:rPr>
        <w:t xml:space="preserve">IDH was found to be the most polymorphic dehydrogenase system represented with eight different phenotypes. Activity was visible in two loci: </w:t>
      </w:r>
      <w:r w:rsidRPr="00BA18C2">
        <w:rPr>
          <w:i/>
          <w:sz w:val="22"/>
          <w:szCs w:val="22"/>
        </w:rPr>
        <w:t>Idh-1</w:t>
      </w:r>
      <w:r w:rsidRPr="00BA18C2">
        <w:rPr>
          <w:sz w:val="22"/>
          <w:szCs w:val="22"/>
        </w:rPr>
        <w:t xml:space="preserve">, with two </w:t>
      </w:r>
      <w:r w:rsidRPr="00BA18C2">
        <w:rPr>
          <w:sz w:val="22"/>
          <w:szCs w:val="22"/>
        </w:rPr>
        <w:lastRenderedPageBreak/>
        <w:t>alleles (b and c) and three phenotypes (</w:t>
      </w:r>
      <w:r w:rsidRPr="00BA18C2">
        <w:rPr>
          <w:i/>
          <w:sz w:val="22"/>
          <w:szCs w:val="22"/>
        </w:rPr>
        <w:t>bb</w:t>
      </w:r>
      <w:r w:rsidRPr="00BA18C2">
        <w:rPr>
          <w:sz w:val="22"/>
          <w:szCs w:val="22"/>
        </w:rPr>
        <w:t xml:space="preserve">, </w:t>
      </w:r>
      <w:r w:rsidRPr="00BA18C2">
        <w:rPr>
          <w:i/>
          <w:sz w:val="22"/>
          <w:szCs w:val="22"/>
        </w:rPr>
        <w:t>bc</w:t>
      </w:r>
      <w:r w:rsidRPr="00BA18C2">
        <w:rPr>
          <w:sz w:val="22"/>
          <w:szCs w:val="22"/>
        </w:rPr>
        <w:t xml:space="preserve"> and </w:t>
      </w:r>
      <w:r w:rsidRPr="00BA18C2">
        <w:rPr>
          <w:i/>
          <w:sz w:val="22"/>
          <w:szCs w:val="22"/>
        </w:rPr>
        <w:t>cc</w:t>
      </w:r>
      <w:r w:rsidRPr="00BA18C2">
        <w:rPr>
          <w:sz w:val="22"/>
          <w:szCs w:val="22"/>
        </w:rPr>
        <w:t xml:space="preserve">). For locus </w:t>
      </w:r>
      <w:r w:rsidRPr="00BA18C2">
        <w:rPr>
          <w:i/>
          <w:sz w:val="22"/>
          <w:szCs w:val="22"/>
        </w:rPr>
        <w:t>Idh-2</w:t>
      </w:r>
      <w:r w:rsidRPr="00BA18C2">
        <w:rPr>
          <w:sz w:val="22"/>
          <w:szCs w:val="22"/>
        </w:rPr>
        <w:t>, we observed both genotypes with visible activity and genotypes without activity. Four phenotypes (</w:t>
      </w:r>
      <w:r w:rsidRPr="00BA18C2">
        <w:rPr>
          <w:i/>
          <w:sz w:val="22"/>
          <w:szCs w:val="22"/>
        </w:rPr>
        <w:t>ab</w:t>
      </w:r>
      <w:r w:rsidRPr="00BA18C2">
        <w:rPr>
          <w:sz w:val="22"/>
          <w:szCs w:val="22"/>
        </w:rPr>
        <w:t xml:space="preserve">, </w:t>
      </w:r>
      <w:r w:rsidRPr="00BA18C2">
        <w:rPr>
          <w:i/>
          <w:sz w:val="22"/>
          <w:szCs w:val="22"/>
        </w:rPr>
        <w:t>ac</w:t>
      </w:r>
      <w:r w:rsidRPr="00BA18C2">
        <w:rPr>
          <w:sz w:val="22"/>
          <w:szCs w:val="22"/>
        </w:rPr>
        <w:t xml:space="preserve">, </w:t>
      </w:r>
      <w:r w:rsidRPr="00BA18C2">
        <w:rPr>
          <w:i/>
          <w:sz w:val="22"/>
          <w:szCs w:val="22"/>
        </w:rPr>
        <w:t>bb</w:t>
      </w:r>
      <w:r w:rsidRPr="00BA18C2">
        <w:rPr>
          <w:sz w:val="22"/>
          <w:szCs w:val="22"/>
        </w:rPr>
        <w:t xml:space="preserve"> and </w:t>
      </w:r>
      <w:r w:rsidRPr="00BA18C2">
        <w:rPr>
          <w:i/>
          <w:sz w:val="22"/>
          <w:szCs w:val="22"/>
        </w:rPr>
        <w:t>bc</w:t>
      </w:r>
      <w:r w:rsidRPr="00BA18C2">
        <w:rPr>
          <w:sz w:val="22"/>
          <w:szCs w:val="22"/>
        </w:rPr>
        <w:t xml:space="preserve">) were identified for this locus. Regarding all observed loci in this study, we found that </w:t>
      </w:r>
      <w:r w:rsidRPr="00BA18C2">
        <w:rPr>
          <w:i/>
          <w:sz w:val="22"/>
          <w:szCs w:val="22"/>
        </w:rPr>
        <w:t>Idh-2</w:t>
      </w:r>
      <w:r w:rsidRPr="00BA18C2">
        <w:rPr>
          <w:sz w:val="22"/>
          <w:szCs w:val="22"/>
        </w:rPr>
        <w:t xml:space="preserve"> was the most polymorphic. Although great variability was established, we could not connect low tree vigour wit</w:t>
      </w:r>
      <w:r>
        <w:rPr>
          <w:sz w:val="22"/>
          <w:szCs w:val="22"/>
        </w:rPr>
        <w:t>h any specific banding pattern.</w:t>
      </w:r>
    </w:p>
    <w:p w:rsidR="00BA18C2" w:rsidRPr="000C169F" w:rsidRDefault="00BA18C2" w:rsidP="00BA18C2">
      <w:pPr>
        <w:widowControl w:val="0"/>
        <w:autoSpaceDE w:val="0"/>
        <w:autoSpaceDN w:val="0"/>
        <w:adjustRightInd w:val="0"/>
        <w:jc w:val="both"/>
        <w:rPr>
          <w:sz w:val="22"/>
          <w:szCs w:val="22"/>
        </w:rPr>
      </w:pPr>
    </w:p>
    <w:p w:rsidR="00BA18C2" w:rsidRPr="000C169F" w:rsidRDefault="00BA18C2" w:rsidP="00BA18C2">
      <w:pPr>
        <w:spacing w:after="120"/>
        <w:contextualSpacing/>
        <w:jc w:val="both"/>
        <w:rPr>
          <w:bCs/>
          <w:sz w:val="22"/>
          <w:szCs w:val="22"/>
        </w:rPr>
      </w:pPr>
      <w:r w:rsidRPr="000C169F">
        <w:rPr>
          <w:bCs/>
          <w:sz w:val="22"/>
          <w:szCs w:val="22"/>
        </w:rPr>
        <w:t>Table 1. Morphological characteristics and isoenzyme banding patterns of the studied genotypes.</w:t>
      </w:r>
    </w:p>
    <w:p w:rsidR="00BA18C2" w:rsidRPr="000C169F" w:rsidRDefault="00BA18C2" w:rsidP="00BA18C2">
      <w:pPr>
        <w:spacing w:after="120"/>
        <w:contextualSpacing/>
        <w:jc w:val="both"/>
        <w:rPr>
          <w:bCs/>
          <w:sz w:val="22"/>
          <w:szCs w:val="22"/>
        </w:rPr>
      </w:pPr>
    </w:p>
    <w:tbl>
      <w:tblPr>
        <w:tblW w:w="7371" w:type="dxa"/>
        <w:jc w:val="center"/>
        <w:tblLayout w:type="fixed"/>
        <w:tblCellMar>
          <w:left w:w="28" w:type="dxa"/>
          <w:right w:w="28" w:type="dxa"/>
        </w:tblCellMar>
        <w:tblLook w:val="01E0"/>
      </w:tblPr>
      <w:tblGrid>
        <w:gridCol w:w="374"/>
        <w:gridCol w:w="1327"/>
        <w:gridCol w:w="1121"/>
        <w:gridCol w:w="533"/>
        <w:gridCol w:w="617"/>
        <w:gridCol w:w="617"/>
        <w:gridCol w:w="449"/>
        <w:gridCol w:w="450"/>
        <w:gridCol w:w="450"/>
        <w:gridCol w:w="533"/>
        <w:gridCol w:w="450"/>
        <w:gridCol w:w="450"/>
      </w:tblGrid>
      <w:tr w:rsidR="00BA18C2" w:rsidRPr="000C169F" w:rsidTr="000C169F">
        <w:trPr>
          <w:trHeight w:val="397"/>
          <w:jc w:val="center"/>
        </w:trPr>
        <w:tc>
          <w:tcPr>
            <w:tcW w:w="374" w:type="dxa"/>
            <w:vMerge w:val="restart"/>
            <w:tcBorders>
              <w:top w:val="single" w:sz="4" w:space="0" w:color="auto"/>
              <w:bottom w:val="single" w:sz="4" w:space="0" w:color="auto"/>
            </w:tcBorders>
            <w:shd w:val="clear" w:color="auto" w:fill="auto"/>
            <w:vAlign w:val="center"/>
          </w:tcPr>
          <w:p w:rsidR="00BA18C2" w:rsidRPr="000C169F" w:rsidRDefault="00BA18C2" w:rsidP="00BA18C2">
            <w:pPr>
              <w:jc w:val="center"/>
              <w:rPr>
                <w:bCs/>
                <w:i/>
                <w:sz w:val="18"/>
                <w:szCs w:val="18"/>
              </w:rPr>
            </w:pPr>
            <w:r w:rsidRPr="000C169F">
              <w:rPr>
                <w:bCs/>
                <w:i/>
                <w:sz w:val="18"/>
                <w:szCs w:val="18"/>
              </w:rPr>
              <w:t>No.</w:t>
            </w:r>
          </w:p>
        </w:tc>
        <w:tc>
          <w:tcPr>
            <w:tcW w:w="1327" w:type="dxa"/>
            <w:vMerge w:val="restart"/>
            <w:tcBorders>
              <w:top w:val="single" w:sz="4" w:space="0" w:color="auto"/>
              <w:bottom w:val="single" w:sz="4" w:space="0" w:color="auto"/>
            </w:tcBorders>
            <w:shd w:val="clear" w:color="auto" w:fill="auto"/>
            <w:vAlign w:val="center"/>
          </w:tcPr>
          <w:p w:rsidR="00BA18C2" w:rsidRPr="000C169F" w:rsidRDefault="00BA18C2" w:rsidP="00BA18C2">
            <w:pPr>
              <w:jc w:val="center"/>
              <w:rPr>
                <w:i/>
                <w:sz w:val="18"/>
                <w:szCs w:val="18"/>
              </w:rPr>
            </w:pPr>
            <w:r w:rsidRPr="000C169F">
              <w:rPr>
                <w:i/>
                <w:sz w:val="18"/>
                <w:szCs w:val="18"/>
              </w:rPr>
              <w:t>Cultivar</w:t>
            </w:r>
          </w:p>
          <w:p w:rsidR="00BA18C2" w:rsidRPr="000C169F" w:rsidRDefault="00BA18C2" w:rsidP="00BA18C2">
            <w:pPr>
              <w:jc w:val="center"/>
              <w:rPr>
                <w:bCs/>
                <w:i/>
                <w:sz w:val="18"/>
                <w:szCs w:val="18"/>
              </w:rPr>
            </w:pPr>
            <w:r w:rsidRPr="000C169F">
              <w:rPr>
                <w:i/>
                <w:sz w:val="18"/>
                <w:szCs w:val="18"/>
              </w:rPr>
              <w:t>/genotype</w:t>
            </w:r>
          </w:p>
        </w:tc>
        <w:tc>
          <w:tcPr>
            <w:tcW w:w="1121" w:type="dxa"/>
            <w:vMerge w:val="restart"/>
            <w:tcBorders>
              <w:top w:val="single" w:sz="4" w:space="0" w:color="auto"/>
              <w:bottom w:val="single" w:sz="4" w:space="0" w:color="auto"/>
            </w:tcBorders>
            <w:shd w:val="clear" w:color="auto" w:fill="auto"/>
            <w:vAlign w:val="center"/>
          </w:tcPr>
          <w:p w:rsidR="00BA18C2" w:rsidRPr="000C169F" w:rsidRDefault="00BA18C2" w:rsidP="00BA18C2">
            <w:pPr>
              <w:jc w:val="center"/>
              <w:rPr>
                <w:i/>
                <w:sz w:val="18"/>
                <w:szCs w:val="18"/>
              </w:rPr>
            </w:pPr>
            <w:r w:rsidRPr="000C169F">
              <w:rPr>
                <w:i/>
                <w:sz w:val="18"/>
                <w:szCs w:val="18"/>
              </w:rPr>
              <w:t>Species</w:t>
            </w:r>
          </w:p>
          <w:p w:rsidR="00BA18C2" w:rsidRPr="000C169F" w:rsidRDefault="00BA18C2" w:rsidP="00BA18C2">
            <w:pPr>
              <w:jc w:val="center"/>
              <w:rPr>
                <w:bCs/>
                <w:i/>
                <w:sz w:val="18"/>
                <w:szCs w:val="18"/>
              </w:rPr>
            </w:pPr>
            <w:r w:rsidRPr="000C169F">
              <w:rPr>
                <w:i/>
                <w:sz w:val="18"/>
                <w:szCs w:val="18"/>
              </w:rPr>
              <w:t>/interspecific hybrid</w:t>
            </w:r>
          </w:p>
        </w:tc>
        <w:tc>
          <w:tcPr>
            <w:tcW w:w="533" w:type="dxa"/>
            <w:vMerge w:val="restart"/>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Tree*</w:t>
            </w:r>
          </w:p>
          <w:p w:rsidR="00BA18C2" w:rsidRPr="000C169F" w:rsidRDefault="00BA18C2" w:rsidP="00BA18C2">
            <w:pPr>
              <w:jc w:val="center"/>
              <w:rPr>
                <w:sz w:val="18"/>
                <w:szCs w:val="18"/>
              </w:rPr>
            </w:pPr>
            <w:r w:rsidRPr="000C169F">
              <w:rPr>
                <w:sz w:val="18"/>
                <w:szCs w:val="18"/>
              </w:rPr>
              <w:t>vigour</w:t>
            </w:r>
          </w:p>
        </w:tc>
        <w:tc>
          <w:tcPr>
            <w:tcW w:w="617" w:type="dxa"/>
            <w:vMerge w:val="restart"/>
            <w:tcBorders>
              <w:top w:val="single" w:sz="4" w:space="0" w:color="auto"/>
              <w:bottom w:val="single" w:sz="4" w:space="0" w:color="auto"/>
            </w:tcBorders>
            <w:vAlign w:val="center"/>
          </w:tcPr>
          <w:p w:rsidR="00BA18C2" w:rsidRPr="000C169F" w:rsidRDefault="00BA18C2" w:rsidP="00BA18C2">
            <w:pPr>
              <w:jc w:val="center"/>
              <w:rPr>
                <w:sz w:val="18"/>
                <w:szCs w:val="18"/>
              </w:rPr>
            </w:pPr>
            <w:r w:rsidRPr="000C169F">
              <w:rPr>
                <w:sz w:val="18"/>
                <w:szCs w:val="18"/>
              </w:rPr>
              <w:t>Leaf length</w:t>
            </w:r>
          </w:p>
          <w:p w:rsidR="00BA18C2" w:rsidRPr="000C169F" w:rsidRDefault="00BA18C2" w:rsidP="00BA18C2">
            <w:pPr>
              <w:jc w:val="center"/>
              <w:rPr>
                <w:sz w:val="18"/>
                <w:szCs w:val="18"/>
              </w:rPr>
            </w:pPr>
            <w:r w:rsidRPr="000C169F">
              <w:rPr>
                <w:sz w:val="18"/>
                <w:szCs w:val="18"/>
              </w:rPr>
              <w:t>(cm)</w:t>
            </w:r>
          </w:p>
        </w:tc>
        <w:tc>
          <w:tcPr>
            <w:tcW w:w="617" w:type="dxa"/>
            <w:vMerge w:val="restart"/>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Leaf width</w:t>
            </w:r>
          </w:p>
          <w:p w:rsidR="00BA18C2" w:rsidRPr="000C169F" w:rsidRDefault="00BA18C2" w:rsidP="00BA18C2">
            <w:pPr>
              <w:jc w:val="center"/>
              <w:rPr>
                <w:sz w:val="18"/>
                <w:szCs w:val="18"/>
              </w:rPr>
            </w:pPr>
            <w:r w:rsidRPr="000C169F">
              <w:rPr>
                <w:sz w:val="18"/>
                <w:szCs w:val="18"/>
              </w:rPr>
              <w:t>(cm)</w:t>
            </w:r>
          </w:p>
        </w:tc>
        <w:tc>
          <w:tcPr>
            <w:tcW w:w="2782" w:type="dxa"/>
            <w:gridSpan w:val="6"/>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Isoenzyme banding patterns**</w:t>
            </w:r>
          </w:p>
        </w:tc>
      </w:tr>
      <w:tr w:rsidR="00BA18C2" w:rsidRPr="000C169F" w:rsidTr="000C169F">
        <w:trPr>
          <w:trHeight w:val="227"/>
          <w:jc w:val="center"/>
        </w:trPr>
        <w:tc>
          <w:tcPr>
            <w:tcW w:w="374" w:type="dxa"/>
            <w:vMerge/>
            <w:tcBorders>
              <w:bottom w:val="single" w:sz="4" w:space="0" w:color="auto"/>
            </w:tcBorders>
            <w:shd w:val="clear" w:color="auto" w:fill="auto"/>
            <w:vAlign w:val="bottom"/>
          </w:tcPr>
          <w:p w:rsidR="00BA18C2" w:rsidRPr="000C169F" w:rsidRDefault="00BA18C2" w:rsidP="00BA18C2">
            <w:pPr>
              <w:jc w:val="center"/>
              <w:rPr>
                <w:sz w:val="18"/>
                <w:szCs w:val="18"/>
              </w:rPr>
            </w:pPr>
          </w:p>
        </w:tc>
        <w:tc>
          <w:tcPr>
            <w:tcW w:w="1327" w:type="dxa"/>
            <w:vMerge/>
            <w:tcBorders>
              <w:bottom w:val="single" w:sz="4" w:space="0" w:color="auto"/>
            </w:tcBorders>
            <w:shd w:val="clear" w:color="auto" w:fill="auto"/>
            <w:vAlign w:val="bottom"/>
          </w:tcPr>
          <w:p w:rsidR="00BA18C2" w:rsidRPr="000C169F" w:rsidRDefault="00BA18C2" w:rsidP="00BA18C2">
            <w:pPr>
              <w:rPr>
                <w:sz w:val="18"/>
                <w:szCs w:val="18"/>
              </w:rPr>
            </w:pPr>
          </w:p>
        </w:tc>
        <w:tc>
          <w:tcPr>
            <w:tcW w:w="1121" w:type="dxa"/>
            <w:vMerge/>
            <w:tcBorders>
              <w:bottom w:val="single" w:sz="4" w:space="0" w:color="auto"/>
            </w:tcBorders>
            <w:shd w:val="clear" w:color="auto" w:fill="auto"/>
            <w:vAlign w:val="bottom"/>
          </w:tcPr>
          <w:p w:rsidR="00BA18C2" w:rsidRPr="000C169F" w:rsidRDefault="00BA18C2" w:rsidP="00BA18C2">
            <w:pPr>
              <w:rPr>
                <w:i/>
                <w:iCs/>
                <w:sz w:val="18"/>
                <w:szCs w:val="18"/>
              </w:rPr>
            </w:pPr>
          </w:p>
        </w:tc>
        <w:tc>
          <w:tcPr>
            <w:tcW w:w="533" w:type="dxa"/>
            <w:vMerge/>
            <w:tcBorders>
              <w:bottom w:val="single" w:sz="4" w:space="0" w:color="auto"/>
            </w:tcBorders>
            <w:shd w:val="clear" w:color="auto" w:fill="auto"/>
          </w:tcPr>
          <w:p w:rsidR="00BA18C2" w:rsidRPr="000C169F" w:rsidRDefault="00BA18C2" w:rsidP="00BA18C2">
            <w:pPr>
              <w:jc w:val="center"/>
              <w:rPr>
                <w:sz w:val="18"/>
                <w:szCs w:val="18"/>
              </w:rPr>
            </w:pPr>
          </w:p>
        </w:tc>
        <w:tc>
          <w:tcPr>
            <w:tcW w:w="617" w:type="dxa"/>
            <w:vMerge/>
            <w:tcBorders>
              <w:bottom w:val="single" w:sz="4" w:space="0" w:color="auto"/>
            </w:tcBorders>
          </w:tcPr>
          <w:p w:rsidR="00BA18C2" w:rsidRPr="000C169F" w:rsidRDefault="00BA18C2" w:rsidP="00BA18C2">
            <w:pPr>
              <w:jc w:val="center"/>
              <w:rPr>
                <w:sz w:val="18"/>
                <w:szCs w:val="18"/>
              </w:rPr>
            </w:pPr>
          </w:p>
        </w:tc>
        <w:tc>
          <w:tcPr>
            <w:tcW w:w="617" w:type="dxa"/>
            <w:vMerge/>
            <w:tcBorders>
              <w:bottom w:val="single" w:sz="4" w:space="0" w:color="auto"/>
            </w:tcBorders>
            <w:shd w:val="clear" w:color="auto" w:fill="auto"/>
          </w:tcPr>
          <w:p w:rsidR="00BA18C2" w:rsidRPr="000C169F" w:rsidRDefault="00BA18C2" w:rsidP="00BA18C2">
            <w:pPr>
              <w:jc w:val="center"/>
              <w:rPr>
                <w:sz w:val="18"/>
                <w:szCs w:val="18"/>
              </w:rPr>
            </w:pPr>
          </w:p>
        </w:tc>
        <w:tc>
          <w:tcPr>
            <w:tcW w:w="449" w:type="dxa"/>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ADH</w:t>
            </w:r>
          </w:p>
        </w:tc>
        <w:tc>
          <w:tcPr>
            <w:tcW w:w="450" w:type="dxa"/>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GDH</w:t>
            </w:r>
          </w:p>
        </w:tc>
        <w:tc>
          <w:tcPr>
            <w:tcW w:w="450" w:type="dxa"/>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IDH</w:t>
            </w:r>
          </w:p>
        </w:tc>
        <w:tc>
          <w:tcPr>
            <w:tcW w:w="533" w:type="dxa"/>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MDH</w:t>
            </w:r>
          </w:p>
        </w:tc>
        <w:tc>
          <w:tcPr>
            <w:tcW w:w="450" w:type="dxa"/>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PGD</w:t>
            </w:r>
          </w:p>
        </w:tc>
        <w:tc>
          <w:tcPr>
            <w:tcW w:w="450" w:type="dxa"/>
            <w:tcBorders>
              <w:top w:val="single" w:sz="4" w:space="0" w:color="auto"/>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SDH</w:t>
            </w:r>
          </w:p>
        </w:tc>
      </w:tr>
      <w:tr w:rsidR="00BA18C2" w:rsidRPr="000C169F" w:rsidTr="006239BD">
        <w:trPr>
          <w:trHeight w:val="244"/>
          <w:jc w:val="center"/>
        </w:trPr>
        <w:tc>
          <w:tcPr>
            <w:tcW w:w="374" w:type="dxa"/>
            <w:tcBorders>
              <w:top w:val="single" w:sz="4" w:space="0" w:color="auto"/>
            </w:tcBorders>
            <w:shd w:val="clear" w:color="auto" w:fill="auto"/>
            <w:vAlign w:val="center"/>
          </w:tcPr>
          <w:p w:rsidR="00BA18C2" w:rsidRPr="000C169F" w:rsidRDefault="00BA18C2" w:rsidP="00BA18C2">
            <w:pPr>
              <w:rPr>
                <w:sz w:val="18"/>
                <w:szCs w:val="18"/>
              </w:rPr>
            </w:pPr>
            <w:r w:rsidRPr="000C169F">
              <w:rPr>
                <w:sz w:val="18"/>
                <w:szCs w:val="18"/>
              </w:rPr>
              <w:t>1</w:t>
            </w:r>
          </w:p>
        </w:tc>
        <w:tc>
          <w:tcPr>
            <w:tcW w:w="1327" w:type="dxa"/>
            <w:tcBorders>
              <w:top w:val="single" w:sz="4" w:space="0" w:color="auto"/>
            </w:tcBorders>
            <w:shd w:val="clear" w:color="auto" w:fill="auto"/>
            <w:vAlign w:val="center"/>
          </w:tcPr>
          <w:p w:rsidR="00BA18C2" w:rsidRPr="000C169F" w:rsidRDefault="00BA18C2" w:rsidP="00BA18C2">
            <w:pPr>
              <w:rPr>
                <w:sz w:val="18"/>
                <w:szCs w:val="18"/>
              </w:rPr>
            </w:pPr>
            <w:r w:rsidRPr="000C169F">
              <w:rPr>
                <w:sz w:val="18"/>
                <w:szCs w:val="18"/>
              </w:rPr>
              <w:t>DT X9</w:t>
            </w:r>
          </w:p>
        </w:tc>
        <w:tc>
          <w:tcPr>
            <w:tcW w:w="1121" w:type="dxa"/>
            <w:tcBorders>
              <w:top w:val="single" w:sz="4" w:space="0" w:color="auto"/>
            </w:tcBorders>
            <w:shd w:val="clear" w:color="auto" w:fill="auto"/>
            <w:vAlign w:val="center"/>
          </w:tcPr>
          <w:p w:rsidR="00BA18C2" w:rsidRPr="000C169F" w:rsidRDefault="00BA18C2" w:rsidP="00BA18C2">
            <w:pPr>
              <w:rPr>
                <w:i/>
                <w:iCs/>
                <w:sz w:val="18"/>
                <w:szCs w:val="18"/>
              </w:rPr>
            </w:pPr>
            <w:r w:rsidRPr="000C169F">
              <w:rPr>
                <w:i/>
                <w:iCs/>
                <w:sz w:val="18"/>
                <w:szCs w:val="18"/>
              </w:rPr>
              <w:t>P. avium</w:t>
            </w:r>
          </w:p>
        </w:tc>
        <w:tc>
          <w:tcPr>
            <w:tcW w:w="533"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617" w:type="dxa"/>
            <w:tcBorders>
              <w:top w:val="single" w:sz="4" w:space="0" w:color="auto"/>
            </w:tcBorders>
            <w:vAlign w:val="center"/>
          </w:tcPr>
          <w:p w:rsidR="00BA18C2" w:rsidRPr="000C169F" w:rsidRDefault="00BA18C2" w:rsidP="00BA18C2">
            <w:pPr>
              <w:jc w:val="center"/>
              <w:rPr>
                <w:sz w:val="18"/>
                <w:szCs w:val="18"/>
              </w:rPr>
            </w:pPr>
            <w:r w:rsidRPr="000C169F">
              <w:rPr>
                <w:sz w:val="18"/>
                <w:szCs w:val="18"/>
              </w:rPr>
              <w:t>8.8</w:t>
            </w:r>
          </w:p>
        </w:tc>
        <w:tc>
          <w:tcPr>
            <w:tcW w:w="617"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5.5</w:t>
            </w:r>
          </w:p>
        </w:tc>
        <w:tc>
          <w:tcPr>
            <w:tcW w:w="449"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450"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533"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7</w:t>
            </w:r>
          </w:p>
        </w:tc>
      </w:tr>
      <w:tr w:rsidR="00BA18C2" w:rsidRPr="000C169F" w:rsidTr="006239BD">
        <w:trPr>
          <w:trHeight w:val="244"/>
          <w:jc w:val="center"/>
        </w:trPr>
        <w:tc>
          <w:tcPr>
            <w:tcW w:w="374" w:type="dxa"/>
            <w:shd w:val="clear" w:color="auto" w:fill="auto"/>
            <w:vAlign w:val="center"/>
          </w:tcPr>
          <w:p w:rsidR="00BA18C2" w:rsidRPr="000C169F" w:rsidRDefault="00BA18C2" w:rsidP="00BA18C2">
            <w:pPr>
              <w:rPr>
                <w:sz w:val="18"/>
                <w:szCs w:val="18"/>
              </w:rPr>
            </w:pPr>
            <w:r w:rsidRPr="000C169F">
              <w:rPr>
                <w:sz w:val="18"/>
                <w:szCs w:val="18"/>
              </w:rPr>
              <w:t>2</w:t>
            </w:r>
          </w:p>
        </w:tc>
        <w:tc>
          <w:tcPr>
            <w:tcW w:w="1327" w:type="dxa"/>
            <w:shd w:val="clear" w:color="auto" w:fill="auto"/>
            <w:vAlign w:val="center"/>
          </w:tcPr>
          <w:p w:rsidR="00BA18C2" w:rsidRPr="000C169F" w:rsidRDefault="00BA18C2" w:rsidP="00BA18C2">
            <w:pPr>
              <w:rPr>
                <w:sz w:val="18"/>
                <w:szCs w:val="18"/>
              </w:rPr>
            </w:pPr>
            <w:r w:rsidRPr="000C169F">
              <w:rPr>
                <w:sz w:val="18"/>
                <w:szCs w:val="18"/>
              </w:rPr>
              <w:t>DT X3</w:t>
            </w:r>
          </w:p>
        </w:tc>
        <w:tc>
          <w:tcPr>
            <w:tcW w:w="1121" w:type="dxa"/>
            <w:shd w:val="clear" w:color="auto" w:fill="auto"/>
            <w:vAlign w:val="center"/>
          </w:tcPr>
          <w:p w:rsidR="00BA18C2" w:rsidRPr="000C169F" w:rsidRDefault="00BA18C2" w:rsidP="00BA18C2">
            <w:pPr>
              <w:rPr>
                <w:i/>
                <w:iCs/>
                <w:sz w:val="18"/>
                <w:szCs w:val="18"/>
              </w:rPr>
            </w:pPr>
            <w:r w:rsidRPr="000C169F">
              <w:rPr>
                <w:i/>
                <w:iCs/>
                <w:sz w:val="18"/>
                <w:szCs w:val="18"/>
              </w:rPr>
              <w:t>P. avium</w:t>
            </w:r>
          </w:p>
        </w:tc>
        <w:tc>
          <w:tcPr>
            <w:tcW w:w="533" w:type="dxa"/>
            <w:shd w:val="clear" w:color="auto" w:fill="auto"/>
            <w:vAlign w:val="center"/>
          </w:tcPr>
          <w:p w:rsidR="00BA18C2" w:rsidRPr="000C169F" w:rsidRDefault="00BA18C2" w:rsidP="00BA18C2">
            <w:pPr>
              <w:jc w:val="center"/>
              <w:rPr>
                <w:sz w:val="18"/>
                <w:szCs w:val="18"/>
              </w:rPr>
            </w:pPr>
            <w:r w:rsidRPr="000C169F">
              <w:rPr>
                <w:sz w:val="18"/>
                <w:szCs w:val="18"/>
              </w:rPr>
              <w:t>7</w:t>
            </w:r>
          </w:p>
        </w:tc>
        <w:tc>
          <w:tcPr>
            <w:tcW w:w="617" w:type="dxa"/>
            <w:vAlign w:val="center"/>
          </w:tcPr>
          <w:p w:rsidR="00BA18C2" w:rsidRPr="000C169F" w:rsidRDefault="00BA18C2" w:rsidP="00BA18C2">
            <w:pPr>
              <w:jc w:val="center"/>
              <w:rPr>
                <w:sz w:val="18"/>
                <w:szCs w:val="18"/>
              </w:rPr>
            </w:pPr>
            <w:r w:rsidRPr="000C169F">
              <w:rPr>
                <w:sz w:val="18"/>
                <w:szCs w:val="18"/>
              </w:rPr>
              <w:t>11.0</w:t>
            </w:r>
          </w:p>
        </w:tc>
        <w:tc>
          <w:tcPr>
            <w:tcW w:w="617" w:type="dxa"/>
            <w:shd w:val="clear" w:color="auto" w:fill="auto"/>
            <w:vAlign w:val="center"/>
          </w:tcPr>
          <w:p w:rsidR="00BA18C2" w:rsidRPr="000C169F" w:rsidRDefault="00BA18C2" w:rsidP="00BA18C2">
            <w:pPr>
              <w:jc w:val="center"/>
              <w:rPr>
                <w:sz w:val="18"/>
                <w:szCs w:val="18"/>
              </w:rPr>
            </w:pPr>
            <w:r w:rsidRPr="000C169F">
              <w:rPr>
                <w:sz w:val="18"/>
                <w:szCs w:val="18"/>
              </w:rPr>
              <w:t>5.8</w:t>
            </w:r>
          </w:p>
        </w:tc>
        <w:tc>
          <w:tcPr>
            <w:tcW w:w="449" w:type="dxa"/>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533" w:type="dxa"/>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7</w:t>
            </w:r>
          </w:p>
        </w:tc>
      </w:tr>
      <w:tr w:rsidR="00BA18C2" w:rsidRPr="000C169F" w:rsidTr="006239BD">
        <w:trPr>
          <w:trHeight w:val="244"/>
          <w:jc w:val="center"/>
        </w:trPr>
        <w:tc>
          <w:tcPr>
            <w:tcW w:w="374" w:type="dxa"/>
            <w:shd w:val="clear" w:color="auto" w:fill="auto"/>
            <w:vAlign w:val="center"/>
          </w:tcPr>
          <w:p w:rsidR="00BA18C2" w:rsidRPr="000C169F" w:rsidRDefault="00BA18C2" w:rsidP="00BA18C2">
            <w:pPr>
              <w:rPr>
                <w:sz w:val="18"/>
                <w:szCs w:val="18"/>
              </w:rPr>
            </w:pPr>
            <w:r w:rsidRPr="000C169F">
              <w:rPr>
                <w:sz w:val="18"/>
                <w:szCs w:val="18"/>
              </w:rPr>
              <w:t>3</w:t>
            </w:r>
          </w:p>
        </w:tc>
        <w:tc>
          <w:tcPr>
            <w:tcW w:w="1327" w:type="dxa"/>
            <w:shd w:val="clear" w:color="auto" w:fill="auto"/>
            <w:vAlign w:val="center"/>
          </w:tcPr>
          <w:p w:rsidR="00BA18C2" w:rsidRPr="000C169F" w:rsidRDefault="00BA18C2" w:rsidP="00BA18C2">
            <w:pPr>
              <w:rPr>
                <w:sz w:val="18"/>
                <w:szCs w:val="18"/>
              </w:rPr>
            </w:pPr>
            <w:r w:rsidRPr="000C169F">
              <w:rPr>
                <w:sz w:val="18"/>
                <w:szCs w:val="18"/>
              </w:rPr>
              <w:t>DT X7</w:t>
            </w:r>
          </w:p>
        </w:tc>
        <w:tc>
          <w:tcPr>
            <w:tcW w:w="1121" w:type="dxa"/>
            <w:shd w:val="clear" w:color="auto" w:fill="auto"/>
            <w:vAlign w:val="center"/>
          </w:tcPr>
          <w:p w:rsidR="00BA18C2" w:rsidRPr="000C169F" w:rsidRDefault="00BA18C2" w:rsidP="00BA18C2">
            <w:pPr>
              <w:rPr>
                <w:i/>
                <w:iCs/>
                <w:sz w:val="18"/>
                <w:szCs w:val="18"/>
              </w:rPr>
            </w:pPr>
            <w:r w:rsidRPr="000C169F">
              <w:rPr>
                <w:i/>
                <w:iCs/>
                <w:sz w:val="18"/>
                <w:szCs w:val="18"/>
              </w:rPr>
              <w:t>P. avium</w:t>
            </w:r>
          </w:p>
        </w:tc>
        <w:tc>
          <w:tcPr>
            <w:tcW w:w="533" w:type="dxa"/>
            <w:shd w:val="clear" w:color="auto" w:fill="auto"/>
            <w:vAlign w:val="center"/>
          </w:tcPr>
          <w:p w:rsidR="00BA18C2" w:rsidRPr="000C169F" w:rsidRDefault="00BA18C2" w:rsidP="00BA18C2">
            <w:pPr>
              <w:jc w:val="center"/>
              <w:rPr>
                <w:sz w:val="18"/>
                <w:szCs w:val="18"/>
              </w:rPr>
            </w:pPr>
            <w:r w:rsidRPr="000C169F">
              <w:rPr>
                <w:sz w:val="18"/>
                <w:szCs w:val="18"/>
              </w:rPr>
              <w:t>7</w:t>
            </w:r>
          </w:p>
        </w:tc>
        <w:tc>
          <w:tcPr>
            <w:tcW w:w="617" w:type="dxa"/>
            <w:vAlign w:val="center"/>
          </w:tcPr>
          <w:p w:rsidR="00BA18C2" w:rsidRPr="000C169F" w:rsidRDefault="00BA18C2" w:rsidP="00BA18C2">
            <w:pPr>
              <w:jc w:val="center"/>
              <w:rPr>
                <w:sz w:val="18"/>
                <w:szCs w:val="18"/>
              </w:rPr>
            </w:pPr>
            <w:r w:rsidRPr="000C169F">
              <w:rPr>
                <w:sz w:val="18"/>
                <w:szCs w:val="18"/>
              </w:rPr>
              <w:t>9.9</w:t>
            </w:r>
          </w:p>
        </w:tc>
        <w:tc>
          <w:tcPr>
            <w:tcW w:w="617" w:type="dxa"/>
            <w:shd w:val="clear" w:color="auto" w:fill="auto"/>
            <w:vAlign w:val="center"/>
          </w:tcPr>
          <w:p w:rsidR="00BA18C2" w:rsidRPr="000C169F" w:rsidRDefault="00BA18C2" w:rsidP="00BA18C2">
            <w:pPr>
              <w:jc w:val="center"/>
              <w:rPr>
                <w:sz w:val="18"/>
                <w:szCs w:val="18"/>
              </w:rPr>
            </w:pPr>
            <w:r w:rsidRPr="000C169F">
              <w:rPr>
                <w:sz w:val="18"/>
                <w:szCs w:val="18"/>
              </w:rPr>
              <w:t>5.2</w:t>
            </w:r>
          </w:p>
        </w:tc>
        <w:tc>
          <w:tcPr>
            <w:tcW w:w="449" w:type="dxa"/>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533" w:type="dxa"/>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BA18C2">
            <w:pPr>
              <w:jc w:val="center"/>
              <w:rPr>
                <w:sz w:val="18"/>
                <w:szCs w:val="18"/>
              </w:rPr>
            </w:pPr>
            <w:r w:rsidRPr="000C169F">
              <w:rPr>
                <w:sz w:val="18"/>
                <w:szCs w:val="18"/>
              </w:rPr>
              <w:t>7</w:t>
            </w:r>
          </w:p>
        </w:tc>
      </w:tr>
      <w:tr w:rsidR="00BA18C2" w:rsidRPr="000C169F" w:rsidTr="006239BD">
        <w:trPr>
          <w:trHeight w:val="244"/>
          <w:jc w:val="center"/>
        </w:trPr>
        <w:tc>
          <w:tcPr>
            <w:tcW w:w="374" w:type="dxa"/>
            <w:tcBorders>
              <w:bottom w:val="single" w:sz="4" w:space="0" w:color="auto"/>
            </w:tcBorders>
            <w:shd w:val="clear" w:color="auto" w:fill="auto"/>
            <w:vAlign w:val="center"/>
          </w:tcPr>
          <w:p w:rsidR="00BA18C2" w:rsidRPr="000C169F" w:rsidRDefault="00BA18C2" w:rsidP="00BA18C2">
            <w:pPr>
              <w:rPr>
                <w:sz w:val="18"/>
                <w:szCs w:val="18"/>
              </w:rPr>
            </w:pPr>
            <w:r w:rsidRPr="000C169F">
              <w:rPr>
                <w:sz w:val="18"/>
                <w:szCs w:val="18"/>
              </w:rPr>
              <w:t>4</w:t>
            </w:r>
          </w:p>
        </w:tc>
        <w:tc>
          <w:tcPr>
            <w:tcW w:w="1327" w:type="dxa"/>
            <w:tcBorders>
              <w:bottom w:val="single" w:sz="4" w:space="0" w:color="auto"/>
            </w:tcBorders>
            <w:shd w:val="clear" w:color="auto" w:fill="auto"/>
            <w:vAlign w:val="center"/>
          </w:tcPr>
          <w:p w:rsidR="00BA18C2" w:rsidRPr="000C169F" w:rsidRDefault="00BA18C2" w:rsidP="00BA18C2">
            <w:pPr>
              <w:rPr>
                <w:sz w:val="18"/>
                <w:szCs w:val="18"/>
              </w:rPr>
            </w:pPr>
            <w:r w:rsidRPr="000C169F">
              <w:rPr>
                <w:sz w:val="18"/>
                <w:szCs w:val="18"/>
              </w:rPr>
              <w:t>DT K9</w:t>
            </w:r>
          </w:p>
        </w:tc>
        <w:tc>
          <w:tcPr>
            <w:tcW w:w="1121" w:type="dxa"/>
            <w:tcBorders>
              <w:bottom w:val="single" w:sz="4" w:space="0" w:color="auto"/>
            </w:tcBorders>
            <w:shd w:val="clear" w:color="auto" w:fill="auto"/>
            <w:vAlign w:val="center"/>
          </w:tcPr>
          <w:p w:rsidR="00BA18C2" w:rsidRPr="000C169F" w:rsidRDefault="00BA18C2" w:rsidP="00BA18C2">
            <w:pPr>
              <w:rPr>
                <w:i/>
                <w:iCs/>
                <w:sz w:val="18"/>
                <w:szCs w:val="18"/>
              </w:rPr>
            </w:pPr>
            <w:r w:rsidRPr="000C169F">
              <w:rPr>
                <w:i/>
                <w:iCs/>
                <w:sz w:val="18"/>
                <w:szCs w:val="18"/>
              </w:rPr>
              <w:t>P. avium</w:t>
            </w:r>
          </w:p>
        </w:tc>
        <w:tc>
          <w:tcPr>
            <w:tcW w:w="533"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9</w:t>
            </w:r>
          </w:p>
        </w:tc>
        <w:tc>
          <w:tcPr>
            <w:tcW w:w="617" w:type="dxa"/>
            <w:tcBorders>
              <w:bottom w:val="single" w:sz="4" w:space="0" w:color="auto"/>
            </w:tcBorders>
            <w:vAlign w:val="center"/>
          </w:tcPr>
          <w:p w:rsidR="00BA18C2" w:rsidRPr="000C169F" w:rsidRDefault="00BA18C2" w:rsidP="00BA18C2">
            <w:pPr>
              <w:jc w:val="center"/>
              <w:rPr>
                <w:sz w:val="18"/>
                <w:szCs w:val="18"/>
              </w:rPr>
            </w:pPr>
            <w:r w:rsidRPr="000C169F">
              <w:rPr>
                <w:sz w:val="18"/>
                <w:szCs w:val="18"/>
              </w:rPr>
              <w:t>10.4</w:t>
            </w:r>
          </w:p>
        </w:tc>
        <w:tc>
          <w:tcPr>
            <w:tcW w:w="617"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6.1</w:t>
            </w:r>
          </w:p>
        </w:tc>
        <w:tc>
          <w:tcPr>
            <w:tcW w:w="449"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5</w:t>
            </w:r>
          </w:p>
        </w:tc>
        <w:tc>
          <w:tcPr>
            <w:tcW w:w="450"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4</w:t>
            </w:r>
          </w:p>
        </w:tc>
        <w:tc>
          <w:tcPr>
            <w:tcW w:w="450"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11</w:t>
            </w:r>
          </w:p>
        </w:tc>
        <w:tc>
          <w:tcPr>
            <w:tcW w:w="533"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BA18C2">
            <w:pPr>
              <w:jc w:val="center"/>
              <w:rPr>
                <w:sz w:val="18"/>
                <w:szCs w:val="18"/>
              </w:rPr>
            </w:pPr>
            <w:r w:rsidRPr="000C169F">
              <w:rPr>
                <w:sz w:val="18"/>
                <w:szCs w:val="18"/>
              </w:rPr>
              <w:t>7</w:t>
            </w:r>
          </w:p>
        </w:tc>
      </w:tr>
      <w:tr w:rsidR="00BA18C2" w:rsidRPr="000C169F" w:rsidTr="006239BD">
        <w:trPr>
          <w:trHeight w:val="244"/>
          <w:jc w:val="center"/>
        </w:trPr>
        <w:tc>
          <w:tcPr>
            <w:tcW w:w="374" w:type="dxa"/>
            <w:tcBorders>
              <w:top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5</w:t>
            </w:r>
          </w:p>
        </w:tc>
        <w:tc>
          <w:tcPr>
            <w:tcW w:w="1327" w:type="dxa"/>
            <w:tcBorders>
              <w:top w:val="single" w:sz="4" w:space="0" w:color="auto"/>
            </w:tcBorders>
            <w:shd w:val="clear" w:color="auto" w:fill="auto"/>
            <w:vAlign w:val="center"/>
          </w:tcPr>
          <w:p w:rsidR="00BA18C2" w:rsidRPr="000C169F" w:rsidRDefault="000C169F" w:rsidP="000C169F">
            <w:pPr>
              <w:rPr>
                <w:sz w:val="18"/>
                <w:szCs w:val="18"/>
              </w:rPr>
            </w:pPr>
            <w:r w:rsidRPr="000C169F">
              <w:rPr>
                <w:sz w:val="18"/>
                <w:szCs w:val="18"/>
              </w:rPr>
              <w:t xml:space="preserve">Oblačinska </w:t>
            </w:r>
            <w:r w:rsidR="00BA18C2" w:rsidRPr="000C169F">
              <w:rPr>
                <w:sz w:val="18"/>
                <w:szCs w:val="18"/>
              </w:rPr>
              <w:t>UD 1</w:t>
            </w:r>
          </w:p>
        </w:tc>
        <w:tc>
          <w:tcPr>
            <w:tcW w:w="1121" w:type="dxa"/>
            <w:tcBorders>
              <w:top w:val="single" w:sz="4" w:space="0" w:color="auto"/>
            </w:tcBorders>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617" w:type="dxa"/>
            <w:tcBorders>
              <w:top w:val="single" w:sz="4" w:space="0" w:color="auto"/>
            </w:tcBorders>
            <w:vAlign w:val="center"/>
          </w:tcPr>
          <w:p w:rsidR="00BA18C2" w:rsidRPr="000C169F" w:rsidRDefault="00BA18C2" w:rsidP="000C169F">
            <w:pPr>
              <w:jc w:val="center"/>
              <w:rPr>
                <w:sz w:val="18"/>
                <w:szCs w:val="18"/>
              </w:rPr>
            </w:pPr>
            <w:r w:rsidRPr="000C169F">
              <w:rPr>
                <w:sz w:val="18"/>
                <w:szCs w:val="18"/>
              </w:rPr>
              <w:t>8.9</w:t>
            </w:r>
          </w:p>
        </w:tc>
        <w:tc>
          <w:tcPr>
            <w:tcW w:w="617"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3.9</w:t>
            </w:r>
          </w:p>
        </w:tc>
        <w:tc>
          <w:tcPr>
            <w:tcW w:w="449"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8</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6</w:t>
            </w:r>
          </w:p>
        </w:tc>
        <w:tc>
          <w:tcPr>
            <w:tcW w:w="1327" w:type="dxa"/>
            <w:shd w:val="clear" w:color="auto" w:fill="auto"/>
            <w:vAlign w:val="center"/>
          </w:tcPr>
          <w:p w:rsidR="00BA18C2" w:rsidRPr="000C169F" w:rsidRDefault="000C169F" w:rsidP="000C169F">
            <w:pPr>
              <w:rPr>
                <w:sz w:val="18"/>
                <w:szCs w:val="18"/>
              </w:rPr>
            </w:pPr>
            <w:r w:rsidRPr="000C169F">
              <w:rPr>
                <w:sz w:val="18"/>
                <w:szCs w:val="18"/>
              </w:rPr>
              <w:t xml:space="preserve">Oblačinska </w:t>
            </w:r>
            <w:r w:rsidR="00BA18C2" w:rsidRPr="000C169F">
              <w:rPr>
                <w:sz w:val="18"/>
                <w:szCs w:val="18"/>
              </w:rPr>
              <w:t>UD 8</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617" w:type="dxa"/>
            <w:vAlign w:val="center"/>
          </w:tcPr>
          <w:p w:rsidR="00BA18C2" w:rsidRPr="000C169F" w:rsidRDefault="00BA18C2" w:rsidP="000C169F">
            <w:pPr>
              <w:jc w:val="center"/>
              <w:rPr>
                <w:sz w:val="18"/>
                <w:szCs w:val="18"/>
              </w:rPr>
            </w:pPr>
            <w:r w:rsidRPr="000C169F">
              <w:rPr>
                <w:sz w:val="18"/>
                <w:szCs w:val="18"/>
              </w:rPr>
              <w:t>8.2</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4.2</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7</w:t>
            </w:r>
          </w:p>
        </w:tc>
        <w:tc>
          <w:tcPr>
            <w:tcW w:w="1327" w:type="dxa"/>
            <w:shd w:val="clear" w:color="auto" w:fill="auto"/>
            <w:vAlign w:val="center"/>
          </w:tcPr>
          <w:p w:rsidR="00BA18C2" w:rsidRPr="000C169F" w:rsidRDefault="000C169F" w:rsidP="000C169F">
            <w:pPr>
              <w:rPr>
                <w:sz w:val="18"/>
                <w:szCs w:val="18"/>
              </w:rPr>
            </w:pPr>
            <w:r w:rsidRPr="000C169F">
              <w:rPr>
                <w:sz w:val="18"/>
                <w:szCs w:val="18"/>
              </w:rPr>
              <w:t>Oblačinska</w:t>
            </w:r>
            <w:r w:rsidR="00BA18C2" w:rsidRPr="000C169F">
              <w:rPr>
                <w:sz w:val="18"/>
                <w:szCs w:val="18"/>
              </w:rPr>
              <w:t xml:space="preserve"> UD 6</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vAlign w:val="center"/>
          </w:tcPr>
          <w:p w:rsidR="00BA18C2" w:rsidRPr="000C169F" w:rsidRDefault="00BA18C2" w:rsidP="000C169F">
            <w:pPr>
              <w:jc w:val="center"/>
              <w:rPr>
                <w:sz w:val="18"/>
                <w:szCs w:val="18"/>
              </w:rPr>
            </w:pPr>
            <w:r w:rsidRPr="000C169F">
              <w:rPr>
                <w:sz w:val="18"/>
                <w:szCs w:val="18"/>
              </w:rPr>
              <w:t>8.2</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4.3</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7</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8</w:t>
            </w:r>
          </w:p>
        </w:tc>
        <w:tc>
          <w:tcPr>
            <w:tcW w:w="1327" w:type="dxa"/>
            <w:shd w:val="clear" w:color="auto" w:fill="auto"/>
            <w:vAlign w:val="center"/>
          </w:tcPr>
          <w:p w:rsidR="00BA18C2" w:rsidRPr="000C169F" w:rsidRDefault="000C169F" w:rsidP="000C169F">
            <w:pPr>
              <w:rPr>
                <w:sz w:val="18"/>
                <w:szCs w:val="18"/>
              </w:rPr>
            </w:pPr>
            <w:r w:rsidRPr="000C169F">
              <w:rPr>
                <w:sz w:val="18"/>
                <w:szCs w:val="18"/>
              </w:rPr>
              <w:t xml:space="preserve">Oblačinska </w:t>
            </w:r>
            <w:r w:rsidR="00BA18C2" w:rsidRPr="000C169F">
              <w:rPr>
                <w:sz w:val="18"/>
                <w:szCs w:val="18"/>
              </w:rPr>
              <w:t>D1 R</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617" w:type="dxa"/>
            <w:vAlign w:val="center"/>
          </w:tcPr>
          <w:p w:rsidR="00BA18C2" w:rsidRPr="000C169F" w:rsidRDefault="00BA18C2" w:rsidP="000C169F">
            <w:pPr>
              <w:jc w:val="center"/>
              <w:rPr>
                <w:sz w:val="18"/>
                <w:szCs w:val="18"/>
              </w:rPr>
            </w:pPr>
            <w:r w:rsidRPr="000C169F">
              <w:rPr>
                <w:sz w:val="18"/>
                <w:szCs w:val="18"/>
              </w:rPr>
              <w:t>8.1</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4.2</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9</w:t>
            </w:r>
          </w:p>
        </w:tc>
        <w:tc>
          <w:tcPr>
            <w:tcW w:w="1327" w:type="dxa"/>
            <w:shd w:val="clear" w:color="auto" w:fill="auto"/>
            <w:vAlign w:val="center"/>
          </w:tcPr>
          <w:p w:rsidR="00BA18C2" w:rsidRPr="000C169F" w:rsidRDefault="00BA18C2" w:rsidP="000C169F">
            <w:pPr>
              <w:rPr>
                <w:sz w:val="18"/>
                <w:szCs w:val="18"/>
              </w:rPr>
            </w:pPr>
            <w:r w:rsidRPr="000C169F">
              <w:rPr>
                <w:sz w:val="18"/>
                <w:szCs w:val="18"/>
              </w:rPr>
              <w:t>Oblačinska D4 R</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617" w:type="dxa"/>
            <w:vAlign w:val="center"/>
          </w:tcPr>
          <w:p w:rsidR="00BA18C2" w:rsidRPr="000C169F" w:rsidRDefault="00BA18C2" w:rsidP="000C169F">
            <w:pPr>
              <w:jc w:val="center"/>
              <w:rPr>
                <w:sz w:val="18"/>
                <w:szCs w:val="18"/>
              </w:rPr>
            </w:pPr>
            <w:r w:rsidRPr="000C169F">
              <w:rPr>
                <w:sz w:val="18"/>
                <w:szCs w:val="18"/>
              </w:rPr>
              <w:t>5.9</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2.8</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10</w:t>
            </w:r>
          </w:p>
        </w:tc>
        <w:tc>
          <w:tcPr>
            <w:tcW w:w="1327" w:type="dxa"/>
            <w:shd w:val="clear" w:color="auto" w:fill="auto"/>
            <w:vAlign w:val="center"/>
          </w:tcPr>
          <w:p w:rsidR="00BA18C2" w:rsidRPr="000C169F" w:rsidRDefault="000C169F" w:rsidP="000C169F">
            <w:pPr>
              <w:rPr>
                <w:sz w:val="18"/>
                <w:szCs w:val="18"/>
              </w:rPr>
            </w:pPr>
            <w:r w:rsidRPr="000C169F">
              <w:rPr>
                <w:sz w:val="18"/>
                <w:szCs w:val="18"/>
              </w:rPr>
              <w:t xml:space="preserve">Oblačinska </w:t>
            </w:r>
            <w:r w:rsidR="00BA18C2" w:rsidRPr="000C169F">
              <w:rPr>
                <w:sz w:val="18"/>
                <w:szCs w:val="18"/>
              </w:rPr>
              <w:t>II/10 R</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vAlign w:val="center"/>
          </w:tcPr>
          <w:p w:rsidR="00BA18C2" w:rsidRPr="000C169F" w:rsidRDefault="00BA18C2" w:rsidP="000C169F">
            <w:pPr>
              <w:jc w:val="center"/>
              <w:rPr>
                <w:sz w:val="18"/>
                <w:szCs w:val="18"/>
              </w:rPr>
            </w:pPr>
            <w:r w:rsidRPr="000C169F">
              <w:rPr>
                <w:sz w:val="18"/>
                <w:szCs w:val="18"/>
              </w:rPr>
              <w:t>7.6</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3.9</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11</w:t>
            </w:r>
          </w:p>
        </w:tc>
        <w:tc>
          <w:tcPr>
            <w:tcW w:w="1327" w:type="dxa"/>
            <w:shd w:val="clear" w:color="auto" w:fill="auto"/>
            <w:vAlign w:val="center"/>
          </w:tcPr>
          <w:p w:rsidR="00BA18C2" w:rsidRPr="000C169F" w:rsidRDefault="00BA18C2" w:rsidP="000C169F">
            <w:pPr>
              <w:rPr>
                <w:sz w:val="18"/>
                <w:szCs w:val="18"/>
              </w:rPr>
            </w:pPr>
            <w:r w:rsidRPr="000C169F">
              <w:rPr>
                <w:sz w:val="18"/>
                <w:szCs w:val="18"/>
              </w:rPr>
              <w:t>Oblačinska XI/3 R</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617" w:type="dxa"/>
            <w:vAlign w:val="center"/>
          </w:tcPr>
          <w:p w:rsidR="00BA18C2" w:rsidRPr="000C169F" w:rsidRDefault="00BA18C2" w:rsidP="000C169F">
            <w:pPr>
              <w:jc w:val="center"/>
              <w:rPr>
                <w:sz w:val="18"/>
                <w:szCs w:val="18"/>
              </w:rPr>
            </w:pPr>
            <w:r w:rsidRPr="000C169F">
              <w:rPr>
                <w:sz w:val="18"/>
                <w:szCs w:val="18"/>
              </w:rPr>
              <w:t>9.3</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4.7</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tcBorders>
              <w:bottom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12</w:t>
            </w:r>
          </w:p>
        </w:tc>
        <w:tc>
          <w:tcPr>
            <w:tcW w:w="1327" w:type="dxa"/>
            <w:tcBorders>
              <w:bottom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Oblačinska D4 RŠ</w:t>
            </w:r>
          </w:p>
        </w:tc>
        <w:tc>
          <w:tcPr>
            <w:tcW w:w="1121" w:type="dxa"/>
            <w:tcBorders>
              <w:bottom w:val="single" w:sz="4" w:space="0" w:color="auto"/>
            </w:tcBorders>
            <w:shd w:val="clear" w:color="auto" w:fill="auto"/>
            <w:vAlign w:val="center"/>
          </w:tcPr>
          <w:p w:rsidR="00BA18C2" w:rsidRPr="000C169F" w:rsidRDefault="00BA18C2" w:rsidP="000C169F">
            <w:pPr>
              <w:rPr>
                <w:i/>
                <w:iCs/>
                <w:sz w:val="18"/>
                <w:szCs w:val="18"/>
              </w:rPr>
            </w:pPr>
            <w:r w:rsidRPr="000C169F">
              <w:rPr>
                <w:i/>
                <w:iCs/>
                <w:sz w:val="18"/>
                <w:szCs w:val="18"/>
              </w:rPr>
              <w:t>P. cerasus</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tcBorders>
              <w:bottom w:val="single" w:sz="4" w:space="0" w:color="auto"/>
            </w:tcBorders>
            <w:vAlign w:val="center"/>
          </w:tcPr>
          <w:p w:rsidR="00BA18C2" w:rsidRPr="000C169F" w:rsidRDefault="00BA18C2" w:rsidP="000C169F">
            <w:pPr>
              <w:jc w:val="center"/>
              <w:rPr>
                <w:sz w:val="18"/>
                <w:szCs w:val="18"/>
              </w:rPr>
            </w:pPr>
            <w:r w:rsidRPr="000C169F">
              <w:rPr>
                <w:sz w:val="18"/>
                <w:szCs w:val="18"/>
              </w:rPr>
              <w:t>8.1</w:t>
            </w:r>
          </w:p>
        </w:tc>
        <w:tc>
          <w:tcPr>
            <w:tcW w:w="617"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4.2</w:t>
            </w:r>
          </w:p>
        </w:tc>
        <w:tc>
          <w:tcPr>
            <w:tcW w:w="449"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tcBorders>
              <w:top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13</w:t>
            </w:r>
          </w:p>
        </w:tc>
        <w:tc>
          <w:tcPr>
            <w:tcW w:w="1327" w:type="dxa"/>
            <w:tcBorders>
              <w:top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BNS</w:t>
            </w:r>
          </w:p>
        </w:tc>
        <w:tc>
          <w:tcPr>
            <w:tcW w:w="1121" w:type="dxa"/>
            <w:tcBorders>
              <w:top w:val="single" w:sz="4" w:space="0" w:color="auto"/>
            </w:tcBorders>
            <w:shd w:val="clear" w:color="auto" w:fill="auto"/>
            <w:vAlign w:val="center"/>
          </w:tcPr>
          <w:p w:rsidR="00BA18C2" w:rsidRPr="000C169F" w:rsidRDefault="00BA18C2" w:rsidP="000C169F">
            <w:pPr>
              <w:rPr>
                <w:i/>
                <w:iCs/>
                <w:sz w:val="18"/>
                <w:szCs w:val="18"/>
              </w:rPr>
            </w:pPr>
            <w:r w:rsidRPr="000C169F">
              <w:rPr>
                <w:i/>
                <w:iCs/>
                <w:sz w:val="18"/>
                <w:szCs w:val="18"/>
              </w:rPr>
              <w:t>P. mahaleb</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9</w:t>
            </w:r>
          </w:p>
        </w:tc>
        <w:tc>
          <w:tcPr>
            <w:tcW w:w="617" w:type="dxa"/>
            <w:tcBorders>
              <w:top w:val="single" w:sz="4" w:space="0" w:color="auto"/>
            </w:tcBorders>
            <w:vAlign w:val="center"/>
          </w:tcPr>
          <w:p w:rsidR="00BA18C2" w:rsidRPr="000C169F" w:rsidRDefault="00BA18C2" w:rsidP="000C169F">
            <w:pPr>
              <w:jc w:val="center"/>
              <w:rPr>
                <w:sz w:val="18"/>
                <w:szCs w:val="18"/>
              </w:rPr>
            </w:pPr>
            <w:r w:rsidRPr="000C169F">
              <w:rPr>
                <w:sz w:val="18"/>
                <w:szCs w:val="18"/>
              </w:rPr>
              <w:t>6.1</w:t>
            </w:r>
          </w:p>
        </w:tc>
        <w:tc>
          <w:tcPr>
            <w:tcW w:w="617"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3.8</w:t>
            </w:r>
          </w:p>
        </w:tc>
        <w:tc>
          <w:tcPr>
            <w:tcW w:w="449"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6</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13</w:t>
            </w:r>
          </w:p>
        </w:tc>
      </w:tr>
      <w:tr w:rsidR="00BA18C2" w:rsidRPr="000C169F" w:rsidTr="006239BD">
        <w:trPr>
          <w:trHeight w:val="244"/>
          <w:jc w:val="center"/>
        </w:trPr>
        <w:tc>
          <w:tcPr>
            <w:tcW w:w="374" w:type="dxa"/>
            <w:tcBorders>
              <w:bottom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14</w:t>
            </w:r>
          </w:p>
        </w:tc>
        <w:tc>
          <w:tcPr>
            <w:tcW w:w="1327" w:type="dxa"/>
            <w:tcBorders>
              <w:bottom w:val="single" w:sz="4" w:space="0" w:color="auto"/>
            </w:tcBorders>
            <w:shd w:val="clear" w:color="auto" w:fill="auto"/>
            <w:vAlign w:val="center"/>
          </w:tcPr>
          <w:p w:rsidR="00BA18C2" w:rsidRPr="000C169F" w:rsidRDefault="00BA18C2" w:rsidP="000C169F">
            <w:pPr>
              <w:rPr>
                <w:sz w:val="18"/>
                <w:szCs w:val="18"/>
              </w:rPr>
            </w:pPr>
            <w:r w:rsidRPr="000C169F">
              <w:rPr>
                <w:iCs/>
                <w:sz w:val="18"/>
                <w:szCs w:val="18"/>
              </w:rPr>
              <w:t>Tika</w:t>
            </w:r>
          </w:p>
        </w:tc>
        <w:tc>
          <w:tcPr>
            <w:tcW w:w="1121" w:type="dxa"/>
            <w:tcBorders>
              <w:bottom w:val="single" w:sz="4" w:space="0" w:color="auto"/>
            </w:tcBorders>
            <w:shd w:val="clear" w:color="auto" w:fill="auto"/>
            <w:vAlign w:val="center"/>
          </w:tcPr>
          <w:p w:rsidR="00BA18C2" w:rsidRPr="000C169F" w:rsidRDefault="00BA18C2" w:rsidP="000C169F">
            <w:pPr>
              <w:rPr>
                <w:i/>
                <w:iCs/>
                <w:sz w:val="18"/>
                <w:szCs w:val="18"/>
              </w:rPr>
            </w:pPr>
            <w:r w:rsidRPr="000C169F">
              <w:rPr>
                <w:i/>
                <w:iCs/>
                <w:sz w:val="18"/>
                <w:szCs w:val="18"/>
              </w:rPr>
              <w:t>P. mahaleb</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7</w:t>
            </w:r>
          </w:p>
        </w:tc>
        <w:tc>
          <w:tcPr>
            <w:tcW w:w="617" w:type="dxa"/>
            <w:tcBorders>
              <w:bottom w:val="single" w:sz="4" w:space="0" w:color="auto"/>
            </w:tcBorders>
            <w:vAlign w:val="center"/>
          </w:tcPr>
          <w:p w:rsidR="00BA18C2" w:rsidRPr="000C169F" w:rsidRDefault="00BA18C2" w:rsidP="000C169F">
            <w:pPr>
              <w:jc w:val="center"/>
              <w:rPr>
                <w:sz w:val="18"/>
                <w:szCs w:val="18"/>
              </w:rPr>
            </w:pPr>
            <w:r w:rsidRPr="000C169F">
              <w:rPr>
                <w:sz w:val="18"/>
                <w:szCs w:val="18"/>
              </w:rPr>
              <w:t>5.2</w:t>
            </w:r>
          </w:p>
        </w:tc>
        <w:tc>
          <w:tcPr>
            <w:tcW w:w="617"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4.7</w:t>
            </w:r>
          </w:p>
        </w:tc>
        <w:tc>
          <w:tcPr>
            <w:tcW w:w="449"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6</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r>
      <w:tr w:rsidR="00BA18C2" w:rsidRPr="000C169F" w:rsidTr="006239BD">
        <w:trPr>
          <w:trHeight w:val="244"/>
          <w:jc w:val="center"/>
        </w:trPr>
        <w:tc>
          <w:tcPr>
            <w:tcW w:w="374" w:type="dxa"/>
            <w:tcBorders>
              <w:top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15</w:t>
            </w:r>
          </w:p>
        </w:tc>
        <w:tc>
          <w:tcPr>
            <w:tcW w:w="1327" w:type="dxa"/>
            <w:tcBorders>
              <w:top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SV 1</w:t>
            </w:r>
          </w:p>
        </w:tc>
        <w:tc>
          <w:tcPr>
            <w:tcW w:w="1121" w:type="dxa"/>
            <w:tcBorders>
              <w:top w:val="single" w:sz="4" w:space="0" w:color="auto"/>
            </w:tcBorders>
            <w:shd w:val="clear" w:color="auto" w:fill="auto"/>
            <w:vAlign w:val="center"/>
          </w:tcPr>
          <w:p w:rsidR="00BA18C2" w:rsidRPr="000C169F" w:rsidRDefault="00BA18C2" w:rsidP="000C169F">
            <w:pPr>
              <w:rPr>
                <w:i/>
                <w:iCs/>
                <w:sz w:val="18"/>
                <w:szCs w:val="18"/>
              </w:rPr>
            </w:pPr>
            <w:r w:rsidRPr="000C169F">
              <w:rPr>
                <w:i/>
                <w:iCs/>
                <w:sz w:val="18"/>
                <w:szCs w:val="18"/>
              </w:rPr>
              <w:t>P. fruticosa</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tcBorders>
              <w:top w:val="single" w:sz="4" w:space="0" w:color="auto"/>
            </w:tcBorders>
            <w:vAlign w:val="center"/>
          </w:tcPr>
          <w:p w:rsidR="00BA18C2" w:rsidRPr="000C169F" w:rsidRDefault="00BA18C2" w:rsidP="000C169F">
            <w:pPr>
              <w:jc w:val="center"/>
              <w:rPr>
                <w:sz w:val="18"/>
                <w:szCs w:val="18"/>
              </w:rPr>
            </w:pPr>
            <w:r w:rsidRPr="000C169F">
              <w:rPr>
                <w:sz w:val="18"/>
                <w:szCs w:val="18"/>
              </w:rPr>
              <w:t>3.9</w:t>
            </w:r>
          </w:p>
        </w:tc>
        <w:tc>
          <w:tcPr>
            <w:tcW w:w="617"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2.0</w:t>
            </w:r>
          </w:p>
        </w:tc>
        <w:tc>
          <w:tcPr>
            <w:tcW w:w="449"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6</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16</w:t>
            </w:r>
          </w:p>
        </w:tc>
        <w:tc>
          <w:tcPr>
            <w:tcW w:w="1327" w:type="dxa"/>
            <w:shd w:val="clear" w:color="auto" w:fill="auto"/>
            <w:vAlign w:val="center"/>
          </w:tcPr>
          <w:p w:rsidR="00BA18C2" w:rsidRPr="000C169F" w:rsidRDefault="00BA18C2" w:rsidP="000C169F">
            <w:pPr>
              <w:rPr>
                <w:sz w:val="18"/>
                <w:szCs w:val="18"/>
              </w:rPr>
            </w:pPr>
            <w:r w:rsidRPr="000C169F">
              <w:rPr>
                <w:sz w:val="18"/>
                <w:szCs w:val="18"/>
              </w:rPr>
              <w:t>SV 2</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fruticosa</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vAlign w:val="center"/>
          </w:tcPr>
          <w:p w:rsidR="00BA18C2" w:rsidRPr="000C169F" w:rsidRDefault="00BA18C2" w:rsidP="000C169F">
            <w:pPr>
              <w:jc w:val="center"/>
              <w:rPr>
                <w:sz w:val="18"/>
                <w:szCs w:val="18"/>
              </w:rPr>
            </w:pPr>
            <w:r w:rsidRPr="000C169F">
              <w:rPr>
                <w:sz w:val="18"/>
                <w:szCs w:val="18"/>
              </w:rPr>
              <w:t>4.8</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2.5</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6</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17</w:t>
            </w:r>
          </w:p>
        </w:tc>
        <w:tc>
          <w:tcPr>
            <w:tcW w:w="1327" w:type="dxa"/>
            <w:shd w:val="clear" w:color="auto" w:fill="auto"/>
            <w:vAlign w:val="center"/>
          </w:tcPr>
          <w:p w:rsidR="00BA18C2" w:rsidRPr="000C169F" w:rsidRDefault="00BA18C2" w:rsidP="000C169F">
            <w:pPr>
              <w:rPr>
                <w:sz w:val="18"/>
                <w:szCs w:val="18"/>
              </w:rPr>
            </w:pPr>
            <w:r w:rsidRPr="000C169F">
              <w:rPr>
                <w:sz w:val="18"/>
                <w:szCs w:val="18"/>
              </w:rPr>
              <w:t>SV 3</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fruticosa</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617" w:type="dxa"/>
            <w:vAlign w:val="center"/>
          </w:tcPr>
          <w:p w:rsidR="00BA18C2" w:rsidRPr="000C169F" w:rsidRDefault="00BA18C2" w:rsidP="000C169F">
            <w:pPr>
              <w:jc w:val="center"/>
              <w:rPr>
                <w:sz w:val="18"/>
                <w:szCs w:val="18"/>
              </w:rPr>
            </w:pPr>
            <w:r w:rsidRPr="000C169F">
              <w:rPr>
                <w:sz w:val="18"/>
                <w:szCs w:val="18"/>
              </w:rPr>
              <w:t>6.8</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4.4</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18</w:t>
            </w:r>
          </w:p>
        </w:tc>
        <w:tc>
          <w:tcPr>
            <w:tcW w:w="1327" w:type="dxa"/>
            <w:shd w:val="clear" w:color="auto" w:fill="auto"/>
            <w:vAlign w:val="center"/>
          </w:tcPr>
          <w:p w:rsidR="00BA18C2" w:rsidRPr="000C169F" w:rsidRDefault="00BA18C2" w:rsidP="000C169F">
            <w:pPr>
              <w:rPr>
                <w:sz w:val="18"/>
                <w:szCs w:val="18"/>
              </w:rPr>
            </w:pPr>
            <w:r w:rsidRPr="000C169F">
              <w:rPr>
                <w:sz w:val="18"/>
                <w:szCs w:val="18"/>
              </w:rPr>
              <w:t>SV 4</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fruticosa</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vAlign w:val="center"/>
          </w:tcPr>
          <w:p w:rsidR="00BA18C2" w:rsidRPr="000C169F" w:rsidRDefault="00BA18C2" w:rsidP="000C169F">
            <w:pPr>
              <w:jc w:val="center"/>
              <w:rPr>
                <w:sz w:val="18"/>
                <w:szCs w:val="18"/>
              </w:rPr>
            </w:pPr>
            <w:r w:rsidRPr="000C169F">
              <w:rPr>
                <w:sz w:val="18"/>
                <w:szCs w:val="18"/>
              </w:rPr>
              <w:t>4.2</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2.1</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19</w:t>
            </w:r>
          </w:p>
        </w:tc>
        <w:tc>
          <w:tcPr>
            <w:tcW w:w="1327" w:type="dxa"/>
            <w:shd w:val="clear" w:color="auto" w:fill="auto"/>
            <w:vAlign w:val="center"/>
          </w:tcPr>
          <w:p w:rsidR="00BA18C2" w:rsidRPr="000C169F" w:rsidRDefault="00BA18C2" w:rsidP="000C169F">
            <w:pPr>
              <w:rPr>
                <w:sz w:val="18"/>
                <w:szCs w:val="18"/>
              </w:rPr>
            </w:pPr>
            <w:r w:rsidRPr="000C169F">
              <w:rPr>
                <w:sz w:val="18"/>
                <w:szCs w:val="18"/>
              </w:rPr>
              <w:t>SV 5</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 fruticosa</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vAlign w:val="center"/>
          </w:tcPr>
          <w:p w:rsidR="00BA18C2" w:rsidRPr="000C169F" w:rsidRDefault="00BA18C2" w:rsidP="000C169F">
            <w:pPr>
              <w:jc w:val="center"/>
              <w:rPr>
                <w:sz w:val="18"/>
                <w:szCs w:val="18"/>
              </w:rPr>
            </w:pPr>
            <w:r w:rsidRPr="000C169F">
              <w:rPr>
                <w:sz w:val="18"/>
                <w:szCs w:val="18"/>
              </w:rPr>
              <w:t>4.7</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2.3</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tcBorders>
              <w:bottom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20</w:t>
            </w:r>
          </w:p>
        </w:tc>
        <w:tc>
          <w:tcPr>
            <w:tcW w:w="1327" w:type="dxa"/>
            <w:tcBorders>
              <w:bottom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SV 7</w:t>
            </w:r>
          </w:p>
        </w:tc>
        <w:tc>
          <w:tcPr>
            <w:tcW w:w="1121" w:type="dxa"/>
            <w:tcBorders>
              <w:bottom w:val="single" w:sz="4" w:space="0" w:color="auto"/>
            </w:tcBorders>
            <w:shd w:val="clear" w:color="auto" w:fill="auto"/>
            <w:vAlign w:val="center"/>
          </w:tcPr>
          <w:p w:rsidR="00BA18C2" w:rsidRPr="000C169F" w:rsidRDefault="00BA18C2" w:rsidP="000C169F">
            <w:pPr>
              <w:rPr>
                <w:i/>
                <w:iCs/>
                <w:sz w:val="18"/>
                <w:szCs w:val="18"/>
              </w:rPr>
            </w:pPr>
            <w:r w:rsidRPr="000C169F">
              <w:rPr>
                <w:i/>
                <w:iCs/>
                <w:sz w:val="18"/>
                <w:szCs w:val="18"/>
              </w:rPr>
              <w:t>P. fruticosa</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tcBorders>
              <w:bottom w:val="single" w:sz="4" w:space="0" w:color="auto"/>
            </w:tcBorders>
            <w:vAlign w:val="center"/>
          </w:tcPr>
          <w:p w:rsidR="00BA18C2" w:rsidRPr="000C169F" w:rsidRDefault="00BA18C2" w:rsidP="000C169F">
            <w:pPr>
              <w:jc w:val="center"/>
              <w:rPr>
                <w:sz w:val="18"/>
                <w:szCs w:val="18"/>
              </w:rPr>
            </w:pPr>
            <w:r w:rsidRPr="000C169F">
              <w:rPr>
                <w:sz w:val="18"/>
                <w:szCs w:val="18"/>
              </w:rPr>
              <w:t>5.9</w:t>
            </w:r>
          </w:p>
        </w:tc>
        <w:tc>
          <w:tcPr>
            <w:tcW w:w="617"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2.8</w:t>
            </w:r>
          </w:p>
        </w:tc>
        <w:tc>
          <w:tcPr>
            <w:tcW w:w="449"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r>
      <w:tr w:rsidR="00BA18C2" w:rsidRPr="000C169F" w:rsidTr="006239BD">
        <w:trPr>
          <w:trHeight w:val="244"/>
          <w:jc w:val="center"/>
        </w:trPr>
        <w:tc>
          <w:tcPr>
            <w:tcW w:w="374" w:type="dxa"/>
            <w:tcBorders>
              <w:top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21</w:t>
            </w:r>
          </w:p>
        </w:tc>
        <w:tc>
          <w:tcPr>
            <w:tcW w:w="1327" w:type="dxa"/>
            <w:tcBorders>
              <w:top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Colt</w:t>
            </w:r>
          </w:p>
        </w:tc>
        <w:tc>
          <w:tcPr>
            <w:tcW w:w="1121" w:type="dxa"/>
            <w:tcBorders>
              <w:top w:val="single" w:sz="4" w:space="0" w:color="auto"/>
            </w:tcBorders>
            <w:shd w:val="clear" w:color="auto" w:fill="auto"/>
            <w:vAlign w:val="center"/>
          </w:tcPr>
          <w:p w:rsidR="00BA18C2" w:rsidRPr="000C169F" w:rsidRDefault="00BA18C2" w:rsidP="000C169F">
            <w:pPr>
              <w:rPr>
                <w:i/>
                <w:iCs/>
                <w:sz w:val="18"/>
                <w:szCs w:val="18"/>
                <w:lang w:val="pl-PL"/>
              </w:rPr>
            </w:pPr>
            <w:r w:rsidRPr="000C169F">
              <w:rPr>
                <w:i/>
                <w:iCs/>
                <w:sz w:val="18"/>
                <w:szCs w:val="18"/>
                <w:lang w:val="pl-PL"/>
              </w:rPr>
              <w:t>P. avium x P. pseudocerasus</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7</w:t>
            </w:r>
          </w:p>
        </w:tc>
        <w:tc>
          <w:tcPr>
            <w:tcW w:w="617" w:type="dxa"/>
            <w:tcBorders>
              <w:top w:val="single" w:sz="4" w:space="0" w:color="auto"/>
            </w:tcBorders>
            <w:vAlign w:val="center"/>
          </w:tcPr>
          <w:p w:rsidR="00BA18C2" w:rsidRPr="000C169F" w:rsidRDefault="00BA18C2" w:rsidP="000C169F">
            <w:pPr>
              <w:jc w:val="center"/>
              <w:rPr>
                <w:sz w:val="18"/>
                <w:szCs w:val="18"/>
              </w:rPr>
            </w:pPr>
            <w:r w:rsidRPr="000C169F">
              <w:rPr>
                <w:sz w:val="18"/>
                <w:szCs w:val="18"/>
              </w:rPr>
              <w:t>9.3</w:t>
            </w:r>
          </w:p>
        </w:tc>
        <w:tc>
          <w:tcPr>
            <w:tcW w:w="617"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5,0</w:t>
            </w:r>
          </w:p>
        </w:tc>
        <w:tc>
          <w:tcPr>
            <w:tcW w:w="449"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533"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tcBorders>
              <w:top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4</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22</w:t>
            </w:r>
          </w:p>
        </w:tc>
        <w:tc>
          <w:tcPr>
            <w:tcW w:w="1327" w:type="dxa"/>
            <w:shd w:val="clear" w:color="auto" w:fill="auto"/>
            <w:vAlign w:val="center"/>
          </w:tcPr>
          <w:p w:rsidR="00BA18C2" w:rsidRPr="000C169F" w:rsidRDefault="00BA18C2" w:rsidP="000C169F">
            <w:pPr>
              <w:rPr>
                <w:sz w:val="18"/>
                <w:szCs w:val="18"/>
              </w:rPr>
            </w:pPr>
            <w:r w:rsidRPr="000C169F">
              <w:rPr>
                <w:sz w:val="18"/>
                <w:szCs w:val="18"/>
              </w:rPr>
              <w:t>Gisela 5</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P.cerasus x P. canescens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vAlign w:val="center"/>
          </w:tcPr>
          <w:p w:rsidR="00BA18C2" w:rsidRPr="000C169F" w:rsidRDefault="00BA18C2" w:rsidP="000C169F">
            <w:pPr>
              <w:jc w:val="center"/>
              <w:rPr>
                <w:sz w:val="18"/>
                <w:szCs w:val="18"/>
              </w:rPr>
            </w:pPr>
            <w:r w:rsidRPr="000C169F">
              <w:rPr>
                <w:sz w:val="18"/>
                <w:szCs w:val="18"/>
              </w:rPr>
              <w:t>6.1</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3.3</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10</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r>
      <w:tr w:rsidR="00BA18C2" w:rsidRPr="000C169F" w:rsidTr="006239BD">
        <w:trPr>
          <w:trHeight w:val="244"/>
          <w:jc w:val="center"/>
        </w:trPr>
        <w:tc>
          <w:tcPr>
            <w:tcW w:w="374" w:type="dxa"/>
            <w:shd w:val="clear" w:color="auto" w:fill="auto"/>
            <w:vAlign w:val="center"/>
          </w:tcPr>
          <w:p w:rsidR="00BA18C2" w:rsidRPr="000C169F" w:rsidRDefault="00BA18C2" w:rsidP="000C169F">
            <w:pPr>
              <w:rPr>
                <w:sz w:val="18"/>
                <w:szCs w:val="18"/>
              </w:rPr>
            </w:pPr>
            <w:r w:rsidRPr="000C169F">
              <w:rPr>
                <w:sz w:val="18"/>
                <w:szCs w:val="18"/>
              </w:rPr>
              <w:t>23</w:t>
            </w:r>
          </w:p>
        </w:tc>
        <w:tc>
          <w:tcPr>
            <w:tcW w:w="1327" w:type="dxa"/>
            <w:shd w:val="clear" w:color="auto" w:fill="auto"/>
            <w:vAlign w:val="center"/>
          </w:tcPr>
          <w:p w:rsidR="00BA18C2" w:rsidRPr="000C169F" w:rsidRDefault="00BA18C2" w:rsidP="000C169F">
            <w:pPr>
              <w:rPr>
                <w:sz w:val="18"/>
                <w:szCs w:val="18"/>
              </w:rPr>
            </w:pPr>
            <w:r w:rsidRPr="000C169F">
              <w:rPr>
                <w:sz w:val="18"/>
                <w:szCs w:val="18"/>
              </w:rPr>
              <w:t>Gisela 6</w:t>
            </w:r>
          </w:p>
        </w:tc>
        <w:tc>
          <w:tcPr>
            <w:tcW w:w="1121" w:type="dxa"/>
            <w:shd w:val="clear" w:color="auto" w:fill="auto"/>
            <w:vAlign w:val="center"/>
          </w:tcPr>
          <w:p w:rsidR="00BA18C2" w:rsidRPr="000C169F" w:rsidRDefault="00BA18C2" w:rsidP="000C169F">
            <w:pPr>
              <w:rPr>
                <w:i/>
                <w:iCs/>
                <w:sz w:val="18"/>
                <w:szCs w:val="18"/>
              </w:rPr>
            </w:pPr>
            <w:r w:rsidRPr="000C169F">
              <w:rPr>
                <w:i/>
                <w:iCs/>
                <w:sz w:val="18"/>
                <w:szCs w:val="18"/>
              </w:rPr>
              <w:t>P.cerasus x P. canescens</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3</w:t>
            </w:r>
          </w:p>
        </w:tc>
        <w:tc>
          <w:tcPr>
            <w:tcW w:w="617" w:type="dxa"/>
            <w:vAlign w:val="center"/>
          </w:tcPr>
          <w:p w:rsidR="00BA18C2" w:rsidRPr="000C169F" w:rsidRDefault="00BA18C2" w:rsidP="000C169F">
            <w:pPr>
              <w:jc w:val="center"/>
              <w:rPr>
                <w:sz w:val="18"/>
                <w:szCs w:val="18"/>
              </w:rPr>
            </w:pPr>
            <w:r w:rsidRPr="000C169F">
              <w:rPr>
                <w:sz w:val="18"/>
                <w:szCs w:val="18"/>
              </w:rPr>
              <w:t>6.5</w:t>
            </w:r>
          </w:p>
        </w:tc>
        <w:tc>
          <w:tcPr>
            <w:tcW w:w="617" w:type="dxa"/>
            <w:shd w:val="clear" w:color="auto" w:fill="auto"/>
            <w:vAlign w:val="center"/>
          </w:tcPr>
          <w:p w:rsidR="00BA18C2" w:rsidRPr="000C169F" w:rsidRDefault="00BA18C2" w:rsidP="000C169F">
            <w:pPr>
              <w:jc w:val="center"/>
              <w:rPr>
                <w:sz w:val="18"/>
                <w:szCs w:val="18"/>
              </w:rPr>
            </w:pPr>
            <w:r w:rsidRPr="000C169F">
              <w:rPr>
                <w:sz w:val="18"/>
                <w:szCs w:val="18"/>
              </w:rPr>
              <w:t>3.8</w:t>
            </w:r>
          </w:p>
        </w:tc>
        <w:tc>
          <w:tcPr>
            <w:tcW w:w="449"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7</w:t>
            </w:r>
          </w:p>
        </w:tc>
        <w:tc>
          <w:tcPr>
            <w:tcW w:w="533" w:type="dxa"/>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2</w:t>
            </w:r>
          </w:p>
        </w:tc>
        <w:tc>
          <w:tcPr>
            <w:tcW w:w="450" w:type="dxa"/>
            <w:shd w:val="clear" w:color="auto" w:fill="auto"/>
            <w:vAlign w:val="center"/>
          </w:tcPr>
          <w:p w:rsidR="00BA18C2" w:rsidRPr="000C169F" w:rsidRDefault="00BA18C2" w:rsidP="000C169F">
            <w:pPr>
              <w:jc w:val="center"/>
              <w:rPr>
                <w:sz w:val="18"/>
                <w:szCs w:val="18"/>
              </w:rPr>
            </w:pPr>
            <w:r w:rsidRPr="000C169F">
              <w:rPr>
                <w:sz w:val="18"/>
                <w:szCs w:val="18"/>
              </w:rPr>
              <w:t>1</w:t>
            </w:r>
          </w:p>
        </w:tc>
      </w:tr>
      <w:tr w:rsidR="00BA18C2" w:rsidRPr="000C169F" w:rsidTr="006239BD">
        <w:trPr>
          <w:trHeight w:val="244"/>
          <w:jc w:val="center"/>
        </w:trPr>
        <w:tc>
          <w:tcPr>
            <w:tcW w:w="374" w:type="dxa"/>
            <w:tcBorders>
              <w:bottom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24</w:t>
            </w:r>
          </w:p>
        </w:tc>
        <w:tc>
          <w:tcPr>
            <w:tcW w:w="1327" w:type="dxa"/>
            <w:tcBorders>
              <w:bottom w:val="single" w:sz="4" w:space="0" w:color="auto"/>
            </w:tcBorders>
            <w:shd w:val="clear" w:color="auto" w:fill="auto"/>
            <w:vAlign w:val="center"/>
          </w:tcPr>
          <w:p w:rsidR="00BA18C2" w:rsidRPr="000C169F" w:rsidRDefault="00BA18C2" w:rsidP="000C169F">
            <w:pPr>
              <w:rPr>
                <w:sz w:val="18"/>
                <w:szCs w:val="18"/>
              </w:rPr>
            </w:pPr>
            <w:r w:rsidRPr="000C169F">
              <w:rPr>
                <w:sz w:val="18"/>
                <w:szCs w:val="18"/>
              </w:rPr>
              <w:t>Max Ma 14</w:t>
            </w:r>
          </w:p>
        </w:tc>
        <w:tc>
          <w:tcPr>
            <w:tcW w:w="1121" w:type="dxa"/>
            <w:tcBorders>
              <w:bottom w:val="single" w:sz="4" w:space="0" w:color="auto"/>
            </w:tcBorders>
            <w:shd w:val="clear" w:color="auto" w:fill="auto"/>
            <w:vAlign w:val="center"/>
          </w:tcPr>
          <w:p w:rsidR="00BA18C2" w:rsidRPr="000C169F" w:rsidRDefault="00BA18C2" w:rsidP="000C169F">
            <w:pPr>
              <w:rPr>
                <w:i/>
                <w:iCs/>
                <w:sz w:val="18"/>
                <w:szCs w:val="18"/>
                <w:lang w:val="pl-PL"/>
              </w:rPr>
            </w:pPr>
            <w:r w:rsidRPr="000C169F">
              <w:rPr>
                <w:i/>
                <w:iCs/>
                <w:sz w:val="18"/>
                <w:szCs w:val="18"/>
                <w:lang w:val="pl-PL"/>
              </w:rPr>
              <w:t>P. mahaleb x P. avium</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5</w:t>
            </w:r>
          </w:p>
        </w:tc>
        <w:tc>
          <w:tcPr>
            <w:tcW w:w="617" w:type="dxa"/>
            <w:tcBorders>
              <w:bottom w:val="single" w:sz="4" w:space="0" w:color="auto"/>
            </w:tcBorders>
            <w:vAlign w:val="center"/>
          </w:tcPr>
          <w:p w:rsidR="00BA18C2" w:rsidRPr="000C169F" w:rsidRDefault="00BA18C2" w:rsidP="000C169F">
            <w:pPr>
              <w:jc w:val="center"/>
              <w:rPr>
                <w:sz w:val="18"/>
                <w:szCs w:val="18"/>
              </w:rPr>
            </w:pPr>
            <w:r w:rsidRPr="000C169F">
              <w:rPr>
                <w:sz w:val="18"/>
                <w:szCs w:val="18"/>
              </w:rPr>
              <w:t>7.2</w:t>
            </w:r>
          </w:p>
        </w:tc>
        <w:tc>
          <w:tcPr>
            <w:tcW w:w="617"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3.8</w:t>
            </w:r>
          </w:p>
        </w:tc>
        <w:tc>
          <w:tcPr>
            <w:tcW w:w="449"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4</w:t>
            </w:r>
          </w:p>
        </w:tc>
        <w:tc>
          <w:tcPr>
            <w:tcW w:w="533"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1</w:t>
            </w:r>
          </w:p>
        </w:tc>
        <w:tc>
          <w:tcPr>
            <w:tcW w:w="450" w:type="dxa"/>
            <w:tcBorders>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6</w:t>
            </w:r>
          </w:p>
        </w:tc>
      </w:tr>
    </w:tbl>
    <w:p w:rsidR="00BA18C2" w:rsidRPr="000C169F" w:rsidRDefault="00BA18C2" w:rsidP="000C169F">
      <w:pPr>
        <w:spacing w:after="40"/>
        <w:contextualSpacing/>
        <w:jc w:val="both"/>
        <w:rPr>
          <w:b/>
          <w:caps/>
          <w:sz w:val="16"/>
          <w:szCs w:val="16"/>
          <w:lang w:val="sr-Latn-CS"/>
        </w:rPr>
      </w:pPr>
      <w:r w:rsidRPr="000C169F">
        <w:rPr>
          <w:bCs/>
          <w:sz w:val="16"/>
          <w:szCs w:val="16"/>
        </w:rPr>
        <w:t xml:space="preserve">*Tree vigour (TV): 3 </w:t>
      </w:r>
      <w:r w:rsidRPr="000C169F">
        <w:rPr>
          <w:rFonts w:cs="Calibri"/>
          <w:bCs/>
          <w:sz w:val="16"/>
          <w:szCs w:val="16"/>
        </w:rPr>
        <w:t>–</w:t>
      </w:r>
      <w:r w:rsidRPr="000C169F">
        <w:rPr>
          <w:bCs/>
          <w:sz w:val="16"/>
          <w:szCs w:val="16"/>
        </w:rPr>
        <w:t xml:space="preserve"> weak; 5 </w:t>
      </w:r>
      <w:r w:rsidRPr="000C169F">
        <w:rPr>
          <w:rFonts w:cs="Calibri"/>
          <w:bCs/>
          <w:sz w:val="16"/>
          <w:szCs w:val="16"/>
        </w:rPr>
        <w:t>–</w:t>
      </w:r>
      <w:r w:rsidRPr="000C169F">
        <w:rPr>
          <w:bCs/>
          <w:sz w:val="16"/>
          <w:szCs w:val="16"/>
        </w:rPr>
        <w:t xml:space="preserve"> medium; 7 </w:t>
      </w:r>
      <w:r w:rsidRPr="000C169F">
        <w:rPr>
          <w:rFonts w:cs="Calibri"/>
          <w:bCs/>
          <w:sz w:val="16"/>
          <w:szCs w:val="16"/>
        </w:rPr>
        <w:t>–</w:t>
      </w:r>
      <w:r w:rsidRPr="000C169F">
        <w:rPr>
          <w:bCs/>
          <w:sz w:val="16"/>
          <w:szCs w:val="16"/>
        </w:rPr>
        <w:t xml:space="preserve"> strong; 9 </w:t>
      </w:r>
      <w:r w:rsidRPr="000C169F">
        <w:rPr>
          <w:rFonts w:cs="Calibri"/>
          <w:bCs/>
          <w:sz w:val="16"/>
          <w:szCs w:val="16"/>
        </w:rPr>
        <w:t>–</w:t>
      </w:r>
      <w:r w:rsidRPr="000C169F">
        <w:rPr>
          <w:bCs/>
          <w:sz w:val="16"/>
          <w:szCs w:val="16"/>
        </w:rPr>
        <w:t xml:space="preserve"> extremly strong; **Source: Čolić et al. (2012).</w:t>
      </w:r>
    </w:p>
    <w:p w:rsidR="00BA18C2" w:rsidRPr="000C169F" w:rsidRDefault="00BA18C2" w:rsidP="000C169F">
      <w:pPr>
        <w:widowControl w:val="0"/>
        <w:ind w:firstLine="425"/>
        <w:contextualSpacing/>
        <w:jc w:val="both"/>
        <w:rPr>
          <w:sz w:val="22"/>
          <w:szCs w:val="22"/>
        </w:rPr>
      </w:pPr>
      <w:r w:rsidRPr="000C169F">
        <w:rPr>
          <w:sz w:val="22"/>
          <w:szCs w:val="22"/>
        </w:rPr>
        <w:lastRenderedPageBreak/>
        <w:t xml:space="preserve">For MDH, the polymorphism and the presence of alleles </w:t>
      </w:r>
      <w:r w:rsidRPr="000C169F">
        <w:rPr>
          <w:i/>
          <w:sz w:val="22"/>
          <w:szCs w:val="22"/>
        </w:rPr>
        <w:t>a</w:t>
      </w:r>
      <w:r w:rsidRPr="000C169F">
        <w:rPr>
          <w:sz w:val="22"/>
          <w:szCs w:val="22"/>
        </w:rPr>
        <w:t xml:space="preserve"> and </w:t>
      </w:r>
      <w:r w:rsidRPr="000C169F">
        <w:rPr>
          <w:i/>
          <w:sz w:val="22"/>
          <w:szCs w:val="22"/>
        </w:rPr>
        <w:t>b</w:t>
      </w:r>
      <w:r w:rsidRPr="000C169F">
        <w:rPr>
          <w:sz w:val="22"/>
          <w:szCs w:val="22"/>
        </w:rPr>
        <w:t xml:space="preserve"> were observed in one region of activity, marked as </w:t>
      </w:r>
      <w:r w:rsidRPr="000C169F">
        <w:rPr>
          <w:i/>
          <w:sz w:val="22"/>
          <w:szCs w:val="22"/>
        </w:rPr>
        <w:t>Mdh-1</w:t>
      </w:r>
      <w:r w:rsidRPr="000C169F">
        <w:rPr>
          <w:sz w:val="22"/>
          <w:szCs w:val="22"/>
        </w:rPr>
        <w:t xml:space="preserve">. Homozygous allelic constitution </w:t>
      </w:r>
      <w:r w:rsidRPr="000C169F">
        <w:rPr>
          <w:i/>
          <w:sz w:val="22"/>
          <w:szCs w:val="22"/>
        </w:rPr>
        <w:t>aa</w:t>
      </w:r>
      <w:r w:rsidRPr="000C169F">
        <w:rPr>
          <w:sz w:val="22"/>
          <w:szCs w:val="22"/>
        </w:rPr>
        <w:t xml:space="preserve"> was observed for vigorous </w:t>
      </w:r>
      <w:r w:rsidRPr="000C169F">
        <w:rPr>
          <w:i/>
          <w:sz w:val="22"/>
          <w:szCs w:val="22"/>
        </w:rPr>
        <w:t xml:space="preserve">P. avium </w:t>
      </w:r>
      <w:r w:rsidRPr="000C169F">
        <w:rPr>
          <w:sz w:val="22"/>
          <w:szCs w:val="22"/>
        </w:rPr>
        <w:t xml:space="preserve">and </w:t>
      </w:r>
      <w:r w:rsidRPr="000C169F">
        <w:rPr>
          <w:i/>
          <w:sz w:val="22"/>
          <w:szCs w:val="22"/>
        </w:rPr>
        <w:t xml:space="preserve">P. mahaleb </w:t>
      </w:r>
      <w:r w:rsidRPr="000C169F">
        <w:rPr>
          <w:sz w:val="22"/>
          <w:szCs w:val="22"/>
        </w:rPr>
        <w:t xml:space="preserve">(BNS) genotypes, and rootstocks Colt and Max Ma 14 where </w:t>
      </w:r>
      <w:r w:rsidRPr="000C169F">
        <w:rPr>
          <w:i/>
          <w:sz w:val="22"/>
          <w:szCs w:val="22"/>
        </w:rPr>
        <w:t>P. avium</w:t>
      </w:r>
      <w:r w:rsidRPr="000C169F">
        <w:rPr>
          <w:sz w:val="22"/>
          <w:szCs w:val="22"/>
        </w:rPr>
        <w:t xml:space="preserve"> is one progenitor, while homozygous allelic constitution </w:t>
      </w:r>
      <w:r w:rsidRPr="000C169F">
        <w:rPr>
          <w:i/>
          <w:sz w:val="22"/>
          <w:szCs w:val="22"/>
        </w:rPr>
        <w:t>bb</w:t>
      </w:r>
      <w:r w:rsidRPr="000C169F">
        <w:rPr>
          <w:sz w:val="22"/>
          <w:szCs w:val="22"/>
        </w:rPr>
        <w:t xml:space="preserve"> was observed only for one </w:t>
      </w:r>
      <w:r w:rsidRPr="000C169F">
        <w:rPr>
          <w:i/>
          <w:sz w:val="22"/>
          <w:szCs w:val="22"/>
        </w:rPr>
        <w:t>P. mahaleb</w:t>
      </w:r>
      <w:r w:rsidRPr="000C169F">
        <w:rPr>
          <w:sz w:val="22"/>
          <w:szCs w:val="22"/>
        </w:rPr>
        <w:t xml:space="preserve"> genotype (Tika). Heterozygous allelic constitution </w:t>
      </w:r>
      <w:r w:rsidRPr="000C169F">
        <w:rPr>
          <w:i/>
          <w:sz w:val="22"/>
          <w:szCs w:val="22"/>
        </w:rPr>
        <w:t xml:space="preserve">ab </w:t>
      </w:r>
      <w:r w:rsidRPr="000C169F">
        <w:rPr>
          <w:sz w:val="22"/>
          <w:szCs w:val="22"/>
        </w:rPr>
        <w:t xml:space="preserve">characterised low vigour genotypes, </w:t>
      </w:r>
      <w:r w:rsidRPr="000C169F">
        <w:rPr>
          <w:i/>
          <w:sz w:val="22"/>
          <w:szCs w:val="22"/>
        </w:rPr>
        <w:t>P. fruticosa,</w:t>
      </w:r>
      <w:r w:rsidRPr="000C169F">
        <w:rPr>
          <w:sz w:val="22"/>
          <w:szCs w:val="22"/>
        </w:rPr>
        <w:t xml:space="preserve"> ‘Oblačinska sour cherry’ clones and rootstocks Gisela 5 and Gisela 6, where </w:t>
      </w:r>
      <w:r w:rsidRPr="000C169F">
        <w:rPr>
          <w:i/>
          <w:sz w:val="22"/>
          <w:szCs w:val="22"/>
        </w:rPr>
        <w:t>P. cerasus</w:t>
      </w:r>
      <w:r w:rsidRPr="000C169F">
        <w:rPr>
          <w:sz w:val="22"/>
          <w:szCs w:val="22"/>
        </w:rPr>
        <w:t xml:space="preserve"> was the female parent. Variability for </w:t>
      </w:r>
      <w:r w:rsidRPr="000C169F">
        <w:rPr>
          <w:i/>
          <w:sz w:val="22"/>
          <w:szCs w:val="22"/>
        </w:rPr>
        <w:t>Mdh-1</w:t>
      </w:r>
      <w:r w:rsidRPr="000C169F">
        <w:rPr>
          <w:sz w:val="22"/>
          <w:szCs w:val="22"/>
        </w:rPr>
        <w:t xml:space="preserve"> was detected in ‘Oblačinska sour cherry’ and </w:t>
      </w:r>
      <w:r w:rsidRPr="000C169F">
        <w:rPr>
          <w:i/>
          <w:sz w:val="22"/>
          <w:szCs w:val="22"/>
        </w:rPr>
        <w:t>P. fruticosa</w:t>
      </w:r>
      <w:r w:rsidRPr="000C169F">
        <w:rPr>
          <w:sz w:val="22"/>
          <w:szCs w:val="22"/>
        </w:rPr>
        <w:t>, and it was expressed with two and/or four bands.</w:t>
      </w:r>
    </w:p>
    <w:p w:rsidR="00BA18C2" w:rsidRPr="000C169F" w:rsidRDefault="00BA18C2" w:rsidP="000C169F">
      <w:pPr>
        <w:widowControl w:val="0"/>
        <w:ind w:firstLine="425"/>
        <w:contextualSpacing/>
        <w:jc w:val="both"/>
        <w:rPr>
          <w:sz w:val="22"/>
          <w:szCs w:val="22"/>
        </w:rPr>
      </w:pPr>
      <w:r w:rsidRPr="000C169F">
        <w:rPr>
          <w:sz w:val="22"/>
          <w:szCs w:val="22"/>
        </w:rPr>
        <w:t xml:space="preserve">One polymorphic region </w:t>
      </w:r>
      <w:r w:rsidRPr="000C169F">
        <w:rPr>
          <w:i/>
          <w:sz w:val="22"/>
          <w:szCs w:val="22"/>
        </w:rPr>
        <w:t xml:space="preserve">Pgd-1 </w:t>
      </w:r>
      <w:r w:rsidRPr="000C169F">
        <w:rPr>
          <w:sz w:val="22"/>
          <w:szCs w:val="22"/>
        </w:rPr>
        <w:t>of activity was observed on PGD zymograms. Three alleles, four phenotypes (</w:t>
      </w:r>
      <w:r w:rsidRPr="000C169F">
        <w:rPr>
          <w:i/>
          <w:sz w:val="22"/>
          <w:szCs w:val="22"/>
        </w:rPr>
        <w:t>aa</w:t>
      </w:r>
      <w:r w:rsidRPr="000C169F">
        <w:rPr>
          <w:sz w:val="22"/>
          <w:szCs w:val="22"/>
        </w:rPr>
        <w:t xml:space="preserve">, </w:t>
      </w:r>
      <w:r w:rsidRPr="000C169F">
        <w:rPr>
          <w:i/>
          <w:sz w:val="22"/>
          <w:szCs w:val="22"/>
        </w:rPr>
        <w:t>ab</w:t>
      </w:r>
      <w:r w:rsidRPr="000C169F">
        <w:rPr>
          <w:sz w:val="22"/>
          <w:szCs w:val="22"/>
        </w:rPr>
        <w:t xml:space="preserve">, </w:t>
      </w:r>
      <w:r w:rsidRPr="000C169F">
        <w:rPr>
          <w:i/>
          <w:sz w:val="22"/>
          <w:szCs w:val="22"/>
        </w:rPr>
        <w:t>ac</w:t>
      </w:r>
      <w:r w:rsidRPr="000C169F">
        <w:rPr>
          <w:sz w:val="22"/>
          <w:szCs w:val="22"/>
        </w:rPr>
        <w:t xml:space="preserve"> and </w:t>
      </w:r>
      <w:r w:rsidRPr="000C169F">
        <w:rPr>
          <w:i/>
          <w:sz w:val="22"/>
          <w:szCs w:val="22"/>
        </w:rPr>
        <w:t>bb</w:t>
      </w:r>
      <w:r w:rsidRPr="000C169F">
        <w:rPr>
          <w:sz w:val="22"/>
          <w:szCs w:val="22"/>
        </w:rPr>
        <w:t xml:space="preserve">) and five banding patterns were distinguished. Homozygous allelic constitution </w:t>
      </w:r>
      <w:r w:rsidRPr="000C169F">
        <w:rPr>
          <w:i/>
          <w:sz w:val="22"/>
          <w:szCs w:val="22"/>
        </w:rPr>
        <w:t>aa</w:t>
      </w:r>
      <w:r w:rsidRPr="000C169F">
        <w:rPr>
          <w:sz w:val="22"/>
          <w:szCs w:val="22"/>
        </w:rPr>
        <w:t xml:space="preserve"> (obtained for wild cherry) and </w:t>
      </w:r>
      <w:r w:rsidRPr="000C169F">
        <w:rPr>
          <w:i/>
          <w:sz w:val="22"/>
          <w:szCs w:val="22"/>
        </w:rPr>
        <w:t>bb</w:t>
      </w:r>
      <w:r w:rsidRPr="000C169F">
        <w:rPr>
          <w:sz w:val="22"/>
          <w:szCs w:val="22"/>
        </w:rPr>
        <w:t xml:space="preserve"> (observed for </w:t>
      </w:r>
      <w:r w:rsidRPr="000C169F">
        <w:rPr>
          <w:i/>
          <w:sz w:val="22"/>
          <w:szCs w:val="22"/>
        </w:rPr>
        <w:t>P. mahaleb</w:t>
      </w:r>
      <w:r w:rsidRPr="000C169F">
        <w:rPr>
          <w:sz w:val="22"/>
          <w:szCs w:val="22"/>
        </w:rPr>
        <w:t xml:space="preserve">) corresponded with strong vigour. Contrarily, heterozygous allelic constitutions </w:t>
      </w:r>
      <w:r w:rsidRPr="000C169F">
        <w:rPr>
          <w:i/>
          <w:sz w:val="22"/>
          <w:szCs w:val="22"/>
        </w:rPr>
        <w:t>ab</w:t>
      </w:r>
      <w:r w:rsidRPr="000C169F">
        <w:rPr>
          <w:sz w:val="22"/>
          <w:szCs w:val="22"/>
        </w:rPr>
        <w:t xml:space="preserve"> and </w:t>
      </w:r>
      <w:r w:rsidRPr="000C169F">
        <w:rPr>
          <w:i/>
          <w:sz w:val="22"/>
          <w:szCs w:val="22"/>
        </w:rPr>
        <w:t>ac</w:t>
      </w:r>
      <w:r w:rsidRPr="000C169F">
        <w:rPr>
          <w:sz w:val="22"/>
          <w:szCs w:val="22"/>
        </w:rPr>
        <w:t xml:space="preserve"> corresponded with low vigour of ‘Oblačinska’ sour cherry, rootstocks Gisela 5, Gisela 6, and </w:t>
      </w:r>
      <w:r w:rsidRPr="000C169F">
        <w:rPr>
          <w:i/>
          <w:sz w:val="22"/>
          <w:szCs w:val="22"/>
        </w:rPr>
        <w:t>P. fructicosa</w:t>
      </w:r>
      <w:r w:rsidRPr="000C169F">
        <w:rPr>
          <w:sz w:val="22"/>
          <w:szCs w:val="22"/>
        </w:rPr>
        <w:t xml:space="preserve">. </w:t>
      </w:r>
    </w:p>
    <w:p w:rsidR="00BA18C2" w:rsidRPr="000C169F" w:rsidRDefault="00BA18C2" w:rsidP="000C169F">
      <w:pPr>
        <w:widowControl w:val="0"/>
        <w:autoSpaceDE w:val="0"/>
        <w:autoSpaceDN w:val="0"/>
        <w:adjustRightInd w:val="0"/>
        <w:ind w:firstLine="425"/>
        <w:jc w:val="both"/>
        <w:rPr>
          <w:sz w:val="22"/>
          <w:szCs w:val="22"/>
        </w:rPr>
      </w:pPr>
      <w:r w:rsidRPr="000C169F">
        <w:rPr>
          <w:sz w:val="22"/>
          <w:szCs w:val="22"/>
        </w:rPr>
        <w:t xml:space="preserve">PCA was performed to establish the relationship between the isoenzyme systems and tree vigour. The initial matrix of 24 (the number of samples) × 9 traits (TV, LL, LW, ADH, GDH, IDH, MDH, PGD and SDH) was processed. Since the first two principal components (PC1 and PC2) explained the greatest amount of variance (45.11% and 19.98%, respectively), the </w:t>
      </w:r>
      <w:r w:rsidRPr="000C169F">
        <w:rPr>
          <w:rFonts w:eastAsia="GulliverRM"/>
          <w:sz w:val="22"/>
          <w:szCs w:val="22"/>
        </w:rPr>
        <w:t xml:space="preserve">scatter plot of PC1/PC2 is presented </w:t>
      </w:r>
      <w:r w:rsidRPr="003B7416">
        <w:rPr>
          <w:rFonts w:eastAsia="GulliverRM"/>
          <w:sz w:val="22"/>
          <w:szCs w:val="22"/>
          <w:highlight w:val="yellow"/>
        </w:rPr>
        <w:t>as Figure 1.</w:t>
      </w:r>
      <w:r w:rsidRPr="003B7416">
        <w:rPr>
          <w:sz w:val="22"/>
          <w:szCs w:val="22"/>
          <w:highlight w:val="yellow"/>
        </w:rPr>
        <w:t xml:space="preserve"> Starting</w:t>
      </w:r>
      <w:r w:rsidRPr="000C169F">
        <w:rPr>
          <w:sz w:val="22"/>
          <w:szCs w:val="22"/>
        </w:rPr>
        <w:t xml:space="preserve"> from the negative to positive values of PC1, a trend of a general decrease of the tree vigour and leaf size can be noticed.</w:t>
      </w:r>
    </w:p>
    <w:p w:rsidR="00BA18C2" w:rsidRPr="000C169F" w:rsidRDefault="004725C0" w:rsidP="003B7416">
      <w:pPr>
        <w:jc w:val="center"/>
        <w:rPr>
          <w:caps/>
          <w:sz w:val="22"/>
          <w:szCs w:val="22"/>
        </w:rPr>
      </w:pPr>
      <w:r w:rsidRPr="004725C0">
        <w:rPr>
          <w:noProof/>
        </w:rPr>
        <w:pict>
          <v:shapetype id="_x0000_t202" coordsize="21600,21600" o:spt="202" path="m,l,21600r21600,l21600,xe">
            <v:stroke joinstyle="miter"/>
            <v:path gradientshapeok="t" o:connecttype="rect"/>
          </v:shapetype>
          <v:shape id="_x0000_s1027" type="#_x0000_t202" style="position:absolute;left:0;text-align:left;margin-left:-189.35pt;margin-top:-26.4pt;width:24.85pt;height:20.95pt;z-index:251661312" stroked="f">
            <v:textbox style="mso-next-textbox:#_x0000_s1027">
              <w:txbxContent>
                <w:p w:rsidR="00BA18C2" w:rsidRDefault="00BA18C2" w:rsidP="00BA18C2">
                  <w:r>
                    <w:t>B</w:t>
                  </w:r>
                </w:p>
              </w:txbxContent>
            </v:textbox>
          </v:shape>
        </w:pict>
      </w:r>
      <w:r w:rsidRPr="004725C0">
        <w:rPr>
          <w:noProof/>
        </w:rPr>
        <w:pict>
          <v:shape id="_x0000_s1026" type="#_x0000_t202" style="position:absolute;left:0;text-align:left;margin-left:-408.95pt;margin-top:-26.4pt;width:24.85pt;height:20.95pt;z-index:251660288" stroked="f">
            <v:textbox style="mso-next-textbox:#_x0000_s1026">
              <w:txbxContent>
                <w:p w:rsidR="00BA18C2" w:rsidRDefault="00BA18C2" w:rsidP="00BA18C2">
                  <w:r>
                    <w:t>A</w:t>
                  </w:r>
                </w:p>
              </w:txbxContent>
            </v:textbox>
          </v:shape>
        </w:pict>
      </w:r>
      <w:r w:rsidR="00BA18C2">
        <w:rPr>
          <w:noProof/>
          <w:lang w:val="en-US" w:eastAsia="en-US"/>
        </w:rPr>
        <w:drawing>
          <wp:inline distT="0" distB="0" distL="0" distR="0">
            <wp:extent cx="4680000" cy="2347664"/>
            <wp:effectExtent l="19050" t="0" r="6300" b="0"/>
            <wp:docPr id="1" name="Picture 1" descr="Figure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a"/>
                    <pic:cNvPicPr>
                      <a:picLocks noChangeAspect="1" noChangeArrowheads="1"/>
                    </pic:cNvPicPr>
                  </pic:nvPicPr>
                  <pic:blipFill>
                    <a:blip r:embed="rId7" cstate="print"/>
                    <a:srcRect/>
                    <a:stretch>
                      <a:fillRect/>
                    </a:stretch>
                  </pic:blipFill>
                  <pic:spPr bwMode="auto">
                    <a:xfrm>
                      <a:off x="0" y="0"/>
                      <a:ext cx="4680000" cy="2347664"/>
                    </a:xfrm>
                    <a:prstGeom prst="rect">
                      <a:avLst/>
                    </a:prstGeom>
                    <a:noFill/>
                    <a:ln w="9525">
                      <a:noFill/>
                      <a:miter lim="800000"/>
                      <a:headEnd/>
                      <a:tailEnd/>
                    </a:ln>
                  </pic:spPr>
                </pic:pic>
              </a:graphicData>
            </a:graphic>
          </wp:inline>
        </w:drawing>
      </w:r>
    </w:p>
    <w:p w:rsidR="000C169F" w:rsidRDefault="00BA18C2" w:rsidP="00BA18C2">
      <w:pPr>
        <w:spacing w:after="120"/>
        <w:contextualSpacing/>
        <w:jc w:val="center"/>
        <w:rPr>
          <w:bCs/>
          <w:sz w:val="22"/>
          <w:szCs w:val="22"/>
          <w:lang w:val="sr-Latn-CS"/>
        </w:rPr>
      </w:pPr>
      <w:r w:rsidRPr="000C169F">
        <w:rPr>
          <w:bCs/>
          <w:sz w:val="22"/>
          <w:szCs w:val="22"/>
          <w:lang w:val="sr-Latn-CS"/>
        </w:rPr>
        <w:t>Figure 1.</w:t>
      </w:r>
      <w:r w:rsidRPr="000C169F">
        <w:rPr>
          <w:sz w:val="22"/>
          <w:szCs w:val="22"/>
        </w:rPr>
        <w:t xml:space="preserve"> </w:t>
      </w:r>
      <w:r w:rsidRPr="000C169F">
        <w:rPr>
          <w:bCs/>
          <w:sz w:val="22"/>
          <w:szCs w:val="22"/>
          <w:lang w:val="sr-Latn-CS"/>
        </w:rPr>
        <w:t>Principal component analysis, scores plot of the first two principal components (A) showing the clustering of samples;</w:t>
      </w:r>
      <w:r w:rsidR="000C169F" w:rsidRPr="000C169F">
        <w:rPr>
          <w:bCs/>
          <w:sz w:val="22"/>
          <w:szCs w:val="22"/>
          <w:lang w:val="sr-Latn-CS"/>
        </w:rPr>
        <w:t xml:space="preserve"> loadings plot (B) </w:t>
      </w:r>
    </w:p>
    <w:p w:rsidR="00BA18C2" w:rsidRDefault="000C169F" w:rsidP="00BA18C2">
      <w:pPr>
        <w:spacing w:after="120"/>
        <w:contextualSpacing/>
        <w:jc w:val="center"/>
        <w:rPr>
          <w:bCs/>
          <w:sz w:val="22"/>
          <w:szCs w:val="22"/>
          <w:lang w:val="sr-Latn-CS"/>
        </w:rPr>
      </w:pPr>
      <w:r w:rsidRPr="000C169F">
        <w:rPr>
          <w:bCs/>
          <w:sz w:val="22"/>
          <w:szCs w:val="22"/>
          <w:lang w:val="sr-Latn-CS"/>
        </w:rPr>
        <w:t xml:space="preserve">reflecting </w:t>
      </w:r>
      <w:r w:rsidR="00BA18C2" w:rsidRPr="000C169F">
        <w:rPr>
          <w:bCs/>
          <w:sz w:val="22"/>
          <w:szCs w:val="22"/>
          <w:lang w:val="sr-Latn-CS"/>
        </w:rPr>
        <w:t>the influence of a particular parameter</w:t>
      </w:r>
      <w:r w:rsidR="003B7416">
        <w:rPr>
          <w:bCs/>
          <w:sz w:val="22"/>
          <w:szCs w:val="22"/>
          <w:lang w:val="sr-Latn-CS"/>
        </w:rPr>
        <w:t>.</w:t>
      </w:r>
    </w:p>
    <w:p w:rsidR="003B7416" w:rsidRPr="000C169F" w:rsidRDefault="003B7416" w:rsidP="00BA18C2">
      <w:pPr>
        <w:spacing w:after="120"/>
        <w:contextualSpacing/>
        <w:jc w:val="center"/>
        <w:rPr>
          <w:caps/>
          <w:sz w:val="22"/>
          <w:szCs w:val="22"/>
        </w:rPr>
      </w:pPr>
    </w:p>
    <w:p w:rsidR="003B7416" w:rsidRDefault="003B7416" w:rsidP="003B7416">
      <w:pPr>
        <w:widowControl w:val="0"/>
        <w:autoSpaceDE w:val="0"/>
        <w:autoSpaceDN w:val="0"/>
        <w:adjustRightInd w:val="0"/>
        <w:ind w:firstLine="425"/>
        <w:jc w:val="both"/>
        <w:rPr>
          <w:sz w:val="22"/>
          <w:szCs w:val="22"/>
        </w:rPr>
      </w:pPr>
      <w:r w:rsidRPr="000C169F">
        <w:rPr>
          <w:sz w:val="22"/>
          <w:szCs w:val="22"/>
        </w:rPr>
        <w:lastRenderedPageBreak/>
        <w:t>Variables with a correlation coefficient greater than 0.70 (absolute value) were determined in PC1. Those were TV (-0.872), LL (-0.773), LW (- 0.867), MDH (0.775), PGD (0.713), and SDH (-0.791). The summarisation of these traits in one component reflected the strong correlation between them reciprocally. On the other hand, PC2 was dominated only by GDH strong factor loading of -0.772.</w:t>
      </w:r>
    </w:p>
    <w:p w:rsidR="003B7416" w:rsidRPr="006239BD" w:rsidRDefault="003B7416" w:rsidP="003B7416">
      <w:pPr>
        <w:widowControl w:val="0"/>
        <w:ind w:firstLine="425"/>
        <w:contextualSpacing/>
        <w:jc w:val="both"/>
        <w:rPr>
          <w:spacing w:val="-2"/>
          <w:sz w:val="22"/>
          <w:szCs w:val="22"/>
        </w:rPr>
      </w:pPr>
      <w:r w:rsidRPr="006239BD">
        <w:rPr>
          <w:spacing w:val="-2"/>
          <w:sz w:val="22"/>
          <w:szCs w:val="22"/>
        </w:rPr>
        <w:t xml:space="preserve">The PCA correlation plots (Figure 1A) showed clustering of the genotypes into three main groups. The most influential in distinguishing the first group from other genotypes, (represented by strong vigorous </w:t>
      </w:r>
      <w:r w:rsidRPr="006239BD">
        <w:rPr>
          <w:i/>
          <w:spacing w:val="-2"/>
          <w:sz w:val="22"/>
          <w:szCs w:val="22"/>
        </w:rPr>
        <w:t>P. avium</w:t>
      </w:r>
      <w:r w:rsidRPr="006239BD">
        <w:rPr>
          <w:spacing w:val="-2"/>
          <w:sz w:val="22"/>
          <w:szCs w:val="22"/>
        </w:rPr>
        <w:t xml:space="preserve"> genotypes, and other genotypes where </w:t>
      </w:r>
      <w:r w:rsidRPr="006239BD">
        <w:rPr>
          <w:i/>
          <w:spacing w:val="-2"/>
          <w:sz w:val="22"/>
          <w:szCs w:val="22"/>
        </w:rPr>
        <w:t>P. avium</w:t>
      </w:r>
      <w:r w:rsidRPr="006239BD">
        <w:rPr>
          <w:spacing w:val="-2"/>
          <w:sz w:val="22"/>
          <w:szCs w:val="22"/>
        </w:rPr>
        <w:t xml:space="preserve"> is one of the progenitors (Colt and MaxMa 14) accompanied with one </w:t>
      </w:r>
      <w:r w:rsidRPr="006239BD">
        <w:rPr>
          <w:i/>
          <w:spacing w:val="-2"/>
          <w:sz w:val="22"/>
          <w:szCs w:val="22"/>
        </w:rPr>
        <w:t>P. mahaleb</w:t>
      </w:r>
      <w:r w:rsidRPr="006239BD">
        <w:rPr>
          <w:spacing w:val="-2"/>
          <w:sz w:val="22"/>
          <w:szCs w:val="22"/>
        </w:rPr>
        <w:t xml:space="preserve"> genotype [TIKA]) were LL, LW, TV and ADH. Moving from the left side of the PC1 axis to the right, tree vigour and leaf size decreased in </w:t>
      </w:r>
      <w:r w:rsidRPr="006239BD">
        <w:rPr>
          <w:i/>
          <w:spacing w:val="-2"/>
          <w:sz w:val="22"/>
          <w:szCs w:val="22"/>
        </w:rPr>
        <w:t>P. cerasus</w:t>
      </w:r>
      <w:r w:rsidRPr="006239BD">
        <w:rPr>
          <w:spacing w:val="-2"/>
          <w:sz w:val="22"/>
          <w:szCs w:val="22"/>
        </w:rPr>
        <w:t xml:space="preserve"> and P. </w:t>
      </w:r>
      <w:r w:rsidRPr="006239BD">
        <w:rPr>
          <w:i/>
          <w:spacing w:val="-2"/>
          <w:sz w:val="22"/>
          <w:szCs w:val="22"/>
        </w:rPr>
        <w:t>fruticosa.</w:t>
      </w:r>
      <w:r w:rsidRPr="006239BD">
        <w:rPr>
          <w:spacing w:val="-2"/>
          <w:sz w:val="22"/>
          <w:szCs w:val="22"/>
        </w:rPr>
        <w:t xml:space="preserve"> The most important for the formation of the second group which consisted of low vigorous </w:t>
      </w:r>
      <w:r w:rsidRPr="006239BD">
        <w:rPr>
          <w:i/>
          <w:spacing w:val="-2"/>
          <w:sz w:val="22"/>
          <w:szCs w:val="22"/>
        </w:rPr>
        <w:t>P. cerasus</w:t>
      </w:r>
      <w:r w:rsidRPr="006239BD">
        <w:rPr>
          <w:spacing w:val="-2"/>
          <w:sz w:val="22"/>
          <w:szCs w:val="22"/>
        </w:rPr>
        <w:t xml:space="preserve"> genotypes (‘Oblačinska’ sour cherry clones), and genotypes derived from the crossing combination where </w:t>
      </w:r>
      <w:r w:rsidRPr="006239BD">
        <w:rPr>
          <w:i/>
          <w:spacing w:val="-2"/>
          <w:sz w:val="22"/>
          <w:szCs w:val="22"/>
        </w:rPr>
        <w:t>P. cerasus</w:t>
      </w:r>
      <w:r w:rsidRPr="006239BD">
        <w:rPr>
          <w:spacing w:val="-2"/>
          <w:sz w:val="22"/>
          <w:szCs w:val="22"/>
        </w:rPr>
        <w:t xml:space="preserve"> was involved (Gisela 5 and Gisela 6) and one </w:t>
      </w:r>
      <w:r w:rsidRPr="006239BD">
        <w:rPr>
          <w:i/>
          <w:spacing w:val="-2"/>
          <w:sz w:val="22"/>
          <w:szCs w:val="22"/>
        </w:rPr>
        <w:t>P. fruticosa</w:t>
      </w:r>
      <w:r w:rsidRPr="006239BD">
        <w:rPr>
          <w:spacing w:val="-2"/>
          <w:sz w:val="22"/>
          <w:szCs w:val="22"/>
        </w:rPr>
        <w:t xml:space="preserve"> (SV3) genotype, were IDH and MDH genotypes. The third group consisted of some </w:t>
      </w:r>
      <w:r w:rsidRPr="006239BD">
        <w:rPr>
          <w:i/>
          <w:spacing w:val="-2"/>
          <w:sz w:val="22"/>
          <w:szCs w:val="22"/>
        </w:rPr>
        <w:t>P. fruticosa</w:t>
      </w:r>
      <w:r w:rsidRPr="006239BD">
        <w:rPr>
          <w:spacing w:val="-2"/>
          <w:sz w:val="22"/>
          <w:szCs w:val="22"/>
        </w:rPr>
        <w:t xml:space="preserve"> (SV) genotypes characterised by low vigour and small leaves, and separated based on the PGD zymogram pattern. The scores plot revealed one sample of </w:t>
      </w:r>
      <w:r w:rsidRPr="006239BD">
        <w:rPr>
          <w:i/>
          <w:spacing w:val="-2"/>
          <w:sz w:val="22"/>
          <w:szCs w:val="22"/>
        </w:rPr>
        <w:t xml:space="preserve">P. mahaleb </w:t>
      </w:r>
      <w:r w:rsidRPr="006239BD">
        <w:rPr>
          <w:spacing w:val="-2"/>
          <w:sz w:val="22"/>
          <w:szCs w:val="22"/>
        </w:rPr>
        <w:t>(BNS) to be an outlier due to the extremely strong vigour and some unique zymogram patterns (GDH and SDH) compared with the other genotypes.</w:t>
      </w:r>
    </w:p>
    <w:p w:rsidR="00BA18C2" w:rsidRPr="003B7416" w:rsidRDefault="00BA18C2" w:rsidP="000C169F">
      <w:pPr>
        <w:widowControl w:val="0"/>
        <w:ind w:firstLine="425"/>
        <w:contextualSpacing/>
        <w:jc w:val="both"/>
        <w:rPr>
          <w:spacing w:val="-2"/>
          <w:sz w:val="22"/>
          <w:szCs w:val="22"/>
        </w:rPr>
      </w:pPr>
      <w:r w:rsidRPr="003B7416">
        <w:rPr>
          <w:spacing w:val="-2"/>
          <w:sz w:val="22"/>
          <w:szCs w:val="22"/>
        </w:rPr>
        <w:t>Our findings support the results of the study previously conducted by Ognjanov et al. (2012), who have reported that the tree vigour and leaf shape characteristics are the most reliable parameters for the assessments of reduced growth in sour cherry. On the other hand, in this study, the most influential isoenzyme systems which led to the separation of low vigorous genotypes were IDH, MDH and PGD.</w:t>
      </w:r>
    </w:p>
    <w:p w:rsidR="00BA18C2" w:rsidRPr="003B7416" w:rsidRDefault="00BA18C2" w:rsidP="000C169F">
      <w:pPr>
        <w:widowControl w:val="0"/>
        <w:ind w:firstLine="425"/>
        <w:contextualSpacing/>
        <w:jc w:val="both"/>
        <w:rPr>
          <w:spacing w:val="-4"/>
          <w:sz w:val="22"/>
          <w:szCs w:val="22"/>
        </w:rPr>
      </w:pPr>
      <w:r w:rsidRPr="003B7416">
        <w:rPr>
          <w:spacing w:val="-4"/>
          <w:sz w:val="22"/>
          <w:szCs w:val="22"/>
        </w:rPr>
        <w:t>Important correlations were found among the studied traits and they are presented in Table 2. Our results showed a positive and significant correlation between V and LL, as well as between TV and LW (r = 0.513 and r = 0.674). T</w:t>
      </w:r>
      <w:r w:rsidRPr="003B7416">
        <w:rPr>
          <w:rFonts w:eastAsia="GulliverRM"/>
          <w:spacing w:val="-4"/>
          <w:sz w:val="22"/>
          <w:szCs w:val="22"/>
        </w:rPr>
        <w:t>herefore, these parameters may be used to predict each other.</w:t>
      </w:r>
      <w:r w:rsidRPr="003B7416">
        <w:rPr>
          <w:spacing w:val="-4"/>
          <w:sz w:val="22"/>
          <w:szCs w:val="22"/>
        </w:rPr>
        <w:t xml:space="preserve"> Contrary to this, Rakonjac et al. (2014), while studying wild cherry genotypes, found no significant correlations between those traits, which is probably due to the diverse genotypes studied.</w:t>
      </w:r>
    </w:p>
    <w:p w:rsidR="00BA18C2" w:rsidRPr="006239BD" w:rsidRDefault="00BA18C2" w:rsidP="000C169F">
      <w:pPr>
        <w:widowControl w:val="0"/>
        <w:contextualSpacing/>
        <w:jc w:val="both"/>
        <w:rPr>
          <w:caps/>
          <w:sz w:val="18"/>
          <w:szCs w:val="18"/>
        </w:rPr>
      </w:pPr>
    </w:p>
    <w:p w:rsidR="00BA18C2" w:rsidRPr="000C169F" w:rsidRDefault="00BA18C2" w:rsidP="000C169F">
      <w:pPr>
        <w:spacing w:after="120"/>
        <w:contextualSpacing/>
        <w:jc w:val="both"/>
        <w:rPr>
          <w:caps/>
          <w:sz w:val="22"/>
          <w:szCs w:val="22"/>
        </w:rPr>
      </w:pPr>
      <w:r w:rsidRPr="000C169F">
        <w:rPr>
          <w:sz w:val="22"/>
          <w:szCs w:val="22"/>
        </w:rPr>
        <w:t>Table</w:t>
      </w:r>
      <w:r w:rsidRPr="000C169F">
        <w:rPr>
          <w:caps/>
          <w:sz w:val="22"/>
          <w:szCs w:val="22"/>
        </w:rPr>
        <w:t xml:space="preserve"> 2.</w:t>
      </w:r>
      <w:r w:rsidRPr="000C169F">
        <w:rPr>
          <w:sz w:val="22"/>
          <w:szCs w:val="22"/>
        </w:rPr>
        <w:t xml:space="preserve"> Correlations among variables significant at the 5% (*) level</w:t>
      </w:r>
      <w:r w:rsidR="000C169F">
        <w:rPr>
          <w:sz w:val="22"/>
          <w:szCs w:val="22"/>
        </w:rPr>
        <w:t>.</w:t>
      </w:r>
    </w:p>
    <w:p w:rsidR="00BA18C2" w:rsidRPr="006239BD" w:rsidRDefault="00BA18C2" w:rsidP="000C169F">
      <w:pPr>
        <w:spacing w:after="120"/>
        <w:contextualSpacing/>
        <w:jc w:val="both"/>
        <w:rPr>
          <w:caps/>
          <w:sz w:val="16"/>
          <w:szCs w:val="16"/>
        </w:rPr>
      </w:pPr>
    </w:p>
    <w:tbl>
      <w:tblPr>
        <w:tblW w:w="7371" w:type="dxa"/>
        <w:jc w:val="center"/>
        <w:tblCellMar>
          <w:left w:w="28" w:type="dxa"/>
          <w:right w:w="28" w:type="dxa"/>
        </w:tblCellMar>
        <w:tblLook w:val="0000"/>
      </w:tblPr>
      <w:tblGrid>
        <w:gridCol w:w="792"/>
        <w:gridCol w:w="625"/>
        <w:gridCol w:w="709"/>
        <w:gridCol w:w="850"/>
        <w:gridCol w:w="851"/>
        <w:gridCol w:w="850"/>
        <w:gridCol w:w="851"/>
        <w:gridCol w:w="850"/>
        <w:gridCol w:w="993"/>
      </w:tblGrid>
      <w:tr w:rsidR="00BA18C2" w:rsidRPr="000C169F" w:rsidTr="003B7416">
        <w:trPr>
          <w:trHeight w:val="170"/>
          <w:jc w:val="center"/>
        </w:trPr>
        <w:tc>
          <w:tcPr>
            <w:tcW w:w="792" w:type="dxa"/>
            <w:tcBorders>
              <w:top w:val="single" w:sz="4" w:space="0" w:color="auto"/>
              <w:bottom w:val="single" w:sz="4" w:space="0" w:color="auto"/>
            </w:tcBorders>
            <w:shd w:val="clear" w:color="auto" w:fill="auto"/>
            <w:noWrap/>
            <w:vAlign w:val="center"/>
          </w:tcPr>
          <w:p w:rsidR="00BA18C2" w:rsidRPr="000C169F" w:rsidRDefault="00BA18C2" w:rsidP="000C169F">
            <w:pPr>
              <w:jc w:val="center"/>
              <w:rPr>
                <w:sz w:val="18"/>
                <w:szCs w:val="18"/>
              </w:rPr>
            </w:pPr>
          </w:p>
        </w:tc>
        <w:tc>
          <w:tcPr>
            <w:tcW w:w="625"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LL</w:t>
            </w:r>
            <w:r w:rsidRPr="000C169F">
              <w:rPr>
                <w:sz w:val="18"/>
                <w:szCs w:val="18"/>
                <w:vertAlign w:val="superscript"/>
              </w:rPr>
              <w:t>a</w:t>
            </w:r>
          </w:p>
        </w:tc>
        <w:tc>
          <w:tcPr>
            <w:tcW w:w="709"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LW</w:t>
            </w:r>
          </w:p>
        </w:tc>
        <w:tc>
          <w:tcPr>
            <w:tcW w:w="850"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ADH</w:t>
            </w:r>
          </w:p>
        </w:tc>
        <w:tc>
          <w:tcPr>
            <w:tcW w:w="851"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GDH</w:t>
            </w:r>
          </w:p>
        </w:tc>
        <w:tc>
          <w:tcPr>
            <w:tcW w:w="850"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IDH</w:t>
            </w:r>
          </w:p>
        </w:tc>
        <w:tc>
          <w:tcPr>
            <w:tcW w:w="851"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MDH</w:t>
            </w:r>
          </w:p>
        </w:tc>
        <w:tc>
          <w:tcPr>
            <w:tcW w:w="850"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PGD</w:t>
            </w:r>
          </w:p>
        </w:tc>
        <w:tc>
          <w:tcPr>
            <w:tcW w:w="993" w:type="dxa"/>
            <w:tcBorders>
              <w:top w:val="single" w:sz="4" w:space="0" w:color="auto"/>
              <w:bottom w:val="single" w:sz="4" w:space="0" w:color="auto"/>
            </w:tcBorders>
            <w:shd w:val="clear" w:color="auto" w:fill="auto"/>
            <w:vAlign w:val="center"/>
          </w:tcPr>
          <w:p w:rsidR="00BA18C2" w:rsidRPr="000C169F" w:rsidRDefault="00BA18C2" w:rsidP="000C169F">
            <w:pPr>
              <w:jc w:val="center"/>
              <w:rPr>
                <w:sz w:val="18"/>
                <w:szCs w:val="18"/>
              </w:rPr>
            </w:pPr>
            <w:r w:rsidRPr="000C169F">
              <w:rPr>
                <w:sz w:val="18"/>
                <w:szCs w:val="18"/>
              </w:rPr>
              <w:t>SDH</w:t>
            </w:r>
          </w:p>
        </w:tc>
      </w:tr>
      <w:tr w:rsidR="00BA18C2" w:rsidRPr="000C169F" w:rsidTr="003B7416">
        <w:trPr>
          <w:trHeight w:val="170"/>
          <w:jc w:val="center"/>
        </w:trPr>
        <w:tc>
          <w:tcPr>
            <w:tcW w:w="792" w:type="dxa"/>
            <w:tcBorders>
              <w:top w:val="single" w:sz="4" w:space="0" w:color="auto"/>
            </w:tcBorders>
            <w:shd w:val="clear" w:color="auto" w:fill="auto"/>
            <w:noWrap/>
            <w:vAlign w:val="center"/>
          </w:tcPr>
          <w:p w:rsidR="00BA18C2" w:rsidRPr="000C169F" w:rsidRDefault="00BA18C2" w:rsidP="000C169F">
            <w:pPr>
              <w:rPr>
                <w:sz w:val="18"/>
                <w:szCs w:val="18"/>
              </w:rPr>
            </w:pPr>
            <w:r w:rsidRPr="000C169F">
              <w:rPr>
                <w:sz w:val="18"/>
                <w:szCs w:val="18"/>
              </w:rPr>
              <w:t>TV</w:t>
            </w:r>
          </w:p>
        </w:tc>
        <w:tc>
          <w:tcPr>
            <w:tcW w:w="625"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0.513*</w:t>
            </w:r>
          </w:p>
        </w:tc>
        <w:tc>
          <w:tcPr>
            <w:tcW w:w="709"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0.674*</w:t>
            </w:r>
          </w:p>
        </w:tc>
        <w:tc>
          <w:tcPr>
            <w:tcW w:w="850"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0.619*</w:t>
            </w:r>
          </w:p>
        </w:tc>
        <w:tc>
          <w:tcPr>
            <w:tcW w:w="851"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0.467*</w:t>
            </w:r>
          </w:p>
        </w:tc>
        <w:tc>
          <w:tcPr>
            <w:tcW w:w="850"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-0.261</w:t>
            </w:r>
          </w:p>
        </w:tc>
        <w:tc>
          <w:tcPr>
            <w:tcW w:w="851"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-0.641*</w:t>
            </w:r>
          </w:p>
        </w:tc>
        <w:tc>
          <w:tcPr>
            <w:tcW w:w="850"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-0.465*</w:t>
            </w:r>
          </w:p>
        </w:tc>
        <w:tc>
          <w:tcPr>
            <w:tcW w:w="993" w:type="dxa"/>
            <w:tcBorders>
              <w:top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0.767*</w:t>
            </w:r>
          </w:p>
        </w:tc>
      </w:tr>
      <w:tr w:rsidR="00BA18C2" w:rsidRPr="000C169F" w:rsidTr="003B7416">
        <w:trPr>
          <w:trHeight w:val="170"/>
          <w:jc w:val="center"/>
        </w:trPr>
        <w:tc>
          <w:tcPr>
            <w:tcW w:w="792" w:type="dxa"/>
            <w:shd w:val="clear" w:color="auto" w:fill="auto"/>
            <w:noWrap/>
            <w:vAlign w:val="center"/>
          </w:tcPr>
          <w:p w:rsidR="00BA18C2" w:rsidRPr="000C169F" w:rsidRDefault="00BA18C2" w:rsidP="000C169F">
            <w:pPr>
              <w:rPr>
                <w:sz w:val="18"/>
                <w:szCs w:val="18"/>
              </w:rPr>
            </w:pPr>
            <w:r w:rsidRPr="000C169F">
              <w:rPr>
                <w:sz w:val="18"/>
                <w:szCs w:val="18"/>
              </w:rPr>
              <w:t>LL</w:t>
            </w:r>
          </w:p>
        </w:tc>
        <w:tc>
          <w:tcPr>
            <w:tcW w:w="625" w:type="dxa"/>
            <w:shd w:val="clear" w:color="auto" w:fill="auto"/>
            <w:noWrap/>
            <w:vAlign w:val="center"/>
          </w:tcPr>
          <w:p w:rsidR="00BA18C2" w:rsidRPr="000C169F" w:rsidRDefault="00BA18C2" w:rsidP="000C169F">
            <w:pPr>
              <w:jc w:val="center"/>
              <w:rPr>
                <w:sz w:val="18"/>
                <w:szCs w:val="18"/>
              </w:rPr>
            </w:pPr>
          </w:p>
        </w:tc>
        <w:tc>
          <w:tcPr>
            <w:tcW w:w="709" w:type="dxa"/>
            <w:shd w:val="clear" w:color="auto" w:fill="auto"/>
            <w:noWrap/>
            <w:vAlign w:val="center"/>
          </w:tcPr>
          <w:p w:rsidR="00BA18C2" w:rsidRPr="000C169F" w:rsidRDefault="00BA18C2" w:rsidP="000C169F">
            <w:pPr>
              <w:jc w:val="center"/>
              <w:rPr>
                <w:sz w:val="18"/>
                <w:szCs w:val="18"/>
              </w:rPr>
            </w:pPr>
            <w:r w:rsidRPr="000C169F">
              <w:rPr>
                <w:sz w:val="18"/>
                <w:szCs w:val="18"/>
              </w:rPr>
              <w:t>0.882*</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0.342</w:t>
            </w: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-0.106</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-0.102</w:t>
            </w: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-0.544*</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-0.831*</w:t>
            </w:r>
          </w:p>
        </w:tc>
        <w:tc>
          <w:tcPr>
            <w:tcW w:w="993" w:type="dxa"/>
            <w:shd w:val="clear" w:color="auto" w:fill="auto"/>
            <w:noWrap/>
            <w:vAlign w:val="center"/>
          </w:tcPr>
          <w:p w:rsidR="00BA18C2" w:rsidRPr="000C169F" w:rsidRDefault="00BA18C2" w:rsidP="000C169F">
            <w:pPr>
              <w:jc w:val="center"/>
              <w:rPr>
                <w:sz w:val="18"/>
                <w:szCs w:val="18"/>
              </w:rPr>
            </w:pPr>
            <w:r w:rsidRPr="000C169F">
              <w:rPr>
                <w:sz w:val="18"/>
                <w:szCs w:val="18"/>
              </w:rPr>
              <w:t>0.329</w:t>
            </w:r>
          </w:p>
        </w:tc>
      </w:tr>
      <w:tr w:rsidR="00BA18C2" w:rsidRPr="000C169F" w:rsidTr="003B7416">
        <w:trPr>
          <w:trHeight w:val="170"/>
          <w:jc w:val="center"/>
        </w:trPr>
        <w:tc>
          <w:tcPr>
            <w:tcW w:w="792" w:type="dxa"/>
            <w:shd w:val="clear" w:color="auto" w:fill="auto"/>
            <w:noWrap/>
            <w:vAlign w:val="center"/>
          </w:tcPr>
          <w:p w:rsidR="00BA18C2" w:rsidRPr="000C169F" w:rsidRDefault="00BA18C2" w:rsidP="000C169F">
            <w:pPr>
              <w:rPr>
                <w:sz w:val="18"/>
                <w:szCs w:val="18"/>
              </w:rPr>
            </w:pPr>
            <w:r w:rsidRPr="000C169F">
              <w:rPr>
                <w:sz w:val="18"/>
                <w:szCs w:val="18"/>
              </w:rPr>
              <w:t>LW</w:t>
            </w:r>
          </w:p>
        </w:tc>
        <w:tc>
          <w:tcPr>
            <w:tcW w:w="625" w:type="dxa"/>
            <w:shd w:val="clear" w:color="auto" w:fill="auto"/>
            <w:noWrap/>
            <w:vAlign w:val="center"/>
          </w:tcPr>
          <w:p w:rsidR="00BA18C2" w:rsidRPr="000C169F" w:rsidRDefault="00BA18C2" w:rsidP="000C169F">
            <w:pPr>
              <w:jc w:val="center"/>
              <w:rPr>
                <w:sz w:val="18"/>
                <w:szCs w:val="18"/>
              </w:rPr>
            </w:pPr>
          </w:p>
        </w:tc>
        <w:tc>
          <w:tcPr>
            <w:tcW w:w="709"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0.616*</w:t>
            </w: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-0.013</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-0.082</w:t>
            </w: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-0.517*</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-0.826*</w:t>
            </w:r>
          </w:p>
        </w:tc>
        <w:tc>
          <w:tcPr>
            <w:tcW w:w="993" w:type="dxa"/>
            <w:shd w:val="clear" w:color="auto" w:fill="auto"/>
            <w:noWrap/>
            <w:vAlign w:val="center"/>
          </w:tcPr>
          <w:p w:rsidR="00BA18C2" w:rsidRPr="000C169F" w:rsidRDefault="00BA18C2" w:rsidP="000C169F">
            <w:pPr>
              <w:jc w:val="center"/>
              <w:rPr>
                <w:sz w:val="18"/>
                <w:szCs w:val="18"/>
              </w:rPr>
            </w:pPr>
            <w:r w:rsidRPr="000C169F">
              <w:rPr>
                <w:sz w:val="18"/>
                <w:szCs w:val="18"/>
              </w:rPr>
              <w:t>0.452*</w:t>
            </w:r>
          </w:p>
        </w:tc>
      </w:tr>
      <w:tr w:rsidR="00BA18C2" w:rsidRPr="000C169F" w:rsidTr="003B7416">
        <w:trPr>
          <w:trHeight w:val="170"/>
          <w:jc w:val="center"/>
        </w:trPr>
        <w:tc>
          <w:tcPr>
            <w:tcW w:w="792" w:type="dxa"/>
            <w:shd w:val="clear" w:color="auto" w:fill="auto"/>
            <w:noWrap/>
            <w:vAlign w:val="center"/>
          </w:tcPr>
          <w:p w:rsidR="00BA18C2" w:rsidRPr="000C169F" w:rsidRDefault="00BA18C2" w:rsidP="000C169F">
            <w:pPr>
              <w:rPr>
                <w:sz w:val="18"/>
                <w:szCs w:val="18"/>
              </w:rPr>
            </w:pPr>
            <w:r w:rsidRPr="000C169F">
              <w:rPr>
                <w:sz w:val="18"/>
                <w:szCs w:val="18"/>
              </w:rPr>
              <w:t>ADH</w:t>
            </w:r>
          </w:p>
        </w:tc>
        <w:tc>
          <w:tcPr>
            <w:tcW w:w="625" w:type="dxa"/>
            <w:shd w:val="clear" w:color="auto" w:fill="auto"/>
            <w:noWrap/>
            <w:vAlign w:val="center"/>
          </w:tcPr>
          <w:p w:rsidR="00BA18C2" w:rsidRPr="000C169F" w:rsidRDefault="00BA18C2" w:rsidP="000C169F">
            <w:pPr>
              <w:jc w:val="center"/>
              <w:rPr>
                <w:sz w:val="18"/>
                <w:szCs w:val="18"/>
              </w:rPr>
            </w:pPr>
          </w:p>
        </w:tc>
        <w:tc>
          <w:tcPr>
            <w:tcW w:w="709"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0.081</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-0.115</w:t>
            </w: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-0.321</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-0.276</w:t>
            </w:r>
          </w:p>
        </w:tc>
        <w:tc>
          <w:tcPr>
            <w:tcW w:w="993" w:type="dxa"/>
            <w:shd w:val="clear" w:color="auto" w:fill="auto"/>
            <w:noWrap/>
            <w:vAlign w:val="center"/>
          </w:tcPr>
          <w:p w:rsidR="00BA18C2" w:rsidRPr="000C169F" w:rsidRDefault="00BA18C2" w:rsidP="000C169F">
            <w:pPr>
              <w:jc w:val="center"/>
              <w:rPr>
                <w:sz w:val="18"/>
                <w:szCs w:val="18"/>
              </w:rPr>
            </w:pPr>
            <w:r w:rsidRPr="000C169F">
              <w:rPr>
                <w:sz w:val="18"/>
                <w:szCs w:val="18"/>
              </w:rPr>
              <w:t>0.524*</w:t>
            </w:r>
          </w:p>
        </w:tc>
      </w:tr>
      <w:tr w:rsidR="00BA18C2" w:rsidRPr="000C169F" w:rsidTr="003B7416">
        <w:trPr>
          <w:trHeight w:val="170"/>
          <w:jc w:val="center"/>
        </w:trPr>
        <w:tc>
          <w:tcPr>
            <w:tcW w:w="792" w:type="dxa"/>
            <w:shd w:val="clear" w:color="auto" w:fill="auto"/>
            <w:noWrap/>
            <w:vAlign w:val="center"/>
          </w:tcPr>
          <w:p w:rsidR="00BA18C2" w:rsidRPr="000C169F" w:rsidRDefault="00BA18C2" w:rsidP="000C169F">
            <w:pPr>
              <w:rPr>
                <w:sz w:val="18"/>
                <w:szCs w:val="18"/>
              </w:rPr>
            </w:pPr>
            <w:r w:rsidRPr="000C169F">
              <w:rPr>
                <w:sz w:val="18"/>
                <w:szCs w:val="18"/>
              </w:rPr>
              <w:t>GDH</w:t>
            </w:r>
          </w:p>
        </w:tc>
        <w:tc>
          <w:tcPr>
            <w:tcW w:w="625" w:type="dxa"/>
            <w:shd w:val="clear" w:color="auto" w:fill="auto"/>
            <w:noWrap/>
            <w:vAlign w:val="center"/>
          </w:tcPr>
          <w:p w:rsidR="00BA18C2" w:rsidRPr="000C169F" w:rsidRDefault="00BA18C2" w:rsidP="000C169F">
            <w:pPr>
              <w:jc w:val="center"/>
              <w:rPr>
                <w:sz w:val="18"/>
                <w:szCs w:val="18"/>
              </w:rPr>
            </w:pPr>
          </w:p>
        </w:tc>
        <w:tc>
          <w:tcPr>
            <w:tcW w:w="709"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p>
        </w:tc>
        <w:tc>
          <w:tcPr>
            <w:tcW w:w="851"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-0.325</w:t>
            </w: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-0.271</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0.143</w:t>
            </w:r>
          </w:p>
        </w:tc>
        <w:tc>
          <w:tcPr>
            <w:tcW w:w="993" w:type="dxa"/>
            <w:shd w:val="clear" w:color="auto" w:fill="auto"/>
            <w:noWrap/>
            <w:vAlign w:val="center"/>
          </w:tcPr>
          <w:p w:rsidR="00BA18C2" w:rsidRPr="000C169F" w:rsidRDefault="00BA18C2" w:rsidP="000C169F">
            <w:pPr>
              <w:jc w:val="center"/>
              <w:rPr>
                <w:sz w:val="18"/>
                <w:szCs w:val="18"/>
              </w:rPr>
            </w:pPr>
            <w:r w:rsidRPr="000C169F">
              <w:rPr>
                <w:sz w:val="18"/>
                <w:szCs w:val="18"/>
              </w:rPr>
              <w:t>0.607*</w:t>
            </w:r>
          </w:p>
        </w:tc>
      </w:tr>
      <w:tr w:rsidR="00BA18C2" w:rsidRPr="000C169F" w:rsidTr="003B7416">
        <w:trPr>
          <w:trHeight w:val="170"/>
          <w:jc w:val="center"/>
        </w:trPr>
        <w:tc>
          <w:tcPr>
            <w:tcW w:w="792" w:type="dxa"/>
            <w:shd w:val="clear" w:color="auto" w:fill="auto"/>
            <w:noWrap/>
            <w:vAlign w:val="center"/>
          </w:tcPr>
          <w:p w:rsidR="00BA18C2" w:rsidRPr="000C169F" w:rsidRDefault="00BA18C2" w:rsidP="000C169F">
            <w:pPr>
              <w:rPr>
                <w:sz w:val="18"/>
                <w:szCs w:val="18"/>
              </w:rPr>
            </w:pPr>
            <w:r w:rsidRPr="000C169F">
              <w:rPr>
                <w:sz w:val="18"/>
                <w:szCs w:val="18"/>
              </w:rPr>
              <w:t>IDH</w:t>
            </w:r>
          </w:p>
        </w:tc>
        <w:tc>
          <w:tcPr>
            <w:tcW w:w="625" w:type="dxa"/>
            <w:shd w:val="clear" w:color="auto" w:fill="auto"/>
            <w:noWrap/>
            <w:vAlign w:val="center"/>
          </w:tcPr>
          <w:p w:rsidR="00BA18C2" w:rsidRPr="000C169F" w:rsidRDefault="00BA18C2" w:rsidP="000C169F">
            <w:pPr>
              <w:jc w:val="center"/>
              <w:rPr>
                <w:sz w:val="18"/>
                <w:szCs w:val="18"/>
              </w:rPr>
            </w:pPr>
          </w:p>
        </w:tc>
        <w:tc>
          <w:tcPr>
            <w:tcW w:w="709"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p>
        </w:tc>
        <w:tc>
          <w:tcPr>
            <w:tcW w:w="851"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p>
        </w:tc>
        <w:tc>
          <w:tcPr>
            <w:tcW w:w="851" w:type="dxa"/>
            <w:shd w:val="clear" w:color="auto" w:fill="auto"/>
            <w:noWrap/>
            <w:vAlign w:val="center"/>
          </w:tcPr>
          <w:p w:rsidR="00BA18C2" w:rsidRPr="000C169F" w:rsidRDefault="00BA18C2" w:rsidP="000C169F">
            <w:pPr>
              <w:jc w:val="center"/>
              <w:rPr>
                <w:sz w:val="18"/>
                <w:szCs w:val="18"/>
              </w:rPr>
            </w:pPr>
            <w:r w:rsidRPr="000C169F">
              <w:rPr>
                <w:sz w:val="18"/>
                <w:szCs w:val="18"/>
              </w:rPr>
              <w:t>0.467*</w:t>
            </w: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0.029</w:t>
            </w:r>
          </w:p>
        </w:tc>
        <w:tc>
          <w:tcPr>
            <w:tcW w:w="993" w:type="dxa"/>
            <w:shd w:val="clear" w:color="auto" w:fill="auto"/>
            <w:noWrap/>
            <w:vAlign w:val="center"/>
          </w:tcPr>
          <w:p w:rsidR="00BA18C2" w:rsidRPr="000C169F" w:rsidRDefault="00BA18C2" w:rsidP="000C169F">
            <w:pPr>
              <w:jc w:val="center"/>
              <w:rPr>
                <w:sz w:val="18"/>
                <w:szCs w:val="18"/>
              </w:rPr>
            </w:pPr>
            <w:r w:rsidRPr="000C169F">
              <w:rPr>
                <w:sz w:val="18"/>
                <w:szCs w:val="18"/>
              </w:rPr>
              <w:t>-0.575*</w:t>
            </w:r>
          </w:p>
        </w:tc>
      </w:tr>
      <w:tr w:rsidR="00BA18C2" w:rsidRPr="000C169F" w:rsidTr="003B7416">
        <w:trPr>
          <w:trHeight w:val="170"/>
          <w:jc w:val="center"/>
        </w:trPr>
        <w:tc>
          <w:tcPr>
            <w:tcW w:w="792" w:type="dxa"/>
            <w:shd w:val="clear" w:color="auto" w:fill="auto"/>
            <w:noWrap/>
            <w:vAlign w:val="center"/>
          </w:tcPr>
          <w:p w:rsidR="00BA18C2" w:rsidRPr="000C169F" w:rsidRDefault="00BA18C2" w:rsidP="000C169F">
            <w:pPr>
              <w:rPr>
                <w:sz w:val="18"/>
                <w:szCs w:val="18"/>
              </w:rPr>
            </w:pPr>
            <w:r w:rsidRPr="000C169F">
              <w:rPr>
                <w:sz w:val="18"/>
                <w:szCs w:val="18"/>
              </w:rPr>
              <w:t>MDH</w:t>
            </w:r>
          </w:p>
        </w:tc>
        <w:tc>
          <w:tcPr>
            <w:tcW w:w="625" w:type="dxa"/>
            <w:shd w:val="clear" w:color="auto" w:fill="auto"/>
            <w:noWrap/>
            <w:vAlign w:val="center"/>
          </w:tcPr>
          <w:p w:rsidR="00BA18C2" w:rsidRPr="000C169F" w:rsidRDefault="00BA18C2" w:rsidP="000C169F">
            <w:pPr>
              <w:jc w:val="center"/>
              <w:rPr>
                <w:sz w:val="18"/>
                <w:szCs w:val="18"/>
              </w:rPr>
            </w:pPr>
          </w:p>
        </w:tc>
        <w:tc>
          <w:tcPr>
            <w:tcW w:w="709"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p>
        </w:tc>
        <w:tc>
          <w:tcPr>
            <w:tcW w:w="851"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p>
        </w:tc>
        <w:tc>
          <w:tcPr>
            <w:tcW w:w="851" w:type="dxa"/>
            <w:shd w:val="clear" w:color="auto" w:fill="auto"/>
            <w:noWrap/>
            <w:vAlign w:val="center"/>
          </w:tcPr>
          <w:p w:rsidR="00BA18C2" w:rsidRPr="000C169F" w:rsidRDefault="00BA18C2" w:rsidP="000C169F">
            <w:pPr>
              <w:jc w:val="center"/>
              <w:rPr>
                <w:sz w:val="18"/>
                <w:szCs w:val="18"/>
              </w:rPr>
            </w:pPr>
          </w:p>
        </w:tc>
        <w:tc>
          <w:tcPr>
            <w:tcW w:w="850" w:type="dxa"/>
            <w:shd w:val="clear" w:color="auto" w:fill="auto"/>
            <w:noWrap/>
            <w:vAlign w:val="center"/>
          </w:tcPr>
          <w:p w:rsidR="00BA18C2" w:rsidRPr="000C169F" w:rsidRDefault="00BA18C2" w:rsidP="000C169F">
            <w:pPr>
              <w:jc w:val="center"/>
              <w:rPr>
                <w:sz w:val="18"/>
                <w:szCs w:val="18"/>
              </w:rPr>
            </w:pPr>
            <w:r w:rsidRPr="000C169F">
              <w:rPr>
                <w:sz w:val="18"/>
                <w:szCs w:val="18"/>
              </w:rPr>
              <w:t>0.448*</w:t>
            </w:r>
          </w:p>
        </w:tc>
        <w:tc>
          <w:tcPr>
            <w:tcW w:w="993" w:type="dxa"/>
            <w:shd w:val="clear" w:color="auto" w:fill="auto"/>
            <w:noWrap/>
            <w:vAlign w:val="center"/>
          </w:tcPr>
          <w:p w:rsidR="00BA18C2" w:rsidRPr="000C169F" w:rsidRDefault="00BA18C2" w:rsidP="000C169F">
            <w:pPr>
              <w:jc w:val="center"/>
              <w:rPr>
                <w:sz w:val="18"/>
                <w:szCs w:val="18"/>
              </w:rPr>
            </w:pPr>
            <w:r w:rsidRPr="000C169F">
              <w:rPr>
                <w:sz w:val="18"/>
                <w:szCs w:val="18"/>
              </w:rPr>
              <w:t>-0.629*</w:t>
            </w:r>
          </w:p>
        </w:tc>
      </w:tr>
      <w:tr w:rsidR="00BA18C2" w:rsidRPr="000C169F" w:rsidTr="003B7416">
        <w:trPr>
          <w:trHeight w:val="170"/>
          <w:jc w:val="center"/>
        </w:trPr>
        <w:tc>
          <w:tcPr>
            <w:tcW w:w="792" w:type="dxa"/>
            <w:tcBorders>
              <w:bottom w:val="single" w:sz="4" w:space="0" w:color="auto"/>
            </w:tcBorders>
            <w:shd w:val="clear" w:color="auto" w:fill="auto"/>
            <w:noWrap/>
            <w:vAlign w:val="center"/>
          </w:tcPr>
          <w:p w:rsidR="00BA18C2" w:rsidRPr="000C169F" w:rsidRDefault="00BA18C2" w:rsidP="000C169F">
            <w:pPr>
              <w:rPr>
                <w:sz w:val="18"/>
                <w:szCs w:val="18"/>
              </w:rPr>
            </w:pPr>
            <w:r w:rsidRPr="000C169F">
              <w:rPr>
                <w:sz w:val="18"/>
                <w:szCs w:val="18"/>
              </w:rPr>
              <w:t>PGD</w:t>
            </w:r>
          </w:p>
        </w:tc>
        <w:tc>
          <w:tcPr>
            <w:tcW w:w="625" w:type="dxa"/>
            <w:tcBorders>
              <w:bottom w:val="single" w:sz="4" w:space="0" w:color="auto"/>
            </w:tcBorders>
            <w:shd w:val="clear" w:color="auto" w:fill="auto"/>
            <w:noWrap/>
            <w:vAlign w:val="center"/>
          </w:tcPr>
          <w:p w:rsidR="00BA18C2" w:rsidRPr="000C169F" w:rsidRDefault="00BA18C2" w:rsidP="000C169F">
            <w:pPr>
              <w:jc w:val="center"/>
              <w:rPr>
                <w:sz w:val="18"/>
                <w:szCs w:val="18"/>
              </w:rPr>
            </w:pPr>
          </w:p>
        </w:tc>
        <w:tc>
          <w:tcPr>
            <w:tcW w:w="709" w:type="dxa"/>
            <w:tcBorders>
              <w:bottom w:val="single" w:sz="4" w:space="0" w:color="auto"/>
            </w:tcBorders>
            <w:shd w:val="clear" w:color="auto" w:fill="auto"/>
            <w:noWrap/>
            <w:vAlign w:val="center"/>
          </w:tcPr>
          <w:p w:rsidR="00BA18C2" w:rsidRPr="000C169F" w:rsidRDefault="00BA18C2" w:rsidP="000C169F">
            <w:pPr>
              <w:jc w:val="center"/>
              <w:rPr>
                <w:sz w:val="18"/>
                <w:szCs w:val="18"/>
              </w:rPr>
            </w:pPr>
          </w:p>
        </w:tc>
        <w:tc>
          <w:tcPr>
            <w:tcW w:w="850" w:type="dxa"/>
            <w:tcBorders>
              <w:bottom w:val="single" w:sz="4" w:space="0" w:color="auto"/>
            </w:tcBorders>
            <w:shd w:val="clear" w:color="auto" w:fill="auto"/>
            <w:noWrap/>
            <w:vAlign w:val="center"/>
          </w:tcPr>
          <w:p w:rsidR="00BA18C2" w:rsidRPr="000C169F" w:rsidRDefault="00BA18C2" w:rsidP="000C169F">
            <w:pPr>
              <w:jc w:val="center"/>
              <w:rPr>
                <w:sz w:val="18"/>
                <w:szCs w:val="18"/>
              </w:rPr>
            </w:pPr>
          </w:p>
        </w:tc>
        <w:tc>
          <w:tcPr>
            <w:tcW w:w="851" w:type="dxa"/>
            <w:tcBorders>
              <w:bottom w:val="single" w:sz="4" w:space="0" w:color="auto"/>
            </w:tcBorders>
            <w:shd w:val="clear" w:color="auto" w:fill="auto"/>
            <w:noWrap/>
            <w:vAlign w:val="center"/>
          </w:tcPr>
          <w:p w:rsidR="00BA18C2" w:rsidRPr="000C169F" w:rsidRDefault="00BA18C2" w:rsidP="000C169F">
            <w:pPr>
              <w:jc w:val="center"/>
              <w:rPr>
                <w:sz w:val="18"/>
                <w:szCs w:val="18"/>
              </w:rPr>
            </w:pPr>
          </w:p>
        </w:tc>
        <w:tc>
          <w:tcPr>
            <w:tcW w:w="850" w:type="dxa"/>
            <w:tcBorders>
              <w:bottom w:val="single" w:sz="4" w:space="0" w:color="auto"/>
            </w:tcBorders>
            <w:shd w:val="clear" w:color="auto" w:fill="auto"/>
            <w:noWrap/>
            <w:vAlign w:val="center"/>
          </w:tcPr>
          <w:p w:rsidR="00BA18C2" w:rsidRPr="000C169F" w:rsidRDefault="00BA18C2" w:rsidP="000C169F">
            <w:pPr>
              <w:jc w:val="center"/>
              <w:rPr>
                <w:sz w:val="18"/>
                <w:szCs w:val="18"/>
              </w:rPr>
            </w:pPr>
          </w:p>
        </w:tc>
        <w:tc>
          <w:tcPr>
            <w:tcW w:w="851" w:type="dxa"/>
            <w:tcBorders>
              <w:bottom w:val="single" w:sz="4" w:space="0" w:color="auto"/>
            </w:tcBorders>
            <w:shd w:val="clear" w:color="auto" w:fill="auto"/>
            <w:noWrap/>
            <w:vAlign w:val="center"/>
          </w:tcPr>
          <w:p w:rsidR="00BA18C2" w:rsidRPr="000C169F" w:rsidRDefault="00BA18C2" w:rsidP="000C169F">
            <w:pPr>
              <w:jc w:val="center"/>
              <w:rPr>
                <w:sz w:val="18"/>
                <w:szCs w:val="18"/>
              </w:rPr>
            </w:pPr>
          </w:p>
        </w:tc>
        <w:tc>
          <w:tcPr>
            <w:tcW w:w="850" w:type="dxa"/>
            <w:tcBorders>
              <w:bottom w:val="single" w:sz="4" w:space="0" w:color="auto"/>
            </w:tcBorders>
            <w:shd w:val="clear" w:color="auto" w:fill="auto"/>
            <w:noWrap/>
            <w:vAlign w:val="center"/>
          </w:tcPr>
          <w:p w:rsidR="00BA18C2" w:rsidRPr="000C169F" w:rsidRDefault="00BA18C2" w:rsidP="000C169F">
            <w:pPr>
              <w:jc w:val="center"/>
              <w:rPr>
                <w:sz w:val="18"/>
                <w:szCs w:val="18"/>
              </w:rPr>
            </w:pPr>
          </w:p>
        </w:tc>
        <w:tc>
          <w:tcPr>
            <w:tcW w:w="993" w:type="dxa"/>
            <w:tcBorders>
              <w:bottom w:val="single" w:sz="4" w:space="0" w:color="auto"/>
            </w:tcBorders>
            <w:shd w:val="clear" w:color="auto" w:fill="auto"/>
            <w:noWrap/>
            <w:vAlign w:val="center"/>
          </w:tcPr>
          <w:p w:rsidR="00BA18C2" w:rsidRPr="000C169F" w:rsidRDefault="00BA18C2" w:rsidP="000C169F">
            <w:pPr>
              <w:jc w:val="center"/>
              <w:rPr>
                <w:sz w:val="18"/>
                <w:szCs w:val="18"/>
              </w:rPr>
            </w:pPr>
            <w:r w:rsidRPr="000C169F">
              <w:rPr>
                <w:sz w:val="18"/>
                <w:szCs w:val="18"/>
              </w:rPr>
              <w:t>-0.311</w:t>
            </w:r>
          </w:p>
        </w:tc>
      </w:tr>
    </w:tbl>
    <w:p w:rsidR="00BA18C2" w:rsidRPr="000C169F" w:rsidRDefault="00BA18C2" w:rsidP="000C169F">
      <w:pPr>
        <w:spacing w:after="120"/>
        <w:contextualSpacing/>
        <w:jc w:val="both"/>
        <w:rPr>
          <w:caps/>
          <w:sz w:val="16"/>
          <w:szCs w:val="16"/>
        </w:rPr>
      </w:pPr>
      <w:r w:rsidRPr="000C169F">
        <w:rPr>
          <w:sz w:val="16"/>
          <w:szCs w:val="16"/>
        </w:rPr>
        <w:t>*Significant difference</w:t>
      </w:r>
      <w:r w:rsidR="000C169F">
        <w:rPr>
          <w:sz w:val="16"/>
          <w:szCs w:val="16"/>
        </w:rPr>
        <w:t xml:space="preserve">; </w:t>
      </w:r>
      <w:r w:rsidRPr="000C169F">
        <w:rPr>
          <w:sz w:val="16"/>
          <w:szCs w:val="16"/>
          <w:vertAlign w:val="superscript"/>
        </w:rPr>
        <w:t>a</w:t>
      </w:r>
      <w:r w:rsidRPr="000C169F">
        <w:rPr>
          <w:sz w:val="16"/>
          <w:szCs w:val="16"/>
        </w:rPr>
        <w:t xml:space="preserve"> For explanation of character symbols, see ‘Material and methods’</w:t>
      </w:r>
      <w:r w:rsidR="000C169F">
        <w:rPr>
          <w:sz w:val="16"/>
          <w:szCs w:val="16"/>
        </w:rPr>
        <w:t>.</w:t>
      </w:r>
    </w:p>
    <w:p w:rsidR="00BA18C2" w:rsidRPr="003B7416" w:rsidRDefault="00BA18C2" w:rsidP="000C169F">
      <w:pPr>
        <w:autoSpaceDE w:val="0"/>
        <w:autoSpaceDN w:val="0"/>
        <w:adjustRightInd w:val="0"/>
        <w:ind w:firstLine="426"/>
        <w:jc w:val="both"/>
        <w:rPr>
          <w:rStyle w:val="hps"/>
          <w:spacing w:val="-4"/>
          <w:sz w:val="22"/>
          <w:szCs w:val="22"/>
        </w:rPr>
      </w:pPr>
      <w:r w:rsidRPr="003B7416">
        <w:rPr>
          <w:spacing w:val="-4"/>
          <w:sz w:val="22"/>
          <w:szCs w:val="22"/>
        </w:rPr>
        <w:lastRenderedPageBreak/>
        <w:t xml:space="preserve">We also observed a significant positive correlation between tree vigor and ADH, GDH and SDH banding patterns (r = 0.619, r = 0.467 and r = 0.767, respectively), whereas a significant, but negative correlation between MDH and PGD (r = -0.641 and r = -0.465, respectively) was recorded. On the other hand, LL and LW correlated strongly, but negatively, only with MDH and PGD, while LW showed a positive correlation with SDH. Finally, only MDH and PGD correlated (negatively) with all tree/leaf parameters. An established correlation between tree vigour and MDH is in accordance with the results of </w:t>
      </w:r>
      <w:r w:rsidRPr="003B7416">
        <w:rPr>
          <w:rStyle w:val="hps"/>
          <w:spacing w:val="-4"/>
          <w:sz w:val="22"/>
          <w:szCs w:val="22"/>
        </w:rPr>
        <w:t>Werner and Moxley (1991) reported for peach.</w:t>
      </w:r>
    </w:p>
    <w:p w:rsidR="0094149E" w:rsidRPr="0094149E" w:rsidRDefault="0094149E" w:rsidP="00D64201">
      <w:pPr>
        <w:jc w:val="center"/>
        <w:rPr>
          <w:sz w:val="22"/>
          <w:szCs w:val="22"/>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BA18C2" w:rsidRPr="000C169F" w:rsidRDefault="00BA18C2" w:rsidP="006239BD">
      <w:pPr>
        <w:widowControl w:val="0"/>
        <w:ind w:firstLine="425"/>
        <w:contextualSpacing/>
        <w:jc w:val="both"/>
        <w:rPr>
          <w:sz w:val="22"/>
          <w:szCs w:val="22"/>
        </w:rPr>
      </w:pPr>
      <w:r w:rsidRPr="000C169F">
        <w:rPr>
          <w:sz w:val="22"/>
          <w:szCs w:val="22"/>
        </w:rPr>
        <w:t xml:space="preserve">Regarding all results obtained in this study, it can be concluded that </w:t>
      </w:r>
      <w:r w:rsidRPr="000C169F">
        <w:rPr>
          <w:rFonts w:eastAsia="GulliverRM"/>
          <w:sz w:val="22"/>
          <w:szCs w:val="22"/>
        </w:rPr>
        <w:t xml:space="preserve">PCA provided a simplified classification of the cherry rootstocks, and determined the groups of strong, medium and low vigour, while the scatter plot showed the geometrical distances among the groups. Both PCA and correlation analysis determined that </w:t>
      </w:r>
      <w:r w:rsidRPr="000C169F">
        <w:rPr>
          <w:sz w:val="22"/>
          <w:szCs w:val="22"/>
        </w:rPr>
        <w:t>MDH and PGD were correlated to TV, LL and LW, which suggests that those systems can be used for early selection of low vigour rootstocks.</w:t>
      </w:r>
      <w:r w:rsidR="003B7416">
        <w:rPr>
          <w:sz w:val="22"/>
          <w:szCs w:val="22"/>
        </w:rPr>
        <w:t xml:space="preserve"> </w:t>
      </w:r>
      <w:r w:rsidRPr="000C169F">
        <w:rPr>
          <w:sz w:val="22"/>
          <w:szCs w:val="22"/>
        </w:rPr>
        <w:t>This conclusion is also supported by the isoenzyme analysis, which showed that MDH analysis could be applied in early rootstock selection, since MDH heterozygous genotype ab is specific for low vigour genotypes. PGD seems to be a good marker for selections of genotypes with small leaves that can be interesting for the selection of decorative forms.</w:t>
      </w:r>
      <w:r w:rsidR="003B7416">
        <w:rPr>
          <w:sz w:val="22"/>
          <w:szCs w:val="22"/>
        </w:rPr>
        <w:t xml:space="preserve"> </w:t>
      </w:r>
      <w:r w:rsidRPr="000C169F">
        <w:rPr>
          <w:sz w:val="22"/>
          <w:szCs w:val="22"/>
        </w:rPr>
        <w:t xml:space="preserve">In order to confirm our results, further research should expand on new, even more dwarfing, precocious cherry rootstocks and/or test them </w:t>
      </w:r>
      <w:r w:rsidR="000C169F">
        <w:rPr>
          <w:sz w:val="22"/>
          <w:szCs w:val="22"/>
        </w:rPr>
        <w:t>in different varieties.</w:t>
      </w:r>
    </w:p>
    <w:p w:rsidR="00BA18C2" w:rsidRPr="000C169F" w:rsidRDefault="00BA18C2" w:rsidP="000C169F">
      <w:pPr>
        <w:spacing w:after="120"/>
        <w:contextualSpacing/>
        <w:rPr>
          <w:sz w:val="22"/>
          <w:szCs w:val="22"/>
        </w:rPr>
      </w:pPr>
    </w:p>
    <w:p w:rsidR="00BA18C2" w:rsidRPr="000C169F" w:rsidRDefault="00BA18C2" w:rsidP="000C169F">
      <w:pPr>
        <w:spacing w:after="120"/>
        <w:contextualSpacing/>
        <w:rPr>
          <w:b/>
          <w:sz w:val="22"/>
          <w:szCs w:val="22"/>
        </w:rPr>
      </w:pPr>
      <w:r w:rsidRPr="000C169F">
        <w:rPr>
          <w:b/>
          <w:sz w:val="22"/>
          <w:szCs w:val="22"/>
        </w:rPr>
        <w:t>Acknowledgements</w:t>
      </w:r>
    </w:p>
    <w:p w:rsidR="00BA18C2" w:rsidRPr="000C169F" w:rsidRDefault="00BA18C2" w:rsidP="000C169F">
      <w:pPr>
        <w:spacing w:after="120"/>
        <w:contextualSpacing/>
        <w:rPr>
          <w:caps/>
          <w:sz w:val="22"/>
          <w:szCs w:val="22"/>
        </w:rPr>
      </w:pPr>
    </w:p>
    <w:p w:rsidR="00BA18C2" w:rsidRPr="000C169F" w:rsidRDefault="00BA18C2" w:rsidP="000C169F">
      <w:pPr>
        <w:widowControl w:val="0"/>
        <w:ind w:firstLine="425"/>
        <w:contextualSpacing/>
        <w:jc w:val="both"/>
        <w:rPr>
          <w:caps/>
          <w:sz w:val="22"/>
          <w:szCs w:val="22"/>
        </w:rPr>
      </w:pPr>
      <w:r w:rsidRPr="000C169F">
        <w:rPr>
          <w:sz w:val="22"/>
          <w:szCs w:val="22"/>
        </w:rPr>
        <w:t>This research was supported and funded by the Ministry of Education, Science and Technological Development of the Republic of Serbia as one of the research topics in the project “Selection of sweet and sour cherry dwarfing rootstocks and development of intensive cultivation technology based on sustainable agriculture principles”, evidence number TR 31038, for the grant period 2011–2017.</w:t>
      </w:r>
    </w:p>
    <w:p w:rsidR="0094149E" w:rsidRPr="000C169F" w:rsidRDefault="0094149E" w:rsidP="000C169F">
      <w:pPr>
        <w:ind w:firstLine="426"/>
        <w:jc w:val="both"/>
        <w:rPr>
          <w:bCs/>
          <w:color w:val="000000"/>
          <w:sz w:val="22"/>
          <w:szCs w:val="22"/>
          <w:lang w:val="en-US"/>
        </w:rPr>
      </w:pPr>
    </w:p>
    <w:p w:rsidR="00D64201" w:rsidRDefault="00D64201" w:rsidP="00D64201">
      <w:pPr>
        <w:widowControl w:val="0"/>
        <w:jc w:val="center"/>
        <w:rPr>
          <w:b/>
          <w:sz w:val="22"/>
          <w:szCs w:val="22"/>
        </w:rPr>
      </w:pPr>
      <w:r w:rsidRPr="00831C98">
        <w:rPr>
          <w:b/>
          <w:sz w:val="22"/>
          <w:szCs w:val="22"/>
        </w:rPr>
        <w:t>References</w:t>
      </w:r>
    </w:p>
    <w:p w:rsidR="00D64201" w:rsidRPr="006C26B3" w:rsidRDefault="00D64201" w:rsidP="00D64201">
      <w:pPr>
        <w:jc w:val="center"/>
        <w:rPr>
          <w:sz w:val="22"/>
          <w:szCs w:val="22"/>
        </w:rPr>
      </w:pP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Bošković, R., Tobutt, K.R., Arús, P., &amp; Messeguer, R. (1994). Isoenzymes. In R. Messeguer (Ed.), </w:t>
      </w:r>
      <w:r w:rsidRPr="000C169F">
        <w:rPr>
          <w:i/>
          <w:sz w:val="18"/>
          <w:szCs w:val="18"/>
        </w:rPr>
        <w:t>Methods of Molecular Marker Analysis in Prunus</w:t>
      </w:r>
      <w:r w:rsidRPr="000C169F">
        <w:rPr>
          <w:sz w:val="18"/>
          <w:szCs w:val="18"/>
        </w:rPr>
        <w:t>. (pp. 4</w:t>
      </w:r>
      <w:r w:rsidR="000C169F">
        <w:rPr>
          <w:sz w:val="18"/>
          <w:szCs w:val="18"/>
        </w:rPr>
        <w:t>-</w:t>
      </w:r>
      <w:r w:rsidRPr="000C169F">
        <w:rPr>
          <w:sz w:val="18"/>
          <w:szCs w:val="18"/>
        </w:rPr>
        <w:t xml:space="preserve">25). </w:t>
      </w:r>
      <w:r w:rsidR="000C169F">
        <w:rPr>
          <w:sz w:val="18"/>
          <w:szCs w:val="18"/>
        </w:rPr>
        <w:t>Barcelona: IRTA.</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Cantín, C.M., Pinochet, J., Gogorcena, Y., &amp; Moreno, M.Á. (2010). Growth, yield and fruit quality of ‘Van’ and ‘Stark Hardy Giant’ sweet cherry cultivars as influenced by grafting on different rootstocks. </w:t>
      </w:r>
      <w:r w:rsidRPr="000C169F">
        <w:rPr>
          <w:i/>
          <w:sz w:val="18"/>
          <w:szCs w:val="18"/>
        </w:rPr>
        <w:t>Scientia Horticulturae</w:t>
      </w:r>
      <w:r w:rsidRPr="000C169F">
        <w:rPr>
          <w:sz w:val="18"/>
          <w:szCs w:val="18"/>
        </w:rPr>
        <w:t xml:space="preserve">, </w:t>
      </w:r>
      <w:r w:rsidRPr="000C169F">
        <w:rPr>
          <w:i/>
          <w:sz w:val="18"/>
          <w:szCs w:val="18"/>
        </w:rPr>
        <w:t>123</w:t>
      </w:r>
      <w:r w:rsidRPr="000C169F">
        <w:rPr>
          <w:sz w:val="18"/>
          <w:szCs w:val="18"/>
        </w:rPr>
        <w:t>, 329</w:t>
      </w:r>
      <w:r w:rsidR="000C169F">
        <w:rPr>
          <w:sz w:val="18"/>
          <w:szCs w:val="18"/>
        </w:rPr>
        <w:t>-335.</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Čolić, S., Rakonjac, V., Fotirić Akšić, M., Nikolić, D., Ognjanov, V., &amp; Dragan Rahović (2012). Dehydrogenase isoenzyme polymorphism in genus </w:t>
      </w:r>
      <w:r w:rsidRPr="000C169F">
        <w:rPr>
          <w:i/>
          <w:sz w:val="18"/>
          <w:szCs w:val="18"/>
        </w:rPr>
        <w:t>Prunus</w:t>
      </w:r>
      <w:r w:rsidRPr="000C169F">
        <w:rPr>
          <w:sz w:val="18"/>
          <w:szCs w:val="18"/>
        </w:rPr>
        <w:t xml:space="preserve">, subgenus </w:t>
      </w:r>
      <w:r w:rsidRPr="000C169F">
        <w:rPr>
          <w:i/>
          <w:sz w:val="18"/>
          <w:szCs w:val="18"/>
        </w:rPr>
        <w:t>Cerasus</w:t>
      </w:r>
      <w:r w:rsidRPr="000C169F">
        <w:rPr>
          <w:sz w:val="18"/>
          <w:szCs w:val="18"/>
        </w:rPr>
        <w:t xml:space="preserve">. </w:t>
      </w:r>
      <w:r w:rsidRPr="000C169F">
        <w:rPr>
          <w:i/>
          <w:sz w:val="18"/>
          <w:szCs w:val="18"/>
        </w:rPr>
        <w:t>Genetika</w:t>
      </w:r>
      <w:r w:rsidRPr="000C169F">
        <w:rPr>
          <w:sz w:val="18"/>
          <w:szCs w:val="18"/>
        </w:rPr>
        <w:t xml:space="preserve">, </w:t>
      </w:r>
      <w:r w:rsidRPr="000C169F">
        <w:rPr>
          <w:i/>
          <w:sz w:val="18"/>
          <w:szCs w:val="18"/>
        </w:rPr>
        <w:t>44</w:t>
      </w:r>
      <w:r w:rsidRPr="000C169F">
        <w:rPr>
          <w:sz w:val="18"/>
          <w:szCs w:val="18"/>
        </w:rPr>
        <w:t>, 619</w:t>
      </w:r>
      <w:r w:rsidR="000C169F">
        <w:rPr>
          <w:sz w:val="18"/>
          <w:szCs w:val="18"/>
        </w:rPr>
        <w:t>-</w:t>
      </w:r>
      <w:r w:rsidRPr="000C169F">
        <w:rPr>
          <w:sz w:val="18"/>
          <w:szCs w:val="18"/>
        </w:rPr>
        <w:t>632.</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lastRenderedPageBreak/>
        <w:t xml:space="preserve">Ercisli, S., Esitken, A., Orhan, E., &amp; Ozdemir, O. (2006). Rootstocks used for temperate fruit trees in Turkey: an overview. </w:t>
      </w:r>
      <w:r w:rsidRPr="000C169F">
        <w:rPr>
          <w:i/>
          <w:sz w:val="18"/>
          <w:szCs w:val="18"/>
        </w:rPr>
        <w:t>Scientific works of the Lithuanian Institute of Horticulture and Lithuanian University of Agriculture</w:t>
      </w:r>
      <w:r w:rsidRPr="000C169F">
        <w:rPr>
          <w:sz w:val="18"/>
          <w:szCs w:val="18"/>
        </w:rPr>
        <w:t xml:space="preserve">, </w:t>
      </w:r>
      <w:r w:rsidRPr="000C169F">
        <w:rPr>
          <w:i/>
          <w:sz w:val="18"/>
          <w:szCs w:val="18"/>
        </w:rPr>
        <w:t>Sodininkyste IR Daržininkyste</w:t>
      </w:r>
      <w:r w:rsidRPr="000C169F">
        <w:rPr>
          <w:sz w:val="18"/>
          <w:szCs w:val="18"/>
        </w:rPr>
        <w:t xml:space="preserve">, </w:t>
      </w:r>
      <w:r w:rsidRPr="000C169F">
        <w:rPr>
          <w:i/>
          <w:sz w:val="18"/>
          <w:szCs w:val="18"/>
        </w:rPr>
        <w:t>25</w:t>
      </w:r>
      <w:r w:rsidRPr="000C169F">
        <w:rPr>
          <w:sz w:val="18"/>
          <w:szCs w:val="18"/>
        </w:rPr>
        <w:t>, 27</w:t>
      </w:r>
      <w:r w:rsidR="000C169F">
        <w:rPr>
          <w:sz w:val="18"/>
          <w:szCs w:val="18"/>
        </w:rPr>
        <w:t>-</w:t>
      </w:r>
      <w:r w:rsidRPr="000C169F">
        <w:rPr>
          <w:sz w:val="18"/>
          <w:szCs w:val="18"/>
        </w:rPr>
        <w:t>33.</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Fassio, C., Heath, R., Arpaia M., &amp; Castro, M. (2009). Sap flow in ‘Hass’ avocado trees on two clonal rootstocks in relation to xylem anatomy. </w:t>
      </w:r>
      <w:r w:rsidRPr="000C169F">
        <w:rPr>
          <w:i/>
          <w:sz w:val="18"/>
          <w:szCs w:val="18"/>
        </w:rPr>
        <w:t>Scientia Horticulturae</w:t>
      </w:r>
      <w:r w:rsidRPr="000C169F">
        <w:rPr>
          <w:sz w:val="18"/>
          <w:szCs w:val="18"/>
        </w:rPr>
        <w:t xml:space="preserve">, </w:t>
      </w:r>
      <w:r w:rsidRPr="000C169F">
        <w:rPr>
          <w:i/>
          <w:sz w:val="18"/>
          <w:szCs w:val="18"/>
        </w:rPr>
        <w:t>120</w:t>
      </w:r>
      <w:r w:rsidRPr="000C169F">
        <w:rPr>
          <w:sz w:val="18"/>
          <w:szCs w:val="18"/>
        </w:rPr>
        <w:t>, 8</w:t>
      </w:r>
      <w:r w:rsidR="000C169F">
        <w:rPr>
          <w:sz w:val="18"/>
          <w:szCs w:val="18"/>
        </w:rPr>
        <w:t>-</w:t>
      </w:r>
      <w:r w:rsidRPr="000C169F">
        <w:rPr>
          <w:sz w:val="18"/>
          <w:szCs w:val="18"/>
        </w:rPr>
        <w:t>13.</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Hrotkó, K. (2016). Potentials in </w:t>
      </w:r>
      <w:r w:rsidRPr="000C169F">
        <w:rPr>
          <w:i/>
          <w:sz w:val="18"/>
          <w:szCs w:val="18"/>
        </w:rPr>
        <w:t>Prunus mahaleb</w:t>
      </w:r>
      <w:r w:rsidRPr="000C169F">
        <w:rPr>
          <w:sz w:val="18"/>
          <w:szCs w:val="18"/>
        </w:rPr>
        <w:t xml:space="preserve"> L. for cherry rootstock breeding. </w:t>
      </w:r>
      <w:r w:rsidRPr="000C169F">
        <w:rPr>
          <w:i/>
          <w:sz w:val="18"/>
          <w:szCs w:val="18"/>
        </w:rPr>
        <w:t>Scientia Horticulturae</w:t>
      </w:r>
      <w:r w:rsidRPr="000C169F">
        <w:rPr>
          <w:sz w:val="18"/>
          <w:szCs w:val="18"/>
        </w:rPr>
        <w:t xml:space="preserve">, </w:t>
      </w:r>
      <w:r w:rsidRPr="000C169F">
        <w:rPr>
          <w:i/>
          <w:sz w:val="18"/>
          <w:szCs w:val="18"/>
        </w:rPr>
        <w:t>205</w:t>
      </w:r>
      <w:r w:rsidRPr="000C169F">
        <w:rPr>
          <w:sz w:val="18"/>
          <w:szCs w:val="18"/>
        </w:rPr>
        <w:t>, 70</w:t>
      </w:r>
      <w:r w:rsidR="000C169F">
        <w:t>-</w:t>
      </w:r>
      <w:r w:rsidRPr="000C169F">
        <w:rPr>
          <w:sz w:val="18"/>
          <w:szCs w:val="18"/>
        </w:rPr>
        <w:t>78.</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Iwasaki, M., Fukamachi, H., Satoh, K., Nesumi, H., &amp; Yoshioka, T. (2011). Development of tree vigour prediction method at an early stage based on stem hydraulic conductance of seedlings in citrus rootstocks. </w:t>
      </w:r>
      <w:r w:rsidRPr="000C169F">
        <w:rPr>
          <w:i/>
          <w:sz w:val="18"/>
          <w:szCs w:val="18"/>
        </w:rPr>
        <w:t>Journal of the Japanese Society for Horticultural Science</w:t>
      </w:r>
      <w:r w:rsidRPr="000C169F">
        <w:rPr>
          <w:sz w:val="18"/>
          <w:szCs w:val="18"/>
        </w:rPr>
        <w:t xml:space="preserve">, </w:t>
      </w:r>
      <w:r w:rsidRPr="000C169F">
        <w:rPr>
          <w:i/>
          <w:sz w:val="18"/>
          <w:szCs w:val="18"/>
        </w:rPr>
        <w:t>80</w:t>
      </w:r>
      <w:r w:rsidRPr="000C169F">
        <w:rPr>
          <w:sz w:val="18"/>
          <w:szCs w:val="18"/>
        </w:rPr>
        <w:t>, 390–395.</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Lang, G.A. (2000). Precocious, dwarfing, and productive – how will new cherry rootstocks impact the sweet cherry industry? </w:t>
      </w:r>
      <w:r w:rsidRPr="000C169F">
        <w:rPr>
          <w:i/>
          <w:sz w:val="18"/>
          <w:szCs w:val="18"/>
        </w:rPr>
        <w:t>HortTechnology</w:t>
      </w:r>
      <w:r w:rsidRPr="000C169F">
        <w:rPr>
          <w:sz w:val="18"/>
          <w:szCs w:val="18"/>
        </w:rPr>
        <w:t xml:space="preserve">, </w:t>
      </w:r>
      <w:r w:rsidRPr="000C169F">
        <w:rPr>
          <w:i/>
          <w:iCs/>
          <w:sz w:val="18"/>
          <w:szCs w:val="18"/>
        </w:rPr>
        <w:t>10</w:t>
      </w:r>
      <w:r w:rsidRPr="000C169F">
        <w:rPr>
          <w:sz w:val="18"/>
          <w:szCs w:val="18"/>
        </w:rPr>
        <w:t>, 719</w:t>
      </w:r>
      <w:r w:rsidR="000C169F">
        <w:rPr>
          <w:sz w:val="18"/>
          <w:szCs w:val="18"/>
        </w:rPr>
        <w:t>-</w:t>
      </w:r>
      <w:r w:rsidRPr="000C169F">
        <w:rPr>
          <w:sz w:val="18"/>
          <w:szCs w:val="18"/>
        </w:rPr>
        <w:t>725.</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Ljubojević, M., Ognjanov, V., Zorić, L., Maksimović, I., Merkulov, Lj., Bosnjaković, D., &amp; Barać, G. (2013). Modeling of water movement trough cherry plant as preselecting tool for prediction of tree vigor. </w:t>
      </w:r>
      <w:r w:rsidRPr="000C169F">
        <w:rPr>
          <w:i/>
          <w:sz w:val="18"/>
          <w:szCs w:val="18"/>
        </w:rPr>
        <w:t>Scientia Horticulturae</w:t>
      </w:r>
      <w:r w:rsidRPr="000C169F">
        <w:rPr>
          <w:sz w:val="18"/>
          <w:szCs w:val="18"/>
        </w:rPr>
        <w:t xml:space="preserve">, </w:t>
      </w:r>
      <w:r w:rsidRPr="000C169F">
        <w:rPr>
          <w:i/>
          <w:sz w:val="18"/>
          <w:szCs w:val="18"/>
        </w:rPr>
        <w:t>160</w:t>
      </w:r>
      <w:r w:rsidRPr="000C169F">
        <w:rPr>
          <w:sz w:val="18"/>
          <w:szCs w:val="18"/>
        </w:rPr>
        <w:t>, 189</w:t>
      </w:r>
      <w:r w:rsidR="000C169F">
        <w:rPr>
          <w:sz w:val="18"/>
          <w:szCs w:val="18"/>
        </w:rPr>
        <w:t>-</w:t>
      </w:r>
      <w:r w:rsidRPr="000C169F">
        <w:rPr>
          <w:sz w:val="18"/>
          <w:szCs w:val="18"/>
        </w:rPr>
        <w:t>197.</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Miller, S.R. (1977). Selection criteria in the seedling stage for predicting apple rootstock vigour. </w:t>
      </w:r>
      <w:r w:rsidRPr="000C169F">
        <w:rPr>
          <w:i/>
          <w:sz w:val="18"/>
          <w:szCs w:val="18"/>
        </w:rPr>
        <w:t>Canadian Journal of Plant Science</w:t>
      </w:r>
      <w:r w:rsidRPr="000C169F">
        <w:rPr>
          <w:sz w:val="18"/>
          <w:szCs w:val="18"/>
        </w:rPr>
        <w:t xml:space="preserve">, </w:t>
      </w:r>
      <w:r w:rsidRPr="000C169F">
        <w:rPr>
          <w:i/>
          <w:sz w:val="18"/>
          <w:szCs w:val="18"/>
        </w:rPr>
        <w:t>57</w:t>
      </w:r>
      <w:r w:rsidRPr="000C169F">
        <w:rPr>
          <w:sz w:val="18"/>
          <w:szCs w:val="18"/>
        </w:rPr>
        <w:t>, 667</w:t>
      </w:r>
      <w:r w:rsidR="000C169F">
        <w:rPr>
          <w:sz w:val="18"/>
          <w:szCs w:val="18"/>
        </w:rPr>
        <w:t>-</w:t>
      </w:r>
      <w:r w:rsidRPr="000C169F">
        <w:rPr>
          <w:sz w:val="18"/>
          <w:szCs w:val="18"/>
        </w:rPr>
        <w:t>674.</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Milošević, T., Milošević, N., Milivojević, J., Glišić, I., &amp; Nikolić, R. (2014). Experiences with Mazzard and Colt sweet cherry rootstocks in Serbia which are used for high density planting system under heavy and acidic soil conditions. </w:t>
      </w:r>
      <w:r w:rsidRPr="000C169F">
        <w:rPr>
          <w:i/>
          <w:sz w:val="18"/>
          <w:szCs w:val="18"/>
        </w:rPr>
        <w:t>Scientia Horticulturae</w:t>
      </w:r>
      <w:r w:rsidRPr="000C169F">
        <w:rPr>
          <w:sz w:val="18"/>
          <w:szCs w:val="18"/>
        </w:rPr>
        <w:t xml:space="preserve">, </w:t>
      </w:r>
      <w:r w:rsidRPr="000C169F">
        <w:rPr>
          <w:i/>
          <w:sz w:val="18"/>
          <w:szCs w:val="18"/>
        </w:rPr>
        <w:t>176</w:t>
      </w:r>
      <w:r w:rsidRPr="000C169F">
        <w:rPr>
          <w:sz w:val="18"/>
          <w:szCs w:val="18"/>
        </w:rPr>
        <w:t>, 261</w:t>
      </w:r>
      <w:r w:rsidR="000C169F">
        <w:rPr>
          <w:sz w:val="18"/>
          <w:szCs w:val="18"/>
        </w:rPr>
        <w:t>-272.</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Ognjanov, V., Ljubojević, M., Ninić-Todorović, J., Bošnjaković, D., Barać, G., Čukanović, J., &amp; Mladenović, E. (2012). Morphometric diversity in dwarf sour cherry germplasm in Serbia. </w:t>
      </w:r>
      <w:r w:rsidRPr="000C169F">
        <w:rPr>
          <w:i/>
          <w:sz w:val="18"/>
          <w:szCs w:val="18"/>
        </w:rPr>
        <w:t>Journal of Horticultural Science &amp; Biotechnology</w:t>
      </w:r>
      <w:r w:rsidRPr="000C169F">
        <w:rPr>
          <w:sz w:val="18"/>
          <w:szCs w:val="18"/>
        </w:rPr>
        <w:t xml:space="preserve">, </w:t>
      </w:r>
      <w:r w:rsidRPr="000C169F">
        <w:rPr>
          <w:i/>
          <w:sz w:val="18"/>
          <w:szCs w:val="18"/>
        </w:rPr>
        <w:t>87</w:t>
      </w:r>
      <w:r w:rsidRPr="000C169F">
        <w:rPr>
          <w:sz w:val="18"/>
          <w:szCs w:val="18"/>
        </w:rPr>
        <w:t>, 117</w:t>
      </w:r>
      <w:r w:rsidR="000C169F">
        <w:rPr>
          <w:sz w:val="18"/>
          <w:szCs w:val="18"/>
        </w:rPr>
        <w:t>-</w:t>
      </w:r>
      <w:r w:rsidRPr="000C169F">
        <w:rPr>
          <w:sz w:val="18"/>
          <w:szCs w:val="18"/>
        </w:rPr>
        <w:t>122.</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Olmstead, M., Lang, N., Lang, G., Ewers, F., &amp; Owens S. (2004). Characterization of xylem vessels in sweet cherries (</w:t>
      </w:r>
      <w:r w:rsidRPr="000C169F">
        <w:rPr>
          <w:i/>
          <w:sz w:val="18"/>
          <w:szCs w:val="18"/>
        </w:rPr>
        <w:t>Prunus avium</w:t>
      </w:r>
      <w:r w:rsidRPr="000C169F">
        <w:rPr>
          <w:sz w:val="18"/>
          <w:szCs w:val="18"/>
        </w:rPr>
        <w:t xml:space="preserve"> L.). </w:t>
      </w:r>
      <w:r w:rsidRPr="000C169F">
        <w:rPr>
          <w:i/>
          <w:sz w:val="18"/>
          <w:szCs w:val="18"/>
        </w:rPr>
        <w:t>Acta Horticulturae</w:t>
      </w:r>
      <w:r w:rsidRPr="000C169F">
        <w:rPr>
          <w:sz w:val="18"/>
          <w:szCs w:val="18"/>
        </w:rPr>
        <w:t xml:space="preserve">, </w:t>
      </w:r>
      <w:r w:rsidRPr="000C169F">
        <w:rPr>
          <w:i/>
          <w:sz w:val="18"/>
          <w:szCs w:val="18"/>
        </w:rPr>
        <w:t>636</w:t>
      </w:r>
      <w:r w:rsidRPr="000C169F">
        <w:rPr>
          <w:sz w:val="18"/>
          <w:szCs w:val="18"/>
        </w:rPr>
        <w:t>, 129</w:t>
      </w:r>
      <w:r w:rsidR="000C169F">
        <w:rPr>
          <w:sz w:val="18"/>
          <w:szCs w:val="18"/>
        </w:rPr>
        <w:t>-</w:t>
      </w:r>
      <w:r w:rsidRPr="000C169F">
        <w:rPr>
          <w:sz w:val="18"/>
          <w:szCs w:val="18"/>
        </w:rPr>
        <w:t>135.</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Rakonjac, V., Fotirić-Akšić, M., Nikolić, D., Milatović, D., &amp; Čolić, S. (2010). Morphological characterization of ‘Oblačinska’ sour cherry by multivariate analysis. </w:t>
      </w:r>
      <w:r w:rsidRPr="000C169F">
        <w:rPr>
          <w:i/>
          <w:sz w:val="18"/>
          <w:szCs w:val="18"/>
        </w:rPr>
        <w:t>Scientia Horticulturae</w:t>
      </w:r>
      <w:r w:rsidRPr="000C169F">
        <w:rPr>
          <w:sz w:val="18"/>
          <w:szCs w:val="18"/>
        </w:rPr>
        <w:t xml:space="preserve">, </w:t>
      </w:r>
      <w:r w:rsidRPr="000C169F">
        <w:rPr>
          <w:i/>
          <w:sz w:val="18"/>
          <w:szCs w:val="18"/>
        </w:rPr>
        <w:t>125</w:t>
      </w:r>
      <w:r w:rsidRPr="000C169F">
        <w:rPr>
          <w:sz w:val="18"/>
          <w:szCs w:val="18"/>
        </w:rPr>
        <w:t>, 679</w:t>
      </w:r>
      <w:r w:rsidR="000C169F">
        <w:rPr>
          <w:sz w:val="18"/>
          <w:szCs w:val="18"/>
        </w:rPr>
        <w:t>-</w:t>
      </w:r>
      <w:r w:rsidRPr="000C169F">
        <w:rPr>
          <w:sz w:val="18"/>
          <w:szCs w:val="18"/>
        </w:rPr>
        <w:t>684.</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Rakonjac, V., Mratinic, E., Jovkovic, R., &amp; Fotiric Akšic M. (2014). Analysis of morphological variability in wild cherry (</w:t>
      </w:r>
      <w:r w:rsidRPr="000C169F">
        <w:rPr>
          <w:i/>
          <w:sz w:val="18"/>
          <w:szCs w:val="18"/>
        </w:rPr>
        <w:t>Prunus avium</w:t>
      </w:r>
      <w:r w:rsidRPr="000C169F">
        <w:rPr>
          <w:sz w:val="18"/>
          <w:szCs w:val="18"/>
        </w:rPr>
        <w:t xml:space="preserve"> L.) genetic resources from central Serbia. </w:t>
      </w:r>
      <w:r w:rsidRPr="000C169F">
        <w:rPr>
          <w:i/>
          <w:sz w:val="18"/>
          <w:szCs w:val="18"/>
        </w:rPr>
        <w:t>Journal of Agricultural Science and Technology</w:t>
      </w:r>
      <w:r w:rsidRPr="000C169F">
        <w:rPr>
          <w:sz w:val="18"/>
          <w:szCs w:val="18"/>
        </w:rPr>
        <w:t xml:space="preserve">, </w:t>
      </w:r>
      <w:r w:rsidRPr="000C169F">
        <w:rPr>
          <w:i/>
          <w:sz w:val="18"/>
          <w:szCs w:val="18"/>
        </w:rPr>
        <w:t>16</w:t>
      </w:r>
      <w:r w:rsidRPr="000C169F">
        <w:rPr>
          <w:sz w:val="18"/>
          <w:szCs w:val="18"/>
        </w:rPr>
        <w:t>, 151</w:t>
      </w:r>
      <w:r w:rsidR="000C169F">
        <w:rPr>
          <w:sz w:val="18"/>
          <w:szCs w:val="18"/>
        </w:rPr>
        <w:t>-</w:t>
      </w:r>
      <w:r w:rsidRPr="000C169F">
        <w:rPr>
          <w:sz w:val="18"/>
          <w:szCs w:val="18"/>
        </w:rPr>
        <w:t>162.</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Rakonjac, V., Nikolić, D., Fotirić-Akšić, M., &amp; Čolić, S. (2016). Rootstock and interstock influence on vigour, fruit and leaf properties of sour cherry cultivars. </w:t>
      </w:r>
      <w:r w:rsidRPr="000C169F">
        <w:rPr>
          <w:i/>
          <w:sz w:val="18"/>
          <w:szCs w:val="18"/>
        </w:rPr>
        <w:t>Acta Horticulturae</w:t>
      </w:r>
      <w:r w:rsidRPr="000C169F">
        <w:rPr>
          <w:sz w:val="18"/>
          <w:szCs w:val="18"/>
        </w:rPr>
        <w:t xml:space="preserve">, </w:t>
      </w:r>
      <w:r w:rsidRPr="000C169F">
        <w:rPr>
          <w:i/>
          <w:sz w:val="18"/>
          <w:szCs w:val="18"/>
        </w:rPr>
        <w:t>1139</w:t>
      </w:r>
      <w:r w:rsidRPr="000C169F">
        <w:rPr>
          <w:sz w:val="18"/>
          <w:szCs w:val="18"/>
        </w:rPr>
        <w:t>, 231</w:t>
      </w:r>
      <w:r w:rsidR="000C169F">
        <w:rPr>
          <w:sz w:val="18"/>
          <w:szCs w:val="18"/>
        </w:rPr>
        <w:t>-</w:t>
      </w:r>
      <w:r w:rsidRPr="000C169F">
        <w:rPr>
          <w:sz w:val="18"/>
          <w:szCs w:val="18"/>
        </w:rPr>
        <w:t>236.</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Seleznyova, A., Tustin, D., &amp; Thorp, T. (2008). Apple dwarfing rootstocks and interstocks affect the type of growth units produced during the annual growth cycle: precocious transition to flowering affects the composition and vigour of annual shoots. </w:t>
      </w:r>
      <w:r w:rsidRPr="000C169F">
        <w:rPr>
          <w:i/>
          <w:sz w:val="18"/>
          <w:szCs w:val="18"/>
        </w:rPr>
        <w:t>Annals of Botany</w:t>
      </w:r>
      <w:r w:rsidRPr="000C169F">
        <w:rPr>
          <w:sz w:val="18"/>
          <w:szCs w:val="18"/>
        </w:rPr>
        <w:t xml:space="preserve">, </w:t>
      </w:r>
      <w:r w:rsidRPr="000C169F">
        <w:rPr>
          <w:i/>
          <w:sz w:val="18"/>
          <w:szCs w:val="18"/>
        </w:rPr>
        <w:t>101</w:t>
      </w:r>
      <w:r w:rsidRPr="000C169F">
        <w:rPr>
          <w:sz w:val="18"/>
          <w:szCs w:val="18"/>
        </w:rPr>
        <w:t>, 679</w:t>
      </w:r>
      <w:r w:rsidR="000C169F">
        <w:rPr>
          <w:sz w:val="18"/>
          <w:szCs w:val="18"/>
        </w:rPr>
        <w:t>-</w:t>
      </w:r>
      <w:r w:rsidRPr="000C169F">
        <w:rPr>
          <w:sz w:val="18"/>
          <w:szCs w:val="18"/>
        </w:rPr>
        <w:t>687.</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Schmidt, H., Christensen, J.V., Watkins, R., &amp; Smith, R. (1985). Cherry descriptor list. (Schmidt, H., Christensen, J.V., Watkins, R., Smith, R, Eds.) </w:t>
      </w:r>
      <w:r w:rsidRPr="000C169F">
        <w:rPr>
          <w:i/>
          <w:sz w:val="18"/>
          <w:szCs w:val="18"/>
        </w:rPr>
        <w:t xml:space="preserve">International Board of Plant Genetic Resources </w:t>
      </w:r>
      <w:r w:rsidRPr="000C169F">
        <w:rPr>
          <w:sz w:val="18"/>
          <w:szCs w:val="18"/>
        </w:rPr>
        <w:t>(IBPGR), Rome, Italy. 18-27.</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UPOV (2006)</w:t>
      </w:r>
      <w:r w:rsidR="008D5395">
        <w:rPr>
          <w:sz w:val="18"/>
          <w:szCs w:val="18"/>
          <w:lang/>
        </w:rPr>
        <w:t>.</w:t>
      </w:r>
      <w:r w:rsidRPr="000C169F">
        <w:rPr>
          <w:sz w:val="18"/>
          <w:szCs w:val="18"/>
        </w:rPr>
        <w:t xml:space="preserve"> Guidelines for the conduct of tests for distinctness, homogeneity and stability of the sweet cherry. 31 p. </w:t>
      </w:r>
      <w:r w:rsidRPr="000C169F">
        <w:rPr>
          <w:i/>
          <w:sz w:val="18"/>
          <w:szCs w:val="18"/>
        </w:rPr>
        <w:t>International Union for the Protection of New Varieties of Plants</w:t>
      </w:r>
      <w:r w:rsidRPr="000C169F">
        <w:rPr>
          <w:sz w:val="18"/>
          <w:szCs w:val="18"/>
        </w:rPr>
        <w:t xml:space="preserve"> (UPOV), Geneva, Italy</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Werner, D.J., &amp; Moxley, D.F. (1991). Relationship between malate dehydrogenase isozyme </w:t>
      </w:r>
      <w:r w:rsidR="003B7416">
        <w:rPr>
          <w:sz w:val="18"/>
          <w:szCs w:val="18"/>
        </w:rPr>
        <w:br/>
      </w:r>
      <w:r w:rsidRPr="000C169F">
        <w:rPr>
          <w:sz w:val="18"/>
          <w:szCs w:val="18"/>
        </w:rPr>
        <w:t xml:space="preserve">genotype and plant vigour in peach. </w:t>
      </w:r>
      <w:r w:rsidRPr="000C169F">
        <w:rPr>
          <w:i/>
          <w:sz w:val="18"/>
          <w:szCs w:val="18"/>
        </w:rPr>
        <w:t>Journal of the American Society for Horticultural Science</w:t>
      </w:r>
      <w:r w:rsidRPr="000C169F">
        <w:rPr>
          <w:sz w:val="18"/>
          <w:szCs w:val="18"/>
        </w:rPr>
        <w:t xml:space="preserve">, </w:t>
      </w:r>
      <w:r w:rsidRPr="000C169F">
        <w:rPr>
          <w:i/>
          <w:sz w:val="18"/>
          <w:szCs w:val="18"/>
        </w:rPr>
        <w:t>116</w:t>
      </w:r>
      <w:r w:rsidRPr="000C169F">
        <w:rPr>
          <w:sz w:val="18"/>
          <w:szCs w:val="18"/>
        </w:rPr>
        <w:t>, 327</w:t>
      </w:r>
      <w:r w:rsidR="003B7416">
        <w:rPr>
          <w:sz w:val="18"/>
          <w:szCs w:val="18"/>
        </w:rPr>
        <w:t>-</w:t>
      </w:r>
      <w:r w:rsidRPr="000C169F">
        <w:rPr>
          <w:sz w:val="18"/>
          <w:szCs w:val="18"/>
        </w:rPr>
        <w:t>329.</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Wendel, J.F., &amp; Weeden, N.F. (1989). Visualisation and interpretation of plant isozymes. In D.E. Soltis &amp; P.S. Soltis (Eds.), </w:t>
      </w:r>
      <w:r w:rsidRPr="000C169F">
        <w:rPr>
          <w:i/>
          <w:sz w:val="18"/>
          <w:szCs w:val="18"/>
        </w:rPr>
        <w:t>Isozymes in plant biology</w:t>
      </w:r>
      <w:r w:rsidRPr="000C169F">
        <w:rPr>
          <w:sz w:val="18"/>
          <w:szCs w:val="18"/>
        </w:rPr>
        <w:t>. (pp. 5</w:t>
      </w:r>
      <w:r w:rsidR="003B7416">
        <w:rPr>
          <w:sz w:val="18"/>
          <w:szCs w:val="18"/>
        </w:rPr>
        <w:t>-</w:t>
      </w:r>
      <w:r w:rsidRPr="000C169F">
        <w:rPr>
          <w:sz w:val="18"/>
          <w:szCs w:val="18"/>
        </w:rPr>
        <w:t>45). Oregon, USA:</w:t>
      </w:r>
      <w:r w:rsidR="003B7416">
        <w:rPr>
          <w:sz w:val="18"/>
          <w:szCs w:val="18"/>
        </w:rPr>
        <w:t xml:space="preserve"> Dioscorides Press.</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t xml:space="preserve">Whiting, M.D., Lang, G., &amp; Ophardt, D. (2005). Rootstock and training system affect sweet cherry growth, yield, and fruit quality. </w:t>
      </w:r>
      <w:r w:rsidRPr="000C169F">
        <w:rPr>
          <w:i/>
          <w:sz w:val="18"/>
          <w:szCs w:val="18"/>
        </w:rPr>
        <w:t>HortScience</w:t>
      </w:r>
      <w:r w:rsidRPr="000C169F">
        <w:rPr>
          <w:sz w:val="18"/>
          <w:szCs w:val="18"/>
        </w:rPr>
        <w:t xml:space="preserve">, </w:t>
      </w:r>
      <w:r w:rsidRPr="000C169F">
        <w:rPr>
          <w:i/>
          <w:sz w:val="18"/>
          <w:szCs w:val="18"/>
        </w:rPr>
        <w:t>40</w:t>
      </w:r>
      <w:r w:rsidRPr="000C169F">
        <w:rPr>
          <w:sz w:val="18"/>
          <w:szCs w:val="18"/>
        </w:rPr>
        <w:t>, 582</w:t>
      </w:r>
      <w:r w:rsidR="003B7416">
        <w:rPr>
          <w:sz w:val="18"/>
          <w:szCs w:val="18"/>
        </w:rPr>
        <w:t>-</w:t>
      </w:r>
      <w:r w:rsidRPr="000C169F">
        <w:rPr>
          <w:sz w:val="18"/>
          <w:szCs w:val="18"/>
        </w:rPr>
        <w:t>586.</w:t>
      </w:r>
    </w:p>
    <w:p w:rsidR="00BA18C2" w:rsidRPr="000C169F" w:rsidRDefault="00BA18C2" w:rsidP="000C169F">
      <w:pPr>
        <w:autoSpaceDE w:val="0"/>
        <w:autoSpaceDN w:val="0"/>
        <w:adjustRightInd w:val="0"/>
        <w:spacing w:after="120"/>
        <w:ind w:left="426" w:hanging="426"/>
        <w:contextualSpacing/>
        <w:jc w:val="both"/>
        <w:rPr>
          <w:sz w:val="18"/>
          <w:szCs w:val="18"/>
        </w:rPr>
      </w:pPr>
      <w:r w:rsidRPr="000C169F">
        <w:rPr>
          <w:sz w:val="18"/>
          <w:szCs w:val="18"/>
        </w:rPr>
        <w:lastRenderedPageBreak/>
        <w:t xml:space="preserve">Zorić, L., Ljubojević, M., Merkulov, Lj., Luković, J., &amp; Ognjanov, V. (2012). Anatomical characteristics of cherry rootstocks as possible preselecting tools for prediction of tree vigour. </w:t>
      </w:r>
      <w:r w:rsidRPr="000C169F">
        <w:rPr>
          <w:i/>
          <w:sz w:val="18"/>
          <w:szCs w:val="18"/>
        </w:rPr>
        <w:t>Journal of Plant Growth Regulation</w:t>
      </w:r>
      <w:r w:rsidRPr="000C169F">
        <w:rPr>
          <w:sz w:val="18"/>
          <w:szCs w:val="18"/>
        </w:rPr>
        <w:t xml:space="preserve">, </w:t>
      </w:r>
      <w:r w:rsidRPr="000C169F">
        <w:rPr>
          <w:i/>
          <w:sz w:val="18"/>
          <w:szCs w:val="18"/>
        </w:rPr>
        <w:t>31</w:t>
      </w:r>
      <w:r w:rsidRPr="000C169F">
        <w:rPr>
          <w:sz w:val="18"/>
          <w:szCs w:val="18"/>
        </w:rPr>
        <w:t>, 320</w:t>
      </w:r>
      <w:r w:rsidR="003B7416">
        <w:rPr>
          <w:sz w:val="18"/>
          <w:szCs w:val="18"/>
        </w:rPr>
        <w:t>-</w:t>
      </w:r>
      <w:r w:rsidRPr="000C169F">
        <w:rPr>
          <w:sz w:val="18"/>
          <w:szCs w:val="18"/>
        </w:rPr>
        <w:t>331.</w:t>
      </w:r>
    </w:p>
    <w:p w:rsidR="00C34CE7" w:rsidRPr="003B7416" w:rsidRDefault="00C34CE7" w:rsidP="000C169F">
      <w:pPr>
        <w:ind w:left="426" w:hanging="426"/>
        <w:rPr>
          <w:rFonts w:eastAsia="Calibri"/>
          <w:color w:val="000000"/>
          <w:sz w:val="22"/>
          <w:szCs w:val="22"/>
        </w:rPr>
      </w:pPr>
    </w:p>
    <w:p w:rsidR="001A2AD0" w:rsidRPr="003B7416" w:rsidRDefault="001A2AD0" w:rsidP="00C34CE7">
      <w:pPr>
        <w:rPr>
          <w:rFonts w:eastAsia="Calibri"/>
          <w:color w:val="000000"/>
          <w:sz w:val="22"/>
          <w:szCs w:val="22"/>
        </w:rPr>
      </w:pPr>
    </w:p>
    <w:p w:rsidR="001A2AD0" w:rsidRPr="008D5395" w:rsidRDefault="001A2AD0" w:rsidP="001A2AD0">
      <w:pPr>
        <w:autoSpaceDE w:val="0"/>
        <w:autoSpaceDN w:val="0"/>
        <w:adjustRightInd w:val="0"/>
        <w:ind w:left="709" w:hanging="709"/>
        <w:jc w:val="right"/>
        <w:rPr>
          <w:sz w:val="18"/>
          <w:szCs w:val="18"/>
        </w:rPr>
      </w:pPr>
      <w:r w:rsidRPr="008D5395">
        <w:rPr>
          <w:sz w:val="18"/>
          <w:szCs w:val="18"/>
        </w:rPr>
        <w:t xml:space="preserve">Received: </w:t>
      </w:r>
      <w:r w:rsidR="008D5395" w:rsidRPr="008D5395">
        <w:rPr>
          <w:sz w:val="18"/>
          <w:szCs w:val="18"/>
          <w:lang/>
        </w:rPr>
        <w:t>Маy</w:t>
      </w:r>
      <w:r w:rsidRPr="008D5395">
        <w:rPr>
          <w:sz w:val="18"/>
          <w:szCs w:val="18"/>
        </w:rPr>
        <w:t xml:space="preserve"> </w:t>
      </w:r>
      <w:r w:rsidR="008D5395" w:rsidRPr="008D5395">
        <w:rPr>
          <w:sz w:val="18"/>
          <w:szCs w:val="18"/>
        </w:rPr>
        <w:t>22</w:t>
      </w:r>
      <w:r w:rsidRPr="008D5395">
        <w:rPr>
          <w:sz w:val="18"/>
          <w:szCs w:val="18"/>
        </w:rPr>
        <w:t>, 2017</w:t>
      </w:r>
    </w:p>
    <w:p w:rsidR="001A2AD0" w:rsidRPr="007A4B8C" w:rsidRDefault="001A2AD0" w:rsidP="001A2AD0">
      <w:pPr>
        <w:autoSpaceDE w:val="0"/>
        <w:autoSpaceDN w:val="0"/>
        <w:adjustRightInd w:val="0"/>
        <w:ind w:left="709" w:hanging="709"/>
        <w:jc w:val="right"/>
        <w:rPr>
          <w:sz w:val="18"/>
          <w:szCs w:val="18"/>
        </w:rPr>
      </w:pPr>
      <w:r w:rsidRPr="008D5395">
        <w:rPr>
          <w:sz w:val="18"/>
          <w:szCs w:val="18"/>
        </w:rPr>
        <w:t xml:space="preserve">Accepted: </w:t>
      </w:r>
      <w:r w:rsidR="008D5395" w:rsidRPr="008D5395">
        <w:rPr>
          <w:sz w:val="18"/>
          <w:szCs w:val="18"/>
        </w:rPr>
        <w:t>November 21</w:t>
      </w:r>
      <w:r w:rsidRPr="008D5395">
        <w:rPr>
          <w:sz w:val="18"/>
          <w:szCs w:val="18"/>
        </w:rPr>
        <w:t>, 2017</w:t>
      </w:r>
    </w:p>
    <w:p w:rsidR="001A2AD0" w:rsidRPr="003B7416"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6239BD" w:rsidRDefault="006239BD" w:rsidP="00C34CE7">
      <w:pPr>
        <w:rPr>
          <w:rFonts w:eastAsia="Calibri"/>
          <w:color w:val="000000"/>
          <w:sz w:val="22"/>
          <w:szCs w:val="22"/>
        </w:rPr>
      </w:pPr>
    </w:p>
    <w:p w:rsidR="006239BD" w:rsidRPr="003B7416" w:rsidRDefault="006239BD" w:rsidP="00C34CE7">
      <w:pPr>
        <w:rPr>
          <w:rFonts w:eastAsia="Calibri"/>
          <w:color w:val="000000"/>
          <w:sz w:val="22"/>
          <w:szCs w:val="22"/>
        </w:rPr>
      </w:pPr>
    </w:p>
    <w:p w:rsidR="001A2AD0" w:rsidRPr="003B7416" w:rsidRDefault="001A2AD0" w:rsidP="00C34CE7">
      <w:pPr>
        <w:rPr>
          <w:rFonts w:eastAsia="Calibri"/>
          <w:color w:val="000000"/>
          <w:sz w:val="22"/>
          <w:szCs w:val="22"/>
        </w:rPr>
      </w:pPr>
    </w:p>
    <w:p w:rsidR="00BA18C2" w:rsidRPr="003B7416" w:rsidRDefault="00BA18C2" w:rsidP="003B7416">
      <w:pPr>
        <w:widowControl w:val="0"/>
        <w:contextualSpacing/>
        <w:jc w:val="center"/>
        <w:rPr>
          <w:sz w:val="22"/>
          <w:szCs w:val="22"/>
        </w:rPr>
      </w:pPr>
      <w:r w:rsidRPr="003B7416">
        <w:rPr>
          <w:sz w:val="22"/>
          <w:szCs w:val="22"/>
        </w:rPr>
        <w:t>POLIMORFIZAM DEHIDROGENAZA KAO ALAT ZA RANU SELEKCIJU SLABO BUJNIH PODLOGA ZA TREŠNJU I VIŠNJU</w:t>
      </w:r>
    </w:p>
    <w:p w:rsidR="00BA18C2" w:rsidRPr="003B7416" w:rsidRDefault="00BA18C2" w:rsidP="003B7416">
      <w:pPr>
        <w:widowControl w:val="0"/>
        <w:contextualSpacing/>
        <w:jc w:val="center"/>
        <w:rPr>
          <w:sz w:val="22"/>
          <w:szCs w:val="22"/>
        </w:rPr>
      </w:pPr>
    </w:p>
    <w:p w:rsidR="003B7416" w:rsidRDefault="00BA18C2" w:rsidP="003B7416">
      <w:pPr>
        <w:widowControl w:val="0"/>
        <w:contextualSpacing/>
        <w:jc w:val="center"/>
        <w:rPr>
          <w:b/>
          <w:sz w:val="22"/>
          <w:szCs w:val="22"/>
        </w:rPr>
      </w:pPr>
      <w:r w:rsidRPr="003B7416">
        <w:rPr>
          <w:b/>
          <w:sz w:val="22"/>
          <w:szCs w:val="22"/>
          <w:lang w:val="pl-PL"/>
        </w:rPr>
        <w:t xml:space="preserve">Slavica D. </w:t>
      </w:r>
      <w:r w:rsidRPr="003B7416">
        <w:rPr>
          <w:b/>
          <w:sz w:val="22"/>
          <w:szCs w:val="22"/>
        </w:rPr>
        <w:t>Čolić</w:t>
      </w:r>
      <w:r w:rsidRPr="003B7416">
        <w:rPr>
          <w:b/>
          <w:sz w:val="22"/>
          <w:szCs w:val="22"/>
          <w:vertAlign w:val="superscript"/>
        </w:rPr>
        <w:t>1</w:t>
      </w:r>
      <w:r w:rsidRPr="003B7416">
        <w:rPr>
          <w:rStyle w:val="FootnoteReference"/>
          <w:b/>
          <w:bCs/>
          <w:sz w:val="22"/>
          <w:szCs w:val="22"/>
          <w:vertAlign w:val="baseline"/>
        </w:rPr>
        <w:footnoteReference w:customMarkFollows="1" w:id="3"/>
        <w:t>*</w:t>
      </w:r>
      <w:r w:rsidRPr="003B7416">
        <w:rPr>
          <w:b/>
          <w:sz w:val="22"/>
          <w:szCs w:val="22"/>
        </w:rPr>
        <w:t>, Vera S. Rakonjac</w:t>
      </w:r>
      <w:r w:rsidRPr="003B7416">
        <w:rPr>
          <w:b/>
          <w:sz w:val="22"/>
          <w:szCs w:val="22"/>
          <w:vertAlign w:val="superscript"/>
        </w:rPr>
        <w:t>2</w:t>
      </w:r>
      <w:r w:rsidRPr="003B7416">
        <w:rPr>
          <w:b/>
          <w:sz w:val="22"/>
          <w:szCs w:val="22"/>
        </w:rPr>
        <w:t xml:space="preserve">, </w:t>
      </w:r>
    </w:p>
    <w:p w:rsidR="00BA18C2" w:rsidRPr="003B7416" w:rsidRDefault="00BA18C2" w:rsidP="003B7416">
      <w:pPr>
        <w:widowControl w:val="0"/>
        <w:contextualSpacing/>
        <w:jc w:val="center"/>
        <w:rPr>
          <w:b/>
          <w:sz w:val="22"/>
          <w:szCs w:val="22"/>
          <w:lang w:val="pl-PL"/>
        </w:rPr>
      </w:pPr>
      <w:r w:rsidRPr="003B7416">
        <w:rPr>
          <w:b/>
          <w:sz w:val="22"/>
          <w:szCs w:val="22"/>
        </w:rPr>
        <w:t>Dragan T. Nikolić</w:t>
      </w:r>
      <w:r w:rsidRPr="003B7416">
        <w:rPr>
          <w:b/>
          <w:sz w:val="22"/>
          <w:szCs w:val="22"/>
          <w:vertAlign w:val="superscript"/>
        </w:rPr>
        <w:t>2</w:t>
      </w:r>
      <w:r w:rsidRPr="003B7416">
        <w:rPr>
          <w:b/>
          <w:sz w:val="22"/>
          <w:szCs w:val="22"/>
        </w:rPr>
        <w:t xml:space="preserve"> i Milica M. Fotirić Akšić</w:t>
      </w:r>
      <w:r w:rsidRPr="003B7416">
        <w:rPr>
          <w:b/>
          <w:sz w:val="22"/>
          <w:szCs w:val="22"/>
          <w:vertAlign w:val="superscript"/>
        </w:rPr>
        <w:t>2</w:t>
      </w:r>
    </w:p>
    <w:p w:rsidR="00BA18C2" w:rsidRPr="003B7416" w:rsidRDefault="00BA18C2" w:rsidP="003B7416">
      <w:pPr>
        <w:widowControl w:val="0"/>
        <w:contextualSpacing/>
        <w:jc w:val="center"/>
        <w:rPr>
          <w:sz w:val="22"/>
          <w:szCs w:val="22"/>
          <w:vertAlign w:val="superscript"/>
          <w:lang w:val="pl-PL"/>
        </w:rPr>
      </w:pPr>
    </w:p>
    <w:p w:rsidR="00BA18C2" w:rsidRPr="003B7416" w:rsidRDefault="00BA18C2" w:rsidP="003B7416">
      <w:pPr>
        <w:widowControl w:val="0"/>
        <w:contextualSpacing/>
        <w:jc w:val="center"/>
        <w:rPr>
          <w:sz w:val="22"/>
          <w:szCs w:val="22"/>
          <w:lang w:val="pl-PL"/>
        </w:rPr>
      </w:pPr>
      <w:r w:rsidRPr="003B7416">
        <w:rPr>
          <w:sz w:val="22"/>
          <w:szCs w:val="22"/>
          <w:vertAlign w:val="superscript"/>
          <w:lang w:val="pl-PL"/>
        </w:rPr>
        <w:t>1</w:t>
      </w:r>
      <w:r w:rsidRPr="003B7416">
        <w:rPr>
          <w:sz w:val="22"/>
          <w:szCs w:val="22"/>
          <w:lang w:val="pl-PL"/>
        </w:rPr>
        <w:t>Institut za primenu nauke u poljoprivredi,</w:t>
      </w:r>
    </w:p>
    <w:p w:rsidR="00BA18C2" w:rsidRPr="003B7416" w:rsidRDefault="00BA18C2" w:rsidP="003B7416">
      <w:pPr>
        <w:widowControl w:val="0"/>
        <w:contextualSpacing/>
        <w:jc w:val="center"/>
        <w:rPr>
          <w:sz w:val="22"/>
          <w:szCs w:val="22"/>
          <w:lang w:val="pl-PL"/>
        </w:rPr>
      </w:pPr>
      <w:r w:rsidRPr="003B7416">
        <w:rPr>
          <w:sz w:val="22"/>
          <w:szCs w:val="22"/>
          <w:lang w:val="pl-PL"/>
        </w:rPr>
        <w:t>Bulevar despota Stefana 68b, 11000 Beograd, Srbija</w:t>
      </w:r>
    </w:p>
    <w:p w:rsidR="00BA18C2" w:rsidRPr="003B7416" w:rsidRDefault="00BA18C2" w:rsidP="003B7416">
      <w:pPr>
        <w:widowControl w:val="0"/>
        <w:contextualSpacing/>
        <w:jc w:val="center"/>
        <w:rPr>
          <w:sz w:val="22"/>
          <w:szCs w:val="22"/>
          <w:lang w:val="pl-PL"/>
        </w:rPr>
      </w:pPr>
      <w:r w:rsidRPr="003B7416">
        <w:rPr>
          <w:sz w:val="22"/>
          <w:szCs w:val="22"/>
          <w:vertAlign w:val="superscript"/>
          <w:lang w:val="pl-PL"/>
        </w:rPr>
        <w:t>2</w:t>
      </w:r>
      <w:r w:rsidRPr="003B7416">
        <w:rPr>
          <w:sz w:val="22"/>
          <w:szCs w:val="22"/>
          <w:lang w:val="pl-PL"/>
        </w:rPr>
        <w:t xml:space="preserve">Univerzitet u Beogradu, Poljoprivredni fakultet, </w:t>
      </w:r>
    </w:p>
    <w:p w:rsidR="00BA18C2" w:rsidRPr="003B7416" w:rsidRDefault="00BA18C2" w:rsidP="003B7416">
      <w:pPr>
        <w:widowControl w:val="0"/>
        <w:contextualSpacing/>
        <w:jc w:val="center"/>
        <w:rPr>
          <w:sz w:val="22"/>
          <w:szCs w:val="22"/>
          <w:lang w:val="pl-PL"/>
        </w:rPr>
      </w:pPr>
      <w:r w:rsidRPr="003B7416">
        <w:rPr>
          <w:sz w:val="22"/>
          <w:szCs w:val="22"/>
          <w:lang w:val="pl-PL"/>
        </w:rPr>
        <w:t>Nemanjina 6, 11080 Beograd-Zemun, Srbija</w:t>
      </w:r>
    </w:p>
    <w:p w:rsidR="00BA18C2" w:rsidRPr="003B7416" w:rsidRDefault="00BA18C2" w:rsidP="003B7416">
      <w:pPr>
        <w:widowControl w:val="0"/>
        <w:jc w:val="center"/>
        <w:rPr>
          <w:sz w:val="22"/>
          <w:szCs w:val="22"/>
          <w:lang w:val="pl-PL"/>
        </w:rPr>
      </w:pPr>
    </w:p>
    <w:p w:rsidR="00BA18C2" w:rsidRPr="003B7416" w:rsidRDefault="00BA18C2" w:rsidP="003B7416">
      <w:pPr>
        <w:widowControl w:val="0"/>
        <w:jc w:val="center"/>
        <w:rPr>
          <w:sz w:val="22"/>
          <w:szCs w:val="22"/>
          <w:lang w:val="pl-PL"/>
        </w:rPr>
      </w:pPr>
      <w:r w:rsidRPr="003B7416">
        <w:rPr>
          <w:sz w:val="22"/>
          <w:szCs w:val="22"/>
          <w:lang w:val="pl-PL"/>
        </w:rPr>
        <w:t>R e z i m e</w:t>
      </w:r>
    </w:p>
    <w:p w:rsidR="00BA18C2" w:rsidRPr="00060487" w:rsidRDefault="00BA18C2" w:rsidP="00BA18C2">
      <w:pPr>
        <w:spacing w:after="120"/>
        <w:contextualSpacing/>
        <w:jc w:val="center"/>
        <w:rPr>
          <w:sz w:val="24"/>
          <w:szCs w:val="24"/>
          <w:lang w:val="pl-PL"/>
        </w:rPr>
      </w:pPr>
    </w:p>
    <w:p w:rsidR="00BA18C2" w:rsidRPr="003B7416" w:rsidRDefault="00BA18C2" w:rsidP="003B7416">
      <w:pPr>
        <w:spacing w:after="120"/>
        <w:ind w:firstLine="426"/>
        <w:contextualSpacing/>
        <w:jc w:val="both"/>
        <w:rPr>
          <w:rStyle w:val="hps"/>
          <w:sz w:val="22"/>
          <w:szCs w:val="22"/>
          <w:lang w:val="pl-PL"/>
        </w:rPr>
      </w:pPr>
      <w:r w:rsidRPr="003B7416">
        <w:rPr>
          <w:sz w:val="22"/>
          <w:szCs w:val="22"/>
          <w:lang w:val="sr-Latn-CS"/>
        </w:rPr>
        <w:t xml:space="preserve">U radu je ispitivana korelacija između dehidrogenaznih izoenzimskih profila i bujnosti kod 20 genotipova roda </w:t>
      </w:r>
      <w:r w:rsidRPr="003B7416">
        <w:rPr>
          <w:rStyle w:val="hps"/>
          <w:i/>
          <w:sz w:val="22"/>
          <w:szCs w:val="22"/>
          <w:lang w:val="pl-PL"/>
        </w:rPr>
        <w:t>Prunus</w:t>
      </w:r>
      <w:r w:rsidRPr="003B7416">
        <w:rPr>
          <w:rStyle w:val="hps"/>
          <w:sz w:val="22"/>
          <w:szCs w:val="22"/>
          <w:lang w:val="pl-PL"/>
        </w:rPr>
        <w:t xml:space="preserve">, podroda </w:t>
      </w:r>
      <w:r w:rsidRPr="003B7416">
        <w:rPr>
          <w:rStyle w:val="hps"/>
          <w:i/>
          <w:sz w:val="22"/>
          <w:szCs w:val="22"/>
          <w:lang w:val="pl-PL"/>
        </w:rPr>
        <w:t>Cerasus</w:t>
      </w:r>
      <w:r w:rsidRPr="003B7416">
        <w:rPr>
          <w:rStyle w:val="hps"/>
          <w:sz w:val="22"/>
          <w:szCs w:val="22"/>
          <w:lang w:val="pl-PL"/>
        </w:rPr>
        <w:t>, kao i kod četiri komercijalne podloge: Colt, Gisela 5, Gisela 6 i MaxMa 14. Analiza glavnih komponenti je primenjena kako bi se ocenila potencijalna primena izoenzima za ranu selekciju slabo bujnih podloga za trešnju i višnju. Najveći uticaj na izdvajanje slabo bujnih genotipova imali su izoenzimski sistemi izocitrat dehidrogenaza, malat dehidrogenaza i fosfoglukonat dehidrogenaza. Značajna negativna korelacija utvrđena je između bujnosti i malat dehidrogenaze genotipa ab, kao i između bujnosti i fosfoglukonat dehidrogenaze, što ove sisteme čini potencijalnim markerima za ranu selekciju slabo bujnih podloga.</w:t>
      </w:r>
    </w:p>
    <w:p w:rsidR="00BA18C2" w:rsidRPr="003B7416" w:rsidRDefault="00BA18C2" w:rsidP="003B7416">
      <w:pPr>
        <w:spacing w:after="120"/>
        <w:ind w:firstLine="426"/>
        <w:contextualSpacing/>
        <w:jc w:val="both"/>
        <w:rPr>
          <w:rStyle w:val="hps"/>
          <w:sz w:val="22"/>
          <w:szCs w:val="22"/>
          <w:lang w:val="pl-PL"/>
        </w:rPr>
      </w:pPr>
      <w:r w:rsidRPr="003B7416">
        <w:rPr>
          <w:rStyle w:val="hps"/>
          <w:b/>
          <w:sz w:val="22"/>
          <w:szCs w:val="22"/>
          <w:lang w:val="pl-PL"/>
        </w:rPr>
        <w:t>Ključne reči</w:t>
      </w:r>
      <w:r w:rsidRPr="003B7416">
        <w:rPr>
          <w:rStyle w:val="hps"/>
          <w:sz w:val="22"/>
          <w:szCs w:val="22"/>
          <w:lang w:val="pl-PL"/>
        </w:rPr>
        <w:t>: preselekcija, bujnost, podloga, izoenzimi, korelacija, PCA.</w:t>
      </w:r>
    </w:p>
    <w:p w:rsidR="00133210" w:rsidRPr="008D5395" w:rsidRDefault="00133210" w:rsidP="003B7416">
      <w:pPr>
        <w:ind w:firstLine="426"/>
        <w:rPr>
          <w:rFonts w:eastAsia="Calibri"/>
          <w:color w:val="000000"/>
          <w:sz w:val="22"/>
          <w:szCs w:val="22"/>
          <w:lang w:val="pl-PL"/>
        </w:rPr>
      </w:pPr>
    </w:p>
    <w:p w:rsidR="00D64201" w:rsidRPr="003B7416" w:rsidRDefault="00D64201" w:rsidP="00D612E4">
      <w:pPr>
        <w:widowControl w:val="0"/>
        <w:ind w:firstLine="425"/>
        <w:jc w:val="both"/>
        <w:rPr>
          <w:sz w:val="22"/>
          <w:szCs w:val="22"/>
          <w:lang w:val="pl-PL"/>
        </w:rPr>
      </w:pPr>
    </w:p>
    <w:p w:rsidR="00D64201" w:rsidRPr="008D5395" w:rsidRDefault="00D64201" w:rsidP="00D64201">
      <w:pPr>
        <w:autoSpaceDE w:val="0"/>
        <w:autoSpaceDN w:val="0"/>
        <w:adjustRightInd w:val="0"/>
        <w:ind w:firstLine="425"/>
        <w:jc w:val="right"/>
        <w:rPr>
          <w:sz w:val="18"/>
          <w:szCs w:val="18"/>
          <w:lang w:val="pl-PL"/>
        </w:rPr>
      </w:pPr>
      <w:r w:rsidRPr="008D5395">
        <w:rPr>
          <w:sz w:val="18"/>
          <w:szCs w:val="18"/>
          <w:lang w:val="pl-PL"/>
        </w:rPr>
        <w:t xml:space="preserve">Primljeno: </w:t>
      </w:r>
      <w:r w:rsidR="008D5395" w:rsidRPr="008D5395">
        <w:rPr>
          <w:sz w:val="18"/>
          <w:szCs w:val="18"/>
          <w:lang w:val="pl-PL"/>
        </w:rPr>
        <w:t>22</w:t>
      </w:r>
      <w:r w:rsidRPr="008D5395">
        <w:rPr>
          <w:sz w:val="18"/>
          <w:szCs w:val="18"/>
          <w:lang w:val="pl-PL"/>
        </w:rPr>
        <w:t xml:space="preserve">. </w:t>
      </w:r>
      <w:r w:rsidR="008D5395" w:rsidRPr="008D5395">
        <w:rPr>
          <w:sz w:val="18"/>
          <w:szCs w:val="18"/>
          <w:lang w:val="pl-PL"/>
        </w:rPr>
        <w:t>maja</w:t>
      </w:r>
      <w:r w:rsidRPr="008D5395">
        <w:rPr>
          <w:sz w:val="18"/>
          <w:szCs w:val="18"/>
          <w:lang w:val="pl-PL"/>
        </w:rPr>
        <w:t xml:space="preserve"> 2017.</w:t>
      </w:r>
    </w:p>
    <w:p w:rsidR="00D64201" w:rsidRPr="008D5395" w:rsidRDefault="00D64201" w:rsidP="00D64201">
      <w:pPr>
        <w:autoSpaceDE w:val="0"/>
        <w:autoSpaceDN w:val="0"/>
        <w:adjustRightInd w:val="0"/>
        <w:ind w:left="709" w:hanging="709"/>
        <w:jc w:val="right"/>
        <w:rPr>
          <w:sz w:val="18"/>
          <w:szCs w:val="18"/>
          <w:lang w:val="pl-PL"/>
        </w:rPr>
      </w:pPr>
      <w:r w:rsidRPr="008D5395">
        <w:rPr>
          <w:sz w:val="18"/>
          <w:szCs w:val="18"/>
          <w:lang w:val="pl-PL"/>
        </w:rPr>
        <w:t xml:space="preserve">Odobreno: </w:t>
      </w:r>
      <w:r w:rsidR="008D5395" w:rsidRPr="008D5395">
        <w:rPr>
          <w:sz w:val="18"/>
          <w:szCs w:val="18"/>
          <w:lang w:val="pl-PL"/>
        </w:rPr>
        <w:t>21</w:t>
      </w:r>
      <w:r w:rsidRPr="008D5395">
        <w:rPr>
          <w:sz w:val="18"/>
          <w:szCs w:val="18"/>
          <w:lang w:val="pl-PL"/>
        </w:rPr>
        <w:t>.</w:t>
      </w:r>
      <w:r w:rsidR="008D5395" w:rsidRPr="008D5395">
        <w:rPr>
          <w:sz w:val="18"/>
          <w:szCs w:val="18"/>
          <w:lang w:val="pl-PL"/>
        </w:rPr>
        <w:t xml:space="preserve"> novembra</w:t>
      </w:r>
      <w:r w:rsidRPr="008D5395">
        <w:rPr>
          <w:sz w:val="18"/>
          <w:szCs w:val="18"/>
          <w:lang w:val="pl-PL"/>
        </w:rPr>
        <w:t xml:space="preserve"> 2017.</w:t>
      </w:r>
    </w:p>
    <w:sectPr w:rsidR="00D64201" w:rsidRPr="008D5395" w:rsidSect="00292D6B">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75D" w:rsidRDefault="008A175D">
      <w:r>
        <w:separator/>
      </w:r>
    </w:p>
  </w:endnote>
  <w:endnote w:type="continuationSeparator" w:id="1">
    <w:p w:rsidR="008A175D" w:rsidRDefault="008A1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20002A87" w:usb1="C000247B" w:usb2="00000009" w:usb3="00000000" w:csb0="000001FF" w:csb1="00000000"/>
  </w:font>
  <w:font w:name="GulliverRM">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75D" w:rsidRDefault="008A175D">
      <w:r>
        <w:separator/>
      </w:r>
    </w:p>
  </w:footnote>
  <w:footnote w:type="continuationSeparator" w:id="1">
    <w:p w:rsidR="008A175D" w:rsidRDefault="008A175D">
      <w:r>
        <w:continuationSeparator/>
      </w:r>
    </w:p>
  </w:footnote>
  <w:footnote w:id="2">
    <w:p w:rsidR="00BA18C2" w:rsidRPr="003B7416" w:rsidRDefault="00BA18C2" w:rsidP="00BA18C2">
      <w:pPr>
        <w:pStyle w:val="FootnoteText"/>
        <w:jc w:val="both"/>
        <w:rPr>
          <w:rStyle w:val="FootnoteReference"/>
          <w:sz w:val="18"/>
          <w:szCs w:val="18"/>
          <w:vertAlign w:val="baseline"/>
        </w:rPr>
      </w:pPr>
      <w:r w:rsidRPr="003B7416">
        <w:rPr>
          <w:rStyle w:val="FootnoteReference"/>
          <w:sz w:val="18"/>
          <w:szCs w:val="18"/>
          <w:vertAlign w:val="baseline"/>
        </w:rPr>
        <w:footnoteRef/>
      </w:r>
      <w:r w:rsidRPr="003B7416">
        <w:rPr>
          <w:bCs/>
          <w:sz w:val="18"/>
          <w:szCs w:val="18"/>
        </w:rPr>
        <w:t xml:space="preserve">Corresponding author: e-mail: </w:t>
      </w:r>
      <w:hyperlink r:id="rId1" w:history="1">
        <w:r w:rsidRPr="003B7416">
          <w:rPr>
            <w:rStyle w:val="Hyperlink"/>
            <w:color w:val="auto"/>
            <w:sz w:val="18"/>
            <w:szCs w:val="18"/>
            <w:u w:val="none"/>
          </w:rPr>
          <w:t>slavicacol@yahoo.com</w:t>
        </w:r>
      </w:hyperlink>
      <w:hyperlink r:id="rId2" w:history="1"/>
    </w:p>
  </w:footnote>
  <w:footnote w:id="3">
    <w:p w:rsidR="00BA18C2" w:rsidRPr="00B17B9F" w:rsidRDefault="00BA18C2" w:rsidP="00BA18C2">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hyperlink r:id="rId3" w:history="1">
        <w:r w:rsidRPr="00BA18C2">
          <w:rPr>
            <w:rStyle w:val="Hyperlink"/>
            <w:color w:val="auto"/>
            <w:sz w:val="18"/>
            <w:szCs w:val="18"/>
            <w:u w:val="none"/>
          </w:rPr>
          <w:t>slavicacol@yahoo.com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AD" w:rsidRPr="00292D6B" w:rsidRDefault="004725C0" w:rsidP="003E2BC8">
    <w:pPr>
      <w:pStyle w:val="Header"/>
      <w:framePr w:wrap="around" w:vAnchor="text" w:hAnchor="page" w:x="2264" w:y="24"/>
      <w:rPr>
        <w:rStyle w:val="PageNumber"/>
        <w:sz w:val="18"/>
      </w:rPr>
    </w:pPr>
    <w:r w:rsidRPr="00292D6B">
      <w:rPr>
        <w:rStyle w:val="PageNumber"/>
        <w:sz w:val="18"/>
      </w:rPr>
      <w:fldChar w:fldCharType="begin"/>
    </w:r>
    <w:r w:rsidR="002D0FAD" w:rsidRPr="00292D6B">
      <w:rPr>
        <w:rStyle w:val="PageNumber"/>
        <w:sz w:val="18"/>
      </w:rPr>
      <w:instrText xml:space="preserve">PAGE  </w:instrText>
    </w:r>
    <w:r w:rsidRPr="00292D6B">
      <w:rPr>
        <w:rStyle w:val="PageNumber"/>
        <w:sz w:val="18"/>
      </w:rPr>
      <w:fldChar w:fldCharType="separate"/>
    </w:r>
    <w:r w:rsidR="008D5395">
      <w:rPr>
        <w:rStyle w:val="PageNumber"/>
        <w:noProof/>
        <w:sz w:val="18"/>
      </w:rPr>
      <w:t>10</w:t>
    </w:r>
    <w:r w:rsidRPr="00292D6B">
      <w:rPr>
        <w:rStyle w:val="PageNumber"/>
        <w:sz w:val="18"/>
      </w:rPr>
      <w:fldChar w:fldCharType="end"/>
    </w:r>
  </w:p>
  <w:p w:rsidR="002D0FAD" w:rsidRPr="00A00B4C" w:rsidRDefault="00BA18C2" w:rsidP="007873B0">
    <w:pPr>
      <w:pStyle w:val="Header"/>
      <w:pBdr>
        <w:bottom w:val="single" w:sz="4" w:space="1" w:color="auto"/>
      </w:pBdr>
      <w:jc w:val="center"/>
      <w:rPr>
        <w:sz w:val="18"/>
        <w:szCs w:val="18"/>
        <w:lang w:val="en-US"/>
      </w:rPr>
    </w:pPr>
    <w:r w:rsidRPr="00BA18C2">
      <w:rPr>
        <w:sz w:val="18"/>
        <w:szCs w:val="18"/>
      </w:rPr>
      <w:t>Slavica D. Čolić</w:t>
    </w:r>
    <w:r w:rsidR="002D0FAD" w:rsidRPr="0094149E">
      <w:rPr>
        <w:sz w:val="18"/>
        <w:szCs w:val="18"/>
      </w:rPr>
      <w:t xml:space="preserve"> et</w:t>
    </w:r>
    <w:r w:rsidR="002D0FAD"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AD" w:rsidRPr="009C09D1" w:rsidRDefault="004725C0">
    <w:pPr>
      <w:pStyle w:val="Header"/>
      <w:framePr w:wrap="around" w:vAnchor="text" w:hAnchor="margin" w:xAlign="outside" w:y="1"/>
      <w:rPr>
        <w:rStyle w:val="PageNumber"/>
        <w:color w:val="FF0000"/>
        <w:sz w:val="18"/>
      </w:rPr>
    </w:pPr>
    <w:r w:rsidRPr="004D3E6C">
      <w:rPr>
        <w:rStyle w:val="PageNumber"/>
        <w:sz w:val="18"/>
      </w:rPr>
      <w:fldChar w:fldCharType="begin"/>
    </w:r>
    <w:r w:rsidR="002D0FAD" w:rsidRPr="004D3E6C">
      <w:rPr>
        <w:rStyle w:val="PageNumber"/>
        <w:sz w:val="18"/>
      </w:rPr>
      <w:instrText xml:space="preserve">PAGE  </w:instrText>
    </w:r>
    <w:r w:rsidRPr="004D3E6C">
      <w:rPr>
        <w:rStyle w:val="PageNumber"/>
        <w:sz w:val="18"/>
      </w:rPr>
      <w:fldChar w:fldCharType="separate"/>
    </w:r>
    <w:r w:rsidR="008D5395">
      <w:rPr>
        <w:rStyle w:val="PageNumber"/>
        <w:noProof/>
        <w:sz w:val="18"/>
      </w:rPr>
      <w:t>9</w:t>
    </w:r>
    <w:r w:rsidRPr="004D3E6C">
      <w:rPr>
        <w:rStyle w:val="PageNumber"/>
        <w:sz w:val="18"/>
      </w:rPr>
      <w:fldChar w:fldCharType="end"/>
    </w:r>
  </w:p>
  <w:p w:rsidR="008D5395" w:rsidRPr="008D5395" w:rsidRDefault="00BA18C2" w:rsidP="008D5395">
    <w:pPr>
      <w:spacing w:after="120"/>
      <w:contextualSpacing/>
      <w:jc w:val="center"/>
      <w:rPr>
        <w:sz w:val="18"/>
        <w:szCs w:val="18"/>
      </w:rPr>
    </w:pPr>
    <w:r w:rsidRPr="00BA18C2">
      <w:rPr>
        <w:color w:val="FF0000"/>
        <w:sz w:val="18"/>
        <w:szCs w:val="18"/>
      </w:rPr>
      <w:t>Dehydrogenaze polymorphism as a tool for selection</w:t>
    </w:r>
    <w:r w:rsidR="008D5395" w:rsidRPr="008D5395">
      <w:rPr>
        <w:sz w:val="22"/>
        <w:szCs w:val="22"/>
      </w:rPr>
      <w:t xml:space="preserve"> </w:t>
    </w:r>
    <w:r w:rsidR="008D5395" w:rsidRPr="008D5395">
      <w:rPr>
        <w:color w:val="FF0000"/>
        <w:sz w:val="18"/>
        <w:szCs w:val="18"/>
      </w:rPr>
      <w:t>of rootstock for sweet and sour cherry</w:t>
    </w:r>
  </w:p>
  <w:p w:rsidR="002D0FAD" w:rsidRPr="00BA18C2" w:rsidRDefault="002D0FAD" w:rsidP="00F4083E">
    <w:pPr>
      <w:pStyle w:val="Header"/>
      <w:pBdr>
        <w:bottom w:val="single" w:sz="4" w:space="1" w:color="auto"/>
      </w:pBdr>
      <w:tabs>
        <w:tab w:val="clear" w:pos="4320"/>
        <w:tab w:val="center" w:pos="3685"/>
        <w:tab w:val="left" w:pos="6050"/>
      </w:tabs>
      <w:jc w:val="center"/>
      <w:rPr>
        <w:color w:val="FF0000"/>
        <w:sz w:val="18"/>
        <w:szCs w:val="18"/>
        <w:lang w:val="sr-Latn-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2D0FAD" w:rsidRPr="00897BE7" w:rsidTr="008A1EFB">
      <w:tc>
        <w:tcPr>
          <w:tcW w:w="3686" w:type="dxa"/>
        </w:tcPr>
        <w:p w:rsidR="002D0FAD" w:rsidRPr="004D3E6C" w:rsidRDefault="002D0FAD">
          <w:pPr>
            <w:rPr>
              <w:sz w:val="18"/>
              <w:szCs w:val="18"/>
              <w:lang w:val="en-US"/>
            </w:rPr>
          </w:pPr>
          <w:r w:rsidRPr="004D3E6C">
            <w:rPr>
              <w:sz w:val="18"/>
              <w:szCs w:val="18"/>
              <w:lang w:val="en-US"/>
            </w:rPr>
            <w:t>Journal of Agricultural Sciences</w:t>
          </w:r>
        </w:p>
        <w:p w:rsidR="002D0FAD" w:rsidRPr="004D3E6C" w:rsidRDefault="002D0FAD"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7</w:t>
          </w:r>
        </w:p>
        <w:p w:rsidR="002D0FAD" w:rsidRPr="00621E03" w:rsidRDefault="002D0FAD"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2D0FAD" w:rsidRPr="00DE2892" w:rsidRDefault="004725C0" w:rsidP="008A1EFB">
          <w:pPr>
            <w:pStyle w:val="BodyText"/>
            <w:tabs>
              <w:tab w:val="right" w:leader="dot" w:pos="7371"/>
            </w:tabs>
            <w:spacing w:after="0"/>
            <w:jc w:val="right"/>
            <w:rPr>
              <w:sz w:val="18"/>
              <w:szCs w:val="18"/>
            </w:rPr>
          </w:pPr>
          <w:hyperlink r:id="rId1" w:history="1">
            <w:r w:rsidR="002D0FAD" w:rsidRPr="00DE2892">
              <w:rPr>
                <w:rStyle w:val="Hyperlink"/>
                <w:color w:val="auto"/>
                <w:sz w:val="18"/>
                <w:szCs w:val="18"/>
                <w:u w:val="none"/>
              </w:rPr>
              <w:t>https://doi.org/</w:t>
            </w:r>
          </w:hyperlink>
        </w:p>
        <w:p w:rsidR="002D0FAD" w:rsidRPr="00DE2892" w:rsidRDefault="002D0FA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2D0FAD" w:rsidRPr="00897BE7" w:rsidRDefault="002D0FA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2D0FAD" w:rsidRPr="00621E03" w:rsidRDefault="002D0FAD">
    <w:pPr>
      <w:pStyle w:val="Head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64514"/>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B7416"/>
    <w:rsid w:val="003C0D55"/>
    <w:rsid w:val="003C1D27"/>
    <w:rsid w:val="003C445B"/>
    <w:rsid w:val="003D037F"/>
    <w:rsid w:val="003D06DF"/>
    <w:rsid w:val="003D283D"/>
    <w:rsid w:val="003D370C"/>
    <w:rsid w:val="003D433E"/>
    <w:rsid w:val="003D737D"/>
    <w:rsid w:val="003D7390"/>
    <w:rsid w:val="003D780C"/>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5C0"/>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6017"/>
    <w:rsid w:val="00897BE7"/>
    <w:rsid w:val="00897FE3"/>
    <w:rsid w:val="008A123F"/>
    <w:rsid w:val="008A175D"/>
    <w:rsid w:val="008A1D83"/>
    <w:rsid w:val="008A1EFB"/>
    <w:rsid w:val="008A304F"/>
    <w:rsid w:val="008A40BD"/>
    <w:rsid w:val="008A7970"/>
    <w:rsid w:val="008B1584"/>
    <w:rsid w:val="008B566D"/>
    <w:rsid w:val="008C3672"/>
    <w:rsid w:val="008C3919"/>
    <w:rsid w:val="008C4ECF"/>
    <w:rsid w:val="008D12B7"/>
    <w:rsid w:val="008D4381"/>
    <w:rsid w:val="008D5395"/>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slavicacol@yahoo.com" TargetMode="External"/><Relationship Id="rId2" Type="http://schemas.openxmlformats.org/officeDocument/2006/relationships/hyperlink" Target="mailto:dezaid@yahoomail.com" TargetMode="External"/><Relationship Id="rId1" Type="http://schemas.openxmlformats.org/officeDocument/2006/relationships/hyperlink" Target="mailto:slavicacol@yaho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2631-9EA9-481C-8ABF-DC713B8D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10</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25933</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37</cp:revision>
  <cp:lastPrinted>2017-11-24T10:58:00Z</cp:lastPrinted>
  <dcterms:created xsi:type="dcterms:W3CDTF">2017-11-13T12:41:00Z</dcterms:created>
  <dcterms:modified xsi:type="dcterms:W3CDTF">2017-12-18T12:04:00Z</dcterms:modified>
</cp:coreProperties>
</file>