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BAA" w:rsidRPr="00587334" w:rsidRDefault="00A47BAA" w:rsidP="00587334">
      <w:pPr>
        <w:jc w:val="center"/>
        <w:rPr>
          <w:sz w:val="22"/>
          <w:szCs w:val="22"/>
          <w:lang w:val="en-US" w:bidi="fa-IR"/>
        </w:rPr>
      </w:pPr>
    </w:p>
    <w:p w:rsidR="001362C8" w:rsidRPr="00587334" w:rsidRDefault="001362C8" w:rsidP="00587334">
      <w:pPr>
        <w:jc w:val="center"/>
        <w:rPr>
          <w:sz w:val="22"/>
          <w:szCs w:val="22"/>
        </w:rPr>
      </w:pPr>
    </w:p>
    <w:p w:rsidR="00771B78" w:rsidRPr="00587334" w:rsidRDefault="00771B78" w:rsidP="00587334">
      <w:pPr>
        <w:jc w:val="center"/>
        <w:rPr>
          <w:sz w:val="22"/>
          <w:szCs w:val="22"/>
        </w:rPr>
      </w:pPr>
    </w:p>
    <w:p w:rsidR="00587334" w:rsidRPr="00587334" w:rsidRDefault="00587334" w:rsidP="00587334">
      <w:pPr>
        <w:pStyle w:val="CommentText"/>
        <w:jc w:val="center"/>
        <w:rPr>
          <w:sz w:val="22"/>
          <w:szCs w:val="22"/>
        </w:rPr>
      </w:pPr>
      <w:r w:rsidRPr="00587334">
        <w:rPr>
          <w:sz w:val="22"/>
          <w:szCs w:val="22"/>
        </w:rPr>
        <w:t>EXTRACTION OF RED GRAPE POMACE ANTIOXIDANTS WITH AQUEOUS ORGANIC ACID SOLUTIONS USING KINETIC MODELLING</w:t>
      </w:r>
    </w:p>
    <w:p w:rsidR="008F5020" w:rsidRPr="00587334" w:rsidRDefault="008F5020" w:rsidP="00587334">
      <w:pPr>
        <w:jc w:val="center"/>
        <w:rPr>
          <w:color w:val="222222"/>
          <w:sz w:val="22"/>
          <w:szCs w:val="22"/>
        </w:rPr>
      </w:pPr>
    </w:p>
    <w:p w:rsidR="008F5020" w:rsidRPr="00587334" w:rsidRDefault="00587334" w:rsidP="00587334">
      <w:pPr>
        <w:pStyle w:val="eaae-authorinfo"/>
        <w:rPr>
          <w:b/>
          <w:szCs w:val="22"/>
        </w:rPr>
      </w:pPr>
      <w:r w:rsidRPr="00587334">
        <w:rPr>
          <w:b/>
          <w:bCs/>
          <w:szCs w:val="22"/>
        </w:rPr>
        <w:t>Dimitris P. Makris</w:t>
      </w:r>
      <w:r w:rsidR="008F5020" w:rsidRPr="00587334">
        <w:rPr>
          <w:rStyle w:val="FootnoteReference"/>
          <w:b/>
          <w:bCs/>
          <w:szCs w:val="22"/>
        </w:rPr>
        <w:footnoteReference w:id="2"/>
      </w:r>
    </w:p>
    <w:p w:rsidR="008F5020" w:rsidRPr="00587334" w:rsidRDefault="008F5020" w:rsidP="00587334">
      <w:pPr>
        <w:pStyle w:val="eaae-authorinfo"/>
        <w:rPr>
          <w:szCs w:val="22"/>
        </w:rPr>
      </w:pPr>
    </w:p>
    <w:p w:rsidR="00587334" w:rsidRPr="00587334" w:rsidRDefault="00587334" w:rsidP="00587334">
      <w:pPr>
        <w:pStyle w:val="BodyText2"/>
        <w:spacing w:after="0" w:line="240" w:lineRule="auto"/>
        <w:jc w:val="center"/>
        <w:rPr>
          <w:iCs/>
          <w:sz w:val="22"/>
          <w:szCs w:val="22"/>
        </w:rPr>
      </w:pPr>
      <w:r w:rsidRPr="00587334">
        <w:rPr>
          <w:iCs/>
          <w:sz w:val="22"/>
          <w:szCs w:val="22"/>
        </w:rPr>
        <w:t>School of Environment, University of the Aegean, Mitr. Lemnos, G</w:t>
      </w:r>
      <w:r w:rsidR="006234D0">
        <w:rPr>
          <w:iCs/>
          <w:sz w:val="22"/>
          <w:szCs w:val="22"/>
        </w:rPr>
        <w:t>reece</w:t>
      </w:r>
    </w:p>
    <w:p w:rsidR="00587334" w:rsidRPr="006234D0" w:rsidRDefault="00587334" w:rsidP="006234D0">
      <w:pPr>
        <w:ind w:firstLine="425"/>
        <w:rPr>
          <w:sz w:val="22"/>
          <w:szCs w:val="22"/>
        </w:rPr>
      </w:pPr>
    </w:p>
    <w:p w:rsidR="00587334" w:rsidRPr="006234D0" w:rsidRDefault="000F5631" w:rsidP="006234D0">
      <w:pPr>
        <w:ind w:firstLine="425"/>
        <w:jc w:val="both"/>
        <w:rPr>
          <w:sz w:val="22"/>
          <w:szCs w:val="22"/>
        </w:rPr>
      </w:pPr>
      <w:r w:rsidRPr="006234D0">
        <w:rPr>
          <w:b/>
          <w:noProof/>
          <w:sz w:val="22"/>
          <w:szCs w:val="22"/>
        </w:rPr>
        <w:t>Abstract:</w:t>
      </w:r>
      <w:r w:rsidRPr="006234D0">
        <w:rPr>
          <w:noProof/>
          <w:sz w:val="22"/>
          <w:szCs w:val="22"/>
        </w:rPr>
        <w:t xml:space="preserve"> </w:t>
      </w:r>
      <w:r w:rsidR="00587334" w:rsidRPr="006234D0">
        <w:rPr>
          <w:sz w:val="22"/>
          <w:szCs w:val="22"/>
        </w:rPr>
        <w:t>Grape pomace is a food industry residual material which may contain a high load of polyphenolic antioxidants and a number of methods have been implemented for their effective recovery. Nevertheless, eco-friendly processes should embrace environmentally benign and non-toxic solvents. On this basis, this study investigated the extraction of antioxidants, by employing aqueous acetic acid and citric solutions and monitoring the reducing power (P</w:t>
      </w:r>
      <w:r w:rsidR="00587334" w:rsidRPr="006234D0">
        <w:rPr>
          <w:sz w:val="22"/>
          <w:szCs w:val="22"/>
          <w:vertAlign w:val="subscript"/>
        </w:rPr>
        <w:t>R</w:t>
      </w:r>
      <w:r w:rsidR="00587334" w:rsidRPr="006234D0">
        <w:rPr>
          <w:sz w:val="22"/>
          <w:szCs w:val="22"/>
        </w:rPr>
        <w:t>) of the extracts. The scope was to evaluate the effect of acid concentration on the extraction yield using kinetics. The kinetic model established allowed for the credible comparison of the extraction efficiencies, achieved with acetic acid and citric acid solutions of variable concentration. The results suggested that citric acid solutions were more effective in recovering red grape pomace antioxidants. Using a 4% (w/v) citric acid solution, a maximum P</w:t>
      </w:r>
      <w:r w:rsidR="00587334" w:rsidRPr="006234D0">
        <w:rPr>
          <w:sz w:val="22"/>
          <w:szCs w:val="22"/>
          <w:vertAlign w:val="subscript"/>
        </w:rPr>
        <w:t>R</w:t>
      </w:r>
      <w:r w:rsidR="00587334" w:rsidRPr="006234D0">
        <w:rPr>
          <w:sz w:val="22"/>
          <w:szCs w:val="22"/>
        </w:rPr>
        <w:t xml:space="preserve"> of 229.8 μM ascorbic acid equivalents per g of dry pomace could be attained. </w:t>
      </w:r>
      <w:r w:rsidR="00587334" w:rsidRPr="006234D0">
        <w:rPr>
          <w:bCs/>
          <w:sz w:val="22"/>
          <w:szCs w:val="22"/>
        </w:rPr>
        <w:t>This investigation demonstrated that aqueous media used for the extraction of antioxidant compounds from food industry wastes could be significantly influenced by the acidifying agent and its concentration.</w:t>
      </w:r>
    </w:p>
    <w:p w:rsidR="008F5020" w:rsidRPr="006234D0" w:rsidRDefault="008F5020" w:rsidP="006234D0">
      <w:pPr>
        <w:ind w:firstLine="425"/>
        <w:jc w:val="both"/>
        <w:rPr>
          <w:color w:val="222222"/>
          <w:sz w:val="22"/>
          <w:szCs w:val="22"/>
        </w:rPr>
      </w:pPr>
      <w:r w:rsidRPr="006234D0">
        <w:rPr>
          <w:b/>
          <w:bCs/>
          <w:color w:val="222222"/>
          <w:sz w:val="22"/>
          <w:szCs w:val="22"/>
        </w:rPr>
        <w:t>Key words:</w:t>
      </w:r>
      <w:r w:rsidRPr="006234D0">
        <w:rPr>
          <w:color w:val="222222"/>
          <w:sz w:val="22"/>
          <w:szCs w:val="22"/>
        </w:rPr>
        <w:t xml:space="preserve"> </w:t>
      </w:r>
      <w:r w:rsidR="006234D0">
        <w:rPr>
          <w:sz w:val="22"/>
          <w:szCs w:val="22"/>
        </w:rPr>
        <w:t>antioxidants,</w:t>
      </w:r>
      <w:r w:rsidR="00587334" w:rsidRPr="006234D0">
        <w:rPr>
          <w:sz w:val="22"/>
          <w:szCs w:val="22"/>
        </w:rPr>
        <w:t xml:space="preserve"> </w:t>
      </w:r>
      <w:r w:rsidR="006234D0">
        <w:rPr>
          <w:sz w:val="22"/>
          <w:szCs w:val="22"/>
        </w:rPr>
        <w:t>extraction,</w:t>
      </w:r>
      <w:r w:rsidR="00587334" w:rsidRPr="006234D0">
        <w:rPr>
          <w:sz w:val="22"/>
          <w:szCs w:val="22"/>
        </w:rPr>
        <w:t xml:space="preserve"> gra</w:t>
      </w:r>
      <w:r w:rsidR="006234D0">
        <w:rPr>
          <w:sz w:val="22"/>
          <w:szCs w:val="22"/>
        </w:rPr>
        <w:t>pe pomace, kinetics,</w:t>
      </w:r>
      <w:r w:rsidR="00587334" w:rsidRPr="006234D0">
        <w:rPr>
          <w:sz w:val="22"/>
          <w:szCs w:val="22"/>
        </w:rPr>
        <w:t xml:space="preserve"> organic acids</w:t>
      </w:r>
      <w:r w:rsidR="006234D0">
        <w:rPr>
          <w:sz w:val="22"/>
          <w:szCs w:val="22"/>
        </w:rPr>
        <w:t>,</w:t>
      </w:r>
      <w:r w:rsidR="00587334" w:rsidRPr="006234D0">
        <w:rPr>
          <w:sz w:val="22"/>
          <w:szCs w:val="22"/>
        </w:rPr>
        <w:t xml:space="preserve"> reducing power</w:t>
      </w:r>
      <w:r w:rsidRPr="006234D0">
        <w:rPr>
          <w:color w:val="222222"/>
          <w:sz w:val="22"/>
          <w:szCs w:val="22"/>
        </w:rPr>
        <w:t>.</w:t>
      </w:r>
    </w:p>
    <w:p w:rsidR="00587334" w:rsidRPr="006234D0" w:rsidRDefault="00587334" w:rsidP="00E812EA">
      <w:pPr>
        <w:jc w:val="center"/>
        <w:rPr>
          <w:sz w:val="22"/>
          <w:szCs w:val="22"/>
        </w:rPr>
      </w:pPr>
    </w:p>
    <w:p w:rsidR="001E5955" w:rsidRPr="008B251A" w:rsidRDefault="001E5955" w:rsidP="00CC7A58">
      <w:pPr>
        <w:jc w:val="center"/>
        <w:rPr>
          <w:b/>
          <w:spacing w:val="2"/>
          <w:sz w:val="22"/>
          <w:szCs w:val="22"/>
        </w:rPr>
      </w:pPr>
      <w:r w:rsidRPr="008B251A">
        <w:rPr>
          <w:b/>
          <w:spacing w:val="2"/>
          <w:sz w:val="22"/>
          <w:szCs w:val="22"/>
        </w:rPr>
        <w:t>Introduction</w:t>
      </w:r>
    </w:p>
    <w:p w:rsidR="00987177" w:rsidRPr="002C1E64" w:rsidRDefault="00987177" w:rsidP="00E812EA">
      <w:pPr>
        <w:contextualSpacing/>
        <w:jc w:val="center"/>
        <w:rPr>
          <w:spacing w:val="2"/>
          <w:sz w:val="22"/>
          <w:szCs w:val="22"/>
        </w:rPr>
      </w:pPr>
    </w:p>
    <w:p w:rsidR="00587334" w:rsidRPr="002C1E64" w:rsidRDefault="00587334" w:rsidP="002C1E64">
      <w:pPr>
        <w:ind w:firstLine="425"/>
        <w:jc w:val="both"/>
        <w:rPr>
          <w:sz w:val="22"/>
          <w:szCs w:val="22"/>
        </w:rPr>
      </w:pPr>
      <w:r w:rsidRPr="002C1E64">
        <w:rPr>
          <w:sz w:val="22"/>
          <w:szCs w:val="22"/>
        </w:rPr>
        <w:t>The agri-food sector is constantly under legislative pressure to reuse and/or recycle waste biomass, in an effort to minimise the associated environmental risks (Devesa-Rey et al., 2011). Industrial scale vinification produces inevitably the large volume of residues, composed of organic biomolecules (stems, seeds, skins, etc.). It is estimated that 14.5 million tonnes of grape processing residues are produced on annual basis from the viti-viniculture sector only in Europe (Pinelo et al., 2006). This waste has attracted significant attention, because of its important content in polyphenols, which may have beneficial biological properties (Yu and Ahmedna, 2013)</w:t>
      </w:r>
      <w:r w:rsidR="002C1E64">
        <w:rPr>
          <w:sz w:val="22"/>
          <w:szCs w:val="22"/>
        </w:rPr>
        <w:t>.</w:t>
      </w:r>
    </w:p>
    <w:p w:rsidR="00587334" w:rsidRPr="002C1E64" w:rsidRDefault="00587334" w:rsidP="002C1E64">
      <w:pPr>
        <w:ind w:firstLine="425"/>
        <w:jc w:val="both"/>
        <w:rPr>
          <w:sz w:val="22"/>
          <w:szCs w:val="22"/>
        </w:rPr>
      </w:pPr>
      <w:r w:rsidRPr="002C1E64">
        <w:rPr>
          <w:sz w:val="22"/>
          <w:szCs w:val="22"/>
        </w:rPr>
        <w:lastRenderedPageBreak/>
        <w:t xml:space="preserve">The examinations on the effective polyphenol extraction from vinification wastes have focused mainly on red grape pomace (RGP), which is characterised by a significant content of polyphenols with high antioxidant potency (Makris et al., 2007). The antioxidant recovery of wine industry residues and their valorisation as food additives, cosmetic ingredients and dietary supplements are a high-value prospect (Galanakis, 2012). Numerous methodologies have been deployed to develop strategies for polyphenol extraction from RGP, with particular emphasis being given to the use of eco-friendly means, such as water/ethanol solutions (Boussetta et al., 2012; Bucić-Kojić et al., 2007; Carrera et al., 2012; Makris et al., 2008). In the examinations pertaining to extraction optimisation, the focus has been on the role of pH, a factor that may impact the extraction yield to a significant degree (Makris et al., 2008), but also it may act as a selectivity parameter, e.g. for flavanol extraction (Karvela et al., 2009a, b). The regulation of pH by the addition of acidifying agents in the extraction medium could have a profound effect on the overall efficiency of the extraction </w:t>
      </w:r>
      <w:r w:rsidR="002C1E64">
        <w:rPr>
          <w:sz w:val="22"/>
          <w:szCs w:val="22"/>
        </w:rPr>
        <w:t>process.</w:t>
      </w:r>
    </w:p>
    <w:p w:rsidR="00587334" w:rsidRPr="002C1E64" w:rsidRDefault="00587334" w:rsidP="002C1E64">
      <w:pPr>
        <w:ind w:firstLine="425"/>
        <w:jc w:val="both"/>
        <w:rPr>
          <w:sz w:val="22"/>
          <w:szCs w:val="22"/>
        </w:rPr>
      </w:pPr>
      <w:r w:rsidRPr="002C1E64">
        <w:rPr>
          <w:sz w:val="22"/>
          <w:szCs w:val="22"/>
        </w:rPr>
        <w:t>Citric acid has been tested for the extraction of onion peel polyphenols</w:t>
      </w:r>
      <w:r w:rsidRPr="002C1E64" w:rsidDel="00CB7354">
        <w:rPr>
          <w:rStyle w:val="CommentReference"/>
          <w:sz w:val="22"/>
          <w:szCs w:val="22"/>
        </w:rPr>
        <w:t xml:space="preserve"> </w:t>
      </w:r>
      <w:r w:rsidRPr="002C1E64">
        <w:rPr>
          <w:sz w:val="22"/>
          <w:szCs w:val="22"/>
        </w:rPr>
        <w:t xml:space="preserve">(Kiassos et al., 2009; Makris, 2010) and </w:t>
      </w:r>
      <w:commentRangeStart w:id="0"/>
      <w:r w:rsidRPr="002C1E64">
        <w:rPr>
          <w:sz w:val="22"/>
          <w:szCs w:val="22"/>
        </w:rPr>
        <w:t xml:space="preserve">olive leaves </w:t>
      </w:r>
      <w:commentRangeEnd w:id="0"/>
      <w:r w:rsidRPr="002C1E64">
        <w:rPr>
          <w:rStyle w:val="CommentReference"/>
          <w:sz w:val="22"/>
          <w:szCs w:val="22"/>
        </w:rPr>
        <w:commentReference w:id="0"/>
      </w:r>
      <w:r w:rsidRPr="002C1E64">
        <w:rPr>
          <w:sz w:val="22"/>
          <w:szCs w:val="22"/>
        </w:rPr>
        <w:t>(Mylonaki et al., 2008). Nonetheless, other natural organic acids have never been used for such a purpose. Both citric and acetic acids are natural organic acids occurring in foods and a more thorough study on the use of these acids in extraction processes could be of value to the cost-effective and sustainable exploitation of residues from the agri-food sector. On such grounds, this study was carried out for assessing the effect of citric and acetic acids on the efficiency with regard to the extraction of antioxidants from RGP. The extraction process was monitored using a ferric-reducing power test, which has been effectively used in previous studies on the recovery of antioxidants (Garcia-Perez et al., 2010), and the kinetic modelling was accomplished including extraction time and acid concentration as the critical variables</w:t>
      </w:r>
      <w:r w:rsidR="002C1E64">
        <w:rPr>
          <w:sz w:val="22"/>
          <w:szCs w:val="22"/>
        </w:rPr>
        <w:t>.</w:t>
      </w:r>
    </w:p>
    <w:p w:rsidR="002C1E64" w:rsidRPr="00E812EA" w:rsidRDefault="002C1E64" w:rsidP="005365AD">
      <w:pPr>
        <w:jc w:val="center"/>
        <w:rPr>
          <w:sz w:val="18"/>
          <w:szCs w:val="18"/>
        </w:rPr>
      </w:pPr>
    </w:p>
    <w:p w:rsidR="0013693B" w:rsidRPr="001C17C4" w:rsidRDefault="0013693B" w:rsidP="005365AD">
      <w:pPr>
        <w:jc w:val="center"/>
        <w:rPr>
          <w:b/>
          <w:sz w:val="22"/>
          <w:szCs w:val="22"/>
        </w:rPr>
      </w:pPr>
      <w:r w:rsidRPr="001C17C4">
        <w:rPr>
          <w:b/>
          <w:sz w:val="22"/>
          <w:szCs w:val="22"/>
        </w:rPr>
        <w:t>Materials and Methods</w:t>
      </w:r>
    </w:p>
    <w:p w:rsidR="00F8479B" w:rsidRPr="00E812EA" w:rsidRDefault="00F8479B" w:rsidP="007544F4">
      <w:pPr>
        <w:pStyle w:val="BodyTextIndent2"/>
        <w:widowControl w:val="0"/>
        <w:tabs>
          <w:tab w:val="left" w:pos="426"/>
        </w:tabs>
        <w:ind w:firstLine="0"/>
        <w:jc w:val="center"/>
        <w:rPr>
          <w:spacing w:val="4"/>
          <w:sz w:val="18"/>
          <w:szCs w:val="18"/>
        </w:rPr>
      </w:pPr>
    </w:p>
    <w:p w:rsidR="00587334" w:rsidRDefault="00587334" w:rsidP="002C1E64">
      <w:pPr>
        <w:ind w:firstLine="426"/>
        <w:jc w:val="both"/>
        <w:rPr>
          <w:sz w:val="22"/>
          <w:szCs w:val="22"/>
        </w:rPr>
      </w:pPr>
      <w:r w:rsidRPr="002C1E64">
        <w:rPr>
          <w:sz w:val="22"/>
          <w:szCs w:val="22"/>
        </w:rPr>
        <w:t>Chemicals</w:t>
      </w:r>
    </w:p>
    <w:p w:rsidR="002C1E64" w:rsidRPr="00E812EA" w:rsidRDefault="002C1E64" w:rsidP="002C1E64">
      <w:pPr>
        <w:ind w:firstLine="426"/>
        <w:jc w:val="both"/>
        <w:rPr>
          <w:sz w:val="18"/>
          <w:szCs w:val="18"/>
        </w:rPr>
      </w:pPr>
    </w:p>
    <w:p w:rsidR="00587334" w:rsidRPr="002C1E64" w:rsidRDefault="00587334" w:rsidP="002C1E64">
      <w:pPr>
        <w:ind w:firstLine="426"/>
        <w:jc w:val="both"/>
        <w:rPr>
          <w:i/>
          <w:sz w:val="22"/>
          <w:szCs w:val="22"/>
        </w:rPr>
      </w:pPr>
      <w:r w:rsidRPr="002C1E64">
        <w:rPr>
          <w:sz w:val="22"/>
          <w:szCs w:val="22"/>
        </w:rPr>
        <w:t>Ascorbic acid (AA), 2,2´-dipyridyl and ferric chloride hexahydrate were obtained from Sigma Chemical Co (St. Louis, MO, U.S.A.). Trichloroacetic acid (TCA), citric acid and acetic acid were provided from Merck (Darmstad, Germany).</w:t>
      </w:r>
    </w:p>
    <w:p w:rsidR="00587334" w:rsidRPr="00E812EA" w:rsidRDefault="00587334" w:rsidP="002C1E64">
      <w:pPr>
        <w:ind w:firstLine="426"/>
        <w:jc w:val="both"/>
        <w:rPr>
          <w:sz w:val="18"/>
          <w:szCs w:val="18"/>
        </w:rPr>
      </w:pPr>
    </w:p>
    <w:p w:rsidR="00587334" w:rsidRDefault="00587334" w:rsidP="002C1E64">
      <w:pPr>
        <w:ind w:firstLine="426"/>
        <w:jc w:val="both"/>
        <w:rPr>
          <w:sz w:val="22"/>
          <w:szCs w:val="22"/>
        </w:rPr>
      </w:pPr>
      <w:r w:rsidRPr="002C1E64">
        <w:rPr>
          <w:sz w:val="22"/>
          <w:szCs w:val="22"/>
        </w:rPr>
        <w:t>Waste material</w:t>
      </w:r>
    </w:p>
    <w:p w:rsidR="002C1E64" w:rsidRPr="00E812EA" w:rsidRDefault="002C1E64" w:rsidP="002C1E64">
      <w:pPr>
        <w:ind w:firstLine="426"/>
        <w:jc w:val="both"/>
        <w:rPr>
          <w:sz w:val="18"/>
          <w:szCs w:val="18"/>
        </w:rPr>
      </w:pPr>
    </w:p>
    <w:p w:rsidR="00587334" w:rsidRPr="002C1E64" w:rsidRDefault="00587334" w:rsidP="002C1E64">
      <w:pPr>
        <w:ind w:firstLine="426"/>
        <w:jc w:val="both"/>
        <w:rPr>
          <w:sz w:val="22"/>
          <w:szCs w:val="22"/>
        </w:rPr>
      </w:pPr>
      <w:r w:rsidRPr="002C1E64">
        <w:rPr>
          <w:sz w:val="22"/>
          <w:szCs w:val="22"/>
        </w:rPr>
        <w:t>RGP was obtained from the native Greek Agiorgitiko variety (</w:t>
      </w:r>
      <w:r w:rsidRPr="002C1E64">
        <w:rPr>
          <w:i/>
          <w:sz w:val="22"/>
          <w:szCs w:val="22"/>
        </w:rPr>
        <w:t>Vitis vinifera</w:t>
      </w:r>
      <w:r w:rsidRPr="002C1E64">
        <w:rPr>
          <w:sz w:val="22"/>
          <w:szCs w:val="22"/>
        </w:rPr>
        <w:t xml:space="preserve"> spp.), provided by the Department of Food Science &amp; Human Nutrition (Agricultural University of Athens). RGP was dried in an oven at 65 °C for 48 h </w:t>
      </w:r>
      <w:r w:rsidRPr="002C1E64">
        <w:rPr>
          <w:sz w:val="22"/>
          <w:szCs w:val="22"/>
        </w:rPr>
        <w:lastRenderedPageBreak/>
        <w:t>and then pulverized in a domestic blender (Bosch MMB 112R). The material was stored at – 20 °C until used.</w:t>
      </w:r>
    </w:p>
    <w:p w:rsidR="00587334" w:rsidRPr="00E812EA" w:rsidRDefault="00587334" w:rsidP="002C1E64">
      <w:pPr>
        <w:jc w:val="both"/>
        <w:rPr>
          <w:i/>
          <w:sz w:val="16"/>
          <w:szCs w:val="16"/>
        </w:rPr>
      </w:pPr>
    </w:p>
    <w:p w:rsidR="00587334" w:rsidRDefault="00587334" w:rsidP="002C1E64">
      <w:pPr>
        <w:ind w:firstLine="426"/>
        <w:jc w:val="both"/>
        <w:rPr>
          <w:sz w:val="22"/>
          <w:szCs w:val="22"/>
        </w:rPr>
      </w:pPr>
      <w:r w:rsidRPr="002C1E64">
        <w:rPr>
          <w:sz w:val="22"/>
          <w:szCs w:val="22"/>
        </w:rPr>
        <w:t>Batch extraction process</w:t>
      </w:r>
    </w:p>
    <w:p w:rsidR="002C1E64" w:rsidRPr="00E812EA" w:rsidRDefault="002C1E64" w:rsidP="002C1E64">
      <w:pPr>
        <w:ind w:firstLine="426"/>
        <w:jc w:val="both"/>
        <w:rPr>
          <w:sz w:val="18"/>
          <w:szCs w:val="18"/>
        </w:rPr>
      </w:pPr>
    </w:p>
    <w:p w:rsidR="00587334" w:rsidRPr="002C1E64" w:rsidRDefault="00587334" w:rsidP="002C1E64">
      <w:pPr>
        <w:ind w:firstLine="426"/>
        <w:jc w:val="both"/>
        <w:rPr>
          <w:bCs/>
          <w:sz w:val="22"/>
          <w:szCs w:val="22"/>
        </w:rPr>
      </w:pPr>
      <w:r w:rsidRPr="002C1E64">
        <w:rPr>
          <w:sz w:val="22"/>
          <w:szCs w:val="22"/>
        </w:rPr>
        <w:t xml:space="preserve">The amount of 2.4 g of pulverised RGP was transferred in a 250-mL glass vial and mixed with 120 mL of acid (citric, acetic) solution (1, 2 or 4% w/v). Extractions were performed under stirring at 80 rpm in a thermostated chamber, at 20°C. Sampling was accomplished by acquiring the volume of 1 mL of extract at regular intervals, up to 320 min. </w:t>
      </w:r>
    </w:p>
    <w:p w:rsidR="00587334" w:rsidRPr="00E812EA" w:rsidRDefault="00587334" w:rsidP="002C1E64">
      <w:pPr>
        <w:pStyle w:val="Title"/>
        <w:spacing w:line="240" w:lineRule="auto"/>
        <w:ind w:firstLine="426"/>
        <w:jc w:val="both"/>
        <w:rPr>
          <w:b w:val="0"/>
          <w:bCs w:val="0"/>
          <w:sz w:val="18"/>
          <w:szCs w:val="18"/>
          <w:lang w:eastAsia="el-GR"/>
        </w:rPr>
      </w:pPr>
    </w:p>
    <w:p w:rsidR="00587334" w:rsidRPr="002C1E64" w:rsidRDefault="00587334" w:rsidP="002C1E64">
      <w:pPr>
        <w:ind w:firstLine="426"/>
        <w:jc w:val="both"/>
        <w:rPr>
          <w:sz w:val="22"/>
          <w:szCs w:val="22"/>
        </w:rPr>
      </w:pPr>
      <w:r w:rsidRPr="002C1E64">
        <w:rPr>
          <w:sz w:val="22"/>
          <w:szCs w:val="22"/>
        </w:rPr>
        <w:t>Determination of the reducing power (P</w:t>
      </w:r>
      <w:r w:rsidRPr="002C1E64">
        <w:rPr>
          <w:sz w:val="22"/>
          <w:szCs w:val="22"/>
          <w:vertAlign w:val="subscript"/>
        </w:rPr>
        <w:t>R</w:t>
      </w:r>
      <w:r w:rsidRPr="002C1E64">
        <w:rPr>
          <w:sz w:val="22"/>
          <w:szCs w:val="22"/>
        </w:rPr>
        <w:t>)</w:t>
      </w:r>
    </w:p>
    <w:p w:rsidR="002C1E64" w:rsidRPr="00E812EA" w:rsidRDefault="002C1E64" w:rsidP="002C1E64">
      <w:pPr>
        <w:ind w:firstLine="426"/>
        <w:jc w:val="both"/>
        <w:rPr>
          <w:sz w:val="18"/>
          <w:szCs w:val="18"/>
        </w:rPr>
      </w:pPr>
    </w:p>
    <w:p w:rsidR="00587334" w:rsidRDefault="00587334" w:rsidP="002C1E64">
      <w:pPr>
        <w:ind w:firstLine="426"/>
        <w:jc w:val="both"/>
        <w:rPr>
          <w:sz w:val="22"/>
          <w:szCs w:val="22"/>
        </w:rPr>
      </w:pPr>
      <w:r w:rsidRPr="002C1E64">
        <w:rPr>
          <w:sz w:val="22"/>
          <w:szCs w:val="22"/>
        </w:rPr>
        <w:t>Prior to analysis, all samples were centrifuged in an Eppendorf centrifugator at 10,000×</w:t>
      </w:r>
      <w:r w:rsidRPr="002C1E64">
        <w:rPr>
          <w:i/>
          <w:sz w:val="22"/>
          <w:szCs w:val="22"/>
        </w:rPr>
        <w:t>g</w:t>
      </w:r>
      <w:r w:rsidRPr="002C1E64">
        <w:rPr>
          <w:sz w:val="22"/>
          <w:szCs w:val="22"/>
        </w:rPr>
        <w:t xml:space="preserve"> for 10 min. Measurement of the P</w:t>
      </w:r>
      <w:r w:rsidRPr="002C1E64">
        <w:rPr>
          <w:sz w:val="22"/>
          <w:szCs w:val="22"/>
          <w:vertAlign w:val="subscript"/>
        </w:rPr>
        <w:t>R</w:t>
      </w:r>
      <w:r w:rsidRPr="002C1E64">
        <w:rPr>
          <w:sz w:val="22"/>
          <w:szCs w:val="22"/>
        </w:rPr>
        <w:t xml:space="preserve"> was carried out using ferric chloride as the oxidant (Psarra et al., 2002). An aliquot of 0.05 mL of extract was mixed with 0.05 mL of ferric chloride (3 mM in 5 mM citric acid) and the mixture was incubated at 50 °C, in a water bath, for 30 min. Then 0.9 mL of 2,2´-dipyridyl solution (5 g L</w:t>
      </w:r>
      <w:r w:rsidRPr="002C1E64">
        <w:rPr>
          <w:sz w:val="22"/>
          <w:szCs w:val="22"/>
          <w:vertAlign w:val="superscript"/>
        </w:rPr>
        <w:t>-1</w:t>
      </w:r>
      <w:r w:rsidRPr="002C1E64">
        <w:rPr>
          <w:sz w:val="22"/>
          <w:szCs w:val="22"/>
        </w:rPr>
        <w:t xml:space="preserve"> in 1.2% TCA) were added and the absorbance was measured at 525 nm. Quantification was performed by means of a calibration curve, using ascorbic acid as standard. The P</w:t>
      </w:r>
      <w:r w:rsidRPr="002C1E64">
        <w:rPr>
          <w:sz w:val="22"/>
          <w:szCs w:val="22"/>
          <w:vertAlign w:val="subscript"/>
        </w:rPr>
        <w:t>R</w:t>
      </w:r>
      <w:r w:rsidRPr="002C1E64">
        <w:rPr>
          <w:sz w:val="22"/>
          <w:szCs w:val="22"/>
        </w:rPr>
        <w:t xml:space="preserve"> was expressed as μM AA equivalents (AAE) per g of dry pomace weight (dpw), as follows:</w:t>
      </w:r>
    </w:p>
    <w:p w:rsidR="00E812EA" w:rsidRPr="00E812EA" w:rsidRDefault="00E812EA" w:rsidP="002C1E64">
      <w:pPr>
        <w:ind w:firstLine="426"/>
        <w:jc w:val="both"/>
        <w:rPr>
          <w:i/>
          <w:sz w:val="6"/>
          <w:szCs w:val="6"/>
        </w:rPr>
      </w:pPr>
    </w:p>
    <w:p w:rsidR="00587334" w:rsidRPr="002C1E64" w:rsidRDefault="003A07C0" w:rsidP="002C1E64">
      <w:pPr>
        <w:ind w:firstLine="426"/>
        <w:jc w:val="right"/>
        <w:rPr>
          <w:sz w:val="22"/>
          <w:szCs w:val="22"/>
        </w:rPr>
      </w:pPr>
      <m:oMath>
        <m:sSub>
          <m:sSubPr>
            <m:ctrlPr>
              <w:rPr>
                <w:rFonts w:ascii="Cambria Math" w:eastAsia="Calibri" w:hAnsi="Cambria Math"/>
                <w:i/>
                <w:lang w:eastAsia="en-US"/>
              </w:rPr>
            </m:ctrlPr>
          </m:sSubPr>
          <m:e>
            <m:r>
              <w:rPr>
                <w:rFonts w:ascii="Cambria Math" w:hAnsi="Cambria Math"/>
              </w:rPr>
              <m:t>P</m:t>
            </m:r>
          </m:e>
          <m:sub>
            <m:r>
              <w:rPr>
                <w:rFonts w:ascii="Cambria Math" w:hAnsi="Cambria Math"/>
              </w:rPr>
              <m:t xml:space="preserve">R </m:t>
            </m:r>
          </m:sub>
        </m:sSub>
        <m:d>
          <m:dPr>
            <m:ctrlPr>
              <w:rPr>
                <w:rFonts w:ascii="Cambria Math" w:hAnsi="Cambria Math"/>
                <w:i/>
              </w:rPr>
            </m:ctrlPr>
          </m:dPr>
          <m:e>
            <m:r>
              <w:rPr>
                <w:rFonts w:ascii="Cambria Math" w:hAnsi="Cambria Math"/>
              </w:rPr>
              <m:t xml:space="preserve">μM AAE </m:t>
            </m:r>
            <m:sSup>
              <m:sSupPr>
                <m:ctrlPr>
                  <w:rPr>
                    <w:rFonts w:ascii="Cambria Math" w:eastAsia="Calibri" w:hAnsi="Cambria Math"/>
                    <w:i/>
                    <w:lang w:eastAsia="en-US"/>
                  </w:rPr>
                </m:ctrlPr>
              </m:sSupPr>
              <m:e>
                <m:r>
                  <w:rPr>
                    <w:rFonts w:ascii="Cambria Math" w:hAnsi="Cambria Math"/>
                  </w:rPr>
                  <m:t>g</m:t>
                </m:r>
              </m:e>
              <m:sup>
                <m:r>
                  <w:rPr>
                    <w:rFonts w:ascii="Cambria Math" w:hAnsi="Cambria Math"/>
                  </w:rPr>
                  <m:t>-1</m:t>
                </m:r>
              </m:sup>
            </m:sSup>
            <m:r>
              <w:rPr>
                <w:rFonts w:ascii="Cambria Math" w:eastAsia="Calibri" w:hAnsi="Cambria Math"/>
                <w:lang w:eastAsia="en-US"/>
              </w:rPr>
              <m:t xml:space="preserve"> dpw</m:t>
            </m:r>
          </m:e>
        </m:d>
        <m:r>
          <w:rPr>
            <w:rFonts w:ascii="Cambria Math" w:hAnsi="Cambria Math"/>
          </w:rPr>
          <m:t xml:space="preserve">= </m:t>
        </m:r>
        <m:f>
          <m:fPr>
            <m:ctrlPr>
              <w:rPr>
                <w:rFonts w:ascii="Cambria Math" w:eastAsia="Calibri" w:hAnsi="Cambria Math"/>
                <w:i/>
                <w:lang w:eastAsia="en-US"/>
              </w:rPr>
            </m:ctrlPr>
          </m:fPr>
          <m:num>
            <m:r>
              <w:rPr>
                <w:rFonts w:ascii="Cambria Math" w:hAnsi="Cambria Math"/>
              </w:rPr>
              <m:t>(0.932×</m:t>
            </m:r>
            <m:sSub>
              <m:sSubPr>
                <m:ctrlPr>
                  <w:rPr>
                    <w:rFonts w:ascii="Cambria Math" w:eastAsia="Calibri" w:hAnsi="Cambria Math"/>
                    <w:i/>
                    <w:lang w:eastAsia="en-US"/>
                  </w:rPr>
                </m:ctrlPr>
              </m:sSubPr>
              <m:e>
                <m:r>
                  <w:rPr>
                    <w:rFonts w:ascii="Cambria Math" w:hAnsi="Cambria Math"/>
                  </w:rPr>
                  <m:t>A</m:t>
                </m:r>
              </m:e>
              <m:sub>
                <m:r>
                  <w:rPr>
                    <w:rFonts w:ascii="Cambria Math" w:hAnsi="Cambria Math"/>
                  </w:rPr>
                  <m:t>515</m:t>
                </m:r>
              </m:sub>
            </m:sSub>
            <m:r>
              <w:rPr>
                <w:rFonts w:ascii="Cambria Math" w:hAnsi="Cambria Math"/>
              </w:rPr>
              <m:t>-0.003)×V</m:t>
            </m:r>
          </m:num>
          <m:den>
            <m:r>
              <w:rPr>
                <w:rFonts w:ascii="Cambria Math" w:hAnsi="Cambria Math"/>
              </w:rPr>
              <m:t>m</m:t>
            </m:r>
          </m:den>
        </m:f>
      </m:oMath>
      <w:r w:rsidR="002C1E64">
        <w:rPr>
          <w:sz w:val="22"/>
          <w:szCs w:val="22"/>
        </w:rPr>
        <w:tab/>
      </w:r>
      <w:r w:rsidR="002C1E64">
        <w:rPr>
          <w:sz w:val="22"/>
          <w:szCs w:val="22"/>
        </w:rPr>
        <w:tab/>
      </w:r>
      <w:r w:rsidR="00587334" w:rsidRPr="002C1E64">
        <w:rPr>
          <w:sz w:val="22"/>
          <w:szCs w:val="22"/>
        </w:rPr>
        <w:tab/>
      </w:r>
      <w:r w:rsidR="00587334" w:rsidRPr="002C1E64">
        <w:rPr>
          <w:sz w:val="22"/>
          <w:szCs w:val="22"/>
        </w:rPr>
        <w:tab/>
      </w:r>
      <w:r w:rsidR="00587334" w:rsidRPr="002C1E64">
        <w:rPr>
          <w:sz w:val="22"/>
          <w:szCs w:val="22"/>
        </w:rPr>
        <w:tab/>
        <w:t>(1)</w:t>
      </w:r>
    </w:p>
    <w:p w:rsidR="00587334" w:rsidRPr="00E812EA" w:rsidRDefault="00587334" w:rsidP="002C1E64">
      <w:pPr>
        <w:ind w:firstLine="426"/>
        <w:jc w:val="both"/>
        <w:rPr>
          <w:sz w:val="6"/>
          <w:szCs w:val="6"/>
        </w:rPr>
      </w:pPr>
    </w:p>
    <w:p w:rsidR="00587334" w:rsidRPr="002C1E64" w:rsidRDefault="00587334" w:rsidP="002C1E64">
      <w:pPr>
        <w:ind w:firstLine="426"/>
        <w:jc w:val="both"/>
        <w:rPr>
          <w:sz w:val="22"/>
          <w:szCs w:val="22"/>
        </w:rPr>
      </w:pPr>
      <w:r w:rsidRPr="002C1E64">
        <w:rPr>
          <w:sz w:val="22"/>
          <w:szCs w:val="22"/>
        </w:rPr>
        <w:t xml:space="preserve">where V is the extraction medium volume (mL) and </w:t>
      </w:r>
      <w:r w:rsidRPr="002C1E64">
        <w:rPr>
          <w:i/>
          <w:sz w:val="22"/>
          <w:szCs w:val="22"/>
        </w:rPr>
        <w:t>m</w:t>
      </w:r>
      <w:r w:rsidRPr="002C1E64">
        <w:rPr>
          <w:sz w:val="22"/>
          <w:szCs w:val="22"/>
        </w:rPr>
        <w:t xml:space="preserve"> is the dry weight of grape pomace (g).</w:t>
      </w:r>
    </w:p>
    <w:p w:rsidR="00E812EA" w:rsidRPr="00E812EA" w:rsidRDefault="00E812EA" w:rsidP="002C1E64">
      <w:pPr>
        <w:ind w:firstLine="426"/>
        <w:jc w:val="both"/>
        <w:rPr>
          <w:bCs/>
          <w:sz w:val="16"/>
          <w:szCs w:val="16"/>
        </w:rPr>
      </w:pPr>
    </w:p>
    <w:p w:rsidR="00587334" w:rsidRDefault="00587334" w:rsidP="002C1E64">
      <w:pPr>
        <w:ind w:firstLine="426"/>
        <w:jc w:val="both"/>
        <w:rPr>
          <w:bCs/>
          <w:sz w:val="22"/>
          <w:szCs w:val="22"/>
        </w:rPr>
      </w:pPr>
      <w:r w:rsidRPr="002C1E64">
        <w:rPr>
          <w:bCs/>
          <w:sz w:val="22"/>
          <w:szCs w:val="22"/>
        </w:rPr>
        <w:t>Statistics</w:t>
      </w:r>
    </w:p>
    <w:p w:rsidR="002C1E64" w:rsidRPr="00E812EA" w:rsidRDefault="002C1E64" w:rsidP="002C1E64">
      <w:pPr>
        <w:ind w:firstLine="426"/>
        <w:jc w:val="both"/>
        <w:rPr>
          <w:sz w:val="16"/>
          <w:szCs w:val="16"/>
        </w:rPr>
      </w:pPr>
    </w:p>
    <w:p w:rsidR="00587334" w:rsidRPr="002C1E64" w:rsidRDefault="00587334" w:rsidP="002C1E64">
      <w:pPr>
        <w:ind w:firstLine="426"/>
        <w:jc w:val="both"/>
        <w:rPr>
          <w:i/>
          <w:sz w:val="22"/>
          <w:szCs w:val="22"/>
        </w:rPr>
      </w:pPr>
      <w:r w:rsidRPr="002C1E64">
        <w:rPr>
          <w:sz w:val="22"/>
          <w:szCs w:val="22"/>
        </w:rPr>
        <w:t xml:space="preserve">Determinations were performed in triplicate. Values reported are means </w:t>
      </w:r>
      <w:r w:rsidRPr="002C1E64">
        <w:rPr>
          <w:sz w:val="22"/>
          <w:szCs w:val="22"/>
        </w:rPr>
        <w:sym w:font="Symbol" w:char="F0B1"/>
      </w:r>
      <w:r w:rsidRPr="002C1E64">
        <w:rPr>
          <w:sz w:val="22"/>
          <w:szCs w:val="22"/>
        </w:rPr>
        <w:t xml:space="preserve"> standard deviation. Non-linear regression correlations were performed at least at the 95% significance level (</w:t>
      </w:r>
      <w:r w:rsidRPr="002C1E64">
        <w:rPr>
          <w:i/>
          <w:sz w:val="22"/>
          <w:szCs w:val="22"/>
        </w:rPr>
        <w:t>p</w:t>
      </w:r>
      <w:r w:rsidRPr="002C1E64">
        <w:rPr>
          <w:sz w:val="22"/>
          <w:szCs w:val="22"/>
        </w:rPr>
        <w:t xml:space="preserve"> &lt; 0.05). Statistical analyses were carried out using SigmaPlot</w:t>
      </w:r>
      <w:r w:rsidRPr="002C1E64">
        <w:rPr>
          <w:sz w:val="22"/>
          <w:szCs w:val="22"/>
          <w:vertAlign w:val="superscript"/>
        </w:rPr>
        <w:t>™</w:t>
      </w:r>
      <w:r w:rsidRPr="002C1E64">
        <w:rPr>
          <w:sz w:val="22"/>
          <w:szCs w:val="22"/>
        </w:rPr>
        <w:t xml:space="preserve"> 12.0 and Microsoft Excel</w:t>
      </w:r>
      <w:r w:rsidRPr="002C1E64">
        <w:rPr>
          <w:sz w:val="22"/>
          <w:szCs w:val="22"/>
          <w:vertAlign w:val="superscript"/>
        </w:rPr>
        <w:t>™</w:t>
      </w:r>
      <w:r w:rsidRPr="002C1E64">
        <w:rPr>
          <w:sz w:val="22"/>
          <w:szCs w:val="22"/>
        </w:rPr>
        <w:t xml:space="preserve"> 2010.</w:t>
      </w:r>
    </w:p>
    <w:p w:rsidR="00587334" w:rsidRPr="00E812EA" w:rsidRDefault="00587334" w:rsidP="002C1E64">
      <w:pPr>
        <w:jc w:val="center"/>
        <w:rPr>
          <w:sz w:val="22"/>
          <w:szCs w:val="22"/>
        </w:rPr>
      </w:pPr>
    </w:p>
    <w:p w:rsidR="00587334" w:rsidRPr="00A41E96" w:rsidRDefault="00587334" w:rsidP="002C1E64">
      <w:pPr>
        <w:jc w:val="center"/>
        <w:rPr>
          <w:b/>
          <w:sz w:val="22"/>
          <w:szCs w:val="22"/>
        </w:rPr>
      </w:pPr>
      <w:r w:rsidRPr="00A41E96">
        <w:rPr>
          <w:b/>
          <w:sz w:val="22"/>
          <w:szCs w:val="22"/>
        </w:rPr>
        <w:t>Results and Discussion</w:t>
      </w:r>
    </w:p>
    <w:p w:rsidR="00587334" w:rsidRPr="00E812EA" w:rsidRDefault="00587334" w:rsidP="002C1E64">
      <w:pPr>
        <w:jc w:val="center"/>
        <w:rPr>
          <w:sz w:val="18"/>
          <w:szCs w:val="18"/>
        </w:rPr>
      </w:pPr>
    </w:p>
    <w:p w:rsidR="00587334" w:rsidRDefault="00587334" w:rsidP="002C1E64">
      <w:pPr>
        <w:ind w:firstLine="426"/>
        <w:jc w:val="both"/>
        <w:rPr>
          <w:sz w:val="22"/>
          <w:szCs w:val="22"/>
        </w:rPr>
      </w:pPr>
      <w:r w:rsidRPr="002C1E64">
        <w:rPr>
          <w:sz w:val="22"/>
          <w:szCs w:val="22"/>
        </w:rPr>
        <w:t>Kinetics</w:t>
      </w:r>
    </w:p>
    <w:p w:rsidR="002C1E64" w:rsidRPr="00E812EA" w:rsidRDefault="002C1E64" w:rsidP="002C1E64">
      <w:pPr>
        <w:ind w:firstLine="426"/>
        <w:jc w:val="both"/>
        <w:rPr>
          <w:sz w:val="16"/>
          <w:szCs w:val="16"/>
        </w:rPr>
      </w:pPr>
    </w:p>
    <w:p w:rsidR="00587334" w:rsidRPr="005B58AA" w:rsidRDefault="00587334" w:rsidP="002C1E64">
      <w:pPr>
        <w:ind w:firstLine="426"/>
        <w:jc w:val="both"/>
        <w:rPr>
          <w:i/>
          <w:sz w:val="22"/>
          <w:szCs w:val="22"/>
        </w:rPr>
      </w:pPr>
      <w:r w:rsidRPr="005B58AA">
        <w:rPr>
          <w:sz w:val="22"/>
          <w:szCs w:val="22"/>
        </w:rPr>
        <w:t>Monitoring of the P</w:t>
      </w:r>
      <w:r w:rsidRPr="005B58AA">
        <w:rPr>
          <w:sz w:val="22"/>
          <w:szCs w:val="22"/>
          <w:vertAlign w:val="subscript"/>
        </w:rPr>
        <w:t>R</w:t>
      </w:r>
      <w:r w:rsidRPr="005B58AA">
        <w:rPr>
          <w:sz w:val="22"/>
          <w:szCs w:val="22"/>
        </w:rPr>
        <w:t xml:space="preserve"> within a period up to 320 min gave a series of P</w:t>
      </w:r>
      <w:r w:rsidRPr="005B58AA">
        <w:rPr>
          <w:sz w:val="22"/>
          <w:szCs w:val="22"/>
          <w:vertAlign w:val="subscript"/>
        </w:rPr>
        <w:t>R</w:t>
      </w:r>
      <w:r w:rsidRPr="005B58AA">
        <w:rPr>
          <w:sz w:val="22"/>
          <w:szCs w:val="22"/>
        </w:rPr>
        <w:t>/</w:t>
      </w:r>
      <w:r w:rsidRPr="005B58AA">
        <w:rPr>
          <w:i/>
          <w:sz w:val="22"/>
          <w:szCs w:val="22"/>
        </w:rPr>
        <w:t>t</w:t>
      </w:r>
      <w:r w:rsidRPr="005B58AA">
        <w:rPr>
          <w:sz w:val="22"/>
          <w:szCs w:val="22"/>
        </w:rPr>
        <w:t xml:space="preserve"> points (Figure 1) and non-linear regression between P</w:t>
      </w:r>
      <w:r w:rsidRPr="005B58AA">
        <w:rPr>
          <w:sz w:val="22"/>
          <w:szCs w:val="22"/>
          <w:vertAlign w:val="subscript"/>
        </w:rPr>
        <w:t>R</w:t>
      </w:r>
      <w:r w:rsidRPr="005B58AA">
        <w:rPr>
          <w:sz w:val="22"/>
          <w:szCs w:val="22"/>
        </w:rPr>
        <w:t xml:space="preserve"> values and </w:t>
      </w:r>
      <w:r w:rsidRPr="005B58AA">
        <w:rPr>
          <w:i/>
          <w:sz w:val="22"/>
          <w:szCs w:val="22"/>
        </w:rPr>
        <w:t>t</w:t>
      </w:r>
      <w:r w:rsidRPr="005B58AA">
        <w:rPr>
          <w:sz w:val="22"/>
          <w:szCs w:val="22"/>
        </w:rPr>
        <w:t xml:space="preserve"> gave the best fit of a hyperbola described by the equation: </w:t>
      </w:r>
    </w:p>
    <w:p w:rsidR="00587334" w:rsidRPr="005B58AA" w:rsidRDefault="00587334" w:rsidP="002C1E64">
      <w:pPr>
        <w:ind w:firstLine="426"/>
        <w:jc w:val="both"/>
        <w:rPr>
          <w:sz w:val="6"/>
          <w:szCs w:val="6"/>
        </w:rPr>
      </w:pPr>
    </w:p>
    <w:p w:rsidR="00587334" w:rsidRPr="005B58AA" w:rsidRDefault="00F6507A" w:rsidP="002C1E64">
      <w:pPr>
        <w:ind w:firstLine="426"/>
        <w:jc w:val="right"/>
        <w:rPr>
          <w:sz w:val="22"/>
          <w:szCs w:val="22"/>
        </w:rPr>
      </w:pPr>
      <m:oMath>
        <m:r>
          <w:rPr>
            <w:rFonts w:ascii="Cambria Math" w:hAnsi="Cambria Math"/>
          </w:rPr>
          <m:t xml:space="preserve">y= </m:t>
        </m:r>
        <m:f>
          <m:fPr>
            <m:ctrlPr>
              <w:rPr>
                <w:rFonts w:ascii="Cambria Math" w:eastAsia="Calibri" w:hAnsi="Cambria Math"/>
                <w:i/>
                <w:lang w:eastAsia="en-US"/>
              </w:rPr>
            </m:ctrlPr>
          </m:fPr>
          <m:num>
            <m:r>
              <w:rPr>
                <w:rFonts w:ascii="Cambria Math" w:hAnsi="Cambria Math"/>
              </w:rPr>
              <m:t>ax</m:t>
            </m:r>
          </m:num>
          <m:den>
            <m:r>
              <w:rPr>
                <w:rFonts w:ascii="Cambria Math" w:hAnsi="Cambria Math"/>
              </w:rPr>
              <m:t>1+bx</m:t>
            </m:r>
          </m:den>
        </m:f>
      </m:oMath>
      <w:r w:rsidR="002C1E64" w:rsidRPr="005B58AA">
        <w:rPr>
          <w:sz w:val="22"/>
          <w:szCs w:val="22"/>
        </w:rPr>
        <w:t xml:space="preserve"> </w:t>
      </w:r>
      <w:r w:rsidR="002C1E64" w:rsidRPr="005B58AA">
        <w:rPr>
          <w:sz w:val="22"/>
          <w:szCs w:val="22"/>
        </w:rPr>
        <w:tab/>
      </w:r>
      <w:r w:rsidR="002C1E64" w:rsidRPr="005B58AA">
        <w:rPr>
          <w:sz w:val="22"/>
          <w:szCs w:val="22"/>
        </w:rPr>
        <w:tab/>
      </w:r>
      <w:r w:rsidR="002C1E64" w:rsidRPr="005B58AA">
        <w:rPr>
          <w:sz w:val="22"/>
          <w:szCs w:val="22"/>
        </w:rPr>
        <w:tab/>
      </w:r>
      <w:r w:rsidR="00587334" w:rsidRPr="005B58AA">
        <w:rPr>
          <w:sz w:val="22"/>
          <w:szCs w:val="22"/>
        </w:rPr>
        <w:tab/>
      </w:r>
      <w:r w:rsidR="00587334" w:rsidRPr="005B58AA">
        <w:rPr>
          <w:sz w:val="22"/>
          <w:szCs w:val="22"/>
        </w:rPr>
        <w:tab/>
      </w:r>
      <w:r w:rsidR="00587334" w:rsidRPr="005B58AA">
        <w:rPr>
          <w:sz w:val="22"/>
          <w:szCs w:val="22"/>
        </w:rPr>
        <w:tab/>
      </w:r>
      <w:r w:rsidR="00587334" w:rsidRPr="005B58AA">
        <w:rPr>
          <w:sz w:val="22"/>
          <w:szCs w:val="22"/>
        </w:rPr>
        <w:tab/>
        <w:t>(2)</w:t>
      </w:r>
    </w:p>
    <w:p w:rsidR="004F7ACC" w:rsidRPr="005B58AA" w:rsidRDefault="00F6507A" w:rsidP="005001DF">
      <w:pPr>
        <w:jc w:val="center"/>
        <w:rPr>
          <w:noProof/>
          <w:lang w:val="en-US" w:eastAsia="en-US"/>
        </w:rPr>
      </w:pPr>
      <w:r>
        <w:rPr>
          <w:noProof/>
          <w:sz w:val="22"/>
          <w:szCs w:val="22"/>
          <w:lang w:val="en-US" w:eastAsia="en-US"/>
        </w:rPr>
        <w:lastRenderedPageBreak/>
        <w:drawing>
          <wp:inline distT="0" distB="0" distL="0" distR="0">
            <wp:extent cx="3889375" cy="2988945"/>
            <wp:effectExtent l="1905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3889375" cy="2988945"/>
                    </a:xfrm>
                    <a:prstGeom prst="rect">
                      <a:avLst/>
                    </a:prstGeom>
                    <a:noFill/>
                    <a:ln w="9525">
                      <a:noFill/>
                      <a:miter lim="800000"/>
                      <a:headEnd/>
                      <a:tailEnd/>
                    </a:ln>
                  </pic:spPr>
                </pic:pic>
              </a:graphicData>
            </a:graphic>
          </wp:inline>
        </w:drawing>
      </w:r>
    </w:p>
    <w:p w:rsidR="00587334" w:rsidRPr="005B58AA" w:rsidRDefault="00587334" w:rsidP="00570EEE">
      <w:pPr>
        <w:jc w:val="center"/>
        <w:rPr>
          <w:noProof/>
          <w:lang w:val="en-US" w:eastAsia="en-US"/>
        </w:rPr>
      </w:pPr>
    </w:p>
    <w:p w:rsidR="00587334" w:rsidRPr="005B58AA" w:rsidRDefault="00F6507A" w:rsidP="00570EEE">
      <w:pPr>
        <w:jc w:val="center"/>
        <w:rPr>
          <w:noProof/>
          <w:lang w:val="en-US" w:eastAsia="en-US"/>
        </w:rPr>
      </w:pPr>
      <w:r>
        <w:rPr>
          <w:noProof/>
          <w:lang w:val="en-US" w:eastAsia="en-US"/>
        </w:rPr>
        <w:drawing>
          <wp:inline distT="0" distB="0" distL="0" distR="0">
            <wp:extent cx="3889375" cy="298894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3889375" cy="2988945"/>
                    </a:xfrm>
                    <a:prstGeom prst="rect">
                      <a:avLst/>
                    </a:prstGeom>
                    <a:noFill/>
                    <a:ln w="9525">
                      <a:noFill/>
                      <a:miter lim="800000"/>
                      <a:headEnd/>
                      <a:tailEnd/>
                    </a:ln>
                  </pic:spPr>
                </pic:pic>
              </a:graphicData>
            </a:graphic>
          </wp:inline>
        </w:drawing>
      </w:r>
    </w:p>
    <w:p w:rsidR="00F909B6" w:rsidRPr="005B58AA" w:rsidRDefault="00587334" w:rsidP="00F909B6">
      <w:pPr>
        <w:jc w:val="center"/>
        <w:rPr>
          <w:sz w:val="22"/>
          <w:szCs w:val="22"/>
        </w:rPr>
      </w:pPr>
      <w:r w:rsidRPr="005B58AA">
        <w:rPr>
          <w:sz w:val="22"/>
          <w:szCs w:val="22"/>
        </w:rPr>
        <w:t>Figure 1. Time course of P</w:t>
      </w:r>
      <w:r w:rsidRPr="005B58AA">
        <w:rPr>
          <w:sz w:val="22"/>
          <w:szCs w:val="22"/>
          <w:vertAlign w:val="subscript"/>
        </w:rPr>
        <w:t>R</w:t>
      </w:r>
      <w:r w:rsidRPr="005B58AA">
        <w:rPr>
          <w:sz w:val="22"/>
          <w:szCs w:val="22"/>
        </w:rPr>
        <w:t xml:space="preserve"> during antioxidant extraction from RGP using acetic acid (upper plot) and citric acid (lower plot) solutions. Extractions were </w:t>
      </w:r>
    </w:p>
    <w:p w:rsidR="00587334" w:rsidRPr="005B58AA" w:rsidRDefault="00587334" w:rsidP="00F909B6">
      <w:pPr>
        <w:jc w:val="center"/>
        <w:rPr>
          <w:sz w:val="22"/>
          <w:szCs w:val="22"/>
        </w:rPr>
      </w:pPr>
      <w:r w:rsidRPr="005B58AA">
        <w:rPr>
          <w:sz w:val="22"/>
          <w:szCs w:val="22"/>
        </w:rPr>
        <w:t>performed at 20 °C, 80 rpm and 1:50 solid-to-liquid ratio</w:t>
      </w:r>
      <w:r w:rsidR="005001DF" w:rsidRPr="005B58AA">
        <w:rPr>
          <w:sz w:val="22"/>
          <w:szCs w:val="22"/>
        </w:rPr>
        <w:t>.</w:t>
      </w:r>
    </w:p>
    <w:p w:rsidR="00350B45" w:rsidRPr="002C1E64" w:rsidRDefault="00350B45" w:rsidP="00350B45">
      <w:pPr>
        <w:ind w:firstLine="426"/>
        <w:jc w:val="both"/>
        <w:rPr>
          <w:sz w:val="22"/>
          <w:szCs w:val="22"/>
        </w:rPr>
      </w:pPr>
      <w:r w:rsidRPr="005B58AA">
        <w:rPr>
          <w:sz w:val="22"/>
          <w:szCs w:val="22"/>
        </w:rPr>
        <w:lastRenderedPageBreak/>
        <w:t>Model fitting was significantly high (Table 1), suggesting that</w:t>
      </w:r>
      <w:r w:rsidRPr="002C1E64">
        <w:rPr>
          <w:sz w:val="22"/>
          <w:szCs w:val="22"/>
        </w:rPr>
        <w:t xml:space="preserve"> prediction of the extraction yield as a function of </w:t>
      </w:r>
      <w:r w:rsidRPr="002C1E64">
        <w:rPr>
          <w:i/>
          <w:sz w:val="22"/>
          <w:szCs w:val="22"/>
        </w:rPr>
        <w:t>t</w:t>
      </w:r>
      <w:r w:rsidRPr="002C1E64">
        <w:rPr>
          <w:sz w:val="22"/>
          <w:szCs w:val="22"/>
        </w:rPr>
        <w:t xml:space="preserve"> can be performed using the equation (2). This corresponds to the 2</w:t>
      </w:r>
      <w:r w:rsidRPr="002C1E64">
        <w:rPr>
          <w:sz w:val="22"/>
          <w:szCs w:val="22"/>
          <w:vertAlign w:val="superscript"/>
        </w:rPr>
        <w:t>nd</w:t>
      </w:r>
      <w:r w:rsidRPr="002C1E64">
        <w:rPr>
          <w:sz w:val="22"/>
          <w:szCs w:val="22"/>
        </w:rPr>
        <w:t xml:space="preserve">-order extraction model, in line with previous findings (Ho et al., 2005; Rakotondramasy-Rabesiaka et al., 2007), considering the boundary conditions </w:t>
      </w:r>
      <w:r w:rsidRPr="002C1E64">
        <w:rPr>
          <w:i/>
          <w:sz w:val="22"/>
          <w:szCs w:val="22"/>
        </w:rPr>
        <w:t>t</w:t>
      </w:r>
      <w:r w:rsidRPr="002C1E64">
        <w:rPr>
          <w:sz w:val="22"/>
          <w:szCs w:val="22"/>
        </w:rPr>
        <w:t xml:space="preserve"> = 0 to </w:t>
      </w:r>
      <w:r w:rsidRPr="002C1E64">
        <w:rPr>
          <w:i/>
          <w:sz w:val="22"/>
          <w:szCs w:val="22"/>
        </w:rPr>
        <w:t>t</w:t>
      </w:r>
      <w:r w:rsidRPr="002C1E64">
        <w:rPr>
          <w:sz w:val="22"/>
          <w:szCs w:val="22"/>
        </w:rPr>
        <w:t xml:space="preserve"> and P</w:t>
      </w:r>
      <w:r w:rsidRPr="002C1E64">
        <w:rPr>
          <w:sz w:val="22"/>
          <w:szCs w:val="22"/>
          <w:vertAlign w:val="subscript"/>
        </w:rPr>
        <w:t>R(t)</w:t>
      </w:r>
      <w:r w:rsidRPr="002C1E64">
        <w:rPr>
          <w:sz w:val="22"/>
          <w:szCs w:val="22"/>
        </w:rPr>
        <w:t xml:space="preserve"> = 0 to P</w:t>
      </w:r>
      <w:r w:rsidRPr="002C1E64">
        <w:rPr>
          <w:sz w:val="22"/>
          <w:szCs w:val="22"/>
          <w:vertAlign w:val="subscript"/>
        </w:rPr>
        <w:t>R(t)</w:t>
      </w:r>
      <w:r w:rsidRPr="002C1E64">
        <w:rPr>
          <w:sz w:val="22"/>
          <w:szCs w:val="22"/>
        </w:rPr>
        <w:t>. The outcome indicated that there were two phases involved in the antioxidant extraction, an initial washing stage and a slow, rate-determining stage, governed by internal diffusion. These assumptions were made by admitting that (i) leaching of antioxidants occurred through diffusion, and (ii) at the equilibrium (saturation), the P</w:t>
      </w:r>
      <w:r w:rsidRPr="002C1E64">
        <w:rPr>
          <w:sz w:val="22"/>
          <w:szCs w:val="22"/>
          <w:vertAlign w:val="subscript"/>
        </w:rPr>
        <w:t>R</w:t>
      </w:r>
      <w:r w:rsidRPr="002C1E64">
        <w:rPr>
          <w:sz w:val="22"/>
          <w:szCs w:val="22"/>
        </w:rPr>
        <w:t xml:space="preserve"> remained constant. Thus, extraction kinetics could be described as follows:</w:t>
      </w:r>
    </w:p>
    <w:p w:rsidR="00350B45" w:rsidRPr="00350B45" w:rsidRDefault="00350B45" w:rsidP="00350B45">
      <w:pPr>
        <w:ind w:firstLine="426"/>
        <w:jc w:val="both"/>
      </w:pPr>
    </w:p>
    <w:p w:rsidR="00350B45" w:rsidRPr="002C1E64" w:rsidRDefault="003A07C0" w:rsidP="00350B45">
      <w:pPr>
        <w:ind w:firstLine="426"/>
        <w:jc w:val="right"/>
        <w:rPr>
          <w:sz w:val="22"/>
          <w:szCs w:val="22"/>
        </w:rPr>
      </w:pPr>
      <m:oMath>
        <m:sSub>
          <m:sSubPr>
            <m:ctrlPr>
              <w:rPr>
                <w:rFonts w:ascii="Cambria Math" w:eastAsia="Calibri" w:hAnsi="Cambria Math"/>
                <w:i/>
                <w:lang w:eastAsia="en-US"/>
              </w:rPr>
            </m:ctrlPr>
          </m:sSubPr>
          <m:e>
            <m:r>
              <w:rPr>
                <w:rFonts w:ascii="Cambria Math" w:hAnsi="Cambria Math"/>
              </w:rPr>
              <m:t>P</m:t>
            </m:r>
          </m:e>
          <m:sub>
            <m:r>
              <w:rPr>
                <w:rFonts w:ascii="Cambria Math" w:hAnsi="Cambria Math"/>
              </w:rPr>
              <m:t>R</m:t>
            </m:r>
            <m:d>
              <m:dPr>
                <m:ctrlPr>
                  <w:rPr>
                    <w:rFonts w:ascii="Cambria Math" w:hAnsi="Cambria Math"/>
                    <w:i/>
                  </w:rPr>
                </m:ctrlPr>
              </m:dPr>
              <m:e>
                <m:r>
                  <w:rPr>
                    <w:rFonts w:ascii="Cambria Math" w:hAnsi="Cambria Math"/>
                  </w:rPr>
                  <m:t>t</m:t>
                </m:r>
              </m:e>
            </m:d>
          </m:sub>
        </m:sSub>
        <m:r>
          <w:rPr>
            <w:rFonts w:ascii="Cambria Math" w:hAnsi="Cambria Math"/>
          </w:rPr>
          <m:t xml:space="preserve">= </m:t>
        </m:r>
        <m:f>
          <m:fPr>
            <m:ctrlPr>
              <w:rPr>
                <w:rFonts w:ascii="Cambria Math" w:eastAsia="Calibri" w:hAnsi="Cambria Math"/>
                <w:i/>
                <w:lang w:eastAsia="en-US"/>
              </w:rPr>
            </m:ctrlPr>
          </m:fPr>
          <m:num>
            <m:sSubSup>
              <m:sSubSupPr>
                <m:ctrlPr>
                  <w:rPr>
                    <w:rFonts w:ascii="Cambria Math" w:eastAsia="Calibri" w:hAnsi="Cambria Math"/>
                    <w:i/>
                    <w:lang w:eastAsia="en-US"/>
                  </w:rPr>
                </m:ctrlPr>
              </m:sSubSupPr>
              <m:e>
                <m:r>
                  <w:rPr>
                    <w:rFonts w:ascii="Cambria Math" w:hAnsi="Cambria Math"/>
                  </w:rPr>
                  <m:t>P</m:t>
                </m:r>
              </m:e>
              <m:sub>
                <m:r>
                  <w:rPr>
                    <w:rFonts w:ascii="Cambria Math" w:hAnsi="Cambria Math"/>
                  </w:rPr>
                  <m:t>R(s)</m:t>
                </m:r>
              </m:sub>
              <m:sup>
                <m:r>
                  <w:rPr>
                    <w:rFonts w:ascii="Cambria Math" w:hAnsi="Cambria Math"/>
                  </w:rPr>
                  <m:t>2</m:t>
                </m:r>
              </m:sup>
            </m:sSubSup>
            <m:r>
              <w:rPr>
                <w:rFonts w:ascii="Cambria Math" w:hAnsi="Cambria Math"/>
              </w:rPr>
              <m:t>kt</m:t>
            </m:r>
          </m:num>
          <m:den>
            <m:r>
              <w:rPr>
                <w:rFonts w:ascii="Cambria Math" w:hAnsi="Cambria Math"/>
              </w:rPr>
              <m:t xml:space="preserve">1+ </m:t>
            </m:r>
            <m:sSub>
              <m:sSubPr>
                <m:ctrlPr>
                  <w:rPr>
                    <w:rFonts w:ascii="Cambria Math" w:eastAsia="Calibri" w:hAnsi="Cambria Math"/>
                    <w:i/>
                    <w:lang w:eastAsia="en-US"/>
                  </w:rPr>
                </m:ctrlPr>
              </m:sSubPr>
              <m:e>
                <m:r>
                  <w:rPr>
                    <w:rFonts w:ascii="Cambria Math" w:hAnsi="Cambria Math"/>
                  </w:rPr>
                  <m:t>P</m:t>
                </m:r>
              </m:e>
              <m:sub>
                <m:r>
                  <w:rPr>
                    <w:rFonts w:ascii="Cambria Math" w:hAnsi="Cambria Math"/>
                  </w:rPr>
                  <m:t>R(s)</m:t>
                </m:r>
              </m:sub>
            </m:sSub>
            <m:r>
              <w:rPr>
                <w:rFonts w:ascii="Cambria Math" w:hAnsi="Cambria Math"/>
              </w:rPr>
              <m:t>kt</m:t>
            </m:r>
          </m:den>
        </m:f>
      </m:oMath>
      <w:r w:rsidR="00350B45" w:rsidRPr="002C1E64">
        <w:rPr>
          <w:sz w:val="22"/>
          <w:szCs w:val="22"/>
        </w:rPr>
        <w:t xml:space="preserve"> </w:t>
      </w:r>
      <w:r w:rsidR="00350B45" w:rsidRPr="002C1E64">
        <w:rPr>
          <w:sz w:val="22"/>
          <w:szCs w:val="22"/>
        </w:rPr>
        <w:tab/>
      </w:r>
      <w:r w:rsidR="00350B45" w:rsidRPr="002C1E64">
        <w:rPr>
          <w:sz w:val="22"/>
          <w:szCs w:val="22"/>
        </w:rPr>
        <w:tab/>
      </w:r>
      <w:r w:rsidR="00350B45" w:rsidRPr="002C1E64">
        <w:rPr>
          <w:sz w:val="22"/>
          <w:szCs w:val="22"/>
        </w:rPr>
        <w:tab/>
      </w:r>
      <w:r w:rsidR="00350B45" w:rsidRPr="002C1E64">
        <w:rPr>
          <w:sz w:val="22"/>
          <w:szCs w:val="22"/>
        </w:rPr>
        <w:tab/>
      </w:r>
      <w:r w:rsidR="00350B45" w:rsidRPr="002C1E64">
        <w:rPr>
          <w:sz w:val="22"/>
          <w:szCs w:val="22"/>
        </w:rPr>
        <w:tab/>
      </w:r>
      <w:r w:rsidR="00350B45" w:rsidRPr="002C1E64">
        <w:rPr>
          <w:sz w:val="22"/>
          <w:szCs w:val="22"/>
        </w:rPr>
        <w:tab/>
        <w:t>(3)</w:t>
      </w:r>
    </w:p>
    <w:p w:rsidR="00350B45" w:rsidRDefault="00350B45" w:rsidP="00F909B6">
      <w:pPr>
        <w:jc w:val="center"/>
        <w:rPr>
          <w:sz w:val="22"/>
          <w:szCs w:val="22"/>
        </w:rPr>
      </w:pPr>
    </w:p>
    <w:p w:rsidR="00350B45" w:rsidRDefault="00350B45" w:rsidP="00350B45">
      <w:pPr>
        <w:jc w:val="both"/>
        <w:rPr>
          <w:sz w:val="22"/>
          <w:szCs w:val="22"/>
        </w:rPr>
      </w:pPr>
      <w:r w:rsidRPr="005001DF">
        <w:rPr>
          <w:sz w:val="22"/>
          <w:szCs w:val="22"/>
        </w:rPr>
        <w:t>Table 1. Statistical parameters determined after correlating P</w:t>
      </w:r>
      <w:r w:rsidRPr="005001DF">
        <w:rPr>
          <w:sz w:val="22"/>
          <w:szCs w:val="22"/>
          <w:vertAlign w:val="subscript"/>
        </w:rPr>
        <w:t>R</w:t>
      </w:r>
      <w:r w:rsidRPr="005001DF">
        <w:rPr>
          <w:sz w:val="22"/>
          <w:szCs w:val="22"/>
        </w:rPr>
        <w:t xml:space="preserve"> and </w:t>
      </w:r>
      <w:r w:rsidRPr="005001DF">
        <w:rPr>
          <w:i/>
          <w:sz w:val="22"/>
          <w:szCs w:val="22"/>
        </w:rPr>
        <w:t>t</w:t>
      </w:r>
      <w:r w:rsidRPr="005001DF">
        <w:rPr>
          <w:sz w:val="22"/>
          <w:szCs w:val="22"/>
        </w:rPr>
        <w:t>, using non-linear regression.</w:t>
      </w:r>
    </w:p>
    <w:p w:rsidR="00350B45" w:rsidRPr="005001DF" w:rsidRDefault="00350B45" w:rsidP="00350B45">
      <w:pPr>
        <w:jc w:val="both"/>
        <w:rPr>
          <w:sz w:val="22"/>
          <w:szCs w:val="22"/>
        </w:rPr>
      </w:pPr>
    </w:p>
    <w:tbl>
      <w:tblPr>
        <w:tblW w:w="7371" w:type="dxa"/>
        <w:jc w:val="center"/>
        <w:tblCellMar>
          <w:left w:w="28" w:type="dxa"/>
          <w:right w:w="28" w:type="dxa"/>
        </w:tblCellMar>
        <w:tblLook w:val="04A0"/>
      </w:tblPr>
      <w:tblGrid>
        <w:gridCol w:w="2240"/>
        <w:gridCol w:w="2551"/>
        <w:gridCol w:w="2580"/>
      </w:tblGrid>
      <w:tr w:rsidR="00350B45" w:rsidRPr="005001DF" w:rsidTr="00350B45">
        <w:trPr>
          <w:trHeight w:val="227"/>
          <w:jc w:val="center"/>
        </w:trPr>
        <w:tc>
          <w:tcPr>
            <w:tcW w:w="2240" w:type="dxa"/>
            <w:tcBorders>
              <w:top w:val="single" w:sz="4" w:space="0" w:color="auto"/>
              <w:bottom w:val="single" w:sz="4" w:space="0" w:color="auto"/>
            </w:tcBorders>
            <w:shd w:val="clear" w:color="auto" w:fill="auto"/>
          </w:tcPr>
          <w:p w:rsidR="00350B45" w:rsidRPr="005001DF" w:rsidRDefault="00350B45" w:rsidP="000355CA">
            <w:pPr>
              <w:jc w:val="both"/>
              <w:rPr>
                <w:sz w:val="18"/>
                <w:szCs w:val="18"/>
              </w:rPr>
            </w:pPr>
          </w:p>
        </w:tc>
        <w:tc>
          <w:tcPr>
            <w:tcW w:w="5131" w:type="dxa"/>
            <w:gridSpan w:val="2"/>
            <w:tcBorders>
              <w:top w:val="single" w:sz="4" w:space="0" w:color="auto"/>
              <w:bottom w:val="single" w:sz="4" w:space="0" w:color="auto"/>
            </w:tcBorders>
            <w:shd w:val="clear" w:color="auto" w:fill="auto"/>
            <w:vAlign w:val="center"/>
          </w:tcPr>
          <w:p w:rsidR="00350B45" w:rsidRPr="005001DF" w:rsidRDefault="00350B45" w:rsidP="000355CA">
            <w:pPr>
              <w:jc w:val="center"/>
              <w:rPr>
                <w:sz w:val="18"/>
                <w:szCs w:val="18"/>
              </w:rPr>
            </w:pPr>
            <w:r w:rsidRPr="005001DF">
              <w:rPr>
                <w:sz w:val="18"/>
                <w:szCs w:val="18"/>
              </w:rPr>
              <w:t>Statistical parameters</w:t>
            </w:r>
          </w:p>
        </w:tc>
      </w:tr>
      <w:tr w:rsidR="00350B45" w:rsidRPr="005001DF" w:rsidTr="00350B45">
        <w:trPr>
          <w:trHeight w:val="227"/>
          <w:jc w:val="center"/>
        </w:trPr>
        <w:tc>
          <w:tcPr>
            <w:tcW w:w="2240" w:type="dxa"/>
            <w:tcBorders>
              <w:top w:val="single" w:sz="4" w:space="0" w:color="auto"/>
            </w:tcBorders>
            <w:shd w:val="clear" w:color="auto" w:fill="auto"/>
            <w:vAlign w:val="center"/>
          </w:tcPr>
          <w:p w:rsidR="00350B45" w:rsidRPr="005001DF" w:rsidRDefault="00350B45" w:rsidP="000355CA">
            <w:pPr>
              <w:rPr>
                <w:sz w:val="18"/>
                <w:szCs w:val="18"/>
              </w:rPr>
            </w:pPr>
            <w:r w:rsidRPr="005001DF">
              <w:rPr>
                <w:sz w:val="18"/>
                <w:szCs w:val="18"/>
              </w:rPr>
              <w:t>C</w:t>
            </w:r>
            <w:r w:rsidRPr="005001DF">
              <w:rPr>
                <w:sz w:val="18"/>
                <w:szCs w:val="18"/>
                <w:vertAlign w:val="subscript"/>
              </w:rPr>
              <w:t>acid</w:t>
            </w:r>
            <w:r w:rsidRPr="005001DF">
              <w:rPr>
                <w:sz w:val="18"/>
                <w:szCs w:val="18"/>
              </w:rPr>
              <w:t xml:space="preserve"> (% w/v)</w:t>
            </w:r>
          </w:p>
        </w:tc>
        <w:tc>
          <w:tcPr>
            <w:tcW w:w="2551" w:type="dxa"/>
            <w:tcBorders>
              <w:top w:val="single" w:sz="4" w:space="0" w:color="auto"/>
            </w:tcBorders>
            <w:shd w:val="clear" w:color="auto" w:fill="auto"/>
            <w:vAlign w:val="center"/>
          </w:tcPr>
          <w:p w:rsidR="00350B45" w:rsidRPr="005001DF" w:rsidRDefault="00350B45" w:rsidP="000355CA">
            <w:pPr>
              <w:jc w:val="center"/>
              <w:rPr>
                <w:sz w:val="18"/>
                <w:szCs w:val="18"/>
              </w:rPr>
            </w:pPr>
            <w:r w:rsidRPr="005001DF">
              <w:rPr>
                <w:sz w:val="18"/>
                <w:szCs w:val="18"/>
              </w:rPr>
              <w:t>R</w:t>
            </w:r>
            <w:r w:rsidRPr="005001DF">
              <w:rPr>
                <w:sz w:val="18"/>
                <w:szCs w:val="18"/>
                <w:vertAlign w:val="superscript"/>
              </w:rPr>
              <w:t>2</w:t>
            </w:r>
          </w:p>
        </w:tc>
        <w:tc>
          <w:tcPr>
            <w:tcW w:w="2580" w:type="dxa"/>
            <w:tcBorders>
              <w:top w:val="single" w:sz="4" w:space="0" w:color="auto"/>
            </w:tcBorders>
            <w:shd w:val="clear" w:color="auto" w:fill="auto"/>
            <w:vAlign w:val="center"/>
          </w:tcPr>
          <w:p w:rsidR="00350B45" w:rsidRPr="005001DF" w:rsidRDefault="00350B45" w:rsidP="000355CA">
            <w:pPr>
              <w:jc w:val="center"/>
              <w:rPr>
                <w:i/>
                <w:sz w:val="18"/>
                <w:szCs w:val="18"/>
              </w:rPr>
            </w:pPr>
            <w:r w:rsidRPr="005001DF">
              <w:rPr>
                <w:i/>
                <w:sz w:val="18"/>
                <w:szCs w:val="18"/>
              </w:rPr>
              <w:t>p</w:t>
            </w:r>
          </w:p>
        </w:tc>
      </w:tr>
      <w:tr w:rsidR="00350B45" w:rsidRPr="005001DF" w:rsidTr="00350B45">
        <w:trPr>
          <w:trHeight w:val="227"/>
          <w:jc w:val="center"/>
        </w:trPr>
        <w:tc>
          <w:tcPr>
            <w:tcW w:w="7371" w:type="dxa"/>
            <w:gridSpan w:val="3"/>
            <w:shd w:val="clear" w:color="auto" w:fill="auto"/>
            <w:vAlign w:val="center"/>
          </w:tcPr>
          <w:p w:rsidR="00350B45" w:rsidRPr="005001DF" w:rsidRDefault="00350B45" w:rsidP="000355CA">
            <w:pPr>
              <w:rPr>
                <w:sz w:val="18"/>
                <w:szCs w:val="18"/>
              </w:rPr>
            </w:pPr>
            <w:r w:rsidRPr="005001DF">
              <w:rPr>
                <w:i/>
                <w:sz w:val="18"/>
                <w:szCs w:val="18"/>
              </w:rPr>
              <w:t>Acetic acid</w:t>
            </w:r>
          </w:p>
        </w:tc>
      </w:tr>
      <w:tr w:rsidR="00350B45" w:rsidRPr="005001DF" w:rsidTr="00350B45">
        <w:trPr>
          <w:trHeight w:val="227"/>
          <w:jc w:val="center"/>
        </w:trPr>
        <w:tc>
          <w:tcPr>
            <w:tcW w:w="2240" w:type="dxa"/>
            <w:shd w:val="clear" w:color="auto" w:fill="auto"/>
            <w:vAlign w:val="center"/>
          </w:tcPr>
          <w:p w:rsidR="00350B45" w:rsidRPr="005001DF" w:rsidRDefault="00350B45" w:rsidP="000355CA">
            <w:pPr>
              <w:rPr>
                <w:sz w:val="18"/>
                <w:szCs w:val="18"/>
              </w:rPr>
            </w:pPr>
            <w:r w:rsidRPr="005001DF">
              <w:rPr>
                <w:sz w:val="18"/>
                <w:szCs w:val="18"/>
              </w:rPr>
              <w:t>1</w:t>
            </w:r>
          </w:p>
        </w:tc>
        <w:tc>
          <w:tcPr>
            <w:tcW w:w="2551" w:type="dxa"/>
            <w:shd w:val="clear" w:color="auto" w:fill="auto"/>
            <w:vAlign w:val="center"/>
          </w:tcPr>
          <w:p w:rsidR="00350B45" w:rsidRPr="005001DF" w:rsidRDefault="00350B45" w:rsidP="000355CA">
            <w:pPr>
              <w:jc w:val="center"/>
              <w:rPr>
                <w:sz w:val="18"/>
                <w:szCs w:val="18"/>
              </w:rPr>
            </w:pPr>
            <w:r w:rsidRPr="005001DF">
              <w:rPr>
                <w:sz w:val="18"/>
                <w:szCs w:val="18"/>
              </w:rPr>
              <w:t>0.997</w:t>
            </w:r>
          </w:p>
        </w:tc>
        <w:tc>
          <w:tcPr>
            <w:tcW w:w="2580" w:type="dxa"/>
            <w:shd w:val="clear" w:color="auto" w:fill="auto"/>
            <w:vAlign w:val="center"/>
          </w:tcPr>
          <w:p w:rsidR="00350B45" w:rsidRPr="005001DF" w:rsidRDefault="00350B45" w:rsidP="000355CA">
            <w:pPr>
              <w:jc w:val="center"/>
              <w:rPr>
                <w:sz w:val="18"/>
                <w:szCs w:val="18"/>
              </w:rPr>
            </w:pPr>
            <w:r w:rsidRPr="005001DF">
              <w:rPr>
                <w:sz w:val="18"/>
                <w:szCs w:val="18"/>
              </w:rPr>
              <w:t>&lt; 0.0001</w:t>
            </w:r>
          </w:p>
        </w:tc>
      </w:tr>
      <w:tr w:rsidR="00350B45" w:rsidRPr="005001DF" w:rsidTr="00350B45">
        <w:trPr>
          <w:trHeight w:val="227"/>
          <w:jc w:val="center"/>
        </w:trPr>
        <w:tc>
          <w:tcPr>
            <w:tcW w:w="2240" w:type="dxa"/>
            <w:shd w:val="clear" w:color="auto" w:fill="auto"/>
            <w:vAlign w:val="center"/>
          </w:tcPr>
          <w:p w:rsidR="00350B45" w:rsidRPr="005001DF" w:rsidRDefault="00350B45" w:rsidP="000355CA">
            <w:pPr>
              <w:rPr>
                <w:sz w:val="18"/>
                <w:szCs w:val="18"/>
              </w:rPr>
            </w:pPr>
            <w:r w:rsidRPr="005001DF">
              <w:rPr>
                <w:sz w:val="18"/>
                <w:szCs w:val="18"/>
              </w:rPr>
              <w:t>2</w:t>
            </w:r>
          </w:p>
        </w:tc>
        <w:tc>
          <w:tcPr>
            <w:tcW w:w="2551" w:type="dxa"/>
            <w:shd w:val="clear" w:color="auto" w:fill="auto"/>
            <w:vAlign w:val="center"/>
          </w:tcPr>
          <w:p w:rsidR="00350B45" w:rsidRPr="005001DF" w:rsidRDefault="00350B45" w:rsidP="000355CA">
            <w:pPr>
              <w:jc w:val="center"/>
              <w:rPr>
                <w:sz w:val="18"/>
                <w:szCs w:val="18"/>
              </w:rPr>
            </w:pPr>
            <w:r w:rsidRPr="005001DF">
              <w:rPr>
                <w:sz w:val="18"/>
                <w:szCs w:val="18"/>
              </w:rPr>
              <w:t>0.998</w:t>
            </w:r>
          </w:p>
        </w:tc>
        <w:tc>
          <w:tcPr>
            <w:tcW w:w="2580" w:type="dxa"/>
            <w:shd w:val="clear" w:color="auto" w:fill="auto"/>
            <w:vAlign w:val="center"/>
          </w:tcPr>
          <w:p w:rsidR="00350B45" w:rsidRPr="005001DF" w:rsidRDefault="00350B45" w:rsidP="000355CA">
            <w:pPr>
              <w:jc w:val="center"/>
              <w:rPr>
                <w:sz w:val="18"/>
                <w:szCs w:val="18"/>
              </w:rPr>
            </w:pPr>
            <w:r w:rsidRPr="005001DF">
              <w:rPr>
                <w:sz w:val="18"/>
                <w:szCs w:val="18"/>
              </w:rPr>
              <w:t>&lt; 0.0001</w:t>
            </w:r>
          </w:p>
        </w:tc>
      </w:tr>
      <w:tr w:rsidR="00350B45" w:rsidRPr="005001DF" w:rsidTr="00350B45">
        <w:trPr>
          <w:trHeight w:val="227"/>
          <w:jc w:val="center"/>
        </w:trPr>
        <w:tc>
          <w:tcPr>
            <w:tcW w:w="2240" w:type="dxa"/>
            <w:shd w:val="clear" w:color="auto" w:fill="auto"/>
            <w:vAlign w:val="center"/>
          </w:tcPr>
          <w:p w:rsidR="00350B45" w:rsidRPr="005001DF" w:rsidRDefault="00350B45" w:rsidP="000355CA">
            <w:pPr>
              <w:rPr>
                <w:sz w:val="18"/>
                <w:szCs w:val="18"/>
              </w:rPr>
            </w:pPr>
            <w:r w:rsidRPr="005001DF">
              <w:rPr>
                <w:sz w:val="18"/>
                <w:szCs w:val="18"/>
              </w:rPr>
              <w:t>4</w:t>
            </w:r>
          </w:p>
        </w:tc>
        <w:tc>
          <w:tcPr>
            <w:tcW w:w="2551" w:type="dxa"/>
            <w:shd w:val="clear" w:color="auto" w:fill="auto"/>
            <w:vAlign w:val="center"/>
          </w:tcPr>
          <w:p w:rsidR="00350B45" w:rsidRPr="005001DF" w:rsidRDefault="00350B45" w:rsidP="000355CA">
            <w:pPr>
              <w:jc w:val="center"/>
              <w:rPr>
                <w:sz w:val="18"/>
                <w:szCs w:val="18"/>
              </w:rPr>
            </w:pPr>
            <w:r w:rsidRPr="005001DF">
              <w:rPr>
                <w:sz w:val="18"/>
                <w:szCs w:val="18"/>
              </w:rPr>
              <w:t>0.994</w:t>
            </w:r>
          </w:p>
        </w:tc>
        <w:tc>
          <w:tcPr>
            <w:tcW w:w="2580" w:type="dxa"/>
            <w:shd w:val="clear" w:color="auto" w:fill="auto"/>
            <w:vAlign w:val="center"/>
          </w:tcPr>
          <w:p w:rsidR="00350B45" w:rsidRPr="005001DF" w:rsidRDefault="00350B45" w:rsidP="000355CA">
            <w:pPr>
              <w:jc w:val="center"/>
              <w:rPr>
                <w:sz w:val="18"/>
                <w:szCs w:val="18"/>
              </w:rPr>
            </w:pPr>
            <w:r w:rsidRPr="005001DF">
              <w:rPr>
                <w:sz w:val="18"/>
                <w:szCs w:val="18"/>
              </w:rPr>
              <w:t>&lt; 0.0001</w:t>
            </w:r>
          </w:p>
        </w:tc>
      </w:tr>
      <w:tr w:rsidR="00350B45" w:rsidRPr="005001DF" w:rsidTr="00350B45">
        <w:trPr>
          <w:trHeight w:val="227"/>
          <w:jc w:val="center"/>
        </w:trPr>
        <w:tc>
          <w:tcPr>
            <w:tcW w:w="7371" w:type="dxa"/>
            <w:gridSpan w:val="3"/>
            <w:shd w:val="clear" w:color="auto" w:fill="auto"/>
            <w:vAlign w:val="center"/>
          </w:tcPr>
          <w:p w:rsidR="00350B45" w:rsidRPr="005001DF" w:rsidRDefault="00350B45" w:rsidP="000355CA">
            <w:pPr>
              <w:rPr>
                <w:sz w:val="18"/>
                <w:szCs w:val="18"/>
              </w:rPr>
            </w:pPr>
            <w:r w:rsidRPr="005001DF">
              <w:rPr>
                <w:i/>
                <w:sz w:val="18"/>
                <w:szCs w:val="18"/>
              </w:rPr>
              <w:t>Citric acid</w:t>
            </w:r>
          </w:p>
        </w:tc>
      </w:tr>
      <w:tr w:rsidR="00350B45" w:rsidRPr="005001DF" w:rsidTr="00350B45">
        <w:trPr>
          <w:trHeight w:val="227"/>
          <w:jc w:val="center"/>
        </w:trPr>
        <w:tc>
          <w:tcPr>
            <w:tcW w:w="2240" w:type="dxa"/>
            <w:shd w:val="clear" w:color="auto" w:fill="auto"/>
            <w:vAlign w:val="center"/>
          </w:tcPr>
          <w:p w:rsidR="00350B45" w:rsidRPr="005001DF" w:rsidRDefault="00350B45" w:rsidP="000355CA">
            <w:pPr>
              <w:rPr>
                <w:sz w:val="18"/>
                <w:szCs w:val="18"/>
              </w:rPr>
            </w:pPr>
            <w:r w:rsidRPr="005001DF">
              <w:rPr>
                <w:sz w:val="18"/>
                <w:szCs w:val="18"/>
              </w:rPr>
              <w:t>1</w:t>
            </w:r>
          </w:p>
        </w:tc>
        <w:tc>
          <w:tcPr>
            <w:tcW w:w="2551" w:type="dxa"/>
            <w:shd w:val="clear" w:color="auto" w:fill="auto"/>
            <w:vAlign w:val="center"/>
          </w:tcPr>
          <w:p w:rsidR="00350B45" w:rsidRPr="005001DF" w:rsidRDefault="00350B45" w:rsidP="000355CA">
            <w:pPr>
              <w:jc w:val="center"/>
              <w:rPr>
                <w:sz w:val="18"/>
                <w:szCs w:val="18"/>
              </w:rPr>
            </w:pPr>
            <w:r w:rsidRPr="005001DF">
              <w:rPr>
                <w:sz w:val="18"/>
                <w:szCs w:val="18"/>
              </w:rPr>
              <w:t>0.999</w:t>
            </w:r>
          </w:p>
        </w:tc>
        <w:tc>
          <w:tcPr>
            <w:tcW w:w="2580" w:type="dxa"/>
            <w:shd w:val="clear" w:color="auto" w:fill="auto"/>
            <w:vAlign w:val="center"/>
          </w:tcPr>
          <w:p w:rsidR="00350B45" w:rsidRPr="005001DF" w:rsidRDefault="00350B45" w:rsidP="000355CA">
            <w:pPr>
              <w:jc w:val="center"/>
              <w:rPr>
                <w:sz w:val="18"/>
                <w:szCs w:val="18"/>
              </w:rPr>
            </w:pPr>
            <w:r w:rsidRPr="005001DF">
              <w:rPr>
                <w:sz w:val="18"/>
                <w:szCs w:val="18"/>
              </w:rPr>
              <w:t>&lt; 0.0001</w:t>
            </w:r>
          </w:p>
        </w:tc>
      </w:tr>
      <w:tr w:rsidR="00350B45" w:rsidRPr="005001DF" w:rsidTr="00350B45">
        <w:trPr>
          <w:trHeight w:val="227"/>
          <w:jc w:val="center"/>
        </w:trPr>
        <w:tc>
          <w:tcPr>
            <w:tcW w:w="2240" w:type="dxa"/>
            <w:shd w:val="clear" w:color="auto" w:fill="auto"/>
            <w:vAlign w:val="center"/>
          </w:tcPr>
          <w:p w:rsidR="00350B45" w:rsidRPr="005001DF" w:rsidRDefault="00350B45" w:rsidP="000355CA">
            <w:pPr>
              <w:rPr>
                <w:sz w:val="18"/>
                <w:szCs w:val="18"/>
              </w:rPr>
            </w:pPr>
            <w:r w:rsidRPr="005001DF">
              <w:rPr>
                <w:sz w:val="18"/>
                <w:szCs w:val="18"/>
              </w:rPr>
              <w:t>2</w:t>
            </w:r>
          </w:p>
        </w:tc>
        <w:tc>
          <w:tcPr>
            <w:tcW w:w="2551" w:type="dxa"/>
            <w:shd w:val="clear" w:color="auto" w:fill="auto"/>
            <w:vAlign w:val="center"/>
          </w:tcPr>
          <w:p w:rsidR="00350B45" w:rsidRPr="005001DF" w:rsidRDefault="00350B45" w:rsidP="000355CA">
            <w:pPr>
              <w:jc w:val="center"/>
              <w:rPr>
                <w:sz w:val="18"/>
                <w:szCs w:val="18"/>
              </w:rPr>
            </w:pPr>
            <w:r w:rsidRPr="005001DF">
              <w:rPr>
                <w:sz w:val="18"/>
                <w:szCs w:val="18"/>
              </w:rPr>
              <w:t>0.999</w:t>
            </w:r>
          </w:p>
        </w:tc>
        <w:tc>
          <w:tcPr>
            <w:tcW w:w="2580" w:type="dxa"/>
            <w:shd w:val="clear" w:color="auto" w:fill="auto"/>
            <w:vAlign w:val="center"/>
          </w:tcPr>
          <w:p w:rsidR="00350B45" w:rsidRPr="005001DF" w:rsidRDefault="00350B45" w:rsidP="000355CA">
            <w:pPr>
              <w:jc w:val="center"/>
              <w:rPr>
                <w:sz w:val="18"/>
                <w:szCs w:val="18"/>
              </w:rPr>
            </w:pPr>
            <w:r w:rsidRPr="005001DF">
              <w:rPr>
                <w:sz w:val="18"/>
                <w:szCs w:val="18"/>
              </w:rPr>
              <w:t>&lt; 0.0001</w:t>
            </w:r>
          </w:p>
        </w:tc>
      </w:tr>
      <w:tr w:rsidR="00350B45" w:rsidRPr="005001DF" w:rsidTr="00350B45">
        <w:trPr>
          <w:trHeight w:val="227"/>
          <w:jc w:val="center"/>
        </w:trPr>
        <w:tc>
          <w:tcPr>
            <w:tcW w:w="2240" w:type="dxa"/>
            <w:tcBorders>
              <w:bottom w:val="single" w:sz="4" w:space="0" w:color="auto"/>
            </w:tcBorders>
            <w:shd w:val="clear" w:color="auto" w:fill="auto"/>
            <w:vAlign w:val="center"/>
          </w:tcPr>
          <w:p w:rsidR="00350B45" w:rsidRPr="005001DF" w:rsidRDefault="00350B45" w:rsidP="000355CA">
            <w:pPr>
              <w:rPr>
                <w:sz w:val="18"/>
                <w:szCs w:val="18"/>
              </w:rPr>
            </w:pPr>
            <w:r w:rsidRPr="005001DF">
              <w:rPr>
                <w:sz w:val="18"/>
                <w:szCs w:val="18"/>
              </w:rPr>
              <w:t>4</w:t>
            </w:r>
          </w:p>
        </w:tc>
        <w:tc>
          <w:tcPr>
            <w:tcW w:w="2551" w:type="dxa"/>
            <w:tcBorders>
              <w:bottom w:val="single" w:sz="4" w:space="0" w:color="auto"/>
            </w:tcBorders>
            <w:shd w:val="clear" w:color="auto" w:fill="auto"/>
            <w:vAlign w:val="center"/>
          </w:tcPr>
          <w:p w:rsidR="00350B45" w:rsidRPr="005001DF" w:rsidRDefault="00350B45" w:rsidP="000355CA">
            <w:pPr>
              <w:jc w:val="center"/>
              <w:rPr>
                <w:sz w:val="18"/>
                <w:szCs w:val="18"/>
              </w:rPr>
            </w:pPr>
            <w:r w:rsidRPr="005001DF">
              <w:rPr>
                <w:sz w:val="18"/>
                <w:szCs w:val="18"/>
              </w:rPr>
              <w:t>1.000</w:t>
            </w:r>
          </w:p>
        </w:tc>
        <w:tc>
          <w:tcPr>
            <w:tcW w:w="2580" w:type="dxa"/>
            <w:tcBorders>
              <w:bottom w:val="single" w:sz="4" w:space="0" w:color="auto"/>
            </w:tcBorders>
            <w:shd w:val="clear" w:color="auto" w:fill="auto"/>
            <w:vAlign w:val="center"/>
          </w:tcPr>
          <w:p w:rsidR="00350B45" w:rsidRPr="005001DF" w:rsidRDefault="00350B45" w:rsidP="000355CA">
            <w:pPr>
              <w:jc w:val="center"/>
              <w:rPr>
                <w:sz w:val="18"/>
                <w:szCs w:val="18"/>
              </w:rPr>
            </w:pPr>
            <w:r w:rsidRPr="005001DF">
              <w:rPr>
                <w:sz w:val="18"/>
                <w:szCs w:val="18"/>
              </w:rPr>
              <w:t>&lt; 0.0001</w:t>
            </w:r>
          </w:p>
        </w:tc>
      </w:tr>
    </w:tbl>
    <w:p w:rsidR="00350B45" w:rsidRPr="005001DF" w:rsidRDefault="00350B45" w:rsidP="00F909B6">
      <w:pPr>
        <w:jc w:val="center"/>
        <w:rPr>
          <w:sz w:val="22"/>
          <w:szCs w:val="22"/>
        </w:rPr>
      </w:pPr>
    </w:p>
    <w:p w:rsidR="00587334" w:rsidRDefault="00587334" w:rsidP="005001DF">
      <w:pPr>
        <w:ind w:firstLine="426"/>
        <w:jc w:val="both"/>
        <w:rPr>
          <w:sz w:val="22"/>
          <w:szCs w:val="22"/>
        </w:rPr>
      </w:pPr>
      <w:r w:rsidRPr="005001DF">
        <w:rPr>
          <w:sz w:val="22"/>
          <w:szCs w:val="22"/>
        </w:rPr>
        <w:t>P</w:t>
      </w:r>
      <w:r w:rsidRPr="005001DF">
        <w:rPr>
          <w:sz w:val="22"/>
          <w:szCs w:val="22"/>
          <w:vertAlign w:val="subscript"/>
        </w:rPr>
        <w:t>R(s)</w:t>
      </w:r>
      <w:r w:rsidRPr="005001DF">
        <w:rPr>
          <w:sz w:val="22"/>
          <w:szCs w:val="22"/>
        </w:rPr>
        <w:t xml:space="preserve"> and </w:t>
      </w:r>
      <w:r w:rsidRPr="005001DF">
        <w:rPr>
          <w:i/>
          <w:sz w:val="22"/>
          <w:szCs w:val="22"/>
        </w:rPr>
        <w:t>k</w:t>
      </w:r>
      <w:r w:rsidRPr="005001DF">
        <w:rPr>
          <w:sz w:val="22"/>
          <w:szCs w:val="22"/>
        </w:rPr>
        <w:t xml:space="preserve"> correspond to the P</w:t>
      </w:r>
      <w:r w:rsidRPr="005001DF">
        <w:rPr>
          <w:sz w:val="22"/>
          <w:szCs w:val="22"/>
          <w:vertAlign w:val="subscript"/>
        </w:rPr>
        <w:t>R</w:t>
      </w:r>
      <w:r w:rsidRPr="005001DF">
        <w:rPr>
          <w:sz w:val="22"/>
          <w:szCs w:val="22"/>
        </w:rPr>
        <w:t xml:space="preserve"> at saturation and the extraction rate constant. Modification of the equation (3) provides its linearized form:</w:t>
      </w:r>
    </w:p>
    <w:p w:rsidR="00350B45" w:rsidRPr="00350B45" w:rsidRDefault="00350B45" w:rsidP="005001DF">
      <w:pPr>
        <w:ind w:firstLine="426"/>
        <w:jc w:val="both"/>
        <w:rPr>
          <w:sz w:val="22"/>
          <w:szCs w:val="22"/>
        </w:rPr>
      </w:pPr>
    </w:p>
    <w:p w:rsidR="00587334" w:rsidRPr="005001DF" w:rsidRDefault="003A07C0" w:rsidP="005001DF">
      <w:pPr>
        <w:ind w:firstLine="426"/>
        <w:jc w:val="right"/>
        <w:rPr>
          <w:sz w:val="22"/>
          <w:szCs w:val="22"/>
        </w:rPr>
      </w:pPr>
      <m:oMath>
        <m:f>
          <m:fPr>
            <m:ctrlPr>
              <w:rPr>
                <w:rFonts w:ascii="Cambria Math" w:eastAsia="Calibri" w:hAnsi="Cambria Math"/>
                <w:i/>
                <w:lang w:eastAsia="en-US"/>
              </w:rPr>
            </m:ctrlPr>
          </m:fPr>
          <m:num>
            <m:r>
              <w:rPr>
                <w:rFonts w:ascii="Cambria Math" w:hAnsi="Cambria Math"/>
              </w:rPr>
              <m:t>t</m:t>
            </m:r>
          </m:num>
          <m:den>
            <m:sSub>
              <m:sSubPr>
                <m:ctrlPr>
                  <w:rPr>
                    <w:rFonts w:ascii="Cambria Math" w:eastAsia="Calibri" w:hAnsi="Cambria Math"/>
                    <w:i/>
                    <w:lang w:eastAsia="en-US"/>
                  </w:rPr>
                </m:ctrlPr>
              </m:sSubPr>
              <m:e>
                <m:r>
                  <w:rPr>
                    <w:rFonts w:ascii="Cambria Math" w:hAnsi="Cambria Math"/>
                  </w:rPr>
                  <m:t>P</m:t>
                </m:r>
              </m:e>
              <m:sub>
                <m:r>
                  <w:rPr>
                    <w:rFonts w:ascii="Cambria Math" w:hAnsi="Cambria Math"/>
                  </w:rPr>
                  <m:t>R(t)</m:t>
                </m:r>
              </m:sub>
            </m:sSub>
          </m:den>
        </m:f>
        <m:r>
          <w:rPr>
            <w:rFonts w:ascii="Cambria Math" w:hAnsi="Cambria Math"/>
          </w:rPr>
          <m:t xml:space="preserve">= </m:t>
        </m:r>
        <m:f>
          <m:fPr>
            <m:ctrlPr>
              <w:rPr>
                <w:rFonts w:ascii="Cambria Math" w:eastAsia="Calibri" w:hAnsi="Cambria Math"/>
                <w:i/>
                <w:lang w:eastAsia="en-US"/>
              </w:rPr>
            </m:ctrlPr>
          </m:fPr>
          <m:num>
            <m:r>
              <w:rPr>
                <w:rFonts w:ascii="Cambria Math" w:hAnsi="Cambria Math"/>
              </w:rPr>
              <m:t>1</m:t>
            </m:r>
          </m:num>
          <m:den>
            <m:r>
              <w:rPr>
                <w:rFonts w:ascii="Cambria Math" w:hAnsi="Cambria Math"/>
              </w:rPr>
              <m:t>k</m:t>
            </m:r>
            <m:sSubSup>
              <m:sSubSupPr>
                <m:ctrlPr>
                  <w:rPr>
                    <w:rFonts w:ascii="Cambria Math" w:eastAsia="Calibri" w:hAnsi="Cambria Math"/>
                    <w:i/>
                    <w:lang w:eastAsia="en-US"/>
                  </w:rPr>
                </m:ctrlPr>
              </m:sSubSupPr>
              <m:e>
                <m:r>
                  <w:rPr>
                    <w:rFonts w:ascii="Cambria Math" w:hAnsi="Cambria Math"/>
                  </w:rPr>
                  <m:t>P</m:t>
                </m:r>
              </m:e>
              <m:sub>
                <m:r>
                  <w:rPr>
                    <w:rFonts w:ascii="Cambria Math" w:hAnsi="Cambria Math"/>
                  </w:rPr>
                  <m:t>R(s)</m:t>
                </m:r>
              </m:sub>
              <m:sup>
                <m:r>
                  <w:rPr>
                    <w:rFonts w:ascii="Cambria Math" w:hAnsi="Cambria Math"/>
                  </w:rPr>
                  <m:t>2</m:t>
                </m:r>
              </m:sup>
            </m:sSubSup>
          </m:den>
        </m:f>
        <m:r>
          <w:rPr>
            <w:rFonts w:ascii="Cambria Math" w:hAnsi="Cambria Math"/>
          </w:rPr>
          <m:t xml:space="preserve">+ </m:t>
        </m:r>
        <m:f>
          <m:fPr>
            <m:ctrlPr>
              <w:rPr>
                <w:rFonts w:ascii="Cambria Math" w:eastAsia="Calibri" w:hAnsi="Cambria Math"/>
                <w:i/>
                <w:lang w:eastAsia="en-US"/>
              </w:rPr>
            </m:ctrlPr>
          </m:fPr>
          <m:num>
            <m:r>
              <w:rPr>
                <w:rFonts w:ascii="Cambria Math" w:hAnsi="Cambria Math"/>
              </w:rPr>
              <m:t>t</m:t>
            </m:r>
          </m:num>
          <m:den>
            <m:sSub>
              <m:sSubPr>
                <m:ctrlPr>
                  <w:rPr>
                    <w:rFonts w:ascii="Cambria Math" w:eastAsia="Calibri" w:hAnsi="Cambria Math"/>
                    <w:i/>
                    <w:lang w:eastAsia="en-US"/>
                  </w:rPr>
                </m:ctrlPr>
              </m:sSubPr>
              <m:e>
                <m:r>
                  <w:rPr>
                    <w:rFonts w:ascii="Cambria Math" w:hAnsi="Cambria Math"/>
                  </w:rPr>
                  <m:t>P</m:t>
                </m:r>
              </m:e>
              <m:sub>
                <m:r>
                  <w:rPr>
                    <w:rFonts w:ascii="Cambria Math" w:hAnsi="Cambria Math"/>
                  </w:rPr>
                  <m:t>R(s)</m:t>
                </m:r>
              </m:sub>
            </m:sSub>
          </m:den>
        </m:f>
      </m:oMath>
      <w:r w:rsidR="00587334" w:rsidRPr="005001DF">
        <w:rPr>
          <w:sz w:val="22"/>
          <w:szCs w:val="22"/>
        </w:rPr>
        <w:tab/>
      </w:r>
      <w:r w:rsidR="00587334" w:rsidRPr="005001DF">
        <w:rPr>
          <w:sz w:val="22"/>
          <w:szCs w:val="22"/>
        </w:rPr>
        <w:tab/>
      </w:r>
      <w:r w:rsidR="00587334" w:rsidRPr="005001DF">
        <w:rPr>
          <w:sz w:val="22"/>
          <w:szCs w:val="22"/>
        </w:rPr>
        <w:tab/>
      </w:r>
      <w:r w:rsidR="00587334" w:rsidRPr="005001DF">
        <w:rPr>
          <w:sz w:val="22"/>
          <w:szCs w:val="22"/>
        </w:rPr>
        <w:tab/>
      </w:r>
      <w:r w:rsidR="00587334" w:rsidRPr="005001DF">
        <w:rPr>
          <w:sz w:val="22"/>
          <w:szCs w:val="22"/>
        </w:rPr>
        <w:tab/>
      </w:r>
      <w:r w:rsidR="00587334" w:rsidRPr="005001DF">
        <w:rPr>
          <w:sz w:val="22"/>
          <w:szCs w:val="22"/>
        </w:rPr>
        <w:tab/>
      </w:r>
      <w:r w:rsidR="00587334" w:rsidRPr="005001DF">
        <w:rPr>
          <w:sz w:val="22"/>
          <w:szCs w:val="22"/>
        </w:rPr>
        <w:tab/>
        <w:t>(4)</w:t>
      </w:r>
    </w:p>
    <w:p w:rsidR="00587334" w:rsidRPr="00EC50A1" w:rsidRDefault="00587334" w:rsidP="005001DF">
      <w:pPr>
        <w:ind w:firstLine="426"/>
        <w:jc w:val="both"/>
        <w:rPr>
          <w:sz w:val="22"/>
          <w:szCs w:val="22"/>
        </w:rPr>
      </w:pPr>
    </w:p>
    <w:p w:rsidR="00587334" w:rsidRPr="00EC50A1" w:rsidRDefault="00587334" w:rsidP="005001DF">
      <w:pPr>
        <w:ind w:firstLine="426"/>
        <w:jc w:val="both"/>
        <w:rPr>
          <w:sz w:val="22"/>
          <w:szCs w:val="22"/>
        </w:rPr>
      </w:pPr>
      <w:r w:rsidRPr="00EC50A1">
        <w:rPr>
          <w:sz w:val="22"/>
          <w:szCs w:val="22"/>
        </w:rPr>
        <w:t xml:space="preserve">When </w:t>
      </w:r>
      <w:r w:rsidRPr="00EC50A1">
        <w:rPr>
          <w:i/>
          <w:sz w:val="22"/>
          <w:szCs w:val="22"/>
        </w:rPr>
        <w:t>t</w:t>
      </w:r>
      <w:r w:rsidRPr="00EC50A1">
        <w:rPr>
          <w:sz w:val="22"/>
          <w:szCs w:val="22"/>
        </w:rPr>
        <w:t xml:space="preserve"> approaches 0, the initial extraction rate, </w:t>
      </w:r>
      <w:r w:rsidRPr="00EC50A1">
        <w:rPr>
          <w:i/>
          <w:sz w:val="22"/>
          <w:szCs w:val="22"/>
        </w:rPr>
        <w:t>h</w:t>
      </w:r>
      <w:r w:rsidRPr="00EC50A1">
        <w:rPr>
          <w:sz w:val="22"/>
          <w:szCs w:val="22"/>
        </w:rPr>
        <w:t>, can be determined as:</w:t>
      </w:r>
    </w:p>
    <w:p w:rsidR="00587334" w:rsidRPr="00EC50A1" w:rsidRDefault="00587334" w:rsidP="005001DF">
      <w:pPr>
        <w:ind w:firstLine="426"/>
        <w:jc w:val="both"/>
        <w:rPr>
          <w:sz w:val="22"/>
          <w:szCs w:val="22"/>
        </w:rPr>
      </w:pPr>
    </w:p>
    <w:p w:rsidR="00587334" w:rsidRPr="005001DF" w:rsidRDefault="00F6507A" w:rsidP="005001DF">
      <w:pPr>
        <w:ind w:firstLine="426"/>
        <w:jc w:val="right"/>
        <w:rPr>
          <w:sz w:val="22"/>
          <w:szCs w:val="22"/>
        </w:rPr>
      </w:pPr>
      <m:oMath>
        <m:r>
          <w:rPr>
            <w:rFonts w:ascii="Cambria Math" w:hAnsi="Cambria Math"/>
          </w:rPr>
          <m:t>h=k</m:t>
        </m:r>
        <m:sSubSup>
          <m:sSubSupPr>
            <m:ctrlPr>
              <w:rPr>
                <w:rFonts w:ascii="Cambria Math" w:hAnsi="Cambria Math"/>
                <w:i/>
                <w:lang w:eastAsia="en-US"/>
              </w:rPr>
            </m:ctrlPr>
          </m:sSubSupPr>
          <m:e>
            <m:r>
              <w:rPr>
                <w:rFonts w:ascii="Cambria Math" w:hAnsi="Cambria Math"/>
              </w:rPr>
              <m:t>P</m:t>
            </m:r>
          </m:e>
          <m:sub>
            <m:r>
              <w:rPr>
                <w:rFonts w:ascii="Cambria Math" w:hAnsi="Cambria Math"/>
              </w:rPr>
              <m:t>R(s)</m:t>
            </m:r>
          </m:sub>
          <m:sup>
            <m:r>
              <w:rPr>
                <w:rFonts w:ascii="Cambria Math" w:hAnsi="Cambria Math"/>
              </w:rPr>
              <m:t>2</m:t>
            </m:r>
          </m:sup>
        </m:sSubSup>
      </m:oMath>
      <w:r w:rsidR="005001DF">
        <w:rPr>
          <w:sz w:val="22"/>
          <w:szCs w:val="22"/>
        </w:rPr>
        <w:t xml:space="preserve"> </w:t>
      </w:r>
      <w:r w:rsidR="005001DF">
        <w:rPr>
          <w:sz w:val="22"/>
          <w:szCs w:val="22"/>
        </w:rPr>
        <w:tab/>
      </w:r>
      <w:r w:rsidR="005001DF">
        <w:rPr>
          <w:sz w:val="22"/>
          <w:szCs w:val="22"/>
        </w:rPr>
        <w:tab/>
      </w:r>
      <w:r w:rsidR="005001DF">
        <w:rPr>
          <w:sz w:val="22"/>
          <w:szCs w:val="22"/>
        </w:rPr>
        <w:tab/>
      </w:r>
      <w:r w:rsidR="005001DF">
        <w:rPr>
          <w:sz w:val="22"/>
          <w:szCs w:val="22"/>
        </w:rPr>
        <w:tab/>
      </w:r>
      <w:r w:rsidR="005001DF">
        <w:rPr>
          <w:sz w:val="22"/>
          <w:szCs w:val="22"/>
        </w:rPr>
        <w:tab/>
      </w:r>
      <w:r w:rsidR="00587334" w:rsidRPr="005001DF">
        <w:rPr>
          <w:sz w:val="22"/>
          <w:szCs w:val="22"/>
        </w:rPr>
        <w:tab/>
      </w:r>
      <w:r w:rsidR="00587334" w:rsidRPr="005001DF">
        <w:rPr>
          <w:sz w:val="22"/>
          <w:szCs w:val="22"/>
        </w:rPr>
        <w:tab/>
        <w:t>(5)</w:t>
      </w:r>
    </w:p>
    <w:p w:rsidR="00350B45" w:rsidRDefault="00350B45" w:rsidP="005001DF">
      <w:pPr>
        <w:ind w:firstLine="426"/>
        <w:jc w:val="both"/>
        <w:rPr>
          <w:sz w:val="22"/>
          <w:szCs w:val="22"/>
        </w:rPr>
      </w:pPr>
    </w:p>
    <w:p w:rsidR="00587334" w:rsidRPr="005B58AA" w:rsidRDefault="00587334" w:rsidP="005001DF">
      <w:pPr>
        <w:ind w:firstLine="426"/>
        <w:jc w:val="both"/>
        <w:rPr>
          <w:sz w:val="22"/>
          <w:szCs w:val="22"/>
        </w:rPr>
      </w:pPr>
      <w:r w:rsidRPr="005B58AA">
        <w:rPr>
          <w:sz w:val="22"/>
          <w:szCs w:val="22"/>
        </w:rPr>
        <w:t xml:space="preserve">Plotting </w:t>
      </w:r>
      <w:r w:rsidRPr="005B58AA">
        <w:rPr>
          <w:i/>
          <w:sz w:val="22"/>
          <w:szCs w:val="22"/>
        </w:rPr>
        <w:t>t</w:t>
      </w:r>
      <w:r w:rsidRPr="005B58AA">
        <w:rPr>
          <w:sz w:val="22"/>
          <w:szCs w:val="22"/>
        </w:rPr>
        <w:t>/P</w:t>
      </w:r>
      <w:r w:rsidRPr="005B58AA">
        <w:rPr>
          <w:sz w:val="22"/>
          <w:szCs w:val="22"/>
          <w:vertAlign w:val="subscript"/>
        </w:rPr>
        <w:t>R(t)</w:t>
      </w:r>
      <w:r w:rsidRPr="005B58AA">
        <w:rPr>
          <w:sz w:val="22"/>
          <w:szCs w:val="22"/>
        </w:rPr>
        <w:t xml:space="preserve"> as a function of </w:t>
      </w:r>
      <w:r w:rsidRPr="005B58AA">
        <w:rPr>
          <w:i/>
          <w:sz w:val="22"/>
          <w:szCs w:val="22"/>
        </w:rPr>
        <w:t>t</w:t>
      </w:r>
      <w:r w:rsidRPr="005B58AA">
        <w:rPr>
          <w:sz w:val="22"/>
          <w:szCs w:val="22"/>
        </w:rPr>
        <w:t xml:space="preserve"> gives a straight line in the form of y = ax + b is (Figure 2), where a = 1/P</w:t>
      </w:r>
      <w:r w:rsidRPr="005B58AA">
        <w:rPr>
          <w:sz w:val="22"/>
          <w:szCs w:val="22"/>
          <w:vertAlign w:val="subscript"/>
        </w:rPr>
        <w:t>R(s)</w:t>
      </w:r>
      <w:r w:rsidRPr="005B58AA">
        <w:rPr>
          <w:sz w:val="22"/>
          <w:szCs w:val="22"/>
        </w:rPr>
        <w:t xml:space="preserve"> and b = 1/</w:t>
      </w:r>
      <w:r w:rsidRPr="005B58AA">
        <w:rPr>
          <w:i/>
          <w:sz w:val="22"/>
          <w:szCs w:val="22"/>
        </w:rPr>
        <w:t>h</w:t>
      </w:r>
      <w:r w:rsidRPr="005B58AA">
        <w:rPr>
          <w:sz w:val="22"/>
          <w:szCs w:val="22"/>
        </w:rPr>
        <w:t>. Thus, in every case, P</w:t>
      </w:r>
      <w:r w:rsidRPr="005B58AA">
        <w:rPr>
          <w:sz w:val="22"/>
          <w:szCs w:val="22"/>
          <w:vertAlign w:val="subscript"/>
        </w:rPr>
        <w:t>R(s)</w:t>
      </w:r>
      <w:r w:rsidRPr="005B58AA">
        <w:rPr>
          <w:sz w:val="22"/>
          <w:szCs w:val="22"/>
        </w:rPr>
        <w:t xml:space="preserve">, </w:t>
      </w:r>
      <w:r w:rsidRPr="005B58AA">
        <w:rPr>
          <w:i/>
          <w:sz w:val="22"/>
          <w:szCs w:val="22"/>
        </w:rPr>
        <w:t>k</w:t>
      </w:r>
      <w:r w:rsidRPr="005B58AA">
        <w:rPr>
          <w:sz w:val="22"/>
          <w:szCs w:val="22"/>
        </w:rPr>
        <w:t xml:space="preserve"> and </w:t>
      </w:r>
      <w:r w:rsidRPr="005B58AA">
        <w:rPr>
          <w:i/>
          <w:sz w:val="22"/>
          <w:szCs w:val="22"/>
        </w:rPr>
        <w:t>h</w:t>
      </w:r>
      <w:r w:rsidRPr="005B58AA">
        <w:rPr>
          <w:sz w:val="22"/>
          <w:szCs w:val="22"/>
        </w:rPr>
        <w:t xml:space="preserve"> could be determined graphically. The correlation between </w:t>
      </w:r>
      <w:r w:rsidRPr="005B58AA">
        <w:rPr>
          <w:i/>
          <w:sz w:val="22"/>
          <w:szCs w:val="22"/>
        </w:rPr>
        <w:t>t</w:t>
      </w:r>
      <w:r w:rsidRPr="005B58AA">
        <w:rPr>
          <w:sz w:val="22"/>
          <w:szCs w:val="22"/>
        </w:rPr>
        <w:t>/P</w:t>
      </w:r>
      <w:r w:rsidRPr="005B58AA">
        <w:rPr>
          <w:sz w:val="22"/>
          <w:szCs w:val="22"/>
          <w:vertAlign w:val="subscript"/>
        </w:rPr>
        <w:t>R(t)</w:t>
      </w:r>
      <w:r w:rsidRPr="005B58AA">
        <w:rPr>
          <w:sz w:val="22"/>
          <w:szCs w:val="22"/>
        </w:rPr>
        <w:t xml:space="preserve"> and </w:t>
      </w:r>
      <w:r w:rsidRPr="005B58AA">
        <w:rPr>
          <w:i/>
          <w:sz w:val="22"/>
          <w:szCs w:val="22"/>
        </w:rPr>
        <w:t>t</w:t>
      </w:r>
      <w:r w:rsidRPr="005B58AA">
        <w:rPr>
          <w:sz w:val="22"/>
          <w:szCs w:val="22"/>
        </w:rPr>
        <w:t xml:space="preserve"> (R</w:t>
      </w:r>
      <w:r w:rsidRPr="005B58AA">
        <w:rPr>
          <w:sz w:val="22"/>
          <w:szCs w:val="22"/>
          <w:vertAlign w:val="superscript"/>
        </w:rPr>
        <w:t>2</w:t>
      </w:r>
      <w:r w:rsidRPr="005B58AA">
        <w:rPr>
          <w:sz w:val="22"/>
          <w:szCs w:val="22"/>
        </w:rPr>
        <w:t xml:space="preserve"> &gt; 0.99, </w:t>
      </w:r>
      <w:r w:rsidRPr="005B58AA">
        <w:rPr>
          <w:i/>
          <w:sz w:val="22"/>
          <w:szCs w:val="22"/>
        </w:rPr>
        <w:t>p</w:t>
      </w:r>
      <w:r w:rsidRPr="005B58AA">
        <w:rPr>
          <w:sz w:val="22"/>
          <w:szCs w:val="22"/>
        </w:rPr>
        <w:t xml:space="preserve"> &lt; 0.0001) enabled the estimation of the representative kinetic parameters  (Table 2). </w:t>
      </w:r>
    </w:p>
    <w:p w:rsidR="00587334" w:rsidRPr="00B54A13" w:rsidRDefault="00F6507A" w:rsidP="00587334">
      <w:pPr>
        <w:jc w:val="center"/>
      </w:pPr>
      <w:r>
        <w:rPr>
          <w:noProof/>
          <w:sz w:val="22"/>
          <w:szCs w:val="22"/>
          <w:lang w:val="en-US" w:eastAsia="en-US"/>
        </w:rPr>
        <w:lastRenderedPageBreak/>
        <w:drawing>
          <wp:inline distT="0" distB="0" distL="0" distR="0">
            <wp:extent cx="3630295" cy="2852420"/>
            <wp:effectExtent l="19050" t="0" r="8255" b="0"/>
            <wp:docPr id="2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srcRect/>
                    <a:stretch>
                      <a:fillRect/>
                    </a:stretch>
                  </pic:blipFill>
                  <pic:spPr bwMode="auto">
                    <a:xfrm>
                      <a:off x="0" y="0"/>
                      <a:ext cx="3630295" cy="2852420"/>
                    </a:xfrm>
                    <a:prstGeom prst="rect">
                      <a:avLst/>
                    </a:prstGeom>
                    <a:noFill/>
                    <a:ln w="9525">
                      <a:noFill/>
                      <a:miter lim="800000"/>
                      <a:headEnd/>
                      <a:tailEnd/>
                    </a:ln>
                  </pic:spPr>
                </pic:pic>
              </a:graphicData>
            </a:graphic>
          </wp:inline>
        </w:drawing>
      </w:r>
    </w:p>
    <w:p w:rsidR="00587334" w:rsidRPr="00B54A13" w:rsidRDefault="00587334" w:rsidP="00587334">
      <w:pPr>
        <w:jc w:val="both"/>
      </w:pPr>
    </w:p>
    <w:p w:rsidR="00587334" w:rsidRPr="00B54A13" w:rsidRDefault="00587334" w:rsidP="00587334">
      <w:pPr>
        <w:jc w:val="center"/>
      </w:pPr>
    </w:p>
    <w:p w:rsidR="00587334" w:rsidRPr="00B54A13" w:rsidRDefault="00F6507A" w:rsidP="00587334">
      <w:pPr>
        <w:jc w:val="center"/>
      </w:pPr>
      <w:r>
        <w:rPr>
          <w:noProof/>
          <w:lang w:val="en-US" w:eastAsia="en-US"/>
        </w:rPr>
        <w:drawing>
          <wp:inline distT="0" distB="0" distL="0" distR="0">
            <wp:extent cx="3602990" cy="2825115"/>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srcRect/>
                    <a:stretch>
                      <a:fillRect/>
                    </a:stretch>
                  </pic:blipFill>
                  <pic:spPr bwMode="auto">
                    <a:xfrm>
                      <a:off x="0" y="0"/>
                      <a:ext cx="3602990" cy="2825115"/>
                    </a:xfrm>
                    <a:prstGeom prst="rect">
                      <a:avLst/>
                    </a:prstGeom>
                    <a:noFill/>
                    <a:ln w="9525">
                      <a:noFill/>
                      <a:miter lim="800000"/>
                      <a:headEnd/>
                      <a:tailEnd/>
                    </a:ln>
                  </pic:spPr>
                </pic:pic>
              </a:graphicData>
            </a:graphic>
          </wp:inline>
        </w:drawing>
      </w:r>
    </w:p>
    <w:p w:rsidR="00587334" w:rsidRPr="00B54A13" w:rsidRDefault="00587334" w:rsidP="00587334">
      <w:pPr>
        <w:jc w:val="center"/>
      </w:pPr>
    </w:p>
    <w:p w:rsidR="00E812EA" w:rsidRDefault="00587334" w:rsidP="00E812EA">
      <w:pPr>
        <w:jc w:val="center"/>
        <w:rPr>
          <w:sz w:val="22"/>
          <w:szCs w:val="22"/>
        </w:rPr>
      </w:pPr>
      <w:r w:rsidRPr="007012B3">
        <w:rPr>
          <w:sz w:val="22"/>
          <w:szCs w:val="22"/>
        </w:rPr>
        <w:t>Figure 2. The second-order kinetics of antioxidant extraction from RGP with aqueous acetic acid (upper plot) and citric acid (lower plot) sol</w:t>
      </w:r>
      <w:r w:rsidR="00E812EA">
        <w:rPr>
          <w:sz w:val="22"/>
          <w:szCs w:val="22"/>
        </w:rPr>
        <w:t xml:space="preserve">utions. </w:t>
      </w:r>
    </w:p>
    <w:p w:rsidR="00587334" w:rsidRDefault="00587334" w:rsidP="00E812EA">
      <w:pPr>
        <w:jc w:val="center"/>
        <w:rPr>
          <w:sz w:val="22"/>
          <w:szCs w:val="22"/>
        </w:rPr>
      </w:pPr>
      <w:r w:rsidRPr="007012B3">
        <w:rPr>
          <w:sz w:val="22"/>
          <w:szCs w:val="22"/>
        </w:rPr>
        <w:t>Extractions were performed at 20 °C, 80 rpm and 1:50 solid-to-liquid ratio</w:t>
      </w:r>
      <w:r w:rsidR="007012B3">
        <w:rPr>
          <w:sz w:val="22"/>
          <w:szCs w:val="22"/>
        </w:rPr>
        <w:t>.</w:t>
      </w:r>
    </w:p>
    <w:p w:rsidR="00EC50A1" w:rsidRDefault="00EC50A1" w:rsidP="00EC50A1">
      <w:pPr>
        <w:ind w:firstLine="426"/>
        <w:jc w:val="both"/>
        <w:rPr>
          <w:sz w:val="22"/>
          <w:szCs w:val="22"/>
        </w:rPr>
      </w:pPr>
      <w:r w:rsidRPr="00F909B6">
        <w:rPr>
          <w:sz w:val="22"/>
          <w:szCs w:val="22"/>
        </w:rPr>
        <w:lastRenderedPageBreak/>
        <w:t>The effect of acid concentration</w:t>
      </w:r>
    </w:p>
    <w:p w:rsidR="00EC50A1" w:rsidRPr="00350B45" w:rsidRDefault="00EC50A1" w:rsidP="00EC50A1">
      <w:pPr>
        <w:ind w:firstLine="426"/>
        <w:jc w:val="both"/>
        <w:rPr>
          <w:sz w:val="16"/>
          <w:szCs w:val="16"/>
        </w:rPr>
      </w:pPr>
    </w:p>
    <w:p w:rsidR="00EC50A1" w:rsidRPr="007012B3" w:rsidRDefault="00EC50A1" w:rsidP="00EC50A1">
      <w:pPr>
        <w:ind w:firstLine="426"/>
        <w:jc w:val="both"/>
        <w:rPr>
          <w:i/>
          <w:sz w:val="22"/>
          <w:szCs w:val="22"/>
        </w:rPr>
      </w:pPr>
      <w:r w:rsidRPr="007012B3">
        <w:rPr>
          <w:sz w:val="22"/>
          <w:szCs w:val="22"/>
        </w:rPr>
        <w:t xml:space="preserve">The increased acetic acid concentration </w:t>
      </w:r>
      <w:r w:rsidRPr="005B58AA">
        <w:rPr>
          <w:sz w:val="22"/>
          <w:szCs w:val="22"/>
        </w:rPr>
        <w:t xml:space="preserve">yielded decreased </w:t>
      </w:r>
      <w:r w:rsidRPr="005B58AA">
        <w:rPr>
          <w:i/>
          <w:sz w:val="22"/>
          <w:szCs w:val="22"/>
        </w:rPr>
        <w:t>k</w:t>
      </w:r>
      <w:r w:rsidRPr="005B58AA">
        <w:rPr>
          <w:sz w:val="22"/>
          <w:szCs w:val="22"/>
        </w:rPr>
        <w:t xml:space="preserve"> values (Table 2),</w:t>
      </w:r>
      <w:r w:rsidRPr="007012B3">
        <w:rPr>
          <w:sz w:val="22"/>
          <w:szCs w:val="22"/>
        </w:rPr>
        <w:t xml:space="preserve"> but P</w:t>
      </w:r>
      <w:r w:rsidRPr="007012B3">
        <w:rPr>
          <w:sz w:val="22"/>
          <w:szCs w:val="22"/>
          <w:vertAlign w:val="subscript"/>
        </w:rPr>
        <w:t>R(s)</w:t>
      </w:r>
      <w:r w:rsidRPr="007012B3">
        <w:rPr>
          <w:sz w:val="22"/>
          <w:szCs w:val="22"/>
        </w:rPr>
        <w:t xml:space="preserve"> values exhibited an increasing tendency in response to C</w:t>
      </w:r>
      <w:r w:rsidRPr="007012B3">
        <w:rPr>
          <w:sz w:val="22"/>
          <w:szCs w:val="22"/>
          <w:vertAlign w:val="subscript"/>
        </w:rPr>
        <w:t>acid</w:t>
      </w:r>
      <w:r w:rsidRPr="007012B3">
        <w:rPr>
          <w:sz w:val="22"/>
          <w:szCs w:val="22"/>
        </w:rPr>
        <w:t xml:space="preserve"> and the highest P</w:t>
      </w:r>
      <w:r w:rsidRPr="007012B3">
        <w:rPr>
          <w:sz w:val="22"/>
          <w:szCs w:val="22"/>
          <w:vertAlign w:val="subscript"/>
        </w:rPr>
        <w:t>R(s)</w:t>
      </w:r>
      <w:r w:rsidRPr="007012B3">
        <w:rPr>
          <w:sz w:val="22"/>
          <w:szCs w:val="22"/>
        </w:rPr>
        <w:t xml:space="preserve"> (128 μM AAE g</w:t>
      </w:r>
      <w:r w:rsidRPr="007012B3">
        <w:rPr>
          <w:sz w:val="22"/>
          <w:szCs w:val="22"/>
          <w:vertAlign w:val="superscript"/>
        </w:rPr>
        <w:t>-1</w:t>
      </w:r>
      <w:r w:rsidRPr="007012B3">
        <w:rPr>
          <w:sz w:val="22"/>
          <w:szCs w:val="22"/>
        </w:rPr>
        <w:t xml:space="preserve"> dpw) was achieved with 4% (w/v) acetic acid. Irrespective of the </w:t>
      </w:r>
      <w:r w:rsidRPr="007012B3">
        <w:rPr>
          <w:i/>
          <w:sz w:val="22"/>
          <w:szCs w:val="22"/>
        </w:rPr>
        <w:t>t</w:t>
      </w:r>
      <w:r w:rsidRPr="007012B3">
        <w:rPr>
          <w:sz w:val="22"/>
          <w:szCs w:val="22"/>
        </w:rPr>
        <w:t>/C</w:t>
      </w:r>
      <w:r w:rsidRPr="007012B3">
        <w:rPr>
          <w:sz w:val="22"/>
          <w:szCs w:val="22"/>
          <w:vertAlign w:val="subscript"/>
        </w:rPr>
        <w:t>acid</w:t>
      </w:r>
      <w:r w:rsidRPr="007012B3">
        <w:rPr>
          <w:sz w:val="22"/>
          <w:szCs w:val="22"/>
        </w:rPr>
        <w:t xml:space="preserve"> combinations used, </w:t>
      </w:r>
      <w:r w:rsidRPr="007012B3">
        <w:rPr>
          <w:i/>
          <w:sz w:val="22"/>
          <w:szCs w:val="22"/>
        </w:rPr>
        <w:t>h</w:t>
      </w:r>
      <w:r w:rsidRPr="007012B3">
        <w:rPr>
          <w:sz w:val="22"/>
          <w:szCs w:val="22"/>
        </w:rPr>
        <w:t xml:space="preserve"> and P</w:t>
      </w:r>
      <w:r w:rsidRPr="007012B3">
        <w:rPr>
          <w:sz w:val="22"/>
          <w:szCs w:val="22"/>
          <w:vertAlign w:val="subscript"/>
        </w:rPr>
        <w:t>R(s)</w:t>
      </w:r>
      <w:r w:rsidRPr="007012B3">
        <w:rPr>
          <w:sz w:val="22"/>
          <w:szCs w:val="22"/>
        </w:rPr>
        <w:t xml:space="preserve"> values were constantly higher in citric acid solutions, but </w:t>
      </w:r>
      <w:r w:rsidRPr="007012B3">
        <w:rPr>
          <w:i/>
          <w:sz w:val="22"/>
          <w:szCs w:val="22"/>
        </w:rPr>
        <w:t>k</w:t>
      </w:r>
      <w:r w:rsidRPr="007012B3">
        <w:rPr>
          <w:sz w:val="22"/>
          <w:szCs w:val="22"/>
        </w:rPr>
        <w:t xml:space="preserve"> values were in all cases lower. The extract with the highest P</w:t>
      </w:r>
      <w:r w:rsidRPr="007012B3">
        <w:rPr>
          <w:sz w:val="22"/>
          <w:szCs w:val="22"/>
          <w:vertAlign w:val="subscript"/>
        </w:rPr>
        <w:t>R(s)</w:t>
      </w:r>
      <w:r w:rsidRPr="007012B3">
        <w:rPr>
          <w:sz w:val="22"/>
          <w:szCs w:val="22"/>
        </w:rPr>
        <w:t xml:space="preserve"> value (229.8 μM AAE g</w:t>
      </w:r>
      <w:r w:rsidRPr="007012B3">
        <w:rPr>
          <w:sz w:val="22"/>
          <w:szCs w:val="22"/>
          <w:vertAlign w:val="superscript"/>
        </w:rPr>
        <w:t>-1</w:t>
      </w:r>
      <w:r w:rsidRPr="007012B3">
        <w:rPr>
          <w:sz w:val="22"/>
          <w:szCs w:val="22"/>
        </w:rPr>
        <w:t xml:space="preserve"> dpw) was obtained using 4% (w/v) citric acid.</w:t>
      </w:r>
    </w:p>
    <w:p w:rsidR="00EC50A1" w:rsidRDefault="00EC50A1" w:rsidP="00EC50A1">
      <w:pPr>
        <w:ind w:firstLine="426"/>
        <w:jc w:val="both"/>
        <w:rPr>
          <w:sz w:val="22"/>
          <w:szCs w:val="22"/>
        </w:rPr>
      </w:pPr>
    </w:p>
    <w:p w:rsidR="00EC50A1" w:rsidRDefault="00EC50A1" w:rsidP="00EC50A1">
      <w:pPr>
        <w:jc w:val="both"/>
        <w:rPr>
          <w:sz w:val="22"/>
          <w:szCs w:val="22"/>
        </w:rPr>
      </w:pPr>
      <w:r w:rsidRPr="007012B3">
        <w:rPr>
          <w:sz w:val="22"/>
          <w:szCs w:val="22"/>
        </w:rPr>
        <w:t>Table 2. Parameters of the 2</w:t>
      </w:r>
      <w:r w:rsidRPr="007012B3">
        <w:rPr>
          <w:sz w:val="22"/>
          <w:szCs w:val="22"/>
          <w:vertAlign w:val="superscript"/>
        </w:rPr>
        <w:t>nd</w:t>
      </w:r>
      <w:r w:rsidRPr="007012B3">
        <w:rPr>
          <w:sz w:val="22"/>
          <w:szCs w:val="22"/>
        </w:rPr>
        <w:t xml:space="preserve">-order kinetics for the extractions performed with acetic </w:t>
      </w:r>
      <w:r>
        <w:rPr>
          <w:sz w:val="22"/>
          <w:szCs w:val="22"/>
        </w:rPr>
        <w:t>acid and citric acid solutions.</w:t>
      </w:r>
    </w:p>
    <w:p w:rsidR="00EC50A1" w:rsidRPr="007012B3" w:rsidRDefault="00EC50A1" w:rsidP="00EC50A1">
      <w:pPr>
        <w:jc w:val="both"/>
        <w:rPr>
          <w:sz w:val="22"/>
          <w:szCs w:val="22"/>
        </w:rPr>
      </w:pPr>
    </w:p>
    <w:tbl>
      <w:tblPr>
        <w:tblW w:w="7371" w:type="dxa"/>
        <w:jc w:val="center"/>
        <w:tblCellMar>
          <w:left w:w="28" w:type="dxa"/>
          <w:right w:w="28" w:type="dxa"/>
        </w:tblCellMar>
        <w:tblLook w:val="04A0"/>
      </w:tblPr>
      <w:tblGrid>
        <w:gridCol w:w="1560"/>
        <w:gridCol w:w="2126"/>
        <w:gridCol w:w="1675"/>
        <w:gridCol w:w="2010"/>
      </w:tblGrid>
      <w:tr w:rsidR="00EC50A1" w:rsidRPr="007012B3" w:rsidTr="00EC50A1">
        <w:trPr>
          <w:trHeight w:val="227"/>
          <w:jc w:val="center"/>
        </w:trPr>
        <w:tc>
          <w:tcPr>
            <w:tcW w:w="1560" w:type="dxa"/>
            <w:tcBorders>
              <w:top w:val="single" w:sz="4" w:space="0" w:color="auto"/>
              <w:bottom w:val="single" w:sz="4" w:space="0" w:color="auto"/>
            </w:tcBorders>
            <w:shd w:val="clear" w:color="auto" w:fill="auto"/>
          </w:tcPr>
          <w:p w:rsidR="00EC50A1" w:rsidRPr="007012B3" w:rsidRDefault="00EC50A1" w:rsidP="0086429E">
            <w:pPr>
              <w:widowControl w:val="0"/>
              <w:jc w:val="center"/>
              <w:rPr>
                <w:sz w:val="18"/>
                <w:szCs w:val="18"/>
              </w:rPr>
            </w:pPr>
          </w:p>
        </w:tc>
        <w:tc>
          <w:tcPr>
            <w:tcW w:w="5811" w:type="dxa"/>
            <w:gridSpan w:val="3"/>
            <w:tcBorders>
              <w:top w:val="single" w:sz="4" w:space="0" w:color="auto"/>
              <w:bottom w:val="single" w:sz="4" w:space="0" w:color="auto"/>
            </w:tcBorders>
            <w:shd w:val="clear" w:color="auto" w:fill="auto"/>
            <w:vAlign w:val="center"/>
          </w:tcPr>
          <w:p w:rsidR="00EC50A1" w:rsidRPr="007012B3" w:rsidRDefault="00EC50A1" w:rsidP="0086429E">
            <w:pPr>
              <w:widowControl w:val="0"/>
              <w:jc w:val="center"/>
              <w:rPr>
                <w:sz w:val="18"/>
                <w:szCs w:val="18"/>
              </w:rPr>
            </w:pPr>
            <w:r w:rsidRPr="007012B3">
              <w:rPr>
                <w:sz w:val="18"/>
                <w:szCs w:val="18"/>
              </w:rPr>
              <w:t>Kinetic parameters</w:t>
            </w:r>
          </w:p>
        </w:tc>
      </w:tr>
      <w:tr w:rsidR="00EC50A1" w:rsidRPr="007012B3" w:rsidTr="00EC50A1">
        <w:trPr>
          <w:trHeight w:val="227"/>
          <w:jc w:val="center"/>
        </w:trPr>
        <w:tc>
          <w:tcPr>
            <w:tcW w:w="1560" w:type="dxa"/>
            <w:tcBorders>
              <w:top w:val="single" w:sz="4" w:space="0" w:color="auto"/>
              <w:bottom w:val="single" w:sz="4" w:space="0" w:color="auto"/>
            </w:tcBorders>
            <w:shd w:val="clear" w:color="auto" w:fill="auto"/>
            <w:vAlign w:val="center"/>
          </w:tcPr>
          <w:p w:rsidR="00EC50A1" w:rsidRPr="007012B3" w:rsidRDefault="00EC50A1" w:rsidP="0086429E">
            <w:pPr>
              <w:widowControl w:val="0"/>
              <w:rPr>
                <w:sz w:val="18"/>
                <w:szCs w:val="18"/>
              </w:rPr>
            </w:pPr>
            <w:r w:rsidRPr="007012B3">
              <w:rPr>
                <w:sz w:val="18"/>
                <w:szCs w:val="18"/>
              </w:rPr>
              <w:t>C</w:t>
            </w:r>
            <w:r w:rsidRPr="007012B3">
              <w:rPr>
                <w:sz w:val="18"/>
                <w:szCs w:val="18"/>
                <w:vertAlign w:val="subscript"/>
              </w:rPr>
              <w:t>acid</w:t>
            </w:r>
            <w:r w:rsidRPr="007012B3">
              <w:rPr>
                <w:sz w:val="18"/>
                <w:szCs w:val="18"/>
              </w:rPr>
              <w:t xml:space="preserve"> (% w/v)</w:t>
            </w:r>
          </w:p>
        </w:tc>
        <w:tc>
          <w:tcPr>
            <w:tcW w:w="2126" w:type="dxa"/>
            <w:tcBorders>
              <w:top w:val="single" w:sz="4" w:space="0" w:color="auto"/>
              <w:bottom w:val="single" w:sz="4" w:space="0" w:color="auto"/>
            </w:tcBorders>
            <w:shd w:val="clear" w:color="auto" w:fill="auto"/>
            <w:vAlign w:val="center"/>
          </w:tcPr>
          <w:p w:rsidR="00EC50A1" w:rsidRPr="007012B3" w:rsidRDefault="00EC50A1" w:rsidP="0086429E">
            <w:pPr>
              <w:widowControl w:val="0"/>
              <w:jc w:val="center"/>
              <w:rPr>
                <w:sz w:val="18"/>
                <w:szCs w:val="18"/>
              </w:rPr>
            </w:pPr>
            <w:r w:rsidRPr="007012B3">
              <w:rPr>
                <w:i/>
                <w:sz w:val="18"/>
                <w:szCs w:val="18"/>
              </w:rPr>
              <w:t>k</w:t>
            </w:r>
            <w:r w:rsidRPr="007012B3">
              <w:rPr>
                <w:sz w:val="18"/>
                <w:szCs w:val="18"/>
              </w:rPr>
              <w:t xml:space="preserve"> (g μM</w:t>
            </w:r>
            <w:r w:rsidRPr="007012B3">
              <w:rPr>
                <w:sz w:val="18"/>
                <w:szCs w:val="18"/>
                <w:vertAlign w:val="superscript"/>
              </w:rPr>
              <w:t>-1</w:t>
            </w:r>
            <w:r w:rsidRPr="007012B3">
              <w:rPr>
                <w:sz w:val="18"/>
                <w:szCs w:val="18"/>
              </w:rPr>
              <w:t xml:space="preserve"> min</w:t>
            </w:r>
            <w:r w:rsidRPr="007012B3">
              <w:rPr>
                <w:sz w:val="18"/>
                <w:szCs w:val="18"/>
                <w:vertAlign w:val="superscript"/>
              </w:rPr>
              <w:t>-1</w:t>
            </w:r>
            <w:r w:rsidRPr="007012B3">
              <w:rPr>
                <w:sz w:val="18"/>
                <w:szCs w:val="18"/>
              </w:rPr>
              <w:t>) × 10</w:t>
            </w:r>
            <w:r w:rsidRPr="007012B3">
              <w:rPr>
                <w:sz w:val="18"/>
                <w:szCs w:val="18"/>
                <w:vertAlign w:val="superscript"/>
              </w:rPr>
              <w:t>-3</w:t>
            </w:r>
          </w:p>
        </w:tc>
        <w:tc>
          <w:tcPr>
            <w:tcW w:w="1675" w:type="dxa"/>
            <w:tcBorders>
              <w:top w:val="single" w:sz="4" w:space="0" w:color="auto"/>
              <w:bottom w:val="single" w:sz="4" w:space="0" w:color="auto"/>
            </w:tcBorders>
            <w:shd w:val="clear" w:color="auto" w:fill="auto"/>
            <w:vAlign w:val="center"/>
          </w:tcPr>
          <w:p w:rsidR="00EC50A1" w:rsidRPr="007012B3" w:rsidRDefault="00EC50A1" w:rsidP="0086429E">
            <w:pPr>
              <w:widowControl w:val="0"/>
              <w:jc w:val="center"/>
              <w:rPr>
                <w:sz w:val="18"/>
                <w:szCs w:val="18"/>
              </w:rPr>
            </w:pPr>
            <w:r w:rsidRPr="007012B3">
              <w:rPr>
                <w:i/>
                <w:sz w:val="18"/>
                <w:szCs w:val="18"/>
              </w:rPr>
              <w:t>h</w:t>
            </w:r>
            <w:r w:rsidRPr="007012B3">
              <w:rPr>
                <w:sz w:val="18"/>
                <w:szCs w:val="18"/>
              </w:rPr>
              <w:t xml:space="preserve"> (μM g</w:t>
            </w:r>
            <w:r w:rsidRPr="007012B3">
              <w:rPr>
                <w:sz w:val="18"/>
                <w:szCs w:val="18"/>
                <w:vertAlign w:val="superscript"/>
              </w:rPr>
              <w:t>-1</w:t>
            </w:r>
            <w:r w:rsidRPr="007012B3">
              <w:rPr>
                <w:sz w:val="18"/>
                <w:szCs w:val="18"/>
              </w:rPr>
              <w:t xml:space="preserve"> min</w:t>
            </w:r>
            <w:r w:rsidRPr="007012B3">
              <w:rPr>
                <w:sz w:val="18"/>
                <w:szCs w:val="18"/>
                <w:vertAlign w:val="superscript"/>
              </w:rPr>
              <w:t>-1</w:t>
            </w:r>
            <w:r w:rsidRPr="007012B3">
              <w:rPr>
                <w:sz w:val="18"/>
                <w:szCs w:val="18"/>
              </w:rPr>
              <w:t>)</w:t>
            </w:r>
          </w:p>
        </w:tc>
        <w:tc>
          <w:tcPr>
            <w:tcW w:w="2010" w:type="dxa"/>
            <w:tcBorders>
              <w:top w:val="single" w:sz="4" w:space="0" w:color="auto"/>
              <w:bottom w:val="single" w:sz="4" w:space="0" w:color="auto"/>
            </w:tcBorders>
            <w:shd w:val="clear" w:color="auto" w:fill="auto"/>
            <w:vAlign w:val="center"/>
          </w:tcPr>
          <w:p w:rsidR="00EC50A1" w:rsidRPr="007012B3" w:rsidRDefault="00EC50A1" w:rsidP="0086429E">
            <w:pPr>
              <w:widowControl w:val="0"/>
              <w:jc w:val="center"/>
              <w:rPr>
                <w:sz w:val="18"/>
                <w:szCs w:val="18"/>
              </w:rPr>
            </w:pPr>
            <w:r w:rsidRPr="007012B3">
              <w:rPr>
                <w:sz w:val="18"/>
                <w:szCs w:val="18"/>
              </w:rPr>
              <w:t>P</w:t>
            </w:r>
            <w:r w:rsidRPr="007012B3">
              <w:rPr>
                <w:sz w:val="18"/>
                <w:szCs w:val="18"/>
                <w:vertAlign w:val="subscript"/>
              </w:rPr>
              <w:t>R(s)</w:t>
            </w:r>
            <w:r w:rsidRPr="007012B3">
              <w:rPr>
                <w:sz w:val="18"/>
                <w:szCs w:val="18"/>
              </w:rPr>
              <w:t xml:space="preserve"> (μM AAE g</w:t>
            </w:r>
            <w:r w:rsidRPr="007012B3">
              <w:rPr>
                <w:sz w:val="18"/>
                <w:szCs w:val="18"/>
                <w:vertAlign w:val="superscript"/>
              </w:rPr>
              <w:t>-1</w:t>
            </w:r>
            <w:r w:rsidRPr="007012B3">
              <w:rPr>
                <w:sz w:val="18"/>
                <w:szCs w:val="18"/>
              </w:rPr>
              <w:t xml:space="preserve"> dpw)</w:t>
            </w:r>
          </w:p>
        </w:tc>
      </w:tr>
      <w:tr w:rsidR="00EC50A1" w:rsidRPr="007012B3" w:rsidTr="00EC50A1">
        <w:trPr>
          <w:trHeight w:val="227"/>
          <w:jc w:val="center"/>
        </w:trPr>
        <w:tc>
          <w:tcPr>
            <w:tcW w:w="7371" w:type="dxa"/>
            <w:gridSpan w:val="4"/>
            <w:tcBorders>
              <w:top w:val="single" w:sz="4" w:space="0" w:color="auto"/>
            </w:tcBorders>
            <w:shd w:val="clear" w:color="auto" w:fill="auto"/>
            <w:vAlign w:val="center"/>
          </w:tcPr>
          <w:p w:rsidR="00EC50A1" w:rsidRPr="007012B3" w:rsidRDefault="00EC50A1" w:rsidP="0086429E">
            <w:pPr>
              <w:widowControl w:val="0"/>
              <w:rPr>
                <w:sz w:val="18"/>
                <w:szCs w:val="18"/>
              </w:rPr>
            </w:pPr>
            <w:r w:rsidRPr="007012B3">
              <w:rPr>
                <w:i/>
                <w:sz w:val="18"/>
                <w:szCs w:val="18"/>
              </w:rPr>
              <w:t>Acetic acid</w:t>
            </w:r>
          </w:p>
        </w:tc>
      </w:tr>
      <w:tr w:rsidR="00EC50A1" w:rsidRPr="007012B3" w:rsidTr="00EC50A1">
        <w:trPr>
          <w:trHeight w:val="227"/>
          <w:jc w:val="center"/>
        </w:trPr>
        <w:tc>
          <w:tcPr>
            <w:tcW w:w="1560" w:type="dxa"/>
            <w:shd w:val="clear" w:color="auto" w:fill="auto"/>
            <w:vAlign w:val="center"/>
          </w:tcPr>
          <w:p w:rsidR="00EC50A1" w:rsidRPr="007012B3" w:rsidRDefault="00EC50A1" w:rsidP="0086429E">
            <w:pPr>
              <w:widowControl w:val="0"/>
              <w:rPr>
                <w:sz w:val="18"/>
                <w:szCs w:val="18"/>
              </w:rPr>
            </w:pPr>
            <w:r w:rsidRPr="007012B3">
              <w:rPr>
                <w:sz w:val="18"/>
                <w:szCs w:val="18"/>
              </w:rPr>
              <w:t>1</w:t>
            </w:r>
          </w:p>
        </w:tc>
        <w:tc>
          <w:tcPr>
            <w:tcW w:w="2126" w:type="dxa"/>
            <w:shd w:val="clear" w:color="auto" w:fill="auto"/>
            <w:vAlign w:val="center"/>
          </w:tcPr>
          <w:p w:rsidR="00EC50A1" w:rsidRPr="007012B3" w:rsidRDefault="00EC50A1" w:rsidP="0086429E">
            <w:pPr>
              <w:widowControl w:val="0"/>
              <w:jc w:val="center"/>
              <w:rPr>
                <w:sz w:val="18"/>
                <w:szCs w:val="18"/>
              </w:rPr>
            </w:pPr>
            <w:r w:rsidRPr="007012B3">
              <w:rPr>
                <w:sz w:val="18"/>
                <w:szCs w:val="18"/>
              </w:rPr>
              <w:t>6.98</w:t>
            </w:r>
          </w:p>
        </w:tc>
        <w:tc>
          <w:tcPr>
            <w:tcW w:w="1675" w:type="dxa"/>
            <w:shd w:val="clear" w:color="auto" w:fill="auto"/>
            <w:vAlign w:val="center"/>
          </w:tcPr>
          <w:p w:rsidR="00EC50A1" w:rsidRPr="007012B3" w:rsidRDefault="00EC50A1" w:rsidP="0086429E">
            <w:pPr>
              <w:widowControl w:val="0"/>
              <w:jc w:val="center"/>
              <w:rPr>
                <w:sz w:val="18"/>
                <w:szCs w:val="18"/>
              </w:rPr>
            </w:pPr>
            <w:r w:rsidRPr="007012B3">
              <w:rPr>
                <w:sz w:val="18"/>
                <w:szCs w:val="18"/>
              </w:rPr>
              <w:t>92.6</w:t>
            </w:r>
          </w:p>
        </w:tc>
        <w:tc>
          <w:tcPr>
            <w:tcW w:w="2010" w:type="dxa"/>
            <w:shd w:val="clear" w:color="auto" w:fill="auto"/>
            <w:vAlign w:val="center"/>
          </w:tcPr>
          <w:p w:rsidR="00EC50A1" w:rsidRPr="007012B3" w:rsidRDefault="00EC50A1" w:rsidP="0086429E">
            <w:pPr>
              <w:widowControl w:val="0"/>
              <w:jc w:val="center"/>
              <w:rPr>
                <w:sz w:val="18"/>
                <w:szCs w:val="18"/>
              </w:rPr>
            </w:pPr>
            <w:r w:rsidRPr="007012B3">
              <w:rPr>
                <w:sz w:val="18"/>
                <w:szCs w:val="18"/>
              </w:rPr>
              <w:t>103.5</w:t>
            </w:r>
          </w:p>
        </w:tc>
      </w:tr>
      <w:tr w:rsidR="00EC50A1" w:rsidRPr="007012B3" w:rsidTr="00EC50A1">
        <w:trPr>
          <w:trHeight w:val="227"/>
          <w:jc w:val="center"/>
        </w:trPr>
        <w:tc>
          <w:tcPr>
            <w:tcW w:w="1560" w:type="dxa"/>
            <w:shd w:val="clear" w:color="auto" w:fill="auto"/>
            <w:vAlign w:val="center"/>
          </w:tcPr>
          <w:p w:rsidR="00EC50A1" w:rsidRPr="007012B3" w:rsidRDefault="00EC50A1" w:rsidP="0086429E">
            <w:pPr>
              <w:widowControl w:val="0"/>
              <w:rPr>
                <w:sz w:val="18"/>
                <w:szCs w:val="18"/>
              </w:rPr>
            </w:pPr>
            <w:r w:rsidRPr="007012B3">
              <w:rPr>
                <w:sz w:val="18"/>
                <w:szCs w:val="18"/>
              </w:rPr>
              <w:t>2</w:t>
            </w:r>
          </w:p>
        </w:tc>
        <w:tc>
          <w:tcPr>
            <w:tcW w:w="2126" w:type="dxa"/>
            <w:shd w:val="clear" w:color="auto" w:fill="auto"/>
            <w:vAlign w:val="center"/>
          </w:tcPr>
          <w:p w:rsidR="00EC50A1" w:rsidRPr="007012B3" w:rsidRDefault="00EC50A1" w:rsidP="0086429E">
            <w:pPr>
              <w:widowControl w:val="0"/>
              <w:jc w:val="center"/>
              <w:rPr>
                <w:sz w:val="18"/>
                <w:szCs w:val="18"/>
              </w:rPr>
            </w:pPr>
            <w:r w:rsidRPr="007012B3">
              <w:rPr>
                <w:sz w:val="18"/>
                <w:szCs w:val="18"/>
              </w:rPr>
              <w:t>2.60</w:t>
            </w:r>
          </w:p>
        </w:tc>
        <w:tc>
          <w:tcPr>
            <w:tcW w:w="1675" w:type="dxa"/>
            <w:shd w:val="clear" w:color="auto" w:fill="auto"/>
            <w:vAlign w:val="center"/>
          </w:tcPr>
          <w:p w:rsidR="00EC50A1" w:rsidRPr="007012B3" w:rsidRDefault="00EC50A1" w:rsidP="0086429E">
            <w:pPr>
              <w:widowControl w:val="0"/>
              <w:jc w:val="center"/>
              <w:rPr>
                <w:sz w:val="18"/>
                <w:szCs w:val="18"/>
              </w:rPr>
            </w:pPr>
            <w:r w:rsidRPr="007012B3">
              <w:rPr>
                <w:sz w:val="18"/>
                <w:szCs w:val="18"/>
              </w:rPr>
              <w:t>62.6</w:t>
            </w:r>
          </w:p>
        </w:tc>
        <w:tc>
          <w:tcPr>
            <w:tcW w:w="2010" w:type="dxa"/>
            <w:shd w:val="clear" w:color="auto" w:fill="auto"/>
            <w:vAlign w:val="center"/>
          </w:tcPr>
          <w:p w:rsidR="00EC50A1" w:rsidRPr="007012B3" w:rsidRDefault="00EC50A1" w:rsidP="0086429E">
            <w:pPr>
              <w:widowControl w:val="0"/>
              <w:jc w:val="center"/>
              <w:rPr>
                <w:sz w:val="18"/>
                <w:szCs w:val="18"/>
              </w:rPr>
            </w:pPr>
            <w:r w:rsidRPr="007012B3">
              <w:rPr>
                <w:sz w:val="18"/>
                <w:szCs w:val="18"/>
              </w:rPr>
              <w:t>118.8</w:t>
            </w:r>
          </w:p>
        </w:tc>
      </w:tr>
      <w:tr w:rsidR="00EC50A1" w:rsidRPr="007012B3" w:rsidTr="00EC50A1">
        <w:trPr>
          <w:trHeight w:val="227"/>
          <w:jc w:val="center"/>
        </w:trPr>
        <w:tc>
          <w:tcPr>
            <w:tcW w:w="1560" w:type="dxa"/>
            <w:shd w:val="clear" w:color="auto" w:fill="auto"/>
            <w:vAlign w:val="center"/>
          </w:tcPr>
          <w:p w:rsidR="00EC50A1" w:rsidRPr="007012B3" w:rsidRDefault="00EC50A1" w:rsidP="0086429E">
            <w:pPr>
              <w:widowControl w:val="0"/>
              <w:rPr>
                <w:sz w:val="18"/>
                <w:szCs w:val="18"/>
              </w:rPr>
            </w:pPr>
            <w:r w:rsidRPr="007012B3">
              <w:rPr>
                <w:sz w:val="18"/>
                <w:szCs w:val="18"/>
              </w:rPr>
              <w:t>4</w:t>
            </w:r>
          </w:p>
        </w:tc>
        <w:tc>
          <w:tcPr>
            <w:tcW w:w="2126" w:type="dxa"/>
            <w:shd w:val="clear" w:color="auto" w:fill="auto"/>
            <w:vAlign w:val="center"/>
          </w:tcPr>
          <w:p w:rsidR="00EC50A1" w:rsidRPr="007012B3" w:rsidRDefault="00EC50A1" w:rsidP="0086429E">
            <w:pPr>
              <w:widowControl w:val="0"/>
              <w:jc w:val="center"/>
              <w:rPr>
                <w:sz w:val="18"/>
                <w:szCs w:val="18"/>
              </w:rPr>
            </w:pPr>
            <w:r w:rsidRPr="007012B3">
              <w:rPr>
                <w:sz w:val="18"/>
                <w:szCs w:val="18"/>
              </w:rPr>
              <w:t>1.53</w:t>
            </w:r>
          </w:p>
        </w:tc>
        <w:tc>
          <w:tcPr>
            <w:tcW w:w="1675" w:type="dxa"/>
            <w:shd w:val="clear" w:color="auto" w:fill="auto"/>
            <w:vAlign w:val="center"/>
          </w:tcPr>
          <w:p w:rsidR="00EC50A1" w:rsidRPr="007012B3" w:rsidRDefault="00EC50A1" w:rsidP="0086429E">
            <w:pPr>
              <w:widowControl w:val="0"/>
              <w:jc w:val="center"/>
              <w:rPr>
                <w:sz w:val="18"/>
                <w:szCs w:val="18"/>
              </w:rPr>
            </w:pPr>
            <w:r w:rsidRPr="007012B3">
              <w:rPr>
                <w:sz w:val="18"/>
                <w:szCs w:val="18"/>
              </w:rPr>
              <w:t>119.2</w:t>
            </w:r>
          </w:p>
        </w:tc>
        <w:tc>
          <w:tcPr>
            <w:tcW w:w="2010" w:type="dxa"/>
            <w:shd w:val="clear" w:color="auto" w:fill="auto"/>
            <w:vAlign w:val="center"/>
          </w:tcPr>
          <w:p w:rsidR="00EC50A1" w:rsidRPr="007012B3" w:rsidRDefault="00EC50A1" w:rsidP="0086429E">
            <w:pPr>
              <w:widowControl w:val="0"/>
              <w:jc w:val="center"/>
              <w:rPr>
                <w:sz w:val="18"/>
                <w:szCs w:val="18"/>
              </w:rPr>
            </w:pPr>
            <w:r w:rsidRPr="007012B3">
              <w:rPr>
                <w:sz w:val="18"/>
                <w:szCs w:val="18"/>
              </w:rPr>
              <w:t>128.0</w:t>
            </w:r>
          </w:p>
        </w:tc>
      </w:tr>
      <w:tr w:rsidR="00EC50A1" w:rsidRPr="007012B3" w:rsidTr="00EC50A1">
        <w:trPr>
          <w:trHeight w:val="227"/>
          <w:jc w:val="center"/>
        </w:trPr>
        <w:tc>
          <w:tcPr>
            <w:tcW w:w="7371" w:type="dxa"/>
            <w:gridSpan w:val="4"/>
            <w:shd w:val="clear" w:color="auto" w:fill="auto"/>
            <w:vAlign w:val="center"/>
          </w:tcPr>
          <w:p w:rsidR="00EC50A1" w:rsidRPr="007012B3" w:rsidRDefault="00EC50A1" w:rsidP="0086429E">
            <w:pPr>
              <w:widowControl w:val="0"/>
              <w:rPr>
                <w:sz w:val="18"/>
                <w:szCs w:val="18"/>
              </w:rPr>
            </w:pPr>
            <w:r w:rsidRPr="007012B3">
              <w:rPr>
                <w:i/>
                <w:sz w:val="18"/>
                <w:szCs w:val="18"/>
              </w:rPr>
              <w:t>Citric acid</w:t>
            </w:r>
          </w:p>
        </w:tc>
      </w:tr>
      <w:tr w:rsidR="00EC50A1" w:rsidRPr="007012B3" w:rsidTr="00EC50A1">
        <w:trPr>
          <w:trHeight w:val="227"/>
          <w:jc w:val="center"/>
        </w:trPr>
        <w:tc>
          <w:tcPr>
            <w:tcW w:w="1560" w:type="dxa"/>
            <w:shd w:val="clear" w:color="auto" w:fill="auto"/>
            <w:vAlign w:val="center"/>
          </w:tcPr>
          <w:p w:rsidR="00EC50A1" w:rsidRPr="007012B3" w:rsidRDefault="00EC50A1" w:rsidP="0086429E">
            <w:pPr>
              <w:widowControl w:val="0"/>
              <w:rPr>
                <w:sz w:val="18"/>
                <w:szCs w:val="18"/>
              </w:rPr>
            </w:pPr>
            <w:r w:rsidRPr="007012B3">
              <w:rPr>
                <w:sz w:val="18"/>
                <w:szCs w:val="18"/>
              </w:rPr>
              <w:t>1</w:t>
            </w:r>
          </w:p>
        </w:tc>
        <w:tc>
          <w:tcPr>
            <w:tcW w:w="2126" w:type="dxa"/>
            <w:shd w:val="clear" w:color="auto" w:fill="auto"/>
            <w:vAlign w:val="center"/>
          </w:tcPr>
          <w:p w:rsidR="00EC50A1" w:rsidRPr="007012B3" w:rsidRDefault="00EC50A1" w:rsidP="0086429E">
            <w:pPr>
              <w:widowControl w:val="0"/>
              <w:jc w:val="center"/>
              <w:rPr>
                <w:sz w:val="18"/>
                <w:szCs w:val="18"/>
              </w:rPr>
            </w:pPr>
            <w:r w:rsidRPr="007012B3">
              <w:rPr>
                <w:sz w:val="18"/>
                <w:szCs w:val="18"/>
              </w:rPr>
              <w:t>1.90</w:t>
            </w:r>
          </w:p>
        </w:tc>
        <w:tc>
          <w:tcPr>
            <w:tcW w:w="1675" w:type="dxa"/>
            <w:shd w:val="clear" w:color="auto" w:fill="auto"/>
            <w:vAlign w:val="center"/>
          </w:tcPr>
          <w:p w:rsidR="00EC50A1" w:rsidRPr="007012B3" w:rsidRDefault="00EC50A1" w:rsidP="0086429E">
            <w:pPr>
              <w:widowControl w:val="0"/>
              <w:jc w:val="center"/>
              <w:rPr>
                <w:sz w:val="18"/>
                <w:szCs w:val="18"/>
              </w:rPr>
            </w:pPr>
            <w:r w:rsidRPr="007012B3">
              <w:rPr>
                <w:sz w:val="18"/>
                <w:szCs w:val="18"/>
              </w:rPr>
              <w:t>579.0</w:t>
            </w:r>
          </w:p>
        </w:tc>
        <w:tc>
          <w:tcPr>
            <w:tcW w:w="2010" w:type="dxa"/>
            <w:shd w:val="clear" w:color="auto" w:fill="auto"/>
            <w:vAlign w:val="center"/>
          </w:tcPr>
          <w:p w:rsidR="00EC50A1" w:rsidRPr="007012B3" w:rsidRDefault="00EC50A1" w:rsidP="0086429E">
            <w:pPr>
              <w:widowControl w:val="0"/>
              <w:jc w:val="center"/>
              <w:rPr>
                <w:sz w:val="18"/>
                <w:szCs w:val="18"/>
              </w:rPr>
            </w:pPr>
            <w:r w:rsidRPr="007012B3">
              <w:rPr>
                <w:sz w:val="18"/>
                <w:szCs w:val="18"/>
              </w:rPr>
              <w:t>204.3</w:t>
            </w:r>
          </w:p>
        </w:tc>
      </w:tr>
      <w:tr w:rsidR="00EC50A1" w:rsidRPr="007012B3" w:rsidTr="00EC50A1">
        <w:trPr>
          <w:trHeight w:val="227"/>
          <w:jc w:val="center"/>
        </w:trPr>
        <w:tc>
          <w:tcPr>
            <w:tcW w:w="1560" w:type="dxa"/>
            <w:shd w:val="clear" w:color="auto" w:fill="auto"/>
            <w:vAlign w:val="center"/>
          </w:tcPr>
          <w:p w:rsidR="00EC50A1" w:rsidRPr="007012B3" w:rsidRDefault="00EC50A1" w:rsidP="0086429E">
            <w:pPr>
              <w:widowControl w:val="0"/>
              <w:rPr>
                <w:sz w:val="18"/>
                <w:szCs w:val="18"/>
              </w:rPr>
            </w:pPr>
            <w:r w:rsidRPr="007012B3">
              <w:rPr>
                <w:sz w:val="18"/>
                <w:szCs w:val="18"/>
              </w:rPr>
              <w:t>2</w:t>
            </w:r>
          </w:p>
        </w:tc>
        <w:tc>
          <w:tcPr>
            <w:tcW w:w="2126" w:type="dxa"/>
            <w:shd w:val="clear" w:color="auto" w:fill="auto"/>
            <w:vAlign w:val="center"/>
          </w:tcPr>
          <w:p w:rsidR="00EC50A1" w:rsidRPr="007012B3" w:rsidRDefault="00EC50A1" w:rsidP="0086429E">
            <w:pPr>
              <w:widowControl w:val="0"/>
              <w:jc w:val="center"/>
              <w:rPr>
                <w:sz w:val="18"/>
                <w:szCs w:val="18"/>
              </w:rPr>
            </w:pPr>
            <w:r w:rsidRPr="007012B3">
              <w:rPr>
                <w:sz w:val="18"/>
                <w:szCs w:val="18"/>
              </w:rPr>
              <w:t>2.28</w:t>
            </w:r>
          </w:p>
        </w:tc>
        <w:tc>
          <w:tcPr>
            <w:tcW w:w="1675" w:type="dxa"/>
            <w:shd w:val="clear" w:color="auto" w:fill="auto"/>
            <w:vAlign w:val="center"/>
          </w:tcPr>
          <w:p w:rsidR="00EC50A1" w:rsidRPr="007012B3" w:rsidRDefault="00EC50A1" w:rsidP="0086429E">
            <w:pPr>
              <w:widowControl w:val="0"/>
              <w:jc w:val="center"/>
              <w:rPr>
                <w:sz w:val="18"/>
                <w:szCs w:val="18"/>
              </w:rPr>
            </w:pPr>
            <w:r w:rsidRPr="007012B3">
              <w:rPr>
                <w:sz w:val="18"/>
                <w:szCs w:val="18"/>
              </w:rPr>
              <w:t>647.5</w:t>
            </w:r>
          </w:p>
        </w:tc>
        <w:tc>
          <w:tcPr>
            <w:tcW w:w="2010" w:type="dxa"/>
            <w:shd w:val="clear" w:color="auto" w:fill="auto"/>
            <w:vAlign w:val="center"/>
          </w:tcPr>
          <w:p w:rsidR="00EC50A1" w:rsidRPr="007012B3" w:rsidRDefault="00EC50A1" w:rsidP="0086429E">
            <w:pPr>
              <w:widowControl w:val="0"/>
              <w:jc w:val="center"/>
              <w:rPr>
                <w:sz w:val="18"/>
                <w:szCs w:val="18"/>
              </w:rPr>
            </w:pPr>
            <w:r w:rsidRPr="007012B3">
              <w:rPr>
                <w:sz w:val="18"/>
                <w:szCs w:val="18"/>
              </w:rPr>
              <w:t>222.0</w:t>
            </w:r>
          </w:p>
        </w:tc>
      </w:tr>
      <w:tr w:rsidR="00EC50A1" w:rsidRPr="007012B3" w:rsidTr="00EC50A1">
        <w:trPr>
          <w:trHeight w:val="227"/>
          <w:jc w:val="center"/>
        </w:trPr>
        <w:tc>
          <w:tcPr>
            <w:tcW w:w="1560" w:type="dxa"/>
            <w:tcBorders>
              <w:bottom w:val="single" w:sz="4" w:space="0" w:color="auto"/>
            </w:tcBorders>
            <w:shd w:val="clear" w:color="auto" w:fill="auto"/>
            <w:vAlign w:val="center"/>
          </w:tcPr>
          <w:p w:rsidR="00EC50A1" w:rsidRPr="007012B3" w:rsidRDefault="00EC50A1" w:rsidP="0086429E">
            <w:pPr>
              <w:widowControl w:val="0"/>
              <w:rPr>
                <w:sz w:val="18"/>
                <w:szCs w:val="18"/>
              </w:rPr>
            </w:pPr>
            <w:r w:rsidRPr="007012B3">
              <w:rPr>
                <w:sz w:val="18"/>
                <w:szCs w:val="18"/>
              </w:rPr>
              <w:t>4</w:t>
            </w:r>
          </w:p>
        </w:tc>
        <w:tc>
          <w:tcPr>
            <w:tcW w:w="2126" w:type="dxa"/>
            <w:tcBorders>
              <w:bottom w:val="single" w:sz="4" w:space="0" w:color="auto"/>
            </w:tcBorders>
            <w:shd w:val="clear" w:color="auto" w:fill="auto"/>
            <w:vAlign w:val="center"/>
          </w:tcPr>
          <w:p w:rsidR="00EC50A1" w:rsidRPr="007012B3" w:rsidRDefault="00EC50A1" w:rsidP="0086429E">
            <w:pPr>
              <w:widowControl w:val="0"/>
              <w:jc w:val="center"/>
              <w:rPr>
                <w:sz w:val="18"/>
                <w:szCs w:val="18"/>
              </w:rPr>
            </w:pPr>
            <w:r w:rsidRPr="007012B3">
              <w:rPr>
                <w:sz w:val="18"/>
                <w:szCs w:val="18"/>
              </w:rPr>
              <w:t>3.06</w:t>
            </w:r>
          </w:p>
        </w:tc>
        <w:tc>
          <w:tcPr>
            <w:tcW w:w="1675" w:type="dxa"/>
            <w:tcBorders>
              <w:bottom w:val="single" w:sz="4" w:space="0" w:color="auto"/>
            </w:tcBorders>
            <w:shd w:val="clear" w:color="auto" w:fill="auto"/>
            <w:vAlign w:val="center"/>
          </w:tcPr>
          <w:p w:rsidR="00EC50A1" w:rsidRPr="007012B3" w:rsidRDefault="00EC50A1" w:rsidP="0086429E">
            <w:pPr>
              <w:widowControl w:val="0"/>
              <w:jc w:val="center"/>
              <w:rPr>
                <w:sz w:val="18"/>
                <w:szCs w:val="18"/>
              </w:rPr>
            </w:pPr>
            <w:r w:rsidRPr="007012B3">
              <w:rPr>
                <w:sz w:val="18"/>
                <w:szCs w:val="18"/>
              </w:rPr>
              <w:t>1272.9</w:t>
            </w:r>
          </w:p>
        </w:tc>
        <w:tc>
          <w:tcPr>
            <w:tcW w:w="2010" w:type="dxa"/>
            <w:tcBorders>
              <w:bottom w:val="single" w:sz="4" w:space="0" w:color="auto"/>
            </w:tcBorders>
            <w:shd w:val="clear" w:color="auto" w:fill="auto"/>
            <w:vAlign w:val="center"/>
          </w:tcPr>
          <w:p w:rsidR="00EC50A1" w:rsidRPr="007012B3" w:rsidRDefault="00EC50A1" w:rsidP="0086429E">
            <w:pPr>
              <w:widowControl w:val="0"/>
              <w:jc w:val="center"/>
              <w:rPr>
                <w:sz w:val="18"/>
                <w:szCs w:val="18"/>
              </w:rPr>
            </w:pPr>
            <w:r w:rsidRPr="007012B3">
              <w:rPr>
                <w:sz w:val="18"/>
                <w:szCs w:val="18"/>
              </w:rPr>
              <w:t>229.8</w:t>
            </w:r>
          </w:p>
        </w:tc>
      </w:tr>
    </w:tbl>
    <w:p w:rsidR="00EC50A1" w:rsidRPr="00EC50A1" w:rsidRDefault="00EC50A1" w:rsidP="00EC50A1">
      <w:pPr>
        <w:ind w:firstLine="426"/>
        <w:jc w:val="both"/>
        <w:rPr>
          <w:sz w:val="16"/>
          <w:szCs w:val="16"/>
        </w:rPr>
      </w:pPr>
    </w:p>
    <w:p w:rsidR="00EC50A1" w:rsidRPr="00350B45" w:rsidRDefault="00EC50A1" w:rsidP="00EC50A1">
      <w:pPr>
        <w:ind w:firstLine="426"/>
        <w:jc w:val="both"/>
        <w:rPr>
          <w:sz w:val="22"/>
          <w:szCs w:val="22"/>
        </w:rPr>
      </w:pPr>
      <w:r w:rsidRPr="00350B45">
        <w:rPr>
          <w:sz w:val="22"/>
          <w:szCs w:val="22"/>
        </w:rPr>
        <w:t>For the extractions carried out using acetic acid solutions, non-linear regression between P</w:t>
      </w:r>
      <w:r w:rsidRPr="00350B45">
        <w:rPr>
          <w:sz w:val="22"/>
          <w:szCs w:val="22"/>
          <w:vertAlign w:val="subscript"/>
        </w:rPr>
        <w:t>R(s)</w:t>
      </w:r>
      <w:r w:rsidRPr="00350B45">
        <w:rPr>
          <w:sz w:val="22"/>
          <w:szCs w:val="22"/>
        </w:rPr>
        <w:t xml:space="preserve"> and C</w:t>
      </w:r>
      <w:r w:rsidRPr="00350B45">
        <w:rPr>
          <w:sz w:val="22"/>
          <w:szCs w:val="22"/>
          <w:vertAlign w:val="subscript"/>
        </w:rPr>
        <w:t>acid</w:t>
      </w:r>
      <w:r w:rsidRPr="00350B45">
        <w:rPr>
          <w:sz w:val="22"/>
          <w:szCs w:val="22"/>
        </w:rPr>
        <w:t xml:space="preserve"> obeyed a single rectangular hyperbola correlation, as follows:</w:t>
      </w:r>
    </w:p>
    <w:p w:rsidR="00EC50A1" w:rsidRPr="00EC50A1" w:rsidRDefault="00EC50A1" w:rsidP="00EC50A1">
      <w:pPr>
        <w:ind w:firstLine="426"/>
        <w:jc w:val="both"/>
        <w:rPr>
          <w:sz w:val="16"/>
          <w:szCs w:val="16"/>
        </w:rPr>
      </w:pPr>
    </w:p>
    <w:p w:rsidR="00EC50A1" w:rsidRPr="00350B45" w:rsidRDefault="00EC50A1" w:rsidP="00EC50A1">
      <w:pPr>
        <w:ind w:firstLine="426"/>
        <w:jc w:val="right"/>
        <w:rPr>
          <w:sz w:val="22"/>
          <w:szCs w:val="22"/>
        </w:rPr>
      </w:pPr>
      <w:r w:rsidRPr="00350B45">
        <w:rPr>
          <w:sz w:val="22"/>
          <w:szCs w:val="22"/>
        </w:rPr>
        <w:t>P</w:t>
      </w:r>
      <w:r w:rsidRPr="00350B45">
        <w:rPr>
          <w:sz w:val="22"/>
          <w:szCs w:val="22"/>
          <w:vertAlign w:val="subscript"/>
        </w:rPr>
        <w:t>R(s)</w:t>
      </w:r>
      <w:r w:rsidRPr="00350B45">
        <w:rPr>
          <w:sz w:val="22"/>
          <w:szCs w:val="22"/>
        </w:rPr>
        <w:t xml:space="preserve"> = -3.57</w:t>
      </w:r>
      <m:oMath>
        <m:sSubSup>
          <m:sSubSupPr>
            <m:ctrlPr>
              <w:rPr>
                <w:rFonts w:ascii="Cambria Math" w:hAnsi="Cambria Math"/>
                <w:i/>
              </w:rPr>
            </m:ctrlPr>
          </m:sSubSupPr>
          <m:e>
            <m:r>
              <w:rPr>
                <w:rFonts w:ascii="Cambria Math" w:hAnsi="Cambria Math"/>
              </w:rPr>
              <m:t>C</m:t>
            </m:r>
          </m:e>
          <m:sub>
            <m:r>
              <w:rPr>
                <w:rFonts w:ascii="Cambria Math" w:hAnsi="Cambria Math"/>
              </w:rPr>
              <m:t>acid</m:t>
            </m:r>
          </m:sub>
          <m:sup>
            <m:r>
              <w:rPr>
                <w:rFonts w:ascii="Cambria Math" w:hAnsi="Cambria Math"/>
              </w:rPr>
              <m:t>2</m:t>
            </m:r>
          </m:sup>
        </m:sSubSup>
      </m:oMath>
      <w:r w:rsidRPr="00350B45">
        <w:rPr>
          <w:sz w:val="22"/>
          <w:szCs w:val="22"/>
        </w:rPr>
        <w:t xml:space="preserve"> + 26</w:t>
      </w:r>
      <m:oMath>
        <m:sSub>
          <m:sSubPr>
            <m:ctrlPr>
              <w:rPr>
                <w:rFonts w:ascii="Cambria Math" w:hAnsi="Cambria Math"/>
                <w:i/>
              </w:rPr>
            </m:ctrlPr>
          </m:sSubPr>
          <m:e>
            <m:r>
              <w:rPr>
                <w:rFonts w:ascii="Cambria Math" w:hAnsi="Cambria Math"/>
              </w:rPr>
              <m:t>C</m:t>
            </m:r>
          </m:e>
          <m:sub>
            <m:r>
              <w:rPr>
                <w:rFonts w:ascii="Cambria Math" w:hAnsi="Cambria Math"/>
              </w:rPr>
              <m:t>acid</m:t>
            </m:r>
          </m:sub>
        </m:sSub>
      </m:oMath>
      <w:r w:rsidRPr="00350B45">
        <w:rPr>
          <w:sz w:val="22"/>
          <w:szCs w:val="22"/>
        </w:rPr>
        <w:t xml:space="preserve"> + 81.07</w:t>
      </w:r>
      <w:r w:rsidRPr="00350B45">
        <w:rPr>
          <w:sz w:val="22"/>
          <w:szCs w:val="22"/>
        </w:rPr>
        <w:tab/>
      </w:r>
      <w:r w:rsidRPr="00350B45">
        <w:rPr>
          <w:sz w:val="22"/>
          <w:szCs w:val="22"/>
        </w:rPr>
        <w:tab/>
        <w:t>(R</w:t>
      </w:r>
      <w:r w:rsidRPr="00350B45">
        <w:rPr>
          <w:sz w:val="22"/>
          <w:szCs w:val="22"/>
          <w:vertAlign w:val="superscript"/>
        </w:rPr>
        <w:t>2</w:t>
      </w:r>
      <w:r w:rsidRPr="00350B45">
        <w:rPr>
          <w:sz w:val="22"/>
          <w:szCs w:val="22"/>
        </w:rPr>
        <w:t xml:space="preserve"> = 1.000, </w:t>
      </w:r>
      <w:r w:rsidRPr="00350B45">
        <w:rPr>
          <w:i/>
          <w:sz w:val="22"/>
          <w:szCs w:val="22"/>
        </w:rPr>
        <w:t>p</w:t>
      </w:r>
      <w:r w:rsidRPr="00350B45">
        <w:rPr>
          <w:sz w:val="22"/>
          <w:szCs w:val="22"/>
        </w:rPr>
        <w:t xml:space="preserve"> &lt; 0.0001)</w:t>
      </w:r>
      <w:r w:rsidRPr="00350B45">
        <w:rPr>
          <w:sz w:val="22"/>
          <w:szCs w:val="22"/>
        </w:rPr>
        <w:tab/>
        <w:t>(6)</w:t>
      </w:r>
    </w:p>
    <w:p w:rsidR="00EC50A1" w:rsidRPr="00EC50A1" w:rsidRDefault="00EC50A1" w:rsidP="00EC50A1">
      <w:pPr>
        <w:ind w:firstLine="426"/>
        <w:jc w:val="both"/>
        <w:rPr>
          <w:bCs/>
          <w:sz w:val="16"/>
          <w:szCs w:val="16"/>
        </w:rPr>
      </w:pPr>
    </w:p>
    <w:p w:rsidR="00EC50A1" w:rsidRPr="00350B45" w:rsidRDefault="00EC50A1" w:rsidP="00EC50A1">
      <w:pPr>
        <w:ind w:firstLine="426"/>
        <w:jc w:val="both"/>
        <w:rPr>
          <w:sz w:val="22"/>
          <w:szCs w:val="22"/>
        </w:rPr>
      </w:pPr>
      <w:r w:rsidRPr="00350B45">
        <w:rPr>
          <w:bCs/>
          <w:sz w:val="22"/>
          <w:szCs w:val="22"/>
        </w:rPr>
        <w:t>Similarly, a correlation</w:t>
      </w:r>
      <w:r w:rsidRPr="00350B45">
        <w:rPr>
          <w:sz w:val="22"/>
          <w:szCs w:val="22"/>
        </w:rPr>
        <w:t xml:space="preserve"> between </w:t>
      </w:r>
      <w:r w:rsidRPr="00350B45">
        <w:rPr>
          <w:i/>
          <w:sz w:val="22"/>
          <w:szCs w:val="22"/>
        </w:rPr>
        <w:t>h</w:t>
      </w:r>
      <w:r w:rsidRPr="00350B45">
        <w:rPr>
          <w:sz w:val="22"/>
          <w:szCs w:val="22"/>
        </w:rPr>
        <w:t xml:space="preserve"> and C</w:t>
      </w:r>
      <w:r w:rsidRPr="00350B45">
        <w:rPr>
          <w:sz w:val="22"/>
          <w:szCs w:val="22"/>
          <w:vertAlign w:val="subscript"/>
        </w:rPr>
        <w:t>acid</w:t>
      </w:r>
      <w:r w:rsidRPr="00350B45">
        <w:rPr>
          <w:sz w:val="22"/>
          <w:szCs w:val="22"/>
        </w:rPr>
        <w:t xml:space="preserve"> obeyed a quadratic function:</w:t>
      </w:r>
    </w:p>
    <w:p w:rsidR="00EC50A1" w:rsidRPr="00350B45" w:rsidRDefault="00EC50A1" w:rsidP="00EC50A1">
      <w:pPr>
        <w:ind w:firstLine="426"/>
        <w:jc w:val="right"/>
        <w:rPr>
          <w:sz w:val="22"/>
          <w:szCs w:val="22"/>
        </w:rPr>
      </w:pPr>
      <w:r w:rsidRPr="00350B45">
        <w:rPr>
          <w:i/>
          <w:sz w:val="22"/>
          <w:szCs w:val="22"/>
        </w:rPr>
        <w:t>h</w:t>
      </w:r>
      <w:r w:rsidRPr="00350B45">
        <w:rPr>
          <w:sz w:val="22"/>
          <w:szCs w:val="22"/>
        </w:rPr>
        <w:t xml:space="preserve"> = 19.43</w:t>
      </w:r>
      <m:oMath>
        <m:sSubSup>
          <m:sSubSupPr>
            <m:ctrlPr>
              <w:rPr>
                <w:rFonts w:ascii="Cambria Math" w:hAnsi="Cambria Math"/>
                <w:i/>
              </w:rPr>
            </m:ctrlPr>
          </m:sSubSupPr>
          <m:e>
            <m:r>
              <w:rPr>
                <w:rFonts w:ascii="Cambria Math" w:hAnsi="Cambria Math"/>
              </w:rPr>
              <m:t>C</m:t>
            </m:r>
          </m:e>
          <m:sub>
            <m:r>
              <w:rPr>
                <w:rFonts w:ascii="Cambria Math" w:hAnsi="Cambria Math"/>
              </w:rPr>
              <m:t>acid</m:t>
            </m:r>
          </m:sub>
          <m:sup>
            <m:r>
              <w:rPr>
                <w:rFonts w:ascii="Cambria Math" w:hAnsi="Cambria Math"/>
              </w:rPr>
              <m:t>2</m:t>
            </m:r>
          </m:sup>
        </m:sSubSup>
      </m:oMath>
      <w:r w:rsidRPr="00350B45">
        <w:rPr>
          <w:sz w:val="22"/>
          <w:szCs w:val="22"/>
        </w:rPr>
        <w:t xml:space="preserve"> – 88.3</w:t>
      </w:r>
      <m:oMath>
        <m:sSub>
          <m:sSubPr>
            <m:ctrlPr>
              <w:rPr>
                <w:rFonts w:ascii="Cambria Math" w:hAnsi="Cambria Math"/>
                <w:i/>
              </w:rPr>
            </m:ctrlPr>
          </m:sSubPr>
          <m:e>
            <m:r>
              <w:rPr>
                <w:rFonts w:ascii="Cambria Math" w:hAnsi="Cambria Math"/>
              </w:rPr>
              <m:t>C</m:t>
            </m:r>
          </m:e>
          <m:sub>
            <m:r>
              <w:rPr>
                <w:rFonts w:ascii="Cambria Math" w:hAnsi="Cambria Math"/>
              </w:rPr>
              <m:t>acid</m:t>
            </m:r>
          </m:sub>
        </m:sSub>
      </m:oMath>
      <w:r w:rsidRPr="00350B45">
        <w:rPr>
          <w:sz w:val="22"/>
          <w:szCs w:val="22"/>
        </w:rPr>
        <w:t xml:space="preserve"> + 161.47</w:t>
      </w:r>
      <w:r w:rsidRPr="00350B45">
        <w:rPr>
          <w:sz w:val="22"/>
          <w:szCs w:val="22"/>
        </w:rPr>
        <w:tab/>
      </w:r>
      <w:r w:rsidRPr="00350B45">
        <w:rPr>
          <w:sz w:val="22"/>
          <w:szCs w:val="22"/>
        </w:rPr>
        <w:tab/>
        <w:t>(R</w:t>
      </w:r>
      <w:r w:rsidRPr="00350B45">
        <w:rPr>
          <w:sz w:val="22"/>
          <w:szCs w:val="22"/>
          <w:vertAlign w:val="superscript"/>
        </w:rPr>
        <w:t>2</w:t>
      </w:r>
      <w:r w:rsidRPr="00350B45">
        <w:rPr>
          <w:sz w:val="22"/>
          <w:szCs w:val="22"/>
        </w:rPr>
        <w:t xml:space="preserve"> = 1.000, </w:t>
      </w:r>
      <w:r w:rsidRPr="00350B45">
        <w:rPr>
          <w:i/>
          <w:sz w:val="22"/>
          <w:szCs w:val="22"/>
        </w:rPr>
        <w:t>p</w:t>
      </w:r>
      <w:r w:rsidRPr="00350B45">
        <w:rPr>
          <w:sz w:val="22"/>
          <w:szCs w:val="22"/>
        </w:rPr>
        <w:t xml:space="preserve"> &lt; 0.0001)</w:t>
      </w:r>
      <w:r w:rsidRPr="00350B45">
        <w:rPr>
          <w:sz w:val="22"/>
          <w:szCs w:val="22"/>
        </w:rPr>
        <w:tab/>
        <w:t>(7)</w:t>
      </w:r>
    </w:p>
    <w:p w:rsidR="00EC50A1" w:rsidRPr="00EC50A1" w:rsidRDefault="00EC50A1" w:rsidP="00EC50A1">
      <w:pPr>
        <w:ind w:firstLine="426"/>
        <w:jc w:val="both"/>
        <w:rPr>
          <w:bCs/>
          <w:sz w:val="16"/>
          <w:szCs w:val="16"/>
        </w:rPr>
      </w:pPr>
    </w:p>
    <w:p w:rsidR="00EC50A1" w:rsidRPr="00350B45" w:rsidRDefault="00EC50A1" w:rsidP="00EC50A1">
      <w:pPr>
        <w:ind w:firstLine="426"/>
        <w:jc w:val="both"/>
        <w:rPr>
          <w:bCs/>
          <w:sz w:val="22"/>
          <w:szCs w:val="22"/>
        </w:rPr>
      </w:pPr>
      <w:r w:rsidRPr="00350B45">
        <w:rPr>
          <w:bCs/>
          <w:sz w:val="22"/>
          <w:szCs w:val="22"/>
        </w:rPr>
        <w:t>In a similar manner, the equations obtained for the extraction with citric acid solutions were:</w:t>
      </w:r>
    </w:p>
    <w:p w:rsidR="00EC50A1" w:rsidRPr="00EC50A1" w:rsidRDefault="00EC50A1" w:rsidP="00EC50A1">
      <w:pPr>
        <w:ind w:firstLine="426"/>
        <w:jc w:val="both"/>
        <w:rPr>
          <w:bCs/>
          <w:sz w:val="16"/>
          <w:szCs w:val="16"/>
        </w:rPr>
      </w:pPr>
    </w:p>
    <w:p w:rsidR="00EC50A1" w:rsidRPr="00350B45" w:rsidRDefault="00EC50A1" w:rsidP="00EC50A1">
      <w:pPr>
        <w:ind w:firstLine="426"/>
        <w:jc w:val="right"/>
        <w:rPr>
          <w:sz w:val="22"/>
          <w:szCs w:val="22"/>
        </w:rPr>
      </w:pPr>
      <w:r w:rsidRPr="00350B45">
        <w:rPr>
          <w:bCs/>
          <w:sz w:val="22"/>
          <w:szCs w:val="22"/>
        </w:rPr>
        <w:t>P</w:t>
      </w:r>
      <w:r w:rsidRPr="00350B45">
        <w:rPr>
          <w:bCs/>
          <w:sz w:val="22"/>
          <w:szCs w:val="22"/>
          <w:vertAlign w:val="subscript"/>
        </w:rPr>
        <w:t>R(s)</w:t>
      </w:r>
      <w:r w:rsidRPr="00350B45">
        <w:rPr>
          <w:bCs/>
          <w:sz w:val="22"/>
          <w:szCs w:val="22"/>
        </w:rPr>
        <w:t xml:space="preserve"> </w:t>
      </w:r>
      <w:r w:rsidRPr="00350B45">
        <w:rPr>
          <w:sz w:val="22"/>
          <w:szCs w:val="22"/>
        </w:rPr>
        <w:t>= -4.6</w:t>
      </w:r>
      <m:oMath>
        <m:sSubSup>
          <m:sSubSupPr>
            <m:ctrlPr>
              <w:rPr>
                <w:rFonts w:ascii="Cambria Math" w:hAnsi="Cambria Math"/>
                <w:i/>
              </w:rPr>
            </m:ctrlPr>
          </m:sSubSupPr>
          <m:e>
            <m:r>
              <w:rPr>
                <w:rFonts w:ascii="Cambria Math" w:hAnsi="Cambria Math"/>
              </w:rPr>
              <m:t>C</m:t>
            </m:r>
          </m:e>
          <m:sub>
            <m:r>
              <w:rPr>
                <w:rFonts w:ascii="Cambria Math" w:hAnsi="Cambria Math"/>
              </w:rPr>
              <m:t>acid</m:t>
            </m:r>
          </m:sub>
          <m:sup>
            <m:r>
              <w:rPr>
                <w:rFonts w:ascii="Cambria Math" w:hAnsi="Cambria Math"/>
              </w:rPr>
              <m:t>2</m:t>
            </m:r>
          </m:sup>
        </m:sSubSup>
      </m:oMath>
      <w:r w:rsidRPr="00350B45">
        <w:rPr>
          <w:sz w:val="22"/>
          <w:szCs w:val="22"/>
        </w:rPr>
        <w:t xml:space="preserve"> + 31.5 </w:t>
      </w:r>
      <m:oMath>
        <m:sSub>
          <m:sSubPr>
            <m:ctrlPr>
              <w:rPr>
                <w:rFonts w:ascii="Cambria Math" w:hAnsi="Cambria Math"/>
                <w:i/>
              </w:rPr>
            </m:ctrlPr>
          </m:sSubPr>
          <m:e>
            <m:r>
              <w:rPr>
                <w:rFonts w:ascii="Cambria Math" w:hAnsi="Cambria Math"/>
              </w:rPr>
              <m:t>C</m:t>
            </m:r>
          </m:e>
          <m:sub>
            <m:r>
              <w:rPr>
                <w:rFonts w:ascii="Cambria Math" w:hAnsi="Cambria Math"/>
              </w:rPr>
              <m:t>acid</m:t>
            </m:r>
          </m:sub>
        </m:sSub>
      </m:oMath>
      <w:r w:rsidRPr="00350B45">
        <w:rPr>
          <w:sz w:val="22"/>
          <w:szCs w:val="22"/>
        </w:rPr>
        <w:t xml:space="preserve"> + 177.4</w:t>
      </w:r>
      <w:r w:rsidRPr="00350B45">
        <w:rPr>
          <w:sz w:val="22"/>
          <w:szCs w:val="22"/>
        </w:rPr>
        <w:tab/>
      </w:r>
      <w:r w:rsidRPr="00350B45">
        <w:rPr>
          <w:sz w:val="22"/>
          <w:szCs w:val="22"/>
        </w:rPr>
        <w:tab/>
        <w:t>(R</w:t>
      </w:r>
      <w:r w:rsidRPr="00350B45">
        <w:rPr>
          <w:sz w:val="22"/>
          <w:szCs w:val="22"/>
          <w:vertAlign w:val="superscript"/>
        </w:rPr>
        <w:t>2</w:t>
      </w:r>
      <w:r w:rsidRPr="00350B45">
        <w:rPr>
          <w:sz w:val="22"/>
          <w:szCs w:val="22"/>
        </w:rPr>
        <w:t xml:space="preserve"> = 1.000, </w:t>
      </w:r>
      <w:r w:rsidRPr="00350B45">
        <w:rPr>
          <w:i/>
          <w:sz w:val="22"/>
          <w:szCs w:val="22"/>
        </w:rPr>
        <w:t>p</w:t>
      </w:r>
      <w:r w:rsidRPr="00350B45">
        <w:rPr>
          <w:sz w:val="22"/>
          <w:szCs w:val="22"/>
        </w:rPr>
        <w:t xml:space="preserve"> &lt; 0.0001)</w:t>
      </w:r>
      <w:r w:rsidRPr="00350B45">
        <w:rPr>
          <w:sz w:val="22"/>
          <w:szCs w:val="22"/>
        </w:rPr>
        <w:tab/>
        <w:t>(8)</w:t>
      </w:r>
    </w:p>
    <w:p w:rsidR="00EC50A1" w:rsidRPr="00EC50A1" w:rsidRDefault="00EC50A1" w:rsidP="00EC50A1">
      <w:pPr>
        <w:ind w:firstLine="426"/>
        <w:jc w:val="both"/>
        <w:rPr>
          <w:bCs/>
          <w:sz w:val="16"/>
          <w:szCs w:val="16"/>
        </w:rPr>
      </w:pPr>
    </w:p>
    <w:p w:rsidR="00EC50A1" w:rsidRPr="00350B45" w:rsidRDefault="00EC50A1" w:rsidP="00EC50A1">
      <w:pPr>
        <w:ind w:firstLine="426"/>
        <w:jc w:val="right"/>
        <w:rPr>
          <w:sz w:val="22"/>
          <w:szCs w:val="22"/>
        </w:rPr>
      </w:pPr>
      <w:r w:rsidRPr="00350B45">
        <w:rPr>
          <w:i/>
          <w:sz w:val="22"/>
          <w:szCs w:val="22"/>
        </w:rPr>
        <w:t>h</w:t>
      </w:r>
      <w:r w:rsidRPr="00350B45">
        <w:rPr>
          <w:sz w:val="22"/>
          <w:szCs w:val="22"/>
        </w:rPr>
        <w:t xml:space="preserve"> = 81.4</w:t>
      </w:r>
      <m:oMath>
        <m:sSubSup>
          <m:sSubSupPr>
            <m:ctrlPr>
              <w:rPr>
                <w:rFonts w:ascii="Cambria Math" w:hAnsi="Cambria Math"/>
                <w:i/>
              </w:rPr>
            </m:ctrlPr>
          </m:sSubSupPr>
          <m:e>
            <m:r>
              <w:rPr>
                <w:rFonts w:ascii="Cambria Math" w:hAnsi="Cambria Math"/>
              </w:rPr>
              <m:t>C</m:t>
            </m:r>
          </m:e>
          <m:sub>
            <m:r>
              <w:rPr>
                <w:rFonts w:ascii="Cambria Math" w:hAnsi="Cambria Math"/>
              </w:rPr>
              <m:t>acid</m:t>
            </m:r>
          </m:sub>
          <m:sup>
            <m:r>
              <w:rPr>
                <w:rFonts w:ascii="Cambria Math" w:hAnsi="Cambria Math"/>
              </w:rPr>
              <m:t>2</m:t>
            </m:r>
          </m:sup>
        </m:sSubSup>
      </m:oMath>
      <w:r w:rsidRPr="00350B45">
        <w:rPr>
          <w:sz w:val="22"/>
          <w:szCs w:val="22"/>
        </w:rPr>
        <w:t xml:space="preserve"> – 175.7</w:t>
      </w:r>
      <m:oMath>
        <m:sSub>
          <m:sSubPr>
            <m:ctrlPr>
              <w:rPr>
                <w:rFonts w:ascii="Cambria Math" w:hAnsi="Cambria Math"/>
                <w:i/>
              </w:rPr>
            </m:ctrlPr>
          </m:sSubPr>
          <m:e>
            <m:r>
              <w:rPr>
                <w:rFonts w:ascii="Cambria Math" w:hAnsi="Cambria Math"/>
              </w:rPr>
              <m:t>C</m:t>
            </m:r>
          </m:e>
          <m:sub>
            <m:r>
              <w:rPr>
                <w:rFonts w:ascii="Cambria Math" w:hAnsi="Cambria Math"/>
              </w:rPr>
              <m:t>acid</m:t>
            </m:r>
          </m:sub>
        </m:sSub>
      </m:oMath>
      <w:r w:rsidRPr="00350B45">
        <w:rPr>
          <w:sz w:val="22"/>
          <w:szCs w:val="22"/>
        </w:rPr>
        <w:t xml:space="preserve"> + 673.3</w:t>
      </w:r>
      <w:r w:rsidRPr="00350B45">
        <w:rPr>
          <w:sz w:val="22"/>
          <w:szCs w:val="22"/>
        </w:rPr>
        <w:tab/>
      </w:r>
      <w:r w:rsidRPr="00350B45">
        <w:rPr>
          <w:sz w:val="22"/>
          <w:szCs w:val="22"/>
        </w:rPr>
        <w:tab/>
        <w:t>(R</w:t>
      </w:r>
      <w:r w:rsidRPr="00350B45">
        <w:rPr>
          <w:sz w:val="22"/>
          <w:szCs w:val="22"/>
          <w:vertAlign w:val="superscript"/>
        </w:rPr>
        <w:t>2</w:t>
      </w:r>
      <w:r w:rsidRPr="00350B45">
        <w:rPr>
          <w:sz w:val="22"/>
          <w:szCs w:val="22"/>
        </w:rPr>
        <w:t xml:space="preserve"> = 1.000, </w:t>
      </w:r>
      <w:r w:rsidRPr="00350B45">
        <w:rPr>
          <w:i/>
          <w:sz w:val="22"/>
          <w:szCs w:val="22"/>
        </w:rPr>
        <w:t>p</w:t>
      </w:r>
      <w:r w:rsidRPr="00350B45">
        <w:rPr>
          <w:sz w:val="22"/>
          <w:szCs w:val="22"/>
        </w:rPr>
        <w:t xml:space="preserve"> &lt; 0.0001)</w:t>
      </w:r>
      <w:r w:rsidRPr="00350B45">
        <w:rPr>
          <w:sz w:val="22"/>
          <w:szCs w:val="22"/>
        </w:rPr>
        <w:tab/>
        <w:t>(9)</w:t>
      </w:r>
    </w:p>
    <w:p w:rsidR="00EC50A1" w:rsidRPr="007012B3" w:rsidRDefault="00EC50A1" w:rsidP="00E812EA">
      <w:pPr>
        <w:jc w:val="center"/>
        <w:rPr>
          <w:sz w:val="22"/>
          <w:szCs w:val="22"/>
        </w:rPr>
      </w:pPr>
    </w:p>
    <w:p w:rsidR="00587334" w:rsidRPr="007012B3" w:rsidRDefault="00587334" w:rsidP="007012B3">
      <w:pPr>
        <w:ind w:firstLine="426"/>
        <w:jc w:val="both"/>
        <w:rPr>
          <w:sz w:val="22"/>
          <w:szCs w:val="22"/>
        </w:rPr>
      </w:pPr>
      <w:r w:rsidRPr="007012B3">
        <w:rPr>
          <w:sz w:val="22"/>
          <w:szCs w:val="22"/>
        </w:rPr>
        <w:t>Rearrangement of the equation (3) would enable calculation of Y</w:t>
      </w:r>
      <w:r w:rsidRPr="007012B3">
        <w:rPr>
          <w:sz w:val="22"/>
          <w:szCs w:val="22"/>
          <w:vertAlign w:val="subscript"/>
        </w:rPr>
        <w:t>TF</w:t>
      </w:r>
      <w:r w:rsidRPr="007012B3">
        <w:rPr>
          <w:sz w:val="22"/>
          <w:szCs w:val="22"/>
        </w:rPr>
        <w:t xml:space="preserve"> at any time, </w:t>
      </w:r>
      <w:r w:rsidRPr="007012B3">
        <w:rPr>
          <w:i/>
          <w:sz w:val="22"/>
          <w:szCs w:val="22"/>
        </w:rPr>
        <w:t>t</w:t>
      </w:r>
      <w:r w:rsidRPr="007012B3">
        <w:rPr>
          <w:sz w:val="22"/>
          <w:szCs w:val="22"/>
        </w:rPr>
        <w:t>:</w:t>
      </w:r>
    </w:p>
    <w:p w:rsidR="00587334" w:rsidRPr="00350B45" w:rsidRDefault="00587334" w:rsidP="007012B3">
      <w:pPr>
        <w:ind w:firstLine="426"/>
        <w:jc w:val="both"/>
        <w:rPr>
          <w:sz w:val="6"/>
          <w:szCs w:val="6"/>
        </w:rPr>
      </w:pPr>
    </w:p>
    <w:p w:rsidR="00587334" w:rsidRPr="007012B3" w:rsidRDefault="003A07C0" w:rsidP="007012B3">
      <w:pPr>
        <w:ind w:firstLine="426"/>
        <w:jc w:val="right"/>
        <w:rPr>
          <w:sz w:val="22"/>
          <w:szCs w:val="22"/>
        </w:rPr>
      </w:pPr>
      <m:oMath>
        <m:sSub>
          <m:sSubPr>
            <m:ctrlPr>
              <w:rPr>
                <w:rFonts w:ascii="Cambria Math" w:eastAsia="Calibri" w:hAnsi="Cambria Math"/>
                <w:i/>
                <w:lang w:eastAsia="en-US"/>
              </w:rPr>
            </m:ctrlPr>
          </m:sSubPr>
          <m:e>
            <m:r>
              <w:rPr>
                <w:rFonts w:ascii="Cambria Math" w:hAnsi="Cambria Math"/>
              </w:rPr>
              <m:t>P</m:t>
            </m:r>
          </m:e>
          <m:sub>
            <m:r>
              <w:rPr>
                <w:rFonts w:ascii="Cambria Math" w:hAnsi="Cambria Math"/>
              </w:rPr>
              <m:t>R(t)</m:t>
            </m:r>
          </m:sub>
        </m:sSub>
        <m:r>
          <w:rPr>
            <w:rFonts w:ascii="Cambria Math" w:hAnsi="Cambria Math"/>
          </w:rPr>
          <m:t xml:space="preserve">= </m:t>
        </m:r>
        <m:f>
          <m:fPr>
            <m:ctrlPr>
              <w:rPr>
                <w:rFonts w:ascii="Cambria Math" w:eastAsia="Calibri" w:hAnsi="Cambria Math"/>
                <w:i/>
                <w:lang w:eastAsia="en-US"/>
              </w:rPr>
            </m:ctrlPr>
          </m:fPr>
          <m:num>
            <m:r>
              <w:rPr>
                <w:rFonts w:ascii="Cambria Math" w:hAnsi="Cambria Math"/>
              </w:rPr>
              <m:t>t</m:t>
            </m:r>
          </m:num>
          <m:den>
            <m:f>
              <m:fPr>
                <m:ctrlPr>
                  <w:rPr>
                    <w:rFonts w:ascii="Cambria Math" w:eastAsia="Calibri" w:hAnsi="Cambria Math"/>
                    <w:i/>
                    <w:lang w:eastAsia="en-US"/>
                  </w:rPr>
                </m:ctrlPr>
              </m:fPr>
              <m:num>
                <m:r>
                  <w:rPr>
                    <w:rFonts w:ascii="Cambria Math" w:hAnsi="Cambria Math"/>
                  </w:rPr>
                  <m:t>1</m:t>
                </m:r>
              </m:num>
              <m:den>
                <m:r>
                  <w:rPr>
                    <w:rFonts w:ascii="Cambria Math" w:hAnsi="Cambria Math"/>
                  </w:rPr>
                  <m:t>h</m:t>
                </m:r>
              </m:den>
            </m:f>
            <m:r>
              <w:rPr>
                <w:rFonts w:ascii="Cambria Math" w:hAnsi="Cambria Math"/>
              </w:rPr>
              <m:t xml:space="preserve">+ </m:t>
            </m:r>
            <m:f>
              <m:fPr>
                <m:ctrlPr>
                  <w:rPr>
                    <w:rFonts w:ascii="Cambria Math" w:eastAsia="Calibri" w:hAnsi="Cambria Math"/>
                    <w:i/>
                    <w:lang w:eastAsia="en-US"/>
                  </w:rPr>
                </m:ctrlPr>
              </m:fPr>
              <m:num>
                <m:r>
                  <w:rPr>
                    <w:rFonts w:ascii="Cambria Math" w:hAnsi="Cambria Math"/>
                  </w:rPr>
                  <m:t>t</m:t>
                </m:r>
              </m:num>
              <m:den>
                <m:sSub>
                  <m:sSubPr>
                    <m:ctrlPr>
                      <w:rPr>
                        <w:rFonts w:ascii="Cambria Math" w:eastAsia="Calibri" w:hAnsi="Cambria Math"/>
                        <w:i/>
                        <w:lang w:eastAsia="en-US"/>
                      </w:rPr>
                    </m:ctrlPr>
                  </m:sSubPr>
                  <m:e>
                    <m:r>
                      <w:rPr>
                        <w:rFonts w:ascii="Cambria Math" w:hAnsi="Cambria Math"/>
                      </w:rPr>
                      <m:t>P</m:t>
                    </m:r>
                  </m:e>
                  <m:sub>
                    <m:r>
                      <w:rPr>
                        <w:rFonts w:ascii="Cambria Math" w:hAnsi="Cambria Math"/>
                      </w:rPr>
                      <m:t>R(s)</m:t>
                    </m:r>
                  </m:sub>
                </m:sSub>
              </m:den>
            </m:f>
          </m:den>
        </m:f>
      </m:oMath>
      <w:r w:rsidR="007012B3">
        <w:rPr>
          <w:sz w:val="22"/>
          <w:szCs w:val="22"/>
        </w:rPr>
        <w:tab/>
      </w:r>
      <w:r w:rsidR="007012B3">
        <w:rPr>
          <w:sz w:val="22"/>
          <w:szCs w:val="22"/>
        </w:rPr>
        <w:tab/>
      </w:r>
      <w:r w:rsidR="007012B3">
        <w:rPr>
          <w:sz w:val="22"/>
          <w:szCs w:val="22"/>
        </w:rPr>
        <w:tab/>
      </w:r>
      <w:r w:rsidR="007012B3">
        <w:rPr>
          <w:sz w:val="22"/>
          <w:szCs w:val="22"/>
        </w:rPr>
        <w:tab/>
      </w:r>
      <w:r w:rsidR="007012B3">
        <w:rPr>
          <w:sz w:val="22"/>
          <w:szCs w:val="22"/>
        </w:rPr>
        <w:tab/>
      </w:r>
      <w:r w:rsidR="00587334" w:rsidRPr="007012B3">
        <w:rPr>
          <w:sz w:val="22"/>
          <w:szCs w:val="22"/>
        </w:rPr>
        <w:tab/>
        <w:t>(10)</w:t>
      </w:r>
    </w:p>
    <w:p w:rsidR="00587334" w:rsidRDefault="00587334" w:rsidP="007012B3">
      <w:pPr>
        <w:ind w:firstLine="426"/>
        <w:jc w:val="both"/>
        <w:rPr>
          <w:sz w:val="22"/>
          <w:szCs w:val="22"/>
        </w:rPr>
      </w:pPr>
      <w:r w:rsidRPr="007012B3">
        <w:rPr>
          <w:sz w:val="22"/>
          <w:szCs w:val="22"/>
        </w:rPr>
        <w:lastRenderedPageBreak/>
        <w:t>For the extraction with acetic acid solutions, combination of equations (6), (7) and (10), would give:</w:t>
      </w:r>
    </w:p>
    <w:p w:rsidR="005B58AA" w:rsidRPr="005B58AA" w:rsidRDefault="005B58AA" w:rsidP="007012B3">
      <w:pPr>
        <w:ind w:firstLine="426"/>
        <w:jc w:val="both"/>
        <w:rPr>
          <w:sz w:val="16"/>
          <w:szCs w:val="16"/>
        </w:rPr>
      </w:pPr>
    </w:p>
    <w:p w:rsidR="00587334" w:rsidRDefault="003A07C0" w:rsidP="007012B3">
      <w:pPr>
        <w:ind w:firstLine="426"/>
        <w:jc w:val="right"/>
        <w:rPr>
          <w:sz w:val="22"/>
          <w:szCs w:val="22"/>
          <w:lang w:eastAsia="en-US"/>
        </w:rPr>
      </w:pPr>
      <m:oMath>
        <m:sSub>
          <m:sSubPr>
            <m:ctrlPr>
              <w:rPr>
                <w:rFonts w:ascii="Cambria Math" w:eastAsia="Calibri" w:hAnsi="Cambria Math"/>
                <w:i/>
                <w:lang w:eastAsia="en-US"/>
              </w:rPr>
            </m:ctrlPr>
          </m:sSubPr>
          <m:e>
            <m:r>
              <w:rPr>
                <w:rFonts w:ascii="Cambria Math" w:hAnsi="Cambria Math"/>
              </w:rPr>
              <m:t>P</m:t>
            </m:r>
          </m:e>
          <m:sub>
            <m:r>
              <w:rPr>
                <w:rFonts w:ascii="Cambria Math" w:hAnsi="Cambria Math"/>
              </w:rPr>
              <m:t>R</m:t>
            </m:r>
            <m:d>
              <m:dPr>
                <m:ctrlPr>
                  <w:rPr>
                    <w:rFonts w:ascii="Cambria Math" w:hAnsi="Cambria Math"/>
                    <w:i/>
                  </w:rPr>
                </m:ctrlPr>
              </m:dPr>
              <m:e>
                <m:r>
                  <w:rPr>
                    <w:rFonts w:ascii="Cambria Math" w:hAnsi="Cambria Math"/>
                  </w:rPr>
                  <m:t>t,</m:t>
                </m:r>
                <m:sSub>
                  <m:sSubPr>
                    <m:ctrlPr>
                      <w:rPr>
                        <w:rFonts w:ascii="Cambria Math" w:hAnsi="Cambria Math"/>
                        <w:i/>
                      </w:rPr>
                    </m:ctrlPr>
                  </m:sSubPr>
                  <m:e>
                    <m:r>
                      <w:rPr>
                        <w:rFonts w:ascii="Cambria Math" w:hAnsi="Cambria Math"/>
                      </w:rPr>
                      <m:t>C</m:t>
                    </m:r>
                  </m:e>
                  <m:sub>
                    <m:r>
                      <w:rPr>
                        <w:rFonts w:ascii="Cambria Math" w:hAnsi="Cambria Math"/>
                      </w:rPr>
                      <m:t>acid</m:t>
                    </m:r>
                  </m:sub>
                </m:sSub>
              </m:e>
            </m:d>
          </m:sub>
        </m:sSub>
        <m:r>
          <w:rPr>
            <w:rFonts w:ascii="Cambria Math" w:hAnsi="Cambria Math"/>
          </w:rPr>
          <m:t xml:space="preserve">= </m:t>
        </m:r>
        <m:f>
          <m:fPr>
            <m:ctrlPr>
              <w:rPr>
                <w:rFonts w:ascii="Cambria Math" w:eastAsia="Calibri" w:hAnsi="Cambria Math"/>
                <w:i/>
                <w:lang w:eastAsia="en-US"/>
              </w:rPr>
            </m:ctrlPr>
          </m:fPr>
          <m:num>
            <m:r>
              <w:rPr>
                <w:rFonts w:ascii="Cambria Math" w:hAnsi="Cambria Math"/>
              </w:rPr>
              <m:t>t</m:t>
            </m:r>
          </m:num>
          <m:den>
            <m:f>
              <m:fPr>
                <m:ctrlPr>
                  <w:rPr>
                    <w:rFonts w:ascii="Cambria Math" w:eastAsia="Calibri" w:hAnsi="Cambria Math"/>
                    <w:i/>
                    <w:lang w:eastAsia="en-US"/>
                  </w:rPr>
                </m:ctrlPr>
              </m:fPr>
              <m:num>
                <m:r>
                  <w:rPr>
                    <w:rFonts w:ascii="Cambria Math" w:hAnsi="Cambria Math"/>
                  </w:rPr>
                  <m:t>1</m:t>
                </m:r>
              </m:num>
              <m:den>
                <m:r>
                  <w:rPr>
                    <w:rFonts w:ascii="Cambria Math" w:eastAsia="Calibri" w:hAnsi="Cambria Math"/>
                    <w:lang w:eastAsia="en-US"/>
                  </w:rPr>
                  <m:t>19.43</m:t>
                </m:r>
                <m:sSubSup>
                  <m:sSubSupPr>
                    <m:ctrlPr>
                      <w:rPr>
                        <w:rFonts w:ascii="Cambria Math" w:eastAsia="Calibri" w:hAnsi="Cambria Math"/>
                        <w:i/>
                        <w:lang w:eastAsia="en-US"/>
                      </w:rPr>
                    </m:ctrlPr>
                  </m:sSubSupPr>
                  <m:e>
                    <m:r>
                      <w:rPr>
                        <w:rFonts w:ascii="Cambria Math" w:eastAsia="Calibri" w:hAnsi="Cambria Math"/>
                        <w:lang w:eastAsia="en-US"/>
                      </w:rPr>
                      <m:t>C</m:t>
                    </m:r>
                  </m:e>
                  <m:sub>
                    <m:r>
                      <w:rPr>
                        <w:rFonts w:ascii="Cambria Math" w:eastAsia="Calibri" w:hAnsi="Cambria Math"/>
                        <w:lang w:eastAsia="en-US"/>
                      </w:rPr>
                      <m:t>acid</m:t>
                    </m:r>
                  </m:sub>
                  <m:sup>
                    <m:r>
                      <w:rPr>
                        <w:rFonts w:ascii="Cambria Math" w:eastAsia="Calibri" w:hAnsi="Cambria Math"/>
                        <w:lang w:eastAsia="en-US"/>
                      </w:rPr>
                      <m:t>2</m:t>
                    </m:r>
                  </m:sup>
                </m:sSubSup>
                <m:r>
                  <w:rPr>
                    <w:rFonts w:ascii="Cambria Math" w:eastAsia="Calibri" w:hAnsi="Cambria Math"/>
                    <w:lang w:eastAsia="en-US"/>
                  </w:rPr>
                  <m:t>-88.3</m:t>
                </m:r>
                <m:sSub>
                  <m:sSubPr>
                    <m:ctrlPr>
                      <w:rPr>
                        <w:rFonts w:ascii="Cambria Math" w:eastAsia="Calibri" w:hAnsi="Cambria Math"/>
                        <w:i/>
                        <w:lang w:eastAsia="en-US"/>
                      </w:rPr>
                    </m:ctrlPr>
                  </m:sSubPr>
                  <m:e>
                    <m:r>
                      <w:rPr>
                        <w:rFonts w:ascii="Cambria Math" w:eastAsia="Calibri" w:hAnsi="Cambria Math"/>
                        <w:lang w:eastAsia="en-US"/>
                      </w:rPr>
                      <m:t>C</m:t>
                    </m:r>
                  </m:e>
                  <m:sub>
                    <m:r>
                      <w:rPr>
                        <w:rFonts w:ascii="Cambria Math" w:eastAsia="Calibri" w:hAnsi="Cambria Math"/>
                        <w:lang w:eastAsia="en-US"/>
                      </w:rPr>
                      <m:t>acid</m:t>
                    </m:r>
                  </m:sub>
                </m:sSub>
                <m:r>
                  <w:rPr>
                    <w:rFonts w:ascii="Cambria Math" w:eastAsia="Calibri" w:hAnsi="Cambria Math"/>
                    <w:lang w:eastAsia="en-US"/>
                  </w:rPr>
                  <m:t>+161.47</m:t>
                </m:r>
              </m:den>
            </m:f>
            <m:r>
              <w:rPr>
                <w:rFonts w:ascii="Cambria Math" w:hAnsi="Cambria Math"/>
              </w:rPr>
              <m:t xml:space="preserve">+ </m:t>
            </m:r>
            <m:f>
              <m:fPr>
                <m:ctrlPr>
                  <w:rPr>
                    <w:rFonts w:ascii="Cambria Math" w:eastAsia="Calibri" w:hAnsi="Cambria Math"/>
                    <w:i/>
                    <w:lang w:eastAsia="en-US"/>
                  </w:rPr>
                </m:ctrlPr>
              </m:fPr>
              <m:num>
                <m:r>
                  <w:rPr>
                    <w:rFonts w:ascii="Cambria Math" w:hAnsi="Cambria Math"/>
                  </w:rPr>
                  <m:t>t</m:t>
                </m:r>
              </m:num>
              <m:den>
                <m:r>
                  <w:rPr>
                    <w:rFonts w:ascii="Cambria Math" w:eastAsia="Calibri" w:hAnsi="Cambria Math"/>
                    <w:lang w:eastAsia="en-US"/>
                  </w:rPr>
                  <m:t>-3.57</m:t>
                </m:r>
                <m:sSubSup>
                  <m:sSubSupPr>
                    <m:ctrlPr>
                      <w:rPr>
                        <w:rFonts w:ascii="Cambria Math" w:eastAsia="Calibri" w:hAnsi="Cambria Math"/>
                        <w:i/>
                        <w:lang w:eastAsia="en-US"/>
                      </w:rPr>
                    </m:ctrlPr>
                  </m:sSubSupPr>
                  <m:e>
                    <m:r>
                      <w:rPr>
                        <w:rFonts w:ascii="Cambria Math" w:eastAsia="Calibri" w:hAnsi="Cambria Math"/>
                        <w:lang w:eastAsia="en-US"/>
                      </w:rPr>
                      <m:t>C</m:t>
                    </m:r>
                  </m:e>
                  <m:sub>
                    <m:r>
                      <w:rPr>
                        <w:rFonts w:ascii="Cambria Math" w:eastAsia="Calibri" w:hAnsi="Cambria Math"/>
                        <w:lang w:eastAsia="en-US"/>
                      </w:rPr>
                      <m:t>acid</m:t>
                    </m:r>
                  </m:sub>
                  <m:sup>
                    <m:r>
                      <w:rPr>
                        <w:rFonts w:ascii="Cambria Math" w:eastAsia="Calibri" w:hAnsi="Cambria Math"/>
                        <w:lang w:eastAsia="en-US"/>
                      </w:rPr>
                      <m:t>2</m:t>
                    </m:r>
                  </m:sup>
                </m:sSubSup>
                <m:r>
                  <w:rPr>
                    <w:rFonts w:ascii="Cambria Math" w:eastAsia="Calibri" w:hAnsi="Cambria Math"/>
                    <w:lang w:eastAsia="en-US"/>
                  </w:rPr>
                  <m:t>+26</m:t>
                </m:r>
                <m:sSub>
                  <m:sSubPr>
                    <m:ctrlPr>
                      <w:rPr>
                        <w:rFonts w:ascii="Cambria Math" w:eastAsia="Calibri" w:hAnsi="Cambria Math"/>
                        <w:i/>
                        <w:lang w:eastAsia="en-US"/>
                      </w:rPr>
                    </m:ctrlPr>
                  </m:sSubPr>
                  <m:e>
                    <m:r>
                      <w:rPr>
                        <w:rFonts w:ascii="Cambria Math" w:eastAsia="Calibri" w:hAnsi="Cambria Math"/>
                        <w:lang w:eastAsia="en-US"/>
                      </w:rPr>
                      <m:t>C</m:t>
                    </m:r>
                  </m:e>
                  <m:sub>
                    <m:r>
                      <w:rPr>
                        <w:rFonts w:ascii="Cambria Math" w:eastAsia="Calibri" w:hAnsi="Cambria Math"/>
                        <w:lang w:eastAsia="en-US"/>
                      </w:rPr>
                      <m:t>acid</m:t>
                    </m:r>
                  </m:sub>
                </m:sSub>
                <m:r>
                  <w:rPr>
                    <w:rFonts w:ascii="Cambria Math" w:eastAsia="Calibri" w:hAnsi="Cambria Math"/>
                    <w:lang w:eastAsia="en-US"/>
                  </w:rPr>
                  <m:t>+81.07</m:t>
                </m:r>
              </m:den>
            </m:f>
          </m:den>
        </m:f>
      </m:oMath>
      <w:r w:rsidR="007012B3">
        <w:rPr>
          <w:sz w:val="22"/>
          <w:szCs w:val="22"/>
          <w:lang w:eastAsia="en-US"/>
        </w:rPr>
        <w:t xml:space="preserve"> </w:t>
      </w:r>
      <w:r w:rsidR="00587334" w:rsidRPr="007012B3">
        <w:rPr>
          <w:sz w:val="22"/>
          <w:szCs w:val="22"/>
          <w:lang w:eastAsia="en-US"/>
        </w:rPr>
        <w:tab/>
      </w:r>
      <w:r w:rsidR="00587334" w:rsidRPr="007012B3">
        <w:rPr>
          <w:sz w:val="22"/>
          <w:szCs w:val="22"/>
          <w:lang w:eastAsia="en-US"/>
        </w:rPr>
        <w:tab/>
        <w:t>(11)</w:t>
      </w:r>
    </w:p>
    <w:p w:rsidR="007012B3" w:rsidRPr="00EC50A1" w:rsidRDefault="007012B3" w:rsidP="00350B45">
      <w:pPr>
        <w:ind w:firstLine="426"/>
        <w:rPr>
          <w:sz w:val="18"/>
          <w:szCs w:val="18"/>
        </w:rPr>
      </w:pPr>
    </w:p>
    <w:p w:rsidR="00587334" w:rsidRPr="007012B3" w:rsidRDefault="00587334" w:rsidP="007012B3">
      <w:pPr>
        <w:ind w:firstLine="426"/>
        <w:jc w:val="both"/>
        <w:rPr>
          <w:bCs/>
          <w:sz w:val="22"/>
          <w:szCs w:val="22"/>
        </w:rPr>
      </w:pPr>
      <w:r w:rsidRPr="007012B3">
        <w:rPr>
          <w:bCs/>
          <w:sz w:val="22"/>
          <w:szCs w:val="22"/>
        </w:rPr>
        <w:t>Likewise, the combination equations (8), (9) and (10) would give the corresponding function for citric acid solutions:</w:t>
      </w:r>
    </w:p>
    <w:p w:rsidR="00587334" w:rsidRPr="005B58AA" w:rsidRDefault="00587334" w:rsidP="007012B3">
      <w:pPr>
        <w:ind w:firstLine="426"/>
        <w:jc w:val="both"/>
        <w:rPr>
          <w:bCs/>
          <w:sz w:val="16"/>
          <w:szCs w:val="16"/>
        </w:rPr>
      </w:pPr>
    </w:p>
    <w:p w:rsidR="00587334" w:rsidRPr="007012B3" w:rsidRDefault="003A07C0" w:rsidP="007012B3">
      <w:pPr>
        <w:ind w:firstLine="426"/>
        <w:jc w:val="right"/>
        <w:rPr>
          <w:bCs/>
          <w:sz w:val="22"/>
          <w:szCs w:val="22"/>
        </w:rPr>
      </w:pPr>
      <m:oMath>
        <m:sSub>
          <m:sSubPr>
            <m:ctrlPr>
              <w:rPr>
                <w:rFonts w:ascii="Cambria Math" w:eastAsia="Calibri" w:hAnsi="Cambria Math"/>
                <w:i/>
                <w:lang w:eastAsia="en-US"/>
              </w:rPr>
            </m:ctrlPr>
          </m:sSubPr>
          <m:e>
            <m:r>
              <w:rPr>
                <w:rFonts w:ascii="Cambria Math" w:hAnsi="Cambria Math"/>
              </w:rPr>
              <m:t>P</m:t>
            </m:r>
          </m:e>
          <m:sub>
            <m:r>
              <w:rPr>
                <w:rFonts w:ascii="Cambria Math" w:hAnsi="Cambria Math"/>
              </w:rPr>
              <m:t>R</m:t>
            </m:r>
            <m:d>
              <m:dPr>
                <m:ctrlPr>
                  <w:rPr>
                    <w:rFonts w:ascii="Cambria Math" w:hAnsi="Cambria Math"/>
                    <w:i/>
                  </w:rPr>
                </m:ctrlPr>
              </m:dPr>
              <m:e>
                <m:r>
                  <w:rPr>
                    <w:rFonts w:ascii="Cambria Math" w:hAnsi="Cambria Math"/>
                  </w:rPr>
                  <m:t>t,</m:t>
                </m:r>
                <m:sSub>
                  <m:sSubPr>
                    <m:ctrlPr>
                      <w:rPr>
                        <w:rFonts w:ascii="Cambria Math" w:hAnsi="Cambria Math"/>
                        <w:i/>
                      </w:rPr>
                    </m:ctrlPr>
                  </m:sSubPr>
                  <m:e>
                    <m:r>
                      <w:rPr>
                        <w:rFonts w:ascii="Cambria Math" w:hAnsi="Cambria Math"/>
                      </w:rPr>
                      <m:t>C</m:t>
                    </m:r>
                  </m:e>
                  <m:sub>
                    <m:r>
                      <w:rPr>
                        <w:rFonts w:ascii="Cambria Math" w:hAnsi="Cambria Math"/>
                      </w:rPr>
                      <m:t>acid</m:t>
                    </m:r>
                  </m:sub>
                </m:sSub>
              </m:e>
            </m:d>
          </m:sub>
        </m:sSub>
        <m:r>
          <w:rPr>
            <w:rFonts w:ascii="Cambria Math" w:hAnsi="Cambria Math"/>
          </w:rPr>
          <m:t xml:space="preserve">= </m:t>
        </m:r>
        <m:f>
          <m:fPr>
            <m:ctrlPr>
              <w:rPr>
                <w:rFonts w:ascii="Cambria Math" w:eastAsia="Calibri" w:hAnsi="Cambria Math"/>
                <w:i/>
                <w:lang w:eastAsia="en-US"/>
              </w:rPr>
            </m:ctrlPr>
          </m:fPr>
          <m:num>
            <m:r>
              <w:rPr>
                <w:rFonts w:ascii="Cambria Math" w:hAnsi="Cambria Math"/>
              </w:rPr>
              <m:t>t</m:t>
            </m:r>
          </m:num>
          <m:den>
            <m:f>
              <m:fPr>
                <m:ctrlPr>
                  <w:rPr>
                    <w:rFonts w:ascii="Cambria Math" w:eastAsia="Calibri" w:hAnsi="Cambria Math"/>
                    <w:i/>
                    <w:lang w:eastAsia="en-US"/>
                  </w:rPr>
                </m:ctrlPr>
              </m:fPr>
              <m:num>
                <m:r>
                  <w:rPr>
                    <w:rFonts w:ascii="Cambria Math" w:hAnsi="Cambria Math"/>
                  </w:rPr>
                  <m:t>1</m:t>
                </m:r>
              </m:num>
              <m:den>
                <m:r>
                  <w:rPr>
                    <w:rFonts w:ascii="Cambria Math" w:eastAsia="Calibri" w:hAnsi="Cambria Math"/>
                    <w:lang w:eastAsia="en-US"/>
                  </w:rPr>
                  <m:t>81.4</m:t>
                </m:r>
                <m:sSubSup>
                  <m:sSubSupPr>
                    <m:ctrlPr>
                      <w:rPr>
                        <w:rFonts w:ascii="Cambria Math" w:eastAsia="Calibri" w:hAnsi="Cambria Math"/>
                        <w:i/>
                        <w:lang w:eastAsia="en-US"/>
                      </w:rPr>
                    </m:ctrlPr>
                  </m:sSubSupPr>
                  <m:e>
                    <m:r>
                      <w:rPr>
                        <w:rFonts w:ascii="Cambria Math" w:eastAsia="Calibri" w:hAnsi="Cambria Math"/>
                        <w:lang w:eastAsia="en-US"/>
                      </w:rPr>
                      <m:t>C</m:t>
                    </m:r>
                  </m:e>
                  <m:sub>
                    <m:r>
                      <w:rPr>
                        <w:rFonts w:ascii="Cambria Math" w:eastAsia="Calibri" w:hAnsi="Cambria Math"/>
                        <w:lang w:eastAsia="en-US"/>
                      </w:rPr>
                      <m:t>acid</m:t>
                    </m:r>
                  </m:sub>
                  <m:sup>
                    <m:r>
                      <w:rPr>
                        <w:rFonts w:ascii="Cambria Math" w:eastAsia="Calibri" w:hAnsi="Cambria Math"/>
                        <w:lang w:eastAsia="en-US"/>
                      </w:rPr>
                      <m:t>2</m:t>
                    </m:r>
                  </m:sup>
                </m:sSubSup>
                <m:r>
                  <w:rPr>
                    <w:rFonts w:ascii="Cambria Math" w:eastAsia="Calibri" w:hAnsi="Cambria Math"/>
                    <w:lang w:eastAsia="en-US"/>
                  </w:rPr>
                  <m:t>-175.5</m:t>
                </m:r>
                <m:sSub>
                  <m:sSubPr>
                    <m:ctrlPr>
                      <w:rPr>
                        <w:rFonts w:ascii="Cambria Math" w:eastAsia="Calibri" w:hAnsi="Cambria Math"/>
                        <w:i/>
                        <w:lang w:eastAsia="en-US"/>
                      </w:rPr>
                    </m:ctrlPr>
                  </m:sSubPr>
                  <m:e>
                    <m:r>
                      <w:rPr>
                        <w:rFonts w:ascii="Cambria Math" w:eastAsia="Calibri" w:hAnsi="Cambria Math"/>
                        <w:lang w:eastAsia="en-US"/>
                      </w:rPr>
                      <m:t>C</m:t>
                    </m:r>
                  </m:e>
                  <m:sub>
                    <m:r>
                      <w:rPr>
                        <w:rFonts w:ascii="Cambria Math" w:eastAsia="Calibri" w:hAnsi="Cambria Math"/>
                        <w:lang w:eastAsia="en-US"/>
                      </w:rPr>
                      <m:t>acid</m:t>
                    </m:r>
                  </m:sub>
                </m:sSub>
                <m:r>
                  <w:rPr>
                    <w:rFonts w:ascii="Cambria Math" w:eastAsia="Calibri" w:hAnsi="Cambria Math"/>
                    <w:lang w:eastAsia="en-US"/>
                  </w:rPr>
                  <m:t>+673.3</m:t>
                </m:r>
              </m:den>
            </m:f>
            <m:r>
              <w:rPr>
                <w:rFonts w:ascii="Cambria Math" w:hAnsi="Cambria Math"/>
              </w:rPr>
              <m:t xml:space="preserve">+ </m:t>
            </m:r>
            <m:f>
              <m:fPr>
                <m:ctrlPr>
                  <w:rPr>
                    <w:rFonts w:ascii="Cambria Math" w:eastAsia="Calibri" w:hAnsi="Cambria Math"/>
                    <w:i/>
                    <w:lang w:eastAsia="en-US"/>
                  </w:rPr>
                </m:ctrlPr>
              </m:fPr>
              <m:num>
                <m:r>
                  <w:rPr>
                    <w:rFonts w:ascii="Cambria Math" w:hAnsi="Cambria Math"/>
                  </w:rPr>
                  <m:t>t</m:t>
                </m:r>
              </m:num>
              <m:den>
                <m:r>
                  <w:rPr>
                    <w:rFonts w:ascii="Cambria Math" w:eastAsia="Calibri" w:hAnsi="Cambria Math"/>
                    <w:lang w:eastAsia="en-US"/>
                  </w:rPr>
                  <m:t>-4.6</m:t>
                </m:r>
                <m:sSubSup>
                  <m:sSubSupPr>
                    <m:ctrlPr>
                      <w:rPr>
                        <w:rFonts w:ascii="Cambria Math" w:eastAsia="Calibri" w:hAnsi="Cambria Math"/>
                        <w:i/>
                        <w:lang w:eastAsia="en-US"/>
                      </w:rPr>
                    </m:ctrlPr>
                  </m:sSubSupPr>
                  <m:e>
                    <m:r>
                      <w:rPr>
                        <w:rFonts w:ascii="Cambria Math" w:eastAsia="Calibri" w:hAnsi="Cambria Math"/>
                        <w:lang w:eastAsia="en-US"/>
                      </w:rPr>
                      <m:t>C</m:t>
                    </m:r>
                  </m:e>
                  <m:sub>
                    <m:r>
                      <w:rPr>
                        <w:rFonts w:ascii="Cambria Math" w:eastAsia="Calibri" w:hAnsi="Cambria Math"/>
                        <w:lang w:eastAsia="en-US"/>
                      </w:rPr>
                      <m:t>acid</m:t>
                    </m:r>
                  </m:sub>
                  <m:sup>
                    <m:r>
                      <w:rPr>
                        <w:rFonts w:ascii="Cambria Math" w:eastAsia="Calibri" w:hAnsi="Cambria Math"/>
                        <w:lang w:eastAsia="en-US"/>
                      </w:rPr>
                      <m:t>2</m:t>
                    </m:r>
                  </m:sup>
                </m:sSubSup>
                <m:r>
                  <w:rPr>
                    <w:rFonts w:ascii="Cambria Math" w:eastAsia="Calibri" w:hAnsi="Cambria Math"/>
                    <w:lang w:eastAsia="en-US"/>
                  </w:rPr>
                  <m:t>+31.5</m:t>
                </m:r>
                <m:sSub>
                  <m:sSubPr>
                    <m:ctrlPr>
                      <w:rPr>
                        <w:rFonts w:ascii="Cambria Math" w:eastAsia="Calibri" w:hAnsi="Cambria Math"/>
                        <w:i/>
                        <w:lang w:eastAsia="en-US"/>
                      </w:rPr>
                    </m:ctrlPr>
                  </m:sSubPr>
                  <m:e>
                    <m:r>
                      <w:rPr>
                        <w:rFonts w:ascii="Cambria Math" w:eastAsia="Calibri" w:hAnsi="Cambria Math"/>
                        <w:lang w:eastAsia="en-US"/>
                      </w:rPr>
                      <m:t>C</m:t>
                    </m:r>
                  </m:e>
                  <m:sub>
                    <m:r>
                      <w:rPr>
                        <w:rFonts w:ascii="Cambria Math" w:eastAsia="Calibri" w:hAnsi="Cambria Math"/>
                        <w:lang w:eastAsia="en-US"/>
                      </w:rPr>
                      <m:t>acid</m:t>
                    </m:r>
                  </m:sub>
                </m:sSub>
                <m:r>
                  <w:rPr>
                    <w:rFonts w:ascii="Cambria Math" w:eastAsia="Calibri" w:hAnsi="Cambria Math"/>
                    <w:lang w:eastAsia="en-US"/>
                  </w:rPr>
                  <m:t>+177.4</m:t>
                </m:r>
              </m:den>
            </m:f>
          </m:den>
        </m:f>
      </m:oMath>
      <w:r w:rsidR="00587334" w:rsidRPr="007012B3">
        <w:rPr>
          <w:sz w:val="22"/>
          <w:szCs w:val="22"/>
          <w:lang w:eastAsia="en-US"/>
        </w:rPr>
        <w:tab/>
      </w:r>
      <w:r w:rsidR="00587334" w:rsidRPr="007012B3">
        <w:rPr>
          <w:sz w:val="22"/>
          <w:szCs w:val="22"/>
          <w:lang w:eastAsia="en-US"/>
        </w:rPr>
        <w:tab/>
      </w:r>
      <w:r w:rsidR="00587334" w:rsidRPr="007012B3">
        <w:rPr>
          <w:sz w:val="22"/>
          <w:szCs w:val="22"/>
          <w:lang w:eastAsia="en-US"/>
        </w:rPr>
        <w:tab/>
        <w:t>(12)</w:t>
      </w:r>
    </w:p>
    <w:p w:rsidR="00587334" w:rsidRPr="00EC50A1" w:rsidRDefault="00587334" w:rsidP="007012B3">
      <w:pPr>
        <w:ind w:firstLine="426"/>
        <w:jc w:val="both"/>
        <w:rPr>
          <w:bCs/>
          <w:sz w:val="18"/>
          <w:szCs w:val="18"/>
        </w:rPr>
      </w:pPr>
    </w:p>
    <w:p w:rsidR="00587334" w:rsidRPr="007012B3" w:rsidRDefault="00587334" w:rsidP="007012B3">
      <w:pPr>
        <w:ind w:firstLine="426"/>
        <w:jc w:val="both"/>
        <w:rPr>
          <w:bCs/>
          <w:sz w:val="22"/>
          <w:szCs w:val="22"/>
        </w:rPr>
      </w:pPr>
      <w:r w:rsidRPr="007012B3">
        <w:rPr>
          <w:bCs/>
          <w:sz w:val="22"/>
          <w:szCs w:val="22"/>
        </w:rPr>
        <w:t>These equations describe an empirical model for antioxidant extraction from RGP with aqueous acetic and citric acids and provide the values for P</w:t>
      </w:r>
      <w:r w:rsidRPr="007012B3">
        <w:rPr>
          <w:bCs/>
          <w:sz w:val="22"/>
          <w:szCs w:val="22"/>
          <w:vertAlign w:val="subscript"/>
        </w:rPr>
        <w:t>R</w:t>
      </w:r>
      <w:r w:rsidRPr="007012B3">
        <w:rPr>
          <w:bCs/>
          <w:sz w:val="22"/>
          <w:szCs w:val="22"/>
        </w:rPr>
        <w:t xml:space="preserve"> at any time </w:t>
      </w:r>
      <w:r w:rsidRPr="007012B3">
        <w:rPr>
          <w:bCs/>
          <w:i/>
          <w:sz w:val="22"/>
          <w:szCs w:val="22"/>
        </w:rPr>
        <w:t>t</w:t>
      </w:r>
      <w:r w:rsidRPr="007012B3">
        <w:rPr>
          <w:bCs/>
          <w:sz w:val="22"/>
          <w:szCs w:val="22"/>
        </w:rPr>
        <w:t xml:space="preserve"> and any concentration </w:t>
      </w:r>
      <w:r w:rsidRPr="007012B3">
        <w:rPr>
          <w:sz w:val="22"/>
          <w:szCs w:val="22"/>
        </w:rPr>
        <w:t>C</w:t>
      </w:r>
      <w:r w:rsidRPr="007012B3">
        <w:rPr>
          <w:sz w:val="22"/>
          <w:szCs w:val="22"/>
          <w:vertAlign w:val="subscript"/>
        </w:rPr>
        <w:t>acid</w:t>
      </w:r>
      <w:r w:rsidRPr="007012B3">
        <w:rPr>
          <w:bCs/>
          <w:sz w:val="22"/>
          <w:szCs w:val="22"/>
        </w:rPr>
        <w:t xml:space="preserve"> within the limits set by the experimental design. </w:t>
      </w:r>
    </w:p>
    <w:p w:rsidR="00587334" w:rsidRPr="00D03A54" w:rsidRDefault="00587334" w:rsidP="007012B3">
      <w:pPr>
        <w:ind w:firstLine="426"/>
        <w:jc w:val="both"/>
        <w:rPr>
          <w:bCs/>
        </w:rPr>
      </w:pPr>
    </w:p>
    <w:p w:rsidR="00587334" w:rsidRDefault="00587334" w:rsidP="007012B3">
      <w:pPr>
        <w:ind w:firstLine="426"/>
        <w:jc w:val="both"/>
        <w:rPr>
          <w:bCs/>
          <w:sz w:val="22"/>
          <w:szCs w:val="22"/>
        </w:rPr>
      </w:pPr>
      <w:r w:rsidRPr="007012B3">
        <w:rPr>
          <w:bCs/>
          <w:sz w:val="22"/>
          <w:szCs w:val="22"/>
        </w:rPr>
        <w:t>Model validation</w:t>
      </w:r>
    </w:p>
    <w:p w:rsidR="00EC50A1" w:rsidRDefault="00EC50A1" w:rsidP="007012B3">
      <w:pPr>
        <w:ind w:firstLine="426"/>
        <w:jc w:val="both"/>
        <w:rPr>
          <w:bCs/>
          <w:sz w:val="22"/>
          <w:szCs w:val="22"/>
        </w:rPr>
      </w:pPr>
    </w:p>
    <w:p w:rsidR="00EC50A1" w:rsidRDefault="00EC50A1" w:rsidP="007012B3">
      <w:pPr>
        <w:ind w:firstLine="426"/>
        <w:jc w:val="both"/>
        <w:rPr>
          <w:sz w:val="22"/>
          <w:szCs w:val="22"/>
        </w:rPr>
      </w:pPr>
      <w:r w:rsidRPr="00EC50A1">
        <w:rPr>
          <w:sz w:val="22"/>
          <w:szCs w:val="22"/>
        </w:rPr>
        <w:t>Several combinations of C</w:t>
      </w:r>
      <w:r w:rsidRPr="00EC50A1">
        <w:rPr>
          <w:sz w:val="22"/>
          <w:szCs w:val="22"/>
          <w:vertAlign w:val="subscript"/>
        </w:rPr>
        <w:t>acid</w:t>
      </w:r>
      <w:r w:rsidRPr="00EC50A1">
        <w:rPr>
          <w:sz w:val="22"/>
          <w:szCs w:val="22"/>
        </w:rPr>
        <w:t xml:space="preserve"> and </w:t>
      </w:r>
      <w:r w:rsidRPr="00EC50A1">
        <w:rPr>
          <w:i/>
          <w:sz w:val="22"/>
          <w:szCs w:val="22"/>
        </w:rPr>
        <w:t>t</w:t>
      </w:r>
      <w:r w:rsidRPr="00EC50A1">
        <w:rPr>
          <w:sz w:val="22"/>
          <w:szCs w:val="22"/>
        </w:rPr>
        <w:t xml:space="preserve"> were used to assure </w:t>
      </w:r>
      <w:r w:rsidRPr="005B58AA">
        <w:rPr>
          <w:sz w:val="22"/>
          <w:szCs w:val="22"/>
        </w:rPr>
        <w:t>model validity (Table 3) and for this purpose linear regression was performed between the observed and the predicted values to ascertain the degree of correlation (Figure 3).</w:t>
      </w:r>
    </w:p>
    <w:p w:rsidR="00EC50A1" w:rsidRPr="00EC50A1" w:rsidRDefault="00EC50A1" w:rsidP="007012B3">
      <w:pPr>
        <w:ind w:firstLine="426"/>
        <w:jc w:val="both"/>
        <w:rPr>
          <w:bCs/>
          <w:sz w:val="22"/>
          <w:szCs w:val="22"/>
        </w:rPr>
      </w:pPr>
    </w:p>
    <w:p w:rsidR="00EC50A1" w:rsidRDefault="00EC50A1" w:rsidP="00EC50A1">
      <w:pPr>
        <w:pStyle w:val="BodyText"/>
        <w:tabs>
          <w:tab w:val="left" w:pos="8280"/>
        </w:tabs>
        <w:spacing w:after="0"/>
        <w:jc w:val="both"/>
        <w:rPr>
          <w:sz w:val="22"/>
          <w:szCs w:val="22"/>
        </w:rPr>
      </w:pPr>
      <w:r w:rsidRPr="007012B3">
        <w:rPr>
          <w:sz w:val="22"/>
          <w:szCs w:val="22"/>
        </w:rPr>
        <w:t>Table 3. Predicted and observed P</w:t>
      </w:r>
      <w:r w:rsidRPr="007012B3">
        <w:rPr>
          <w:sz w:val="22"/>
          <w:szCs w:val="22"/>
          <w:vertAlign w:val="subscript"/>
        </w:rPr>
        <w:t>R</w:t>
      </w:r>
      <w:r w:rsidRPr="007012B3">
        <w:rPr>
          <w:sz w:val="22"/>
          <w:szCs w:val="22"/>
        </w:rPr>
        <w:t xml:space="preserve"> values obtained using the extraction models.</w:t>
      </w:r>
    </w:p>
    <w:p w:rsidR="00EC50A1" w:rsidRPr="007012B3" w:rsidRDefault="00EC50A1" w:rsidP="00EC50A1">
      <w:pPr>
        <w:pStyle w:val="BodyText"/>
        <w:tabs>
          <w:tab w:val="left" w:pos="8280"/>
        </w:tabs>
        <w:spacing w:after="0"/>
        <w:jc w:val="both"/>
        <w:rPr>
          <w:sz w:val="22"/>
          <w:szCs w:val="22"/>
        </w:rPr>
      </w:pPr>
    </w:p>
    <w:tbl>
      <w:tblPr>
        <w:tblW w:w="7371" w:type="dxa"/>
        <w:jc w:val="center"/>
        <w:tblCellMar>
          <w:left w:w="28" w:type="dxa"/>
          <w:right w:w="28" w:type="dxa"/>
        </w:tblCellMar>
        <w:tblLook w:val="04A0"/>
      </w:tblPr>
      <w:tblGrid>
        <w:gridCol w:w="620"/>
        <w:gridCol w:w="1109"/>
        <w:gridCol w:w="1090"/>
        <w:gridCol w:w="1138"/>
        <w:gridCol w:w="1138"/>
        <w:gridCol w:w="1138"/>
        <w:gridCol w:w="1138"/>
      </w:tblGrid>
      <w:tr w:rsidR="00EC50A1" w:rsidRPr="007012B3" w:rsidTr="005B58AA">
        <w:trPr>
          <w:trHeight w:val="283"/>
          <w:jc w:val="center"/>
        </w:trPr>
        <w:tc>
          <w:tcPr>
            <w:tcW w:w="620" w:type="dxa"/>
            <w:vMerge w:val="restart"/>
            <w:tcBorders>
              <w:top w:val="single" w:sz="4" w:space="0" w:color="auto"/>
              <w:bottom w:val="single" w:sz="4" w:space="0" w:color="auto"/>
            </w:tcBorders>
            <w:shd w:val="clear" w:color="auto" w:fill="auto"/>
            <w:vAlign w:val="center"/>
          </w:tcPr>
          <w:p w:rsidR="00EC50A1" w:rsidRPr="00FB0B49" w:rsidRDefault="00EC50A1" w:rsidP="005A32AF">
            <w:pPr>
              <w:pStyle w:val="BodyText"/>
              <w:tabs>
                <w:tab w:val="left" w:pos="8280"/>
              </w:tabs>
              <w:spacing w:after="0"/>
              <w:jc w:val="center"/>
              <w:rPr>
                <w:sz w:val="18"/>
                <w:szCs w:val="18"/>
              </w:rPr>
            </w:pPr>
            <w:r w:rsidRPr="007012B3">
              <w:rPr>
                <w:sz w:val="18"/>
                <w:szCs w:val="18"/>
              </w:rPr>
              <w:t>Run</w:t>
            </w:r>
          </w:p>
        </w:tc>
        <w:tc>
          <w:tcPr>
            <w:tcW w:w="1109" w:type="dxa"/>
            <w:vMerge w:val="restart"/>
            <w:tcBorders>
              <w:top w:val="single" w:sz="4" w:space="0" w:color="auto"/>
              <w:bottom w:val="single" w:sz="4" w:space="0" w:color="auto"/>
            </w:tcBorders>
            <w:shd w:val="clear" w:color="auto" w:fill="auto"/>
            <w:vAlign w:val="center"/>
          </w:tcPr>
          <w:p w:rsidR="00EC50A1" w:rsidRPr="00FB0B49" w:rsidRDefault="00EC50A1" w:rsidP="005A32AF">
            <w:pPr>
              <w:pStyle w:val="BodyText"/>
              <w:tabs>
                <w:tab w:val="left" w:pos="8280"/>
              </w:tabs>
              <w:spacing w:after="0"/>
              <w:jc w:val="center"/>
              <w:rPr>
                <w:sz w:val="18"/>
                <w:szCs w:val="18"/>
              </w:rPr>
            </w:pPr>
            <w:r w:rsidRPr="007012B3">
              <w:rPr>
                <w:sz w:val="18"/>
                <w:szCs w:val="18"/>
              </w:rPr>
              <w:t>Time (min)</w:t>
            </w:r>
          </w:p>
        </w:tc>
        <w:tc>
          <w:tcPr>
            <w:tcW w:w="1090" w:type="dxa"/>
            <w:vMerge w:val="restart"/>
            <w:tcBorders>
              <w:top w:val="single" w:sz="4" w:space="0" w:color="auto"/>
              <w:bottom w:val="single" w:sz="4" w:space="0" w:color="auto"/>
            </w:tcBorders>
            <w:shd w:val="clear" w:color="auto" w:fill="auto"/>
            <w:vAlign w:val="center"/>
          </w:tcPr>
          <w:p w:rsidR="00EC50A1" w:rsidRPr="00FB0B49" w:rsidRDefault="00EC50A1" w:rsidP="005A32AF">
            <w:pPr>
              <w:pStyle w:val="BodyText"/>
              <w:tabs>
                <w:tab w:val="left" w:pos="8280"/>
              </w:tabs>
              <w:spacing w:after="0"/>
              <w:jc w:val="center"/>
              <w:rPr>
                <w:sz w:val="18"/>
                <w:szCs w:val="18"/>
              </w:rPr>
            </w:pPr>
            <w:r w:rsidRPr="007012B3">
              <w:rPr>
                <w:sz w:val="18"/>
                <w:szCs w:val="18"/>
              </w:rPr>
              <w:t>C</w:t>
            </w:r>
            <w:r w:rsidRPr="007012B3">
              <w:rPr>
                <w:sz w:val="18"/>
                <w:szCs w:val="18"/>
                <w:vertAlign w:val="subscript"/>
              </w:rPr>
              <w:t>acid</w:t>
            </w:r>
            <w:r w:rsidRPr="007012B3">
              <w:rPr>
                <w:sz w:val="18"/>
                <w:szCs w:val="18"/>
              </w:rPr>
              <w:t xml:space="preserve"> (% w/v)</w:t>
            </w:r>
          </w:p>
        </w:tc>
        <w:tc>
          <w:tcPr>
            <w:tcW w:w="4552" w:type="dxa"/>
            <w:gridSpan w:val="4"/>
            <w:tcBorders>
              <w:top w:val="single" w:sz="4" w:space="0" w:color="auto"/>
              <w:bottom w:val="single" w:sz="4" w:space="0" w:color="auto"/>
            </w:tcBorders>
            <w:shd w:val="clear" w:color="auto" w:fill="auto"/>
            <w:vAlign w:val="center"/>
          </w:tcPr>
          <w:p w:rsidR="00EC50A1" w:rsidRPr="00FB0B49" w:rsidRDefault="00EC50A1" w:rsidP="005A32AF">
            <w:pPr>
              <w:pStyle w:val="BodyText"/>
              <w:tabs>
                <w:tab w:val="left" w:pos="8280"/>
              </w:tabs>
              <w:spacing w:after="0"/>
              <w:jc w:val="center"/>
              <w:rPr>
                <w:sz w:val="18"/>
                <w:szCs w:val="18"/>
              </w:rPr>
            </w:pPr>
            <w:r w:rsidRPr="007012B3">
              <w:rPr>
                <w:sz w:val="18"/>
                <w:szCs w:val="18"/>
              </w:rPr>
              <w:t>P</w:t>
            </w:r>
            <w:r w:rsidRPr="007012B3">
              <w:rPr>
                <w:sz w:val="18"/>
                <w:szCs w:val="18"/>
                <w:vertAlign w:val="subscript"/>
              </w:rPr>
              <w:t>R</w:t>
            </w:r>
            <w:r w:rsidRPr="007012B3">
              <w:rPr>
                <w:sz w:val="18"/>
                <w:szCs w:val="18"/>
              </w:rPr>
              <w:t xml:space="preserve"> (μM AAE g</w:t>
            </w:r>
            <w:r w:rsidRPr="007012B3">
              <w:rPr>
                <w:sz w:val="18"/>
                <w:szCs w:val="18"/>
                <w:vertAlign w:val="superscript"/>
              </w:rPr>
              <w:t>-1</w:t>
            </w:r>
            <w:r w:rsidRPr="007012B3">
              <w:rPr>
                <w:sz w:val="18"/>
                <w:szCs w:val="18"/>
              </w:rPr>
              <w:t xml:space="preserve"> dpw)</w:t>
            </w:r>
          </w:p>
        </w:tc>
      </w:tr>
      <w:tr w:rsidR="00EC50A1" w:rsidRPr="007012B3" w:rsidTr="005B58AA">
        <w:trPr>
          <w:trHeight w:val="283"/>
          <w:jc w:val="center"/>
        </w:trPr>
        <w:tc>
          <w:tcPr>
            <w:tcW w:w="620" w:type="dxa"/>
            <w:vMerge/>
            <w:tcBorders>
              <w:bottom w:val="single" w:sz="4" w:space="0" w:color="auto"/>
            </w:tcBorders>
            <w:shd w:val="clear" w:color="auto" w:fill="auto"/>
            <w:vAlign w:val="center"/>
          </w:tcPr>
          <w:p w:rsidR="00EC50A1" w:rsidRPr="00FB0B49" w:rsidRDefault="00EC50A1" w:rsidP="005A32AF">
            <w:pPr>
              <w:pStyle w:val="BodyText"/>
              <w:tabs>
                <w:tab w:val="left" w:pos="8280"/>
              </w:tabs>
              <w:spacing w:after="0"/>
              <w:jc w:val="center"/>
              <w:rPr>
                <w:sz w:val="18"/>
                <w:szCs w:val="18"/>
              </w:rPr>
            </w:pPr>
          </w:p>
        </w:tc>
        <w:tc>
          <w:tcPr>
            <w:tcW w:w="1109" w:type="dxa"/>
            <w:vMerge/>
            <w:tcBorders>
              <w:bottom w:val="single" w:sz="4" w:space="0" w:color="auto"/>
            </w:tcBorders>
            <w:shd w:val="clear" w:color="auto" w:fill="auto"/>
            <w:vAlign w:val="center"/>
          </w:tcPr>
          <w:p w:rsidR="00EC50A1" w:rsidRPr="00FB0B49" w:rsidRDefault="00EC50A1" w:rsidP="005A32AF">
            <w:pPr>
              <w:pStyle w:val="BodyText"/>
              <w:tabs>
                <w:tab w:val="left" w:pos="8280"/>
              </w:tabs>
              <w:spacing w:after="0"/>
              <w:jc w:val="center"/>
              <w:rPr>
                <w:sz w:val="18"/>
                <w:szCs w:val="18"/>
              </w:rPr>
            </w:pPr>
          </w:p>
        </w:tc>
        <w:tc>
          <w:tcPr>
            <w:tcW w:w="1090" w:type="dxa"/>
            <w:vMerge/>
            <w:tcBorders>
              <w:bottom w:val="single" w:sz="4" w:space="0" w:color="auto"/>
            </w:tcBorders>
            <w:shd w:val="clear" w:color="auto" w:fill="auto"/>
            <w:vAlign w:val="center"/>
          </w:tcPr>
          <w:p w:rsidR="00EC50A1" w:rsidRPr="00FB0B49" w:rsidRDefault="00EC50A1" w:rsidP="005A32AF">
            <w:pPr>
              <w:pStyle w:val="BodyText"/>
              <w:tabs>
                <w:tab w:val="left" w:pos="8280"/>
              </w:tabs>
              <w:spacing w:after="0"/>
              <w:jc w:val="center"/>
              <w:rPr>
                <w:sz w:val="18"/>
                <w:szCs w:val="18"/>
              </w:rPr>
            </w:pPr>
          </w:p>
        </w:tc>
        <w:tc>
          <w:tcPr>
            <w:tcW w:w="2276" w:type="dxa"/>
            <w:gridSpan w:val="2"/>
            <w:tcBorders>
              <w:top w:val="single" w:sz="4" w:space="0" w:color="auto"/>
              <w:bottom w:val="single" w:sz="4" w:space="0" w:color="auto"/>
            </w:tcBorders>
            <w:shd w:val="clear" w:color="auto" w:fill="auto"/>
            <w:vAlign w:val="center"/>
          </w:tcPr>
          <w:p w:rsidR="00EC50A1" w:rsidRPr="00FB0B49" w:rsidRDefault="00EC50A1" w:rsidP="005A32AF">
            <w:pPr>
              <w:pStyle w:val="BodyText"/>
              <w:tabs>
                <w:tab w:val="left" w:pos="8280"/>
              </w:tabs>
              <w:spacing w:after="0"/>
              <w:jc w:val="center"/>
              <w:rPr>
                <w:sz w:val="18"/>
                <w:szCs w:val="18"/>
              </w:rPr>
            </w:pPr>
            <w:r w:rsidRPr="007012B3">
              <w:rPr>
                <w:i/>
                <w:sz w:val="18"/>
                <w:szCs w:val="18"/>
              </w:rPr>
              <w:t>Acetic acid</w:t>
            </w:r>
          </w:p>
        </w:tc>
        <w:tc>
          <w:tcPr>
            <w:tcW w:w="2276" w:type="dxa"/>
            <w:gridSpan w:val="2"/>
            <w:tcBorders>
              <w:top w:val="single" w:sz="4" w:space="0" w:color="auto"/>
              <w:bottom w:val="single" w:sz="4" w:space="0" w:color="auto"/>
            </w:tcBorders>
            <w:shd w:val="clear" w:color="auto" w:fill="auto"/>
            <w:vAlign w:val="center"/>
          </w:tcPr>
          <w:p w:rsidR="00EC50A1" w:rsidRPr="00FB0B49" w:rsidRDefault="00EC50A1" w:rsidP="005A32AF">
            <w:pPr>
              <w:pStyle w:val="BodyText"/>
              <w:tabs>
                <w:tab w:val="left" w:pos="8280"/>
              </w:tabs>
              <w:spacing w:after="0"/>
              <w:jc w:val="center"/>
              <w:rPr>
                <w:i/>
                <w:sz w:val="18"/>
                <w:szCs w:val="18"/>
              </w:rPr>
            </w:pPr>
            <w:r w:rsidRPr="007012B3">
              <w:rPr>
                <w:i/>
                <w:sz w:val="18"/>
                <w:szCs w:val="18"/>
              </w:rPr>
              <w:t>Citric acid</w:t>
            </w:r>
          </w:p>
        </w:tc>
      </w:tr>
      <w:tr w:rsidR="00EC50A1" w:rsidRPr="007012B3" w:rsidTr="005B58AA">
        <w:trPr>
          <w:trHeight w:val="283"/>
          <w:jc w:val="center"/>
        </w:trPr>
        <w:tc>
          <w:tcPr>
            <w:tcW w:w="620" w:type="dxa"/>
            <w:vMerge/>
            <w:tcBorders>
              <w:bottom w:val="single" w:sz="4" w:space="0" w:color="auto"/>
            </w:tcBorders>
            <w:shd w:val="clear" w:color="auto" w:fill="auto"/>
            <w:vAlign w:val="center"/>
          </w:tcPr>
          <w:p w:rsidR="00EC50A1" w:rsidRPr="00FB0B49" w:rsidRDefault="00EC50A1" w:rsidP="005A32AF">
            <w:pPr>
              <w:pStyle w:val="BodyText"/>
              <w:tabs>
                <w:tab w:val="left" w:pos="8280"/>
              </w:tabs>
              <w:spacing w:after="0"/>
              <w:jc w:val="center"/>
              <w:rPr>
                <w:sz w:val="18"/>
                <w:szCs w:val="18"/>
              </w:rPr>
            </w:pPr>
          </w:p>
        </w:tc>
        <w:tc>
          <w:tcPr>
            <w:tcW w:w="1109" w:type="dxa"/>
            <w:vMerge/>
            <w:tcBorders>
              <w:bottom w:val="single" w:sz="4" w:space="0" w:color="auto"/>
            </w:tcBorders>
            <w:shd w:val="clear" w:color="auto" w:fill="auto"/>
            <w:vAlign w:val="center"/>
          </w:tcPr>
          <w:p w:rsidR="00EC50A1" w:rsidRPr="00FB0B49" w:rsidRDefault="00EC50A1" w:rsidP="005A32AF">
            <w:pPr>
              <w:pStyle w:val="BodyText"/>
              <w:tabs>
                <w:tab w:val="left" w:pos="8280"/>
              </w:tabs>
              <w:spacing w:after="0"/>
              <w:jc w:val="center"/>
              <w:rPr>
                <w:sz w:val="18"/>
                <w:szCs w:val="18"/>
              </w:rPr>
            </w:pPr>
          </w:p>
        </w:tc>
        <w:tc>
          <w:tcPr>
            <w:tcW w:w="1090" w:type="dxa"/>
            <w:vMerge/>
            <w:tcBorders>
              <w:bottom w:val="single" w:sz="4" w:space="0" w:color="auto"/>
            </w:tcBorders>
            <w:shd w:val="clear" w:color="auto" w:fill="auto"/>
            <w:vAlign w:val="center"/>
          </w:tcPr>
          <w:p w:rsidR="00EC50A1" w:rsidRPr="00FB0B49" w:rsidRDefault="00EC50A1" w:rsidP="005A32AF">
            <w:pPr>
              <w:pStyle w:val="BodyText"/>
              <w:tabs>
                <w:tab w:val="left" w:pos="8280"/>
              </w:tabs>
              <w:spacing w:after="0"/>
              <w:jc w:val="center"/>
              <w:rPr>
                <w:sz w:val="18"/>
                <w:szCs w:val="18"/>
              </w:rPr>
            </w:pPr>
          </w:p>
        </w:tc>
        <w:tc>
          <w:tcPr>
            <w:tcW w:w="1138" w:type="dxa"/>
            <w:tcBorders>
              <w:top w:val="single" w:sz="4" w:space="0" w:color="auto"/>
              <w:bottom w:val="single" w:sz="4" w:space="0" w:color="auto"/>
            </w:tcBorders>
            <w:shd w:val="clear" w:color="auto" w:fill="auto"/>
            <w:vAlign w:val="center"/>
          </w:tcPr>
          <w:p w:rsidR="00EC50A1" w:rsidRPr="00FB0B49" w:rsidRDefault="00EC50A1" w:rsidP="005A32AF">
            <w:pPr>
              <w:pStyle w:val="BodyText"/>
              <w:tabs>
                <w:tab w:val="left" w:pos="8280"/>
              </w:tabs>
              <w:spacing w:after="0"/>
              <w:jc w:val="center"/>
              <w:rPr>
                <w:sz w:val="18"/>
                <w:szCs w:val="18"/>
              </w:rPr>
            </w:pPr>
            <w:r w:rsidRPr="007012B3">
              <w:rPr>
                <w:sz w:val="18"/>
                <w:szCs w:val="18"/>
              </w:rPr>
              <w:t>Observed</w:t>
            </w:r>
          </w:p>
        </w:tc>
        <w:tc>
          <w:tcPr>
            <w:tcW w:w="1138" w:type="dxa"/>
            <w:tcBorders>
              <w:top w:val="single" w:sz="4" w:space="0" w:color="auto"/>
              <w:bottom w:val="single" w:sz="4" w:space="0" w:color="auto"/>
            </w:tcBorders>
            <w:shd w:val="clear" w:color="auto" w:fill="auto"/>
            <w:vAlign w:val="center"/>
          </w:tcPr>
          <w:p w:rsidR="00EC50A1" w:rsidRPr="00FB0B49" w:rsidRDefault="00EC50A1" w:rsidP="005A32AF">
            <w:pPr>
              <w:pStyle w:val="BodyText"/>
              <w:tabs>
                <w:tab w:val="left" w:pos="8280"/>
              </w:tabs>
              <w:spacing w:after="0"/>
              <w:jc w:val="center"/>
              <w:rPr>
                <w:sz w:val="18"/>
                <w:szCs w:val="18"/>
              </w:rPr>
            </w:pPr>
            <w:r w:rsidRPr="007012B3">
              <w:rPr>
                <w:sz w:val="18"/>
                <w:szCs w:val="18"/>
              </w:rPr>
              <w:t>Predicted</w:t>
            </w:r>
          </w:p>
        </w:tc>
        <w:tc>
          <w:tcPr>
            <w:tcW w:w="1138" w:type="dxa"/>
            <w:tcBorders>
              <w:top w:val="single" w:sz="4" w:space="0" w:color="auto"/>
              <w:bottom w:val="single" w:sz="4" w:space="0" w:color="auto"/>
            </w:tcBorders>
            <w:shd w:val="clear" w:color="auto" w:fill="auto"/>
            <w:vAlign w:val="center"/>
          </w:tcPr>
          <w:p w:rsidR="00EC50A1" w:rsidRPr="00FB0B49" w:rsidRDefault="00EC50A1" w:rsidP="005A32AF">
            <w:pPr>
              <w:pStyle w:val="BodyText"/>
              <w:tabs>
                <w:tab w:val="left" w:pos="8280"/>
              </w:tabs>
              <w:spacing w:after="0"/>
              <w:jc w:val="center"/>
              <w:rPr>
                <w:sz w:val="18"/>
                <w:szCs w:val="18"/>
              </w:rPr>
            </w:pPr>
            <w:r w:rsidRPr="007012B3">
              <w:rPr>
                <w:sz w:val="18"/>
                <w:szCs w:val="18"/>
              </w:rPr>
              <w:t>Observed</w:t>
            </w:r>
          </w:p>
        </w:tc>
        <w:tc>
          <w:tcPr>
            <w:tcW w:w="1138" w:type="dxa"/>
            <w:tcBorders>
              <w:top w:val="single" w:sz="4" w:space="0" w:color="auto"/>
              <w:bottom w:val="single" w:sz="4" w:space="0" w:color="auto"/>
            </w:tcBorders>
            <w:shd w:val="clear" w:color="auto" w:fill="auto"/>
            <w:vAlign w:val="center"/>
          </w:tcPr>
          <w:p w:rsidR="00EC50A1" w:rsidRPr="00FB0B49" w:rsidRDefault="00EC50A1" w:rsidP="005A32AF">
            <w:pPr>
              <w:pStyle w:val="BodyText"/>
              <w:tabs>
                <w:tab w:val="left" w:pos="8280"/>
              </w:tabs>
              <w:spacing w:after="0"/>
              <w:jc w:val="center"/>
              <w:rPr>
                <w:sz w:val="18"/>
                <w:szCs w:val="18"/>
              </w:rPr>
            </w:pPr>
            <w:r w:rsidRPr="007012B3">
              <w:rPr>
                <w:sz w:val="18"/>
                <w:szCs w:val="18"/>
              </w:rPr>
              <w:t>Predicted</w:t>
            </w:r>
          </w:p>
        </w:tc>
      </w:tr>
      <w:tr w:rsidR="00EC50A1" w:rsidRPr="007012B3" w:rsidTr="00EC50A1">
        <w:trPr>
          <w:trHeight w:val="255"/>
          <w:jc w:val="center"/>
        </w:trPr>
        <w:tc>
          <w:tcPr>
            <w:tcW w:w="620" w:type="dxa"/>
            <w:tcBorders>
              <w:top w:val="single" w:sz="4" w:space="0" w:color="auto"/>
            </w:tcBorders>
            <w:shd w:val="clear" w:color="auto" w:fill="auto"/>
            <w:vAlign w:val="center"/>
          </w:tcPr>
          <w:p w:rsidR="00EC50A1" w:rsidRPr="00FB0B49" w:rsidRDefault="00EC50A1" w:rsidP="005A32AF">
            <w:pPr>
              <w:pStyle w:val="BodyText"/>
              <w:tabs>
                <w:tab w:val="left" w:pos="8280"/>
              </w:tabs>
              <w:spacing w:after="0"/>
              <w:jc w:val="center"/>
              <w:rPr>
                <w:sz w:val="18"/>
                <w:szCs w:val="18"/>
              </w:rPr>
            </w:pPr>
            <w:r w:rsidRPr="007012B3">
              <w:rPr>
                <w:sz w:val="18"/>
                <w:szCs w:val="18"/>
              </w:rPr>
              <w:t>1</w:t>
            </w:r>
          </w:p>
        </w:tc>
        <w:tc>
          <w:tcPr>
            <w:tcW w:w="1109" w:type="dxa"/>
            <w:tcBorders>
              <w:top w:val="single" w:sz="4" w:space="0" w:color="auto"/>
            </w:tcBorders>
            <w:shd w:val="clear" w:color="auto" w:fill="auto"/>
            <w:vAlign w:val="center"/>
          </w:tcPr>
          <w:p w:rsidR="00EC50A1" w:rsidRPr="00FB0B49" w:rsidRDefault="00EC50A1" w:rsidP="005A32AF">
            <w:pPr>
              <w:pStyle w:val="BodyText"/>
              <w:tabs>
                <w:tab w:val="left" w:pos="8280"/>
              </w:tabs>
              <w:spacing w:after="0"/>
              <w:jc w:val="center"/>
              <w:rPr>
                <w:sz w:val="18"/>
                <w:szCs w:val="18"/>
              </w:rPr>
            </w:pPr>
            <w:r w:rsidRPr="007012B3">
              <w:rPr>
                <w:sz w:val="18"/>
                <w:szCs w:val="18"/>
              </w:rPr>
              <w:t>10</w:t>
            </w:r>
          </w:p>
        </w:tc>
        <w:tc>
          <w:tcPr>
            <w:tcW w:w="1090" w:type="dxa"/>
            <w:tcBorders>
              <w:top w:val="single" w:sz="4" w:space="0" w:color="auto"/>
            </w:tcBorders>
            <w:shd w:val="clear" w:color="auto" w:fill="auto"/>
            <w:vAlign w:val="center"/>
          </w:tcPr>
          <w:p w:rsidR="00EC50A1" w:rsidRPr="00FB0B49" w:rsidRDefault="00EC50A1" w:rsidP="005A32AF">
            <w:pPr>
              <w:pStyle w:val="BodyText"/>
              <w:tabs>
                <w:tab w:val="left" w:pos="8280"/>
              </w:tabs>
              <w:spacing w:after="0"/>
              <w:jc w:val="center"/>
              <w:rPr>
                <w:sz w:val="18"/>
                <w:szCs w:val="18"/>
              </w:rPr>
            </w:pPr>
            <w:r w:rsidRPr="007012B3">
              <w:rPr>
                <w:sz w:val="18"/>
                <w:szCs w:val="18"/>
              </w:rPr>
              <w:t>1</w:t>
            </w:r>
          </w:p>
        </w:tc>
        <w:tc>
          <w:tcPr>
            <w:tcW w:w="1138" w:type="dxa"/>
            <w:tcBorders>
              <w:top w:val="single" w:sz="4" w:space="0" w:color="auto"/>
            </w:tcBorders>
            <w:shd w:val="clear" w:color="auto" w:fill="auto"/>
            <w:vAlign w:val="center"/>
          </w:tcPr>
          <w:p w:rsidR="00EC50A1" w:rsidRPr="00FB0B49" w:rsidRDefault="00EC50A1" w:rsidP="005A32AF">
            <w:pPr>
              <w:pStyle w:val="BodyText"/>
              <w:tabs>
                <w:tab w:val="left" w:pos="8280"/>
              </w:tabs>
              <w:spacing w:after="0"/>
              <w:jc w:val="center"/>
              <w:rPr>
                <w:sz w:val="18"/>
                <w:szCs w:val="18"/>
              </w:rPr>
            </w:pPr>
            <w:r w:rsidRPr="007012B3">
              <w:rPr>
                <w:sz w:val="18"/>
                <w:szCs w:val="18"/>
              </w:rPr>
              <w:t>83.7</w:t>
            </w:r>
          </w:p>
        </w:tc>
        <w:tc>
          <w:tcPr>
            <w:tcW w:w="1138" w:type="dxa"/>
            <w:tcBorders>
              <w:top w:val="single" w:sz="4" w:space="0" w:color="auto"/>
            </w:tcBorders>
            <w:shd w:val="clear" w:color="auto" w:fill="auto"/>
            <w:vAlign w:val="center"/>
          </w:tcPr>
          <w:p w:rsidR="00EC50A1" w:rsidRPr="00FB0B49" w:rsidRDefault="00EC50A1" w:rsidP="005A32AF">
            <w:pPr>
              <w:pStyle w:val="BodyText"/>
              <w:tabs>
                <w:tab w:val="left" w:pos="8280"/>
              </w:tabs>
              <w:spacing w:after="0"/>
              <w:jc w:val="center"/>
              <w:rPr>
                <w:sz w:val="18"/>
                <w:szCs w:val="18"/>
              </w:rPr>
            </w:pPr>
            <w:r w:rsidRPr="007012B3">
              <w:rPr>
                <w:sz w:val="18"/>
                <w:szCs w:val="18"/>
              </w:rPr>
              <w:t>93.1</w:t>
            </w:r>
          </w:p>
        </w:tc>
        <w:tc>
          <w:tcPr>
            <w:tcW w:w="1138" w:type="dxa"/>
            <w:tcBorders>
              <w:top w:val="single" w:sz="4" w:space="0" w:color="auto"/>
            </w:tcBorders>
            <w:shd w:val="clear" w:color="auto" w:fill="auto"/>
            <w:vAlign w:val="center"/>
          </w:tcPr>
          <w:p w:rsidR="00EC50A1" w:rsidRPr="00FB0B49" w:rsidRDefault="00EC50A1" w:rsidP="005A32AF">
            <w:pPr>
              <w:pStyle w:val="BodyText"/>
              <w:tabs>
                <w:tab w:val="left" w:pos="8280"/>
              </w:tabs>
              <w:spacing w:after="0"/>
              <w:jc w:val="center"/>
              <w:rPr>
                <w:sz w:val="18"/>
                <w:szCs w:val="18"/>
              </w:rPr>
            </w:pPr>
            <w:r w:rsidRPr="007012B3">
              <w:rPr>
                <w:sz w:val="18"/>
                <w:szCs w:val="18"/>
              </w:rPr>
              <w:t>198.8</w:t>
            </w:r>
          </w:p>
        </w:tc>
        <w:tc>
          <w:tcPr>
            <w:tcW w:w="1138" w:type="dxa"/>
            <w:tcBorders>
              <w:top w:val="single" w:sz="4" w:space="0" w:color="auto"/>
            </w:tcBorders>
            <w:shd w:val="clear" w:color="auto" w:fill="auto"/>
            <w:vAlign w:val="center"/>
          </w:tcPr>
          <w:p w:rsidR="00EC50A1" w:rsidRPr="00FB0B49" w:rsidRDefault="00EC50A1" w:rsidP="005A32AF">
            <w:pPr>
              <w:pStyle w:val="BodyText"/>
              <w:tabs>
                <w:tab w:val="left" w:pos="8280"/>
              </w:tabs>
              <w:spacing w:after="0"/>
              <w:jc w:val="center"/>
              <w:rPr>
                <w:sz w:val="18"/>
                <w:szCs w:val="18"/>
              </w:rPr>
            </w:pPr>
            <w:r w:rsidRPr="007012B3">
              <w:rPr>
                <w:sz w:val="18"/>
                <w:szCs w:val="18"/>
              </w:rPr>
              <w:t>197.3</w:t>
            </w:r>
          </w:p>
        </w:tc>
      </w:tr>
      <w:tr w:rsidR="00EC50A1" w:rsidRPr="007012B3" w:rsidTr="00EC50A1">
        <w:trPr>
          <w:trHeight w:val="255"/>
          <w:jc w:val="center"/>
        </w:trPr>
        <w:tc>
          <w:tcPr>
            <w:tcW w:w="620" w:type="dxa"/>
            <w:shd w:val="clear" w:color="auto" w:fill="auto"/>
            <w:vAlign w:val="center"/>
          </w:tcPr>
          <w:p w:rsidR="00EC50A1" w:rsidRPr="00FB0B49" w:rsidRDefault="00EC50A1" w:rsidP="005A32AF">
            <w:pPr>
              <w:pStyle w:val="BodyText"/>
              <w:tabs>
                <w:tab w:val="left" w:pos="8280"/>
              </w:tabs>
              <w:spacing w:after="0"/>
              <w:jc w:val="center"/>
              <w:rPr>
                <w:sz w:val="18"/>
                <w:szCs w:val="18"/>
              </w:rPr>
            </w:pPr>
            <w:r w:rsidRPr="007012B3">
              <w:rPr>
                <w:sz w:val="18"/>
                <w:szCs w:val="18"/>
              </w:rPr>
              <w:t>2</w:t>
            </w:r>
          </w:p>
        </w:tc>
        <w:tc>
          <w:tcPr>
            <w:tcW w:w="1109" w:type="dxa"/>
            <w:shd w:val="clear" w:color="auto" w:fill="auto"/>
            <w:vAlign w:val="center"/>
          </w:tcPr>
          <w:p w:rsidR="00EC50A1" w:rsidRPr="00FB0B49" w:rsidRDefault="00EC50A1" w:rsidP="005A32AF">
            <w:pPr>
              <w:pStyle w:val="BodyText"/>
              <w:tabs>
                <w:tab w:val="left" w:pos="8280"/>
              </w:tabs>
              <w:spacing w:after="0"/>
              <w:jc w:val="center"/>
              <w:rPr>
                <w:sz w:val="18"/>
                <w:szCs w:val="18"/>
              </w:rPr>
            </w:pPr>
            <w:r w:rsidRPr="007012B3">
              <w:rPr>
                <w:sz w:val="18"/>
                <w:szCs w:val="18"/>
              </w:rPr>
              <w:t>160</w:t>
            </w:r>
          </w:p>
        </w:tc>
        <w:tc>
          <w:tcPr>
            <w:tcW w:w="1090" w:type="dxa"/>
            <w:shd w:val="clear" w:color="auto" w:fill="auto"/>
            <w:vAlign w:val="center"/>
          </w:tcPr>
          <w:p w:rsidR="00EC50A1" w:rsidRPr="00FB0B49" w:rsidRDefault="00EC50A1" w:rsidP="005A32AF">
            <w:pPr>
              <w:pStyle w:val="BodyText"/>
              <w:tabs>
                <w:tab w:val="left" w:pos="8280"/>
              </w:tabs>
              <w:spacing w:after="0"/>
              <w:jc w:val="center"/>
              <w:rPr>
                <w:sz w:val="18"/>
                <w:szCs w:val="18"/>
              </w:rPr>
            </w:pPr>
            <w:r w:rsidRPr="007012B3">
              <w:rPr>
                <w:sz w:val="18"/>
                <w:szCs w:val="18"/>
              </w:rPr>
              <w:t>1</w:t>
            </w:r>
          </w:p>
        </w:tc>
        <w:tc>
          <w:tcPr>
            <w:tcW w:w="1138" w:type="dxa"/>
            <w:shd w:val="clear" w:color="auto" w:fill="auto"/>
            <w:vAlign w:val="center"/>
          </w:tcPr>
          <w:p w:rsidR="00EC50A1" w:rsidRPr="00FB0B49" w:rsidRDefault="00EC50A1" w:rsidP="005A32AF">
            <w:pPr>
              <w:pStyle w:val="BodyText"/>
              <w:tabs>
                <w:tab w:val="left" w:pos="8280"/>
              </w:tabs>
              <w:spacing w:after="0"/>
              <w:jc w:val="center"/>
              <w:rPr>
                <w:sz w:val="18"/>
                <w:szCs w:val="18"/>
              </w:rPr>
            </w:pPr>
            <w:r w:rsidRPr="007012B3">
              <w:rPr>
                <w:sz w:val="18"/>
                <w:szCs w:val="18"/>
              </w:rPr>
              <w:t>103.1</w:t>
            </w:r>
          </w:p>
        </w:tc>
        <w:tc>
          <w:tcPr>
            <w:tcW w:w="1138" w:type="dxa"/>
            <w:shd w:val="clear" w:color="auto" w:fill="auto"/>
            <w:vAlign w:val="center"/>
          </w:tcPr>
          <w:p w:rsidR="00EC50A1" w:rsidRPr="00FB0B49" w:rsidRDefault="00EC50A1" w:rsidP="005A32AF">
            <w:pPr>
              <w:pStyle w:val="BodyText"/>
              <w:tabs>
                <w:tab w:val="left" w:pos="8280"/>
              </w:tabs>
              <w:spacing w:after="0"/>
              <w:jc w:val="center"/>
              <w:rPr>
                <w:sz w:val="18"/>
                <w:szCs w:val="18"/>
              </w:rPr>
            </w:pPr>
            <w:r w:rsidRPr="007012B3">
              <w:rPr>
                <w:sz w:val="18"/>
                <w:szCs w:val="18"/>
              </w:rPr>
              <w:t>102.8</w:t>
            </w:r>
          </w:p>
        </w:tc>
        <w:tc>
          <w:tcPr>
            <w:tcW w:w="1138" w:type="dxa"/>
            <w:shd w:val="clear" w:color="auto" w:fill="auto"/>
            <w:vAlign w:val="center"/>
          </w:tcPr>
          <w:p w:rsidR="00EC50A1" w:rsidRPr="00FB0B49" w:rsidRDefault="00EC50A1" w:rsidP="005A32AF">
            <w:pPr>
              <w:pStyle w:val="BodyText"/>
              <w:tabs>
                <w:tab w:val="left" w:pos="8280"/>
              </w:tabs>
              <w:spacing w:after="0"/>
              <w:jc w:val="center"/>
              <w:rPr>
                <w:sz w:val="18"/>
                <w:szCs w:val="18"/>
              </w:rPr>
            </w:pPr>
            <w:r w:rsidRPr="007012B3">
              <w:rPr>
                <w:sz w:val="18"/>
                <w:szCs w:val="18"/>
              </w:rPr>
              <w:t>205.0</w:t>
            </w:r>
          </w:p>
        </w:tc>
        <w:tc>
          <w:tcPr>
            <w:tcW w:w="1138" w:type="dxa"/>
            <w:shd w:val="clear" w:color="auto" w:fill="auto"/>
            <w:vAlign w:val="center"/>
          </w:tcPr>
          <w:p w:rsidR="00EC50A1" w:rsidRPr="00FB0B49" w:rsidRDefault="00EC50A1" w:rsidP="005A32AF">
            <w:pPr>
              <w:pStyle w:val="BodyText"/>
              <w:tabs>
                <w:tab w:val="left" w:pos="8280"/>
              </w:tabs>
              <w:spacing w:after="0"/>
              <w:jc w:val="center"/>
              <w:rPr>
                <w:sz w:val="18"/>
                <w:szCs w:val="18"/>
              </w:rPr>
            </w:pPr>
            <w:r w:rsidRPr="007012B3">
              <w:rPr>
                <w:sz w:val="18"/>
                <w:szCs w:val="18"/>
              </w:rPr>
              <w:t>203.9</w:t>
            </w:r>
          </w:p>
        </w:tc>
      </w:tr>
      <w:tr w:rsidR="00EC50A1" w:rsidRPr="007012B3" w:rsidTr="00EC50A1">
        <w:trPr>
          <w:trHeight w:val="255"/>
          <w:jc w:val="center"/>
        </w:trPr>
        <w:tc>
          <w:tcPr>
            <w:tcW w:w="620" w:type="dxa"/>
            <w:shd w:val="clear" w:color="auto" w:fill="auto"/>
            <w:vAlign w:val="center"/>
          </w:tcPr>
          <w:p w:rsidR="00EC50A1" w:rsidRPr="00FB0B49" w:rsidRDefault="00EC50A1" w:rsidP="005A32AF">
            <w:pPr>
              <w:pStyle w:val="BodyText"/>
              <w:tabs>
                <w:tab w:val="left" w:pos="8280"/>
              </w:tabs>
              <w:spacing w:after="0"/>
              <w:jc w:val="center"/>
              <w:rPr>
                <w:sz w:val="18"/>
                <w:szCs w:val="18"/>
              </w:rPr>
            </w:pPr>
            <w:r w:rsidRPr="007012B3">
              <w:rPr>
                <w:sz w:val="18"/>
                <w:szCs w:val="18"/>
              </w:rPr>
              <w:t>3</w:t>
            </w:r>
          </w:p>
        </w:tc>
        <w:tc>
          <w:tcPr>
            <w:tcW w:w="1109" w:type="dxa"/>
            <w:shd w:val="clear" w:color="auto" w:fill="auto"/>
            <w:vAlign w:val="center"/>
          </w:tcPr>
          <w:p w:rsidR="00EC50A1" w:rsidRPr="00FB0B49" w:rsidRDefault="00EC50A1" w:rsidP="005A32AF">
            <w:pPr>
              <w:pStyle w:val="BodyText"/>
              <w:tabs>
                <w:tab w:val="left" w:pos="8280"/>
              </w:tabs>
              <w:spacing w:after="0"/>
              <w:jc w:val="center"/>
              <w:rPr>
                <w:sz w:val="18"/>
                <w:szCs w:val="18"/>
              </w:rPr>
            </w:pPr>
            <w:r w:rsidRPr="007012B3">
              <w:rPr>
                <w:sz w:val="18"/>
                <w:szCs w:val="18"/>
              </w:rPr>
              <w:t>320</w:t>
            </w:r>
          </w:p>
        </w:tc>
        <w:tc>
          <w:tcPr>
            <w:tcW w:w="1090" w:type="dxa"/>
            <w:shd w:val="clear" w:color="auto" w:fill="auto"/>
            <w:vAlign w:val="center"/>
          </w:tcPr>
          <w:p w:rsidR="00EC50A1" w:rsidRPr="00FB0B49" w:rsidRDefault="00EC50A1" w:rsidP="005A32AF">
            <w:pPr>
              <w:pStyle w:val="BodyText"/>
              <w:tabs>
                <w:tab w:val="left" w:pos="8280"/>
              </w:tabs>
              <w:spacing w:after="0"/>
              <w:jc w:val="center"/>
              <w:rPr>
                <w:sz w:val="18"/>
                <w:szCs w:val="18"/>
              </w:rPr>
            </w:pPr>
            <w:r w:rsidRPr="007012B3">
              <w:rPr>
                <w:sz w:val="18"/>
                <w:szCs w:val="18"/>
              </w:rPr>
              <w:t>1</w:t>
            </w:r>
          </w:p>
        </w:tc>
        <w:tc>
          <w:tcPr>
            <w:tcW w:w="1138" w:type="dxa"/>
            <w:shd w:val="clear" w:color="auto" w:fill="auto"/>
            <w:vAlign w:val="center"/>
          </w:tcPr>
          <w:p w:rsidR="00EC50A1" w:rsidRPr="00FB0B49" w:rsidRDefault="00EC50A1" w:rsidP="005A32AF">
            <w:pPr>
              <w:pStyle w:val="BodyText"/>
              <w:tabs>
                <w:tab w:val="left" w:pos="8280"/>
              </w:tabs>
              <w:spacing w:after="0"/>
              <w:jc w:val="center"/>
              <w:rPr>
                <w:sz w:val="18"/>
                <w:szCs w:val="18"/>
              </w:rPr>
            </w:pPr>
            <w:r w:rsidRPr="007012B3">
              <w:rPr>
                <w:sz w:val="18"/>
                <w:szCs w:val="18"/>
              </w:rPr>
              <w:t>105.6</w:t>
            </w:r>
          </w:p>
        </w:tc>
        <w:tc>
          <w:tcPr>
            <w:tcW w:w="1138" w:type="dxa"/>
            <w:shd w:val="clear" w:color="auto" w:fill="auto"/>
            <w:vAlign w:val="center"/>
          </w:tcPr>
          <w:p w:rsidR="00EC50A1" w:rsidRPr="00FB0B49" w:rsidRDefault="00EC50A1" w:rsidP="005A32AF">
            <w:pPr>
              <w:pStyle w:val="BodyText"/>
              <w:tabs>
                <w:tab w:val="left" w:pos="8280"/>
              </w:tabs>
              <w:spacing w:after="0"/>
              <w:jc w:val="center"/>
              <w:rPr>
                <w:sz w:val="18"/>
                <w:szCs w:val="18"/>
              </w:rPr>
            </w:pPr>
            <w:r w:rsidRPr="007012B3">
              <w:rPr>
                <w:sz w:val="18"/>
                <w:szCs w:val="18"/>
              </w:rPr>
              <w:t>103.1</w:t>
            </w:r>
          </w:p>
        </w:tc>
        <w:tc>
          <w:tcPr>
            <w:tcW w:w="1138" w:type="dxa"/>
            <w:shd w:val="clear" w:color="auto" w:fill="auto"/>
            <w:vAlign w:val="center"/>
          </w:tcPr>
          <w:p w:rsidR="00EC50A1" w:rsidRPr="00FB0B49" w:rsidRDefault="00EC50A1" w:rsidP="005A32AF">
            <w:pPr>
              <w:pStyle w:val="BodyText"/>
              <w:tabs>
                <w:tab w:val="left" w:pos="8280"/>
              </w:tabs>
              <w:spacing w:after="0"/>
              <w:jc w:val="center"/>
              <w:rPr>
                <w:sz w:val="18"/>
                <w:szCs w:val="18"/>
              </w:rPr>
            </w:pPr>
            <w:r w:rsidRPr="007012B3">
              <w:rPr>
                <w:sz w:val="18"/>
                <w:szCs w:val="18"/>
              </w:rPr>
              <w:t>206.0</w:t>
            </w:r>
          </w:p>
        </w:tc>
        <w:tc>
          <w:tcPr>
            <w:tcW w:w="1138" w:type="dxa"/>
            <w:shd w:val="clear" w:color="auto" w:fill="auto"/>
            <w:vAlign w:val="center"/>
          </w:tcPr>
          <w:p w:rsidR="00EC50A1" w:rsidRPr="00FB0B49" w:rsidRDefault="00EC50A1" w:rsidP="005A32AF">
            <w:pPr>
              <w:pStyle w:val="BodyText"/>
              <w:tabs>
                <w:tab w:val="left" w:pos="8280"/>
              </w:tabs>
              <w:spacing w:after="0"/>
              <w:jc w:val="center"/>
              <w:rPr>
                <w:sz w:val="18"/>
                <w:szCs w:val="18"/>
              </w:rPr>
            </w:pPr>
            <w:r w:rsidRPr="007012B3">
              <w:rPr>
                <w:sz w:val="18"/>
                <w:szCs w:val="18"/>
              </w:rPr>
              <w:t>204.1</w:t>
            </w:r>
          </w:p>
        </w:tc>
      </w:tr>
      <w:tr w:rsidR="00EC50A1" w:rsidRPr="007012B3" w:rsidTr="00EC50A1">
        <w:trPr>
          <w:trHeight w:val="255"/>
          <w:jc w:val="center"/>
        </w:trPr>
        <w:tc>
          <w:tcPr>
            <w:tcW w:w="620" w:type="dxa"/>
            <w:shd w:val="clear" w:color="auto" w:fill="auto"/>
            <w:vAlign w:val="center"/>
          </w:tcPr>
          <w:p w:rsidR="00EC50A1" w:rsidRPr="00FB0B49" w:rsidRDefault="00EC50A1" w:rsidP="005A32AF">
            <w:pPr>
              <w:pStyle w:val="BodyText"/>
              <w:tabs>
                <w:tab w:val="left" w:pos="8280"/>
              </w:tabs>
              <w:spacing w:after="0"/>
              <w:jc w:val="center"/>
              <w:rPr>
                <w:sz w:val="18"/>
                <w:szCs w:val="18"/>
              </w:rPr>
            </w:pPr>
            <w:r w:rsidRPr="007012B3">
              <w:rPr>
                <w:sz w:val="18"/>
                <w:szCs w:val="18"/>
              </w:rPr>
              <w:t>4</w:t>
            </w:r>
          </w:p>
        </w:tc>
        <w:tc>
          <w:tcPr>
            <w:tcW w:w="1109" w:type="dxa"/>
            <w:shd w:val="clear" w:color="auto" w:fill="auto"/>
            <w:vAlign w:val="center"/>
          </w:tcPr>
          <w:p w:rsidR="00EC50A1" w:rsidRPr="00FB0B49" w:rsidRDefault="00EC50A1" w:rsidP="005A32AF">
            <w:pPr>
              <w:pStyle w:val="BodyText"/>
              <w:tabs>
                <w:tab w:val="left" w:pos="8280"/>
              </w:tabs>
              <w:spacing w:after="0"/>
              <w:jc w:val="center"/>
              <w:rPr>
                <w:sz w:val="18"/>
                <w:szCs w:val="18"/>
              </w:rPr>
            </w:pPr>
            <w:r w:rsidRPr="007012B3">
              <w:rPr>
                <w:sz w:val="18"/>
                <w:szCs w:val="18"/>
              </w:rPr>
              <w:t>10</w:t>
            </w:r>
          </w:p>
        </w:tc>
        <w:tc>
          <w:tcPr>
            <w:tcW w:w="1090" w:type="dxa"/>
            <w:shd w:val="clear" w:color="auto" w:fill="auto"/>
            <w:vAlign w:val="center"/>
          </w:tcPr>
          <w:p w:rsidR="00EC50A1" w:rsidRPr="00FB0B49" w:rsidRDefault="00EC50A1" w:rsidP="005A32AF">
            <w:pPr>
              <w:pStyle w:val="BodyText"/>
              <w:tabs>
                <w:tab w:val="left" w:pos="8280"/>
              </w:tabs>
              <w:spacing w:after="0"/>
              <w:jc w:val="center"/>
              <w:rPr>
                <w:sz w:val="18"/>
                <w:szCs w:val="18"/>
              </w:rPr>
            </w:pPr>
            <w:r w:rsidRPr="007012B3">
              <w:rPr>
                <w:sz w:val="18"/>
                <w:szCs w:val="18"/>
              </w:rPr>
              <w:t>2</w:t>
            </w:r>
          </w:p>
        </w:tc>
        <w:tc>
          <w:tcPr>
            <w:tcW w:w="1138" w:type="dxa"/>
            <w:shd w:val="clear" w:color="auto" w:fill="auto"/>
            <w:vAlign w:val="center"/>
          </w:tcPr>
          <w:p w:rsidR="00EC50A1" w:rsidRPr="00FB0B49" w:rsidRDefault="00EC50A1" w:rsidP="005A32AF">
            <w:pPr>
              <w:pStyle w:val="BodyText"/>
              <w:tabs>
                <w:tab w:val="left" w:pos="8280"/>
              </w:tabs>
              <w:spacing w:after="0"/>
              <w:jc w:val="center"/>
              <w:rPr>
                <w:sz w:val="18"/>
                <w:szCs w:val="18"/>
              </w:rPr>
            </w:pPr>
            <w:r w:rsidRPr="007012B3">
              <w:rPr>
                <w:sz w:val="18"/>
                <w:szCs w:val="18"/>
              </w:rPr>
              <w:t>101.2</w:t>
            </w:r>
          </w:p>
        </w:tc>
        <w:tc>
          <w:tcPr>
            <w:tcW w:w="1138" w:type="dxa"/>
            <w:shd w:val="clear" w:color="auto" w:fill="auto"/>
            <w:vAlign w:val="center"/>
          </w:tcPr>
          <w:p w:rsidR="00EC50A1" w:rsidRPr="00FB0B49" w:rsidRDefault="00EC50A1" w:rsidP="005A32AF">
            <w:pPr>
              <w:pStyle w:val="BodyText"/>
              <w:tabs>
                <w:tab w:val="left" w:pos="8280"/>
              </w:tabs>
              <w:spacing w:after="0"/>
              <w:jc w:val="center"/>
              <w:rPr>
                <w:sz w:val="18"/>
                <w:szCs w:val="18"/>
              </w:rPr>
            </w:pPr>
            <w:r w:rsidRPr="007012B3">
              <w:rPr>
                <w:sz w:val="18"/>
                <w:szCs w:val="18"/>
              </w:rPr>
              <w:t>99.8</w:t>
            </w:r>
          </w:p>
        </w:tc>
        <w:tc>
          <w:tcPr>
            <w:tcW w:w="1138" w:type="dxa"/>
            <w:shd w:val="clear" w:color="auto" w:fill="auto"/>
            <w:vAlign w:val="center"/>
          </w:tcPr>
          <w:p w:rsidR="00EC50A1" w:rsidRPr="00FB0B49" w:rsidRDefault="00EC50A1" w:rsidP="005A32AF">
            <w:pPr>
              <w:pStyle w:val="BodyText"/>
              <w:tabs>
                <w:tab w:val="left" w:pos="8280"/>
              </w:tabs>
              <w:spacing w:after="0"/>
              <w:jc w:val="center"/>
              <w:rPr>
                <w:sz w:val="18"/>
                <w:szCs w:val="18"/>
              </w:rPr>
            </w:pPr>
            <w:r w:rsidRPr="007012B3">
              <w:rPr>
                <w:sz w:val="18"/>
                <w:szCs w:val="18"/>
              </w:rPr>
              <w:t>216.0</w:t>
            </w:r>
          </w:p>
        </w:tc>
        <w:tc>
          <w:tcPr>
            <w:tcW w:w="1138" w:type="dxa"/>
            <w:shd w:val="clear" w:color="auto" w:fill="auto"/>
            <w:vAlign w:val="center"/>
          </w:tcPr>
          <w:p w:rsidR="00EC50A1" w:rsidRPr="00FB0B49" w:rsidRDefault="00EC50A1" w:rsidP="005A32AF">
            <w:pPr>
              <w:pStyle w:val="BodyText"/>
              <w:tabs>
                <w:tab w:val="left" w:pos="8280"/>
              </w:tabs>
              <w:spacing w:after="0"/>
              <w:jc w:val="center"/>
              <w:rPr>
                <w:sz w:val="18"/>
                <w:szCs w:val="18"/>
              </w:rPr>
            </w:pPr>
            <w:r w:rsidRPr="007012B3">
              <w:rPr>
                <w:sz w:val="18"/>
                <w:szCs w:val="18"/>
              </w:rPr>
              <w:t>214.6</w:t>
            </w:r>
          </w:p>
        </w:tc>
      </w:tr>
      <w:tr w:rsidR="00EC50A1" w:rsidRPr="007012B3" w:rsidTr="00EC50A1">
        <w:trPr>
          <w:trHeight w:val="255"/>
          <w:jc w:val="center"/>
        </w:trPr>
        <w:tc>
          <w:tcPr>
            <w:tcW w:w="620" w:type="dxa"/>
            <w:shd w:val="clear" w:color="auto" w:fill="auto"/>
            <w:vAlign w:val="center"/>
          </w:tcPr>
          <w:p w:rsidR="00EC50A1" w:rsidRPr="00FB0B49" w:rsidRDefault="00EC50A1" w:rsidP="005A32AF">
            <w:pPr>
              <w:pStyle w:val="BodyText"/>
              <w:tabs>
                <w:tab w:val="left" w:pos="8280"/>
              </w:tabs>
              <w:spacing w:after="0"/>
              <w:jc w:val="center"/>
              <w:rPr>
                <w:sz w:val="18"/>
                <w:szCs w:val="18"/>
              </w:rPr>
            </w:pPr>
            <w:r w:rsidRPr="007012B3">
              <w:rPr>
                <w:sz w:val="18"/>
                <w:szCs w:val="18"/>
              </w:rPr>
              <w:t>5</w:t>
            </w:r>
          </w:p>
        </w:tc>
        <w:tc>
          <w:tcPr>
            <w:tcW w:w="1109" w:type="dxa"/>
            <w:shd w:val="clear" w:color="auto" w:fill="auto"/>
            <w:vAlign w:val="center"/>
          </w:tcPr>
          <w:p w:rsidR="00EC50A1" w:rsidRPr="00FB0B49" w:rsidRDefault="00EC50A1" w:rsidP="005A32AF">
            <w:pPr>
              <w:pStyle w:val="BodyText"/>
              <w:tabs>
                <w:tab w:val="left" w:pos="8280"/>
              </w:tabs>
              <w:spacing w:after="0"/>
              <w:jc w:val="center"/>
              <w:rPr>
                <w:sz w:val="18"/>
                <w:szCs w:val="18"/>
              </w:rPr>
            </w:pPr>
            <w:r w:rsidRPr="007012B3">
              <w:rPr>
                <w:sz w:val="18"/>
                <w:szCs w:val="18"/>
              </w:rPr>
              <w:t>160</w:t>
            </w:r>
          </w:p>
        </w:tc>
        <w:tc>
          <w:tcPr>
            <w:tcW w:w="1090" w:type="dxa"/>
            <w:shd w:val="clear" w:color="auto" w:fill="auto"/>
            <w:vAlign w:val="center"/>
          </w:tcPr>
          <w:p w:rsidR="00EC50A1" w:rsidRPr="00FB0B49" w:rsidRDefault="00EC50A1" w:rsidP="005A32AF">
            <w:pPr>
              <w:pStyle w:val="BodyText"/>
              <w:tabs>
                <w:tab w:val="left" w:pos="8280"/>
              </w:tabs>
              <w:spacing w:after="0"/>
              <w:jc w:val="center"/>
              <w:rPr>
                <w:sz w:val="18"/>
                <w:szCs w:val="18"/>
              </w:rPr>
            </w:pPr>
            <w:r w:rsidRPr="007012B3">
              <w:rPr>
                <w:sz w:val="18"/>
                <w:szCs w:val="18"/>
              </w:rPr>
              <w:t>2</w:t>
            </w:r>
          </w:p>
        </w:tc>
        <w:tc>
          <w:tcPr>
            <w:tcW w:w="1138" w:type="dxa"/>
            <w:shd w:val="clear" w:color="auto" w:fill="auto"/>
            <w:vAlign w:val="center"/>
          </w:tcPr>
          <w:p w:rsidR="00EC50A1" w:rsidRPr="00FB0B49" w:rsidRDefault="00EC50A1" w:rsidP="005A32AF">
            <w:pPr>
              <w:pStyle w:val="BodyText"/>
              <w:tabs>
                <w:tab w:val="left" w:pos="8280"/>
              </w:tabs>
              <w:spacing w:after="0"/>
              <w:jc w:val="center"/>
              <w:rPr>
                <w:sz w:val="18"/>
                <w:szCs w:val="18"/>
              </w:rPr>
            </w:pPr>
            <w:r w:rsidRPr="007012B3">
              <w:rPr>
                <w:sz w:val="18"/>
                <w:szCs w:val="18"/>
              </w:rPr>
              <w:t>119.1</w:t>
            </w:r>
          </w:p>
        </w:tc>
        <w:tc>
          <w:tcPr>
            <w:tcW w:w="1138" w:type="dxa"/>
            <w:shd w:val="clear" w:color="auto" w:fill="auto"/>
            <w:vAlign w:val="center"/>
          </w:tcPr>
          <w:p w:rsidR="00EC50A1" w:rsidRPr="00FB0B49" w:rsidRDefault="00EC50A1" w:rsidP="005A32AF">
            <w:pPr>
              <w:pStyle w:val="BodyText"/>
              <w:tabs>
                <w:tab w:val="left" w:pos="8280"/>
              </w:tabs>
              <w:spacing w:after="0"/>
              <w:jc w:val="center"/>
              <w:rPr>
                <w:sz w:val="18"/>
                <w:szCs w:val="18"/>
              </w:rPr>
            </w:pPr>
            <w:r w:rsidRPr="007012B3">
              <w:rPr>
                <w:sz w:val="18"/>
                <w:szCs w:val="18"/>
              </w:rPr>
              <w:t>117.4</w:t>
            </w:r>
          </w:p>
        </w:tc>
        <w:tc>
          <w:tcPr>
            <w:tcW w:w="1138" w:type="dxa"/>
            <w:shd w:val="clear" w:color="auto" w:fill="auto"/>
            <w:vAlign w:val="center"/>
          </w:tcPr>
          <w:p w:rsidR="00EC50A1" w:rsidRPr="00FB0B49" w:rsidRDefault="00EC50A1" w:rsidP="005A32AF">
            <w:pPr>
              <w:pStyle w:val="BodyText"/>
              <w:tabs>
                <w:tab w:val="left" w:pos="8280"/>
              </w:tabs>
              <w:spacing w:after="0"/>
              <w:jc w:val="center"/>
              <w:rPr>
                <w:sz w:val="18"/>
                <w:szCs w:val="18"/>
              </w:rPr>
            </w:pPr>
            <w:r w:rsidRPr="007012B3">
              <w:rPr>
                <w:sz w:val="18"/>
                <w:szCs w:val="18"/>
              </w:rPr>
              <w:t>222.0</w:t>
            </w:r>
          </w:p>
        </w:tc>
        <w:tc>
          <w:tcPr>
            <w:tcW w:w="1138" w:type="dxa"/>
            <w:shd w:val="clear" w:color="auto" w:fill="auto"/>
            <w:vAlign w:val="center"/>
          </w:tcPr>
          <w:p w:rsidR="00EC50A1" w:rsidRPr="00FB0B49" w:rsidRDefault="00EC50A1" w:rsidP="005A32AF">
            <w:pPr>
              <w:pStyle w:val="BodyText"/>
              <w:tabs>
                <w:tab w:val="left" w:pos="8280"/>
              </w:tabs>
              <w:spacing w:after="0"/>
              <w:jc w:val="center"/>
              <w:rPr>
                <w:sz w:val="18"/>
                <w:szCs w:val="18"/>
              </w:rPr>
            </w:pPr>
            <w:r w:rsidRPr="007012B3">
              <w:rPr>
                <w:sz w:val="18"/>
                <w:szCs w:val="18"/>
              </w:rPr>
              <w:t>221.5</w:t>
            </w:r>
          </w:p>
        </w:tc>
      </w:tr>
      <w:tr w:rsidR="00EC50A1" w:rsidRPr="007012B3" w:rsidTr="00EC50A1">
        <w:trPr>
          <w:trHeight w:val="255"/>
          <w:jc w:val="center"/>
        </w:trPr>
        <w:tc>
          <w:tcPr>
            <w:tcW w:w="620" w:type="dxa"/>
            <w:shd w:val="clear" w:color="auto" w:fill="auto"/>
            <w:vAlign w:val="center"/>
          </w:tcPr>
          <w:p w:rsidR="00EC50A1" w:rsidRPr="00FB0B49" w:rsidRDefault="00EC50A1" w:rsidP="005A32AF">
            <w:pPr>
              <w:pStyle w:val="BodyText"/>
              <w:tabs>
                <w:tab w:val="left" w:pos="8280"/>
              </w:tabs>
              <w:spacing w:after="0"/>
              <w:jc w:val="center"/>
              <w:rPr>
                <w:sz w:val="18"/>
                <w:szCs w:val="18"/>
              </w:rPr>
            </w:pPr>
            <w:r w:rsidRPr="007012B3">
              <w:rPr>
                <w:sz w:val="18"/>
                <w:szCs w:val="18"/>
              </w:rPr>
              <w:t>6</w:t>
            </w:r>
          </w:p>
        </w:tc>
        <w:tc>
          <w:tcPr>
            <w:tcW w:w="1109" w:type="dxa"/>
            <w:shd w:val="clear" w:color="auto" w:fill="auto"/>
            <w:vAlign w:val="center"/>
          </w:tcPr>
          <w:p w:rsidR="00EC50A1" w:rsidRPr="00FB0B49" w:rsidRDefault="00EC50A1" w:rsidP="005A32AF">
            <w:pPr>
              <w:pStyle w:val="BodyText"/>
              <w:tabs>
                <w:tab w:val="left" w:pos="8280"/>
              </w:tabs>
              <w:spacing w:after="0"/>
              <w:jc w:val="center"/>
              <w:rPr>
                <w:sz w:val="18"/>
                <w:szCs w:val="18"/>
              </w:rPr>
            </w:pPr>
            <w:r w:rsidRPr="007012B3">
              <w:rPr>
                <w:sz w:val="18"/>
                <w:szCs w:val="18"/>
              </w:rPr>
              <w:t>320</w:t>
            </w:r>
          </w:p>
        </w:tc>
        <w:tc>
          <w:tcPr>
            <w:tcW w:w="1090" w:type="dxa"/>
            <w:shd w:val="clear" w:color="auto" w:fill="auto"/>
            <w:vAlign w:val="center"/>
          </w:tcPr>
          <w:p w:rsidR="00EC50A1" w:rsidRPr="00FB0B49" w:rsidRDefault="00EC50A1" w:rsidP="005A32AF">
            <w:pPr>
              <w:pStyle w:val="BodyText"/>
              <w:tabs>
                <w:tab w:val="left" w:pos="8280"/>
              </w:tabs>
              <w:spacing w:after="0"/>
              <w:jc w:val="center"/>
              <w:rPr>
                <w:sz w:val="18"/>
                <w:szCs w:val="18"/>
              </w:rPr>
            </w:pPr>
            <w:r w:rsidRPr="007012B3">
              <w:rPr>
                <w:sz w:val="18"/>
                <w:szCs w:val="18"/>
              </w:rPr>
              <w:t>2</w:t>
            </w:r>
          </w:p>
        </w:tc>
        <w:tc>
          <w:tcPr>
            <w:tcW w:w="1138" w:type="dxa"/>
            <w:shd w:val="clear" w:color="auto" w:fill="auto"/>
            <w:vAlign w:val="center"/>
          </w:tcPr>
          <w:p w:rsidR="00EC50A1" w:rsidRPr="00FB0B49" w:rsidRDefault="00EC50A1" w:rsidP="005A32AF">
            <w:pPr>
              <w:pStyle w:val="BodyText"/>
              <w:tabs>
                <w:tab w:val="left" w:pos="8280"/>
              </w:tabs>
              <w:spacing w:after="0"/>
              <w:jc w:val="center"/>
              <w:rPr>
                <w:sz w:val="18"/>
                <w:szCs w:val="18"/>
              </w:rPr>
            </w:pPr>
            <w:r w:rsidRPr="007012B3">
              <w:rPr>
                <w:sz w:val="18"/>
                <w:szCs w:val="18"/>
              </w:rPr>
              <w:t>118.2</w:t>
            </w:r>
          </w:p>
        </w:tc>
        <w:tc>
          <w:tcPr>
            <w:tcW w:w="1138" w:type="dxa"/>
            <w:shd w:val="clear" w:color="auto" w:fill="auto"/>
            <w:vAlign w:val="center"/>
          </w:tcPr>
          <w:p w:rsidR="00EC50A1" w:rsidRPr="00FB0B49" w:rsidRDefault="00EC50A1" w:rsidP="005A32AF">
            <w:pPr>
              <w:pStyle w:val="BodyText"/>
              <w:tabs>
                <w:tab w:val="left" w:pos="8280"/>
              </w:tabs>
              <w:spacing w:after="0"/>
              <w:jc w:val="center"/>
              <w:rPr>
                <w:sz w:val="18"/>
                <w:szCs w:val="18"/>
              </w:rPr>
            </w:pPr>
            <w:r w:rsidRPr="007012B3">
              <w:rPr>
                <w:sz w:val="18"/>
                <w:szCs w:val="18"/>
              </w:rPr>
              <w:t>118.1</w:t>
            </w:r>
          </w:p>
        </w:tc>
        <w:tc>
          <w:tcPr>
            <w:tcW w:w="1138" w:type="dxa"/>
            <w:shd w:val="clear" w:color="auto" w:fill="auto"/>
            <w:vAlign w:val="center"/>
          </w:tcPr>
          <w:p w:rsidR="00EC50A1" w:rsidRPr="00FB0B49" w:rsidRDefault="00EC50A1" w:rsidP="005A32AF">
            <w:pPr>
              <w:pStyle w:val="BodyText"/>
              <w:tabs>
                <w:tab w:val="left" w:pos="8280"/>
              </w:tabs>
              <w:spacing w:after="0"/>
              <w:jc w:val="center"/>
              <w:rPr>
                <w:sz w:val="18"/>
                <w:szCs w:val="18"/>
              </w:rPr>
            </w:pPr>
            <w:r w:rsidRPr="007012B3">
              <w:rPr>
                <w:sz w:val="18"/>
                <w:szCs w:val="18"/>
              </w:rPr>
              <w:t>225.0</w:t>
            </w:r>
          </w:p>
        </w:tc>
        <w:tc>
          <w:tcPr>
            <w:tcW w:w="1138" w:type="dxa"/>
            <w:shd w:val="clear" w:color="auto" w:fill="auto"/>
            <w:vAlign w:val="center"/>
          </w:tcPr>
          <w:p w:rsidR="00EC50A1" w:rsidRPr="00FB0B49" w:rsidRDefault="00EC50A1" w:rsidP="005A32AF">
            <w:pPr>
              <w:pStyle w:val="BodyText"/>
              <w:tabs>
                <w:tab w:val="left" w:pos="8280"/>
              </w:tabs>
              <w:spacing w:after="0"/>
              <w:jc w:val="center"/>
              <w:rPr>
                <w:sz w:val="18"/>
                <w:szCs w:val="18"/>
              </w:rPr>
            </w:pPr>
            <w:r w:rsidRPr="007012B3">
              <w:rPr>
                <w:sz w:val="18"/>
                <w:szCs w:val="18"/>
              </w:rPr>
              <w:t>221.8</w:t>
            </w:r>
          </w:p>
        </w:tc>
      </w:tr>
      <w:tr w:rsidR="00EC50A1" w:rsidRPr="007012B3" w:rsidTr="00EC50A1">
        <w:trPr>
          <w:trHeight w:val="255"/>
          <w:jc w:val="center"/>
        </w:trPr>
        <w:tc>
          <w:tcPr>
            <w:tcW w:w="620" w:type="dxa"/>
            <w:shd w:val="clear" w:color="auto" w:fill="auto"/>
            <w:vAlign w:val="center"/>
          </w:tcPr>
          <w:p w:rsidR="00EC50A1" w:rsidRPr="00FB0B49" w:rsidRDefault="00EC50A1" w:rsidP="005A32AF">
            <w:pPr>
              <w:pStyle w:val="BodyText"/>
              <w:tabs>
                <w:tab w:val="left" w:pos="8280"/>
              </w:tabs>
              <w:spacing w:after="0"/>
              <w:jc w:val="center"/>
              <w:rPr>
                <w:sz w:val="18"/>
                <w:szCs w:val="18"/>
              </w:rPr>
            </w:pPr>
            <w:r w:rsidRPr="007012B3">
              <w:rPr>
                <w:sz w:val="18"/>
                <w:szCs w:val="18"/>
              </w:rPr>
              <w:t>7</w:t>
            </w:r>
          </w:p>
        </w:tc>
        <w:tc>
          <w:tcPr>
            <w:tcW w:w="1109" w:type="dxa"/>
            <w:shd w:val="clear" w:color="auto" w:fill="auto"/>
            <w:vAlign w:val="center"/>
          </w:tcPr>
          <w:p w:rsidR="00EC50A1" w:rsidRPr="00FB0B49" w:rsidRDefault="00EC50A1" w:rsidP="005A32AF">
            <w:pPr>
              <w:pStyle w:val="BodyText"/>
              <w:tabs>
                <w:tab w:val="left" w:pos="8280"/>
              </w:tabs>
              <w:spacing w:after="0"/>
              <w:jc w:val="center"/>
              <w:rPr>
                <w:sz w:val="18"/>
                <w:szCs w:val="18"/>
              </w:rPr>
            </w:pPr>
            <w:r w:rsidRPr="007012B3">
              <w:rPr>
                <w:sz w:val="18"/>
                <w:szCs w:val="18"/>
              </w:rPr>
              <w:t>10</w:t>
            </w:r>
          </w:p>
        </w:tc>
        <w:tc>
          <w:tcPr>
            <w:tcW w:w="1090" w:type="dxa"/>
            <w:shd w:val="clear" w:color="auto" w:fill="auto"/>
            <w:vAlign w:val="center"/>
          </w:tcPr>
          <w:p w:rsidR="00EC50A1" w:rsidRPr="00FB0B49" w:rsidRDefault="00EC50A1" w:rsidP="005A32AF">
            <w:pPr>
              <w:pStyle w:val="BodyText"/>
              <w:tabs>
                <w:tab w:val="left" w:pos="8280"/>
              </w:tabs>
              <w:spacing w:after="0"/>
              <w:jc w:val="center"/>
              <w:rPr>
                <w:sz w:val="18"/>
                <w:szCs w:val="18"/>
              </w:rPr>
            </w:pPr>
            <w:r w:rsidRPr="007012B3">
              <w:rPr>
                <w:sz w:val="18"/>
                <w:szCs w:val="18"/>
              </w:rPr>
              <w:t>4</w:t>
            </w:r>
          </w:p>
        </w:tc>
        <w:tc>
          <w:tcPr>
            <w:tcW w:w="1138" w:type="dxa"/>
            <w:shd w:val="clear" w:color="auto" w:fill="auto"/>
            <w:vAlign w:val="center"/>
          </w:tcPr>
          <w:p w:rsidR="00EC50A1" w:rsidRPr="00FB0B49" w:rsidRDefault="00EC50A1" w:rsidP="005A32AF">
            <w:pPr>
              <w:pStyle w:val="BodyText"/>
              <w:tabs>
                <w:tab w:val="left" w:pos="8280"/>
              </w:tabs>
              <w:spacing w:after="0"/>
              <w:jc w:val="center"/>
              <w:rPr>
                <w:sz w:val="18"/>
                <w:szCs w:val="18"/>
              </w:rPr>
            </w:pPr>
            <w:r w:rsidRPr="007012B3">
              <w:rPr>
                <w:sz w:val="18"/>
                <w:szCs w:val="18"/>
              </w:rPr>
              <w:t>117.5</w:t>
            </w:r>
          </w:p>
        </w:tc>
        <w:tc>
          <w:tcPr>
            <w:tcW w:w="1138" w:type="dxa"/>
            <w:shd w:val="clear" w:color="auto" w:fill="auto"/>
            <w:vAlign w:val="center"/>
          </w:tcPr>
          <w:p w:rsidR="00EC50A1" w:rsidRPr="00FB0B49" w:rsidRDefault="00EC50A1" w:rsidP="005A32AF">
            <w:pPr>
              <w:pStyle w:val="BodyText"/>
              <w:tabs>
                <w:tab w:val="left" w:pos="8280"/>
              </w:tabs>
              <w:spacing w:after="0"/>
              <w:jc w:val="center"/>
              <w:rPr>
                <w:sz w:val="18"/>
                <w:szCs w:val="18"/>
              </w:rPr>
            </w:pPr>
            <w:r w:rsidRPr="007012B3">
              <w:rPr>
                <w:sz w:val="18"/>
                <w:szCs w:val="18"/>
              </w:rPr>
              <w:t>115.5</w:t>
            </w:r>
          </w:p>
        </w:tc>
        <w:tc>
          <w:tcPr>
            <w:tcW w:w="1138" w:type="dxa"/>
            <w:shd w:val="clear" w:color="auto" w:fill="auto"/>
            <w:vAlign w:val="center"/>
          </w:tcPr>
          <w:p w:rsidR="00EC50A1" w:rsidRPr="00FB0B49" w:rsidRDefault="00EC50A1" w:rsidP="005A32AF">
            <w:pPr>
              <w:pStyle w:val="BodyText"/>
              <w:tabs>
                <w:tab w:val="left" w:pos="8280"/>
              </w:tabs>
              <w:spacing w:after="0"/>
              <w:jc w:val="center"/>
              <w:rPr>
                <w:sz w:val="18"/>
                <w:szCs w:val="18"/>
              </w:rPr>
            </w:pPr>
            <w:r w:rsidRPr="007012B3">
              <w:rPr>
                <w:sz w:val="18"/>
                <w:szCs w:val="18"/>
              </w:rPr>
              <w:t>225.7</w:t>
            </w:r>
          </w:p>
        </w:tc>
        <w:tc>
          <w:tcPr>
            <w:tcW w:w="1138" w:type="dxa"/>
            <w:shd w:val="clear" w:color="auto" w:fill="auto"/>
            <w:vAlign w:val="center"/>
          </w:tcPr>
          <w:p w:rsidR="00EC50A1" w:rsidRPr="00FB0B49" w:rsidRDefault="00EC50A1" w:rsidP="005A32AF">
            <w:pPr>
              <w:pStyle w:val="BodyText"/>
              <w:tabs>
                <w:tab w:val="left" w:pos="8280"/>
              </w:tabs>
              <w:spacing w:after="0"/>
              <w:jc w:val="center"/>
              <w:rPr>
                <w:sz w:val="18"/>
                <w:szCs w:val="18"/>
              </w:rPr>
            </w:pPr>
            <w:r w:rsidRPr="007012B3">
              <w:rPr>
                <w:sz w:val="18"/>
                <w:szCs w:val="18"/>
              </w:rPr>
              <w:t>225.7</w:t>
            </w:r>
          </w:p>
        </w:tc>
      </w:tr>
      <w:tr w:rsidR="00EC50A1" w:rsidRPr="007012B3" w:rsidTr="00EC50A1">
        <w:trPr>
          <w:trHeight w:val="255"/>
          <w:jc w:val="center"/>
        </w:trPr>
        <w:tc>
          <w:tcPr>
            <w:tcW w:w="620" w:type="dxa"/>
            <w:shd w:val="clear" w:color="auto" w:fill="auto"/>
            <w:vAlign w:val="center"/>
          </w:tcPr>
          <w:p w:rsidR="00EC50A1" w:rsidRPr="00FB0B49" w:rsidRDefault="00EC50A1" w:rsidP="005A32AF">
            <w:pPr>
              <w:pStyle w:val="BodyText"/>
              <w:tabs>
                <w:tab w:val="left" w:pos="8280"/>
              </w:tabs>
              <w:spacing w:after="0"/>
              <w:jc w:val="center"/>
              <w:rPr>
                <w:sz w:val="18"/>
                <w:szCs w:val="18"/>
              </w:rPr>
            </w:pPr>
            <w:r w:rsidRPr="007012B3">
              <w:rPr>
                <w:sz w:val="18"/>
                <w:szCs w:val="18"/>
              </w:rPr>
              <w:t>8</w:t>
            </w:r>
          </w:p>
        </w:tc>
        <w:tc>
          <w:tcPr>
            <w:tcW w:w="1109" w:type="dxa"/>
            <w:shd w:val="clear" w:color="auto" w:fill="auto"/>
            <w:vAlign w:val="center"/>
          </w:tcPr>
          <w:p w:rsidR="00EC50A1" w:rsidRPr="00FB0B49" w:rsidRDefault="00EC50A1" w:rsidP="005A32AF">
            <w:pPr>
              <w:pStyle w:val="BodyText"/>
              <w:tabs>
                <w:tab w:val="left" w:pos="8280"/>
              </w:tabs>
              <w:spacing w:after="0"/>
              <w:jc w:val="center"/>
              <w:rPr>
                <w:sz w:val="18"/>
                <w:szCs w:val="18"/>
              </w:rPr>
            </w:pPr>
            <w:r w:rsidRPr="007012B3">
              <w:rPr>
                <w:sz w:val="18"/>
                <w:szCs w:val="18"/>
              </w:rPr>
              <w:t>160</w:t>
            </w:r>
          </w:p>
        </w:tc>
        <w:tc>
          <w:tcPr>
            <w:tcW w:w="1090" w:type="dxa"/>
            <w:shd w:val="clear" w:color="auto" w:fill="auto"/>
            <w:vAlign w:val="center"/>
          </w:tcPr>
          <w:p w:rsidR="00EC50A1" w:rsidRPr="00FB0B49" w:rsidRDefault="00EC50A1" w:rsidP="005A32AF">
            <w:pPr>
              <w:pStyle w:val="BodyText"/>
              <w:tabs>
                <w:tab w:val="left" w:pos="8280"/>
              </w:tabs>
              <w:spacing w:after="0"/>
              <w:jc w:val="center"/>
              <w:rPr>
                <w:sz w:val="18"/>
                <w:szCs w:val="18"/>
              </w:rPr>
            </w:pPr>
            <w:r w:rsidRPr="007012B3">
              <w:rPr>
                <w:sz w:val="18"/>
                <w:szCs w:val="18"/>
              </w:rPr>
              <w:t>4</w:t>
            </w:r>
          </w:p>
        </w:tc>
        <w:tc>
          <w:tcPr>
            <w:tcW w:w="1138" w:type="dxa"/>
            <w:shd w:val="clear" w:color="auto" w:fill="auto"/>
            <w:vAlign w:val="center"/>
          </w:tcPr>
          <w:p w:rsidR="00EC50A1" w:rsidRPr="00FB0B49" w:rsidRDefault="00EC50A1" w:rsidP="005A32AF">
            <w:pPr>
              <w:pStyle w:val="BodyText"/>
              <w:tabs>
                <w:tab w:val="left" w:pos="8280"/>
              </w:tabs>
              <w:spacing w:after="0"/>
              <w:jc w:val="center"/>
              <w:rPr>
                <w:sz w:val="18"/>
                <w:szCs w:val="18"/>
              </w:rPr>
            </w:pPr>
            <w:r w:rsidRPr="007012B3">
              <w:rPr>
                <w:sz w:val="18"/>
                <w:szCs w:val="18"/>
              </w:rPr>
              <w:t>124.5</w:t>
            </w:r>
          </w:p>
        </w:tc>
        <w:tc>
          <w:tcPr>
            <w:tcW w:w="1138" w:type="dxa"/>
            <w:shd w:val="clear" w:color="auto" w:fill="auto"/>
            <w:vAlign w:val="center"/>
          </w:tcPr>
          <w:p w:rsidR="00EC50A1" w:rsidRPr="00FB0B49" w:rsidRDefault="00EC50A1" w:rsidP="005A32AF">
            <w:pPr>
              <w:pStyle w:val="BodyText"/>
              <w:tabs>
                <w:tab w:val="left" w:pos="8280"/>
              </w:tabs>
              <w:spacing w:after="0"/>
              <w:jc w:val="center"/>
              <w:rPr>
                <w:sz w:val="18"/>
                <w:szCs w:val="18"/>
              </w:rPr>
            </w:pPr>
            <w:r w:rsidRPr="007012B3">
              <w:rPr>
                <w:sz w:val="18"/>
                <w:szCs w:val="18"/>
              </w:rPr>
              <w:t>127.1</w:t>
            </w:r>
          </w:p>
        </w:tc>
        <w:tc>
          <w:tcPr>
            <w:tcW w:w="1138" w:type="dxa"/>
            <w:shd w:val="clear" w:color="auto" w:fill="auto"/>
            <w:vAlign w:val="center"/>
          </w:tcPr>
          <w:p w:rsidR="00EC50A1" w:rsidRPr="00FB0B49" w:rsidRDefault="00EC50A1" w:rsidP="005A32AF">
            <w:pPr>
              <w:pStyle w:val="BodyText"/>
              <w:tabs>
                <w:tab w:val="left" w:pos="8280"/>
              </w:tabs>
              <w:spacing w:after="0"/>
              <w:jc w:val="center"/>
              <w:rPr>
                <w:sz w:val="18"/>
                <w:szCs w:val="18"/>
              </w:rPr>
            </w:pPr>
            <w:r w:rsidRPr="007012B3">
              <w:rPr>
                <w:sz w:val="18"/>
                <w:szCs w:val="18"/>
              </w:rPr>
              <w:t>228.6</w:t>
            </w:r>
          </w:p>
        </w:tc>
        <w:tc>
          <w:tcPr>
            <w:tcW w:w="1138" w:type="dxa"/>
            <w:shd w:val="clear" w:color="auto" w:fill="auto"/>
            <w:vAlign w:val="center"/>
          </w:tcPr>
          <w:p w:rsidR="00EC50A1" w:rsidRPr="00FB0B49" w:rsidRDefault="00EC50A1" w:rsidP="005A32AF">
            <w:pPr>
              <w:pStyle w:val="BodyText"/>
              <w:tabs>
                <w:tab w:val="left" w:pos="8280"/>
              </w:tabs>
              <w:spacing w:after="0"/>
              <w:jc w:val="center"/>
              <w:rPr>
                <w:sz w:val="18"/>
                <w:szCs w:val="18"/>
              </w:rPr>
            </w:pPr>
            <w:r w:rsidRPr="007012B3">
              <w:rPr>
                <w:sz w:val="18"/>
                <w:szCs w:val="18"/>
              </w:rPr>
              <w:t>229.5</w:t>
            </w:r>
          </w:p>
        </w:tc>
      </w:tr>
      <w:tr w:rsidR="00EC50A1" w:rsidRPr="007012B3" w:rsidTr="00EC50A1">
        <w:trPr>
          <w:trHeight w:val="255"/>
          <w:jc w:val="center"/>
        </w:trPr>
        <w:tc>
          <w:tcPr>
            <w:tcW w:w="620" w:type="dxa"/>
            <w:tcBorders>
              <w:bottom w:val="single" w:sz="4" w:space="0" w:color="auto"/>
            </w:tcBorders>
            <w:shd w:val="clear" w:color="auto" w:fill="auto"/>
            <w:vAlign w:val="center"/>
          </w:tcPr>
          <w:p w:rsidR="00EC50A1" w:rsidRPr="00FB0B49" w:rsidRDefault="00EC50A1" w:rsidP="005A32AF">
            <w:pPr>
              <w:pStyle w:val="BodyText"/>
              <w:tabs>
                <w:tab w:val="left" w:pos="8280"/>
              </w:tabs>
              <w:spacing w:after="0"/>
              <w:jc w:val="center"/>
              <w:rPr>
                <w:sz w:val="18"/>
                <w:szCs w:val="18"/>
              </w:rPr>
            </w:pPr>
            <w:r w:rsidRPr="007012B3">
              <w:rPr>
                <w:sz w:val="18"/>
                <w:szCs w:val="18"/>
              </w:rPr>
              <w:t>9</w:t>
            </w:r>
          </w:p>
        </w:tc>
        <w:tc>
          <w:tcPr>
            <w:tcW w:w="1109" w:type="dxa"/>
            <w:tcBorders>
              <w:bottom w:val="single" w:sz="4" w:space="0" w:color="auto"/>
            </w:tcBorders>
            <w:shd w:val="clear" w:color="auto" w:fill="auto"/>
            <w:vAlign w:val="center"/>
          </w:tcPr>
          <w:p w:rsidR="00EC50A1" w:rsidRPr="00FB0B49" w:rsidRDefault="00EC50A1" w:rsidP="005A32AF">
            <w:pPr>
              <w:pStyle w:val="BodyText"/>
              <w:tabs>
                <w:tab w:val="left" w:pos="8280"/>
              </w:tabs>
              <w:spacing w:after="0"/>
              <w:jc w:val="center"/>
              <w:rPr>
                <w:sz w:val="18"/>
                <w:szCs w:val="18"/>
              </w:rPr>
            </w:pPr>
            <w:r w:rsidRPr="007012B3">
              <w:rPr>
                <w:sz w:val="18"/>
                <w:szCs w:val="18"/>
              </w:rPr>
              <w:t>320</w:t>
            </w:r>
          </w:p>
        </w:tc>
        <w:tc>
          <w:tcPr>
            <w:tcW w:w="1090" w:type="dxa"/>
            <w:tcBorders>
              <w:bottom w:val="single" w:sz="4" w:space="0" w:color="auto"/>
            </w:tcBorders>
            <w:shd w:val="clear" w:color="auto" w:fill="auto"/>
            <w:vAlign w:val="center"/>
          </w:tcPr>
          <w:p w:rsidR="00EC50A1" w:rsidRPr="00FB0B49" w:rsidRDefault="00EC50A1" w:rsidP="005A32AF">
            <w:pPr>
              <w:pStyle w:val="BodyText"/>
              <w:tabs>
                <w:tab w:val="left" w:pos="8280"/>
              </w:tabs>
              <w:spacing w:after="0"/>
              <w:jc w:val="center"/>
              <w:rPr>
                <w:sz w:val="18"/>
                <w:szCs w:val="18"/>
              </w:rPr>
            </w:pPr>
            <w:r w:rsidRPr="007012B3">
              <w:rPr>
                <w:sz w:val="18"/>
                <w:szCs w:val="18"/>
              </w:rPr>
              <w:t>4</w:t>
            </w:r>
          </w:p>
        </w:tc>
        <w:tc>
          <w:tcPr>
            <w:tcW w:w="1138" w:type="dxa"/>
            <w:tcBorders>
              <w:bottom w:val="single" w:sz="4" w:space="0" w:color="auto"/>
            </w:tcBorders>
            <w:shd w:val="clear" w:color="auto" w:fill="auto"/>
            <w:vAlign w:val="center"/>
          </w:tcPr>
          <w:p w:rsidR="00EC50A1" w:rsidRPr="00FB0B49" w:rsidRDefault="00EC50A1" w:rsidP="005A32AF">
            <w:pPr>
              <w:pStyle w:val="BodyText"/>
              <w:tabs>
                <w:tab w:val="left" w:pos="8280"/>
              </w:tabs>
              <w:spacing w:after="0"/>
              <w:jc w:val="center"/>
              <w:rPr>
                <w:sz w:val="18"/>
                <w:szCs w:val="18"/>
              </w:rPr>
            </w:pPr>
            <w:r w:rsidRPr="007012B3">
              <w:rPr>
                <w:sz w:val="18"/>
                <w:szCs w:val="18"/>
              </w:rPr>
              <w:t>135.0</w:t>
            </w:r>
          </w:p>
        </w:tc>
        <w:tc>
          <w:tcPr>
            <w:tcW w:w="1138" w:type="dxa"/>
            <w:tcBorders>
              <w:bottom w:val="single" w:sz="4" w:space="0" w:color="auto"/>
            </w:tcBorders>
            <w:shd w:val="clear" w:color="auto" w:fill="auto"/>
            <w:vAlign w:val="center"/>
          </w:tcPr>
          <w:p w:rsidR="00EC50A1" w:rsidRPr="00FB0B49" w:rsidRDefault="00EC50A1" w:rsidP="005A32AF">
            <w:pPr>
              <w:pStyle w:val="BodyText"/>
              <w:tabs>
                <w:tab w:val="left" w:pos="8280"/>
              </w:tabs>
              <w:spacing w:after="0"/>
              <w:jc w:val="center"/>
              <w:rPr>
                <w:sz w:val="18"/>
                <w:szCs w:val="18"/>
              </w:rPr>
            </w:pPr>
            <w:r w:rsidRPr="007012B3">
              <w:rPr>
                <w:sz w:val="18"/>
                <w:szCs w:val="18"/>
              </w:rPr>
              <w:t>127.5</w:t>
            </w:r>
          </w:p>
        </w:tc>
        <w:tc>
          <w:tcPr>
            <w:tcW w:w="1138" w:type="dxa"/>
            <w:tcBorders>
              <w:bottom w:val="single" w:sz="4" w:space="0" w:color="auto"/>
            </w:tcBorders>
            <w:shd w:val="clear" w:color="auto" w:fill="auto"/>
            <w:vAlign w:val="center"/>
          </w:tcPr>
          <w:p w:rsidR="00EC50A1" w:rsidRPr="00FB0B49" w:rsidRDefault="00EC50A1" w:rsidP="005A32AF">
            <w:pPr>
              <w:pStyle w:val="BodyText"/>
              <w:tabs>
                <w:tab w:val="left" w:pos="8280"/>
              </w:tabs>
              <w:spacing w:after="0"/>
              <w:jc w:val="center"/>
              <w:rPr>
                <w:sz w:val="18"/>
                <w:szCs w:val="18"/>
              </w:rPr>
            </w:pPr>
            <w:r w:rsidRPr="007012B3">
              <w:rPr>
                <w:sz w:val="18"/>
                <w:szCs w:val="18"/>
              </w:rPr>
              <w:t>229.4</w:t>
            </w:r>
          </w:p>
        </w:tc>
        <w:tc>
          <w:tcPr>
            <w:tcW w:w="1138" w:type="dxa"/>
            <w:tcBorders>
              <w:bottom w:val="single" w:sz="4" w:space="0" w:color="auto"/>
            </w:tcBorders>
            <w:shd w:val="clear" w:color="auto" w:fill="auto"/>
            <w:vAlign w:val="center"/>
          </w:tcPr>
          <w:p w:rsidR="00EC50A1" w:rsidRPr="00FB0B49" w:rsidRDefault="00EC50A1" w:rsidP="005A32AF">
            <w:pPr>
              <w:pStyle w:val="BodyText"/>
              <w:tabs>
                <w:tab w:val="left" w:pos="8280"/>
              </w:tabs>
              <w:spacing w:after="0"/>
              <w:jc w:val="center"/>
              <w:rPr>
                <w:sz w:val="18"/>
                <w:szCs w:val="18"/>
              </w:rPr>
            </w:pPr>
            <w:r w:rsidRPr="007012B3">
              <w:rPr>
                <w:sz w:val="18"/>
                <w:szCs w:val="18"/>
              </w:rPr>
              <w:t>229.7</w:t>
            </w:r>
          </w:p>
        </w:tc>
      </w:tr>
    </w:tbl>
    <w:p w:rsidR="00EC50A1" w:rsidRPr="007012B3" w:rsidRDefault="00EC50A1" w:rsidP="007012B3">
      <w:pPr>
        <w:ind w:firstLine="426"/>
        <w:jc w:val="both"/>
        <w:rPr>
          <w:bCs/>
          <w:sz w:val="22"/>
          <w:szCs w:val="22"/>
        </w:rPr>
      </w:pPr>
    </w:p>
    <w:p w:rsidR="00587334" w:rsidRPr="005B58AA" w:rsidRDefault="00587334" w:rsidP="007012B3">
      <w:pPr>
        <w:ind w:firstLine="426"/>
        <w:jc w:val="both"/>
        <w:rPr>
          <w:spacing w:val="2"/>
          <w:sz w:val="22"/>
          <w:szCs w:val="22"/>
        </w:rPr>
      </w:pPr>
      <w:r w:rsidRPr="005B58AA">
        <w:rPr>
          <w:spacing w:val="2"/>
          <w:sz w:val="22"/>
          <w:szCs w:val="22"/>
        </w:rPr>
        <w:t xml:space="preserve">The values showed a high correlation, suggesting that, </w:t>
      </w:r>
      <w:r w:rsidRPr="005B58AA">
        <w:rPr>
          <w:bCs/>
          <w:spacing w:val="2"/>
          <w:sz w:val="22"/>
          <w:szCs w:val="22"/>
        </w:rPr>
        <w:t>within the limits set by the experimental design,</w:t>
      </w:r>
      <w:r w:rsidRPr="005B58AA">
        <w:rPr>
          <w:spacing w:val="2"/>
          <w:sz w:val="22"/>
          <w:szCs w:val="22"/>
        </w:rPr>
        <w:t xml:space="preserve"> a credible prediction of P</w:t>
      </w:r>
      <w:r w:rsidRPr="005B58AA">
        <w:rPr>
          <w:spacing w:val="2"/>
          <w:sz w:val="22"/>
          <w:szCs w:val="22"/>
          <w:vertAlign w:val="subscript"/>
        </w:rPr>
        <w:t>R</w:t>
      </w:r>
      <w:r w:rsidRPr="005B58AA">
        <w:rPr>
          <w:spacing w:val="2"/>
          <w:sz w:val="22"/>
          <w:szCs w:val="22"/>
        </w:rPr>
        <w:t xml:space="preserve"> as a function of C</w:t>
      </w:r>
      <w:r w:rsidRPr="005B58AA">
        <w:rPr>
          <w:spacing w:val="2"/>
          <w:sz w:val="22"/>
          <w:szCs w:val="22"/>
          <w:vertAlign w:val="subscript"/>
        </w:rPr>
        <w:t>acid</w:t>
      </w:r>
      <w:r w:rsidRPr="005B58AA">
        <w:rPr>
          <w:spacing w:val="2"/>
          <w:sz w:val="22"/>
          <w:szCs w:val="22"/>
        </w:rPr>
        <w:t xml:space="preserve"> and </w:t>
      </w:r>
      <w:r w:rsidRPr="005B58AA">
        <w:rPr>
          <w:i/>
          <w:spacing w:val="2"/>
          <w:sz w:val="22"/>
          <w:szCs w:val="22"/>
        </w:rPr>
        <w:t>t</w:t>
      </w:r>
      <w:r w:rsidRPr="005B58AA">
        <w:rPr>
          <w:spacing w:val="2"/>
          <w:sz w:val="22"/>
          <w:szCs w:val="22"/>
        </w:rPr>
        <w:t xml:space="preserve"> can be done using the equations (11) and (12). The trends in P</w:t>
      </w:r>
      <w:r w:rsidRPr="005B58AA">
        <w:rPr>
          <w:spacing w:val="2"/>
          <w:sz w:val="22"/>
          <w:szCs w:val="22"/>
          <w:vertAlign w:val="subscript"/>
        </w:rPr>
        <w:t>R</w:t>
      </w:r>
      <w:r w:rsidRPr="005B58AA">
        <w:rPr>
          <w:spacing w:val="2"/>
          <w:sz w:val="22"/>
          <w:szCs w:val="22"/>
        </w:rPr>
        <w:t xml:space="preserve"> recorded were given as 3D plots (Figure 4</w:t>
      </w:r>
      <w:r w:rsidR="007012B3" w:rsidRPr="005B58AA">
        <w:rPr>
          <w:spacing w:val="2"/>
          <w:sz w:val="22"/>
          <w:szCs w:val="22"/>
        </w:rPr>
        <w:t>).</w:t>
      </w:r>
    </w:p>
    <w:p w:rsidR="00587334" w:rsidRPr="00B54A13" w:rsidRDefault="00F6507A" w:rsidP="00587334">
      <w:pPr>
        <w:jc w:val="center"/>
      </w:pPr>
      <w:r>
        <w:rPr>
          <w:noProof/>
          <w:lang w:val="en-US" w:eastAsia="en-US"/>
        </w:rPr>
        <w:lastRenderedPageBreak/>
        <w:drawing>
          <wp:inline distT="0" distB="0" distL="0" distR="0">
            <wp:extent cx="3957955" cy="3002280"/>
            <wp:effectExtent l="19050" t="0" r="4445"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3957955" cy="3002280"/>
                    </a:xfrm>
                    <a:prstGeom prst="rect">
                      <a:avLst/>
                    </a:prstGeom>
                    <a:noFill/>
                    <a:ln w="9525">
                      <a:noFill/>
                      <a:miter lim="800000"/>
                      <a:headEnd/>
                      <a:tailEnd/>
                    </a:ln>
                  </pic:spPr>
                </pic:pic>
              </a:graphicData>
            </a:graphic>
          </wp:inline>
        </w:drawing>
      </w:r>
    </w:p>
    <w:p w:rsidR="00587334" w:rsidRPr="00F909B6" w:rsidRDefault="00587334" w:rsidP="00F909B6">
      <w:pPr>
        <w:jc w:val="center"/>
        <w:rPr>
          <w:sz w:val="22"/>
          <w:szCs w:val="22"/>
        </w:rPr>
      </w:pPr>
    </w:p>
    <w:p w:rsidR="00587334" w:rsidRPr="00F909B6" w:rsidRDefault="00587334" w:rsidP="00F909B6">
      <w:pPr>
        <w:jc w:val="center"/>
        <w:rPr>
          <w:sz w:val="22"/>
          <w:szCs w:val="22"/>
        </w:rPr>
      </w:pPr>
      <w:r w:rsidRPr="00F909B6">
        <w:rPr>
          <w:sz w:val="22"/>
          <w:szCs w:val="22"/>
        </w:rPr>
        <w:t>Figure 3. Linear regression between observed and predicted P</w:t>
      </w:r>
      <w:r w:rsidRPr="00F909B6">
        <w:rPr>
          <w:sz w:val="22"/>
          <w:szCs w:val="22"/>
          <w:vertAlign w:val="subscript"/>
        </w:rPr>
        <w:t>R</w:t>
      </w:r>
      <w:r w:rsidRPr="00F909B6">
        <w:rPr>
          <w:sz w:val="22"/>
          <w:szCs w:val="22"/>
        </w:rPr>
        <w:t xml:space="preserve"> values.</w:t>
      </w:r>
    </w:p>
    <w:p w:rsidR="00587334" w:rsidRDefault="00587334" w:rsidP="00F909B6">
      <w:pPr>
        <w:jc w:val="center"/>
        <w:rPr>
          <w:sz w:val="22"/>
          <w:szCs w:val="22"/>
        </w:rPr>
      </w:pPr>
    </w:p>
    <w:p w:rsidR="00EC50A1" w:rsidRPr="00F909B6" w:rsidRDefault="00EC50A1" w:rsidP="00F909B6">
      <w:pPr>
        <w:jc w:val="center"/>
        <w:rPr>
          <w:sz w:val="22"/>
          <w:szCs w:val="22"/>
        </w:rPr>
      </w:pPr>
    </w:p>
    <w:p w:rsidR="00587334" w:rsidRDefault="00F6507A" w:rsidP="00EC50A1">
      <w:pPr>
        <w:jc w:val="center"/>
        <w:rPr>
          <w:noProof/>
          <w:lang w:val="en-US" w:eastAsia="en-US"/>
        </w:rPr>
      </w:pPr>
      <w:r>
        <w:rPr>
          <w:noProof/>
          <w:lang w:val="en-US" w:eastAsia="en-US"/>
        </w:rPr>
        <w:drawing>
          <wp:inline distT="0" distB="0" distL="0" distR="0">
            <wp:extent cx="2306320" cy="2360930"/>
            <wp:effectExtent l="0" t="0" r="0" b="0"/>
            <wp:docPr id="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2306320" cy="2360930"/>
                    </a:xfrm>
                    <a:prstGeom prst="rect">
                      <a:avLst/>
                    </a:prstGeom>
                    <a:noFill/>
                    <a:ln w="9525">
                      <a:noFill/>
                      <a:miter lim="800000"/>
                      <a:headEnd/>
                      <a:tailEnd/>
                    </a:ln>
                  </pic:spPr>
                </pic:pic>
              </a:graphicData>
            </a:graphic>
          </wp:inline>
        </w:drawing>
      </w:r>
      <w:r>
        <w:rPr>
          <w:noProof/>
          <w:lang w:val="en-US" w:eastAsia="en-US"/>
        </w:rPr>
        <w:drawing>
          <wp:inline distT="0" distB="0" distL="0" distR="0">
            <wp:extent cx="2306320" cy="2333625"/>
            <wp:effectExtent l="0" t="0" r="0" b="0"/>
            <wp:docPr id="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2306320" cy="2333625"/>
                    </a:xfrm>
                    <a:prstGeom prst="rect">
                      <a:avLst/>
                    </a:prstGeom>
                    <a:noFill/>
                    <a:ln w="9525">
                      <a:noFill/>
                      <a:miter lim="800000"/>
                      <a:headEnd/>
                      <a:tailEnd/>
                    </a:ln>
                  </pic:spPr>
                </pic:pic>
              </a:graphicData>
            </a:graphic>
          </wp:inline>
        </w:drawing>
      </w:r>
    </w:p>
    <w:p w:rsidR="00EC50A1" w:rsidRPr="00B54A13" w:rsidRDefault="00EC50A1" w:rsidP="00EC50A1"/>
    <w:p w:rsidR="00587334" w:rsidRPr="00F909B6" w:rsidRDefault="00587334" w:rsidP="00F909B6">
      <w:pPr>
        <w:jc w:val="center"/>
        <w:rPr>
          <w:sz w:val="22"/>
          <w:szCs w:val="22"/>
        </w:rPr>
      </w:pPr>
      <w:r w:rsidRPr="00F909B6">
        <w:rPr>
          <w:sz w:val="22"/>
          <w:szCs w:val="22"/>
        </w:rPr>
        <w:t>Figure 4. 3D graphs illustrating the effect of C</w:t>
      </w:r>
      <w:r w:rsidRPr="00F909B6">
        <w:rPr>
          <w:sz w:val="22"/>
          <w:szCs w:val="22"/>
          <w:vertAlign w:val="subscript"/>
        </w:rPr>
        <w:t>acid</w:t>
      </w:r>
      <w:r w:rsidRPr="00F909B6">
        <w:rPr>
          <w:sz w:val="22"/>
          <w:szCs w:val="22"/>
        </w:rPr>
        <w:t xml:space="preserve"> and </w:t>
      </w:r>
      <w:r w:rsidRPr="00F909B6">
        <w:rPr>
          <w:i/>
          <w:sz w:val="22"/>
          <w:szCs w:val="22"/>
        </w:rPr>
        <w:t>t</w:t>
      </w:r>
      <w:r w:rsidRPr="00F909B6">
        <w:rPr>
          <w:sz w:val="22"/>
          <w:szCs w:val="22"/>
        </w:rPr>
        <w:t xml:space="preserve"> on P</w:t>
      </w:r>
      <w:r w:rsidRPr="00F909B6">
        <w:rPr>
          <w:sz w:val="22"/>
          <w:szCs w:val="22"/>
          <w:vertAlign w:val="subscript"/>
        </w:rPr>
        <w:t>R</w:t>
      </w:r>
      <w:r w:rsidRPr="00F909B6">
        <w:rPr>
          <w:sz w:val="22"/>
          <w:szCs w:val="22"/>
        </w:rPr>
        <w:t>, using acetic acid solutions (upper plot) and citric acid solutions (lower plot).</w:t>
      </w:r>
    </w:p>
    <w:p w:rsidR="00EC50A1" w:rsidRDefault="00EC50A1" w:rsidP="0013693B">
      <w:pPr>
        <w:jc w:val="center"/>
        <w:rPr>
          <w:b/>
          <w:sz w:val="22"/>
          <w:szCs w:val="22"/>
        </w:rPr>
      </w:pPr>
    </w:p>
    <w:p w:rsidR="0013693B" w:rsidRPr="000B2777" w:rsidRDefault="0013693B" w:rsidP="0013693B">
      <w:pPr>
        <w:jc w:val="center"/>
        <w:rPr>
          <w:b/>
          <w:sz w:val="22"/>
          <w:szCs w:val="22"/>
        </w:rPr>
      </w:pPr>
      <w:r w:rsidRPr="000B2777">
        <w:rPr>
          <w:b/>
          <w:sz w:val="22"/>
          <w:szCs w:val="22"/>
        </w:rPr>
        <w:lastRenderedPageBreak/>
        <w:t>Conclusion</w:t>
      </w:r>
    </w:p>
    <w:p w:rsidR="000B2777" w:rsidRPr="00491130" w:rsidRDefault="000B2777" w:rsidP="00491130">
      <w:pPr>
        <w:jc w:val="center"/>
        <w:rPr>
          <w:sz w:val="22"/>
          <w:szCs w:val="22"/>
        </w:rPr>
      </w:pPr>
    </w:p>
    <w:p w:rsidR="00587334" w:rsidRPr="00F909B6" w:rsidRDefault="00587334" w:rsidP="00F909B6">
      <w:pPr>
        <w:ind w:firstLine="426"/>
        <w:jc w:val="both"/>
        <w:rPr>
          <w:bCs/>
          <w:sz w:val="22"/>
          <w:szCs w:val="22"/>
        </w:rPr>
      </w:pPr>
      <w:r w:rsidRPr="00F909B6">
        <w:rPr>
          <w:bCs/>
          <w:sz w:val="22"/>
          <w:szCs w:val="22"/>
        </w:rPr>
        <w:t>Antioxidant extraction from RGP with acetic acid and citric acid solutions was shown to depend on both the acids and their concentration. Extractions were described by the determination of basic kinetic parameters, which permitted the establishment of a reliable model. This model enabled the reliable prediction of the P</w:t>
      </w:r>
      <w:r w:rsidRPr="00F909B6">
        <w:rPr>
          <w:bCs/>
          <w:sz w:val="22"/>
          <w:szCs w:val="22"/>
          <w:vertAlign w:val="subscript"/>
        </w:rPr>
        <w:t>R</w:t>
      </w:r>
      <w:r w:rsidRPr="00F909B6">
        <w:rPr>
          <w:bCs/>
          <w:sz w:val="22"/>
          <w:szCs w:val="22"/>
        </w:rPr>
        <w:t xml:space="preserve"> of the extracts as a function of both </w:t>
      </w:r>
      <w:r w:rsidRPr="00F909B6">
        <w:rPr>
          <w:bCs/>
          <w:i/>
          <w:sz w:val="22"/>
          <w:szCs w:val="22"/>
        </w:rPr>
        <w:t>t</w:t>
      </w:r>
      <w:r w:rsidRPr="00F909B6">
        <w:rPr>
          <w:bCs/>
          <w:sz w:val="22"/>
          <w:szCs w:val="22"/>
        </w:rPr>
        <w:t xml:space="preserve"> and C</w:t>
      </w:r>
      <w:r w:rsidRPr="00F909B6">
        <w:rPr>
          <w:bCs/>
          <w:sz w:val="22"/>
          <w:szCs w:val="22"/>
          <w:vertAlign w:val="subscript"/>
        </w:rPr>
        <w:t>acid,</w:t>
      </w:r>
      <w:r w:rsidRPr="00F909B6">
        <w:rPr>
          <w:bCs/>
          <w:sz w:val="22"/>
          <w:szCs w:val="22"/>
        </w:rPr>
        <w:t xml:space="preserve"> under the experimental conditions employed. This investigation illustrated that aqueous solvents used for antioxidant extraction from RGP can be profoundly affected by the acidifying agent. This is of particular importance for the development of the efficient extraction process. Similar examinations might be used for engineering extraction procedures involving eco-friendly and foo</w:t>
      </w:r>
      <w:r w:rsidR="00F909B6">
        <w:rPr>
          <w:bCs/>
          <w:sz w:val="22"/>
          <w:szCs w:val="22"/>
        </w:rPr>
        <w:t>d compatible solvent systems.</w:t>
      </w:r>
    </w:p>
    <w:p w:rsidR="00E812EA" w:rsidRPr="00E812EA" w:rsidRDefault="00E812EA" w:rsidP="00E812EA">
      <w:pPr>
        <w:jc w:val="both"/>
        <w:rPr>
          <w:b/>
          <w:sz w:val="22"/>
          <w:szCs w:val="22"/>
        </w:rPr>
      </w:pPr>
    </w:p>
    <w:p w:rsidR="00E812EA" w:rsidRPr="00E812EA" w:rsidRDefault="00E812EA" w:rsidP="00E812EA">
      <w:pPr>
        <w:ind w:firstLine="426"/>
        <w:jc w:val="both"/>
        <w:rPr>
          <w:sz w:val="22"/>
          <w:szCs w:val="22"/>
        </w:rPr>
      </w:pPr>
      <w:commentRangeStart w:id="1"/>
      <w:r w:rsidRPr="00E812EA">
        <w:rPr>
          <w:sz w:val="22"/>
          <w:szCs w:val="22"/>
        </w:rPr>
        <w:t>Nomenclature: AA, ascorbic acid; AAE, ascorbic equivalents; C</w:t>
      </w:r>
      <w:r w:rsidRPr="00E812EA">
        <w:rPr>
          <w:sz w:val="22"/>
          <w:szCs w:val="22"/>
          <w:vertAlign w:val="subscript"/>
        </w:rPr>
        <w:t>acid</w:t>
      </w:r>
      <w:r w:rsidRPr="00E812EA">
        <w:rPr>
          <w:sz w:val="22"/>
          <w:szCs w:val="22"/>
        </w:rPr>
        <w:t xml:space="preserve">, acid concentration (% w/v); dpm, dry pomace weight; </w:t>
      </w:r>
      <w:r w:rsidRPr="00E812EA">
        <w:rPr>
          <w:i/>
          <w:sz w:val="22"/>
          <w:szCs w:val="22"/>
        </w:rPr>
        <w:t>h</w:t>
      </w:r>
      <w:r w:rsidRPr="00E812EA">
        <w:rPr>
          <w:sz w:val="22"/>
          <w:szCs w:val="22"/>
        </w:rPr>
        <w:t>, initial extraction rate (μM g</w:t>
      </w:r>
      <w:r w:rsidRPr="00E812EA">
        <w:rPr>
          <w:sz w:val="22"/>
          <w:szCs w:val="22"/>
          <w:vertAlign w:val="superscript"/>
        </w:rPr>
        <w:t>-1</w:t>
      </w:r>
      <w:r w:rsidRPr="00E812EA">
        <w:rPr>
          <w:sz w:val="22"/>
          <w:szCs w:val="22"/>
        </w:rPr>
        <w:t xml:space="preserve"> min</w:t>
      </w:r>
      <w:r w:rsidRPr="00E812EA">
        <w:rPr>
          <w:sz w:val="22"/>
          <w:szCs w:val="22"/>
          <w:vertAlign w:val="superscript"/>
        </w:rPr>
        <w:t>-1</w:t>
      </w:r>
      <w:r w:rsidRPr="00E812EA">
        <w:rPr>
          <w:sz w:val="22"/>
          <w:szCs w:val="22"/>
        </w:rPr>
        <w:t xml:space="preserve">); </w:t>
      </w:r>
      <w:r w:rsidRPr="00E812EA">
        <w:rPr>
          <w:i/>
          <w:sz w:val="22"/>
          <w:szCs w:val="22"/>
        </w:rPr>
        <w:t>k</w:t>
      </w:r>
      <w:r w:rsidRPr="00E812EA">
        <w:rPr>
          <w:sz w:val="22"/>
          <w:szCs w:val="22"/>
        </w:rPr>
        <w:t>, extraction rate constant (min g μM</w:t>
      </w:r>
      <w:r w:rsidRPr="00E812EA">
        <w:rPr>
          <w:sz w:val="22"/>
          <w:szCs w:val="22"/>
          <w:vertAlign w:val="superscript"/>
        </w:rPr>
        <w:t>-1</w:t>
      </w:r>
      <w:r w:rsidRPr="00E812EA">
        <w:rPr>
          <w:sz w:val="22"/>
          <w:szCs w:val="22"/>
        </w:rPr>
        <w:t>); P</w:t>
      </w:r>
      <w:r w:rsidRPr="00E812EA">
        <w:rPr>
          <w:sz w:val="22"/>
          <w:szCs w:val="22"/>
          <w:vertAlign w:val="subscript"/>
        </w:rPr>
        <w:t>R</w:t>
      </w:r>
      <w:r w:rsidRPr="00E812EA">
        <w:rPr>
          <w:sz w:val="22"/>
          <w:szCs w:val="22"/>
        </w:rPr>
        <w:t>, reducing power (μM AAE g</w:t>
      </w:r>
      <w:r w:rsidRPr="00E812EA">
        <w:rPr>
          <w:sz w:val="22"/>
          <w:szCs w:val="22"/>
          <w:vertAlign w:val="superscript"/>
        </w:rPr>
        <w:t>-1</w:t>
      </w:r>
      <w:r w:rsidRPr="00E812EA">
        <w:rPr>
          <w:sz w:val="22"/>
          <w:szCs w:val="22"/>
        </w:rPr>
        <w:t xml:space="preserve"> dpw); </w:t>
      </w:r>
      <w:r w:rsidRPr="00E812EA">
        <w:rPr>
          <w:i/>
          <w:sz w:val="22"/>
          <w:szCs w:val="22"/>
        </w:rPr>
        <w:t>t</w:t>
      </w:r>
      <w:r w:rsidRPr="00E812EA">
        <w:rPr>
          <w:sz w:val="22"/>
          <w:szCs w:val="22"/>
        </w:rPr>
        <w:t>, time (min); P</w:t>
      </w:r>
      <w:r w:rsidRPr="00E812EA">
        <w:rPr>
          <w:sz w:val="22"/>
          <w:szCs w:val="22"/>
          <w:vertAlign w:val="subscript"/>
        </w:rPr>
        <w:t>R(s)</w:t>
      </w:r>
      <w:r w:rsidRPr="00E812EA">
        <w:rPr>
          <w:sz w:val="22"/>
          <w:szCs w:val="22"/>
        </w:rPr>
        <w:t>, reducing power at saturation (μM AAE g</w:t>
      </w:r>
      <w:r w:rsidRPr="00E812EA">
        <w:rPr>
          <w:sz w:val="22"/>
          <w:szCs w:val="22"/>
          <w:vertAlign w:val="superscript"/>
        </w:rPr>
        <w:t>-1</w:t>
      </w:r>
      <w:r w:rsidRPr="00E812EA">
        <w:rPr>
          <w:sz w:val="22"/>
          <w:szCs w:val="22"/>
        </w:rPr>
        <w:t xml:space="preserve"> dpw); P</w:t>
      </w:r>
      <w:r w:rsidRPr="00E812EA">
        <w:rPr>
          <w:sz w:val="22"/>
          <w:szCs w:val="22"/>
          <w:vertAlign w:val="subscript"/>
        </w:rPr>
        <w:t>R(Cacid,</w:t>
      </w:r>
      <w:r w:rsidRPr="00E812EA">
        <w:rPr>
          <w:i/>
          <w:sz w:val="22"/>
          <w:szCs w:val="22"/>
          <w:vertAlign w:val="subscript"/>
        </w:rPr>
        <w:t>t</w:t>
      </w:r>
      <w:r w:rsidRPr="00E812EA">
        <w:rPr>
          <w:sz w:val="22"/>
          <w:szCs w:val="22"/>
          <w:vertAlign w:val="subscript"/>
        </w:rPr>
        <w:t>)</w:t>
      </w:r>
      <w:r w:rsidRPr="00E812EA">
        <w:rPr>
          <w:sz w:val="22"/>
          <w:szCs w:val="22"/>
        </w:rPr>
        <w:t>, reducing power as a function of C</w:t>
      </w:r>
      <w:r w:rsidRPr="00E812EA">
        <w:rPr>
          <w:sz w:val="22"/>
          <w:szCs w:val="22"/>
          <w:vertAlign w:val="subscript"/>
        </w:rPr>
        <w:t>acid</w:t>
      </w:r>
      <w:r w:rsidRPr="00E812EA">
        <w:rPr>
          <w:sz w:val="22"/>
          <w:szCs w:val="22"/>
        </w:rPr>
        <w:t xml:space="preserve"> and </w:t>
      </w:r>
      <w:r w:rsidRPr="00E812EA">
        <w:rPr>
          <w:i/>
          <w:sz w:val="22"/>
          <w:szCs w:val="22"/>
        </w:rPr>
        <w:t xml:space="preserve">t; </w:t>
      </w:r>
      <w:r w:rsidRPr="00E812EA">
        <w:rPr>
          <w:sz w:val="22"/>
          <w:szCs w:val="22"/>
        </w:rPr>
        <w:t>TCA, trichloroacetic acid</w:t>
      </w:r>
      <w:r>
        <w:rPr>
          <w:sz w:val="22"/>
          <w:szCs w:val="22"/>
        </w:rPr>
        <w:t>.</w:t>
      </w:r>
      <w:commentRangeEnd w:id="1"/>
      <w:r w:rsidR="005B58AA">
        <w:rPr>
          <w:rStyle w:val="CommentReference"/>
        </w:rPr>
        <w:commentReference w:id="1"/>
      </w:r>
    </w:p>
    <w:p w:rsidR="00F909B6" w:rsidRDefault="00F909B6" w:rsidP="00F171ED">
      <w:pPr>
        <w:widowControl w:val="0"/>
        <w:jc w:val="center"/>
        <w:rPr>
          <w:b/>
          <w:sz w:val="22"/>
          <w:szCs w:val="22"/>
        </w:rPr>
      </w:pPr>
    </w:p>
    <w:p w:rsidR="0013693B" w:rsidRDefault="0013693B" w:rsidP="00F171ED">
      <w:pPr>
        <w:widowControl w:val="0"/>
        <w:jc w:val="center"/>
        <w:rPr>
          <w:b/>
          <w:sz w:val="22"/>
          <w:szCs w:val="22"/>
        </w:rPr>
      </w:pPr>
      <w:r w:rsidRPr="00831C98">
        <w:rPr>
          <w:b/>
          <w:sz w:val="22"/>
          <w:szCs w:val="22"/>
        </w:rPr>
        <w:t>References</w:t>
      </w:r>
    </w:p>
    <w:p w:rsidR="00831C98" w:rsidRPr="007648FB" w:rsidRDefault="00831C98" w:rsidP="000A7942">
      <w:pPr>
        <w:jc w:val="center"/>
        <w:rPr>
          <w:sz w:val="22"/>
          <w:szCs w:val="22"/>
        </w:rPr>
      </w:pPr>
    </w:p>
    <w:p w:rsidR="00587334" w:rsidRPr="00F909B6" w:rsidRDefault="00587334" w:rsidP="00F909B6">
      <w:pPr>
        <w:ind w:left="425" w:hanging="425"/>
        <w:jc w:val="both"/>
        <w:rPr>
          <w:sz w:val="18"/>
          <w:szCs w:val="18"/>
        </w:rPr>
      </w:pPr>
      <w:r w:rsidRPr="00F909B6">
        <w:rPr>
          <w:sz w:val="18"/>
          <w:szCs w:val="18"/>
        </w:rPr>
        <w:t xml:space="preserve">Boussetta, N., Vorobiev, E., Le, L.H., Cordin-Falcimaigne, A., &amp; Lanoisellé, J.-L. (2012). Application of electrical treatments in alcoholic solvent for polyphenols extraction from grape seeds. </w:t>
      </w:r>
      <w:r w:rsidRPr="00F909B6">
        <w:rPr>
          <w:i/>
          <w:sz w:val="18"/>
          <w:szCs w:val="18"/>
        </w:rPr>
        <w:t>LWT-Food Science &amp; Technology</w:t>
      </w:r>
      <w:r w:rsidRPr="00F909B6">
        <w:rPr>
          <w:sz w:val="18"/>
          <w:szCs w:val="18"/>
        </w:rPr>
        <w:t xml:space="preserve">, </w:t>
      </w:r>
      <w:r w:rsidRPr="00F909B6">
        <w:rPr>
          <w:i/>
          <w:sz w:val="18"/>
          <w:szCs w:val="18"/>
        </w:rPr>
        <w:t>46,</w:t>
      </w:r>
      <w:r w:rsidRPr="00F909B6">
        <w:rPr>
          <w:sz w:val="18"/>
          <w:szCs w:val="18"/>
        </w:rPr>
        <w:t xml:space="preserve"> 127-134.</w:t>
      </w:r>
    </w:p>
    <w:p w:rsidR="00587334" w:rsidRPr="00F909B6" w:rsidRDefault="00587334" w:rsidP="00F909B6">
      <w:pPr>
        <w:ind w:left="425" w:hanging="425"/>
        <w:jc w:val="both"/>
        <w:rPr>
          <w:sz w:val="18"/>
          <w:szCs w:val="18"/>
        </w:rPr>
      </w:pPr>
      <w:r w:rsidRPr="00F909B6">
        <w:rPr>
          <w:sz w:val="18"/>
          <w:szCs w:val="18"/>
          <w:lang w:val="pl-PL"/>
        </w:rPr>
        <w:t xml:space="preserve">Bucić-Kojić, A., Planinić, M., Tomas, S., Bilić, M., &amp; Velić, D. (2007). </w:t>
      </w:r>
      <w:r w:rsidRPr="00F909B6">
        <w:rPr>
          <w:sz w:val="18"/>
          <w:szCs w:val="18"/>
        </w:rPr>
        <w:t xml:space="preserve">Study of solid–liquid extraction kinetics of total polyphenols from grape seeds. </w:t>
      </w:r>
      <w:r w:rsidRPr="00F909B6">
        <w:rPr>
          <w:i/>
          <w:sz w:val="18"/>
          <w:szCs w:val="18"/>
        </w:rPr>
        <w:t>Journal of Food Engineering</w:t>
      </w:r>
      <w:r w:rsidRPr="00F909B6">
        <w:rPr>
          <w:sz w:val="18"/>
          <w:szCs w:val="18"/>
        </w:rPr>
        <w:t xml:space="preserve">, </w:t>
      </w:r>
      <w:r w:rsidRPr="00F909B6">
        <w:rPr>
          <w:i/>
          <w:sz w:val="18"/>
          <w:szCs w:val="18"/>
        </w:rPr>
        <w:t>81</w:t>
      </w:r>
      <w:r w:rsidRPr="00F909B6">
        <w:rPr>
          <w:sz w:val="18"/>
          <w:szCs w:val="18"/>
        </w:rPr>
        <w:t>, 236-242.</w:t>
      </w:r>
    </w:p>
    <w:p w:rsidR="00587334" w:rsidRPr="00F909B6" w:rsidRDefault="00587334" w:rsidP="00F909B6">
      <w:pPr>
        <w:ind w:left="425" w:hanging="425"/>
        <w:jc w:val="both"/>
        <w:rPr>
          <w:sz w:val="18"/>
          <w:szCs w:val="18"/>
        </w:rPr>
      </w:pPr>
      <w:r w:rsidRPr="00F909B6">
        <w:rPr>
          <w:sz w:val="18"/>
          <w:szCs w:val="18"/>
        </w:rPr>
        <w:t xml:space="preserve">Carrera, C., Ruiz-Rodríguez, A., Palma, M., &amp; Barroso, C.G. (2012). Ultrasound assisted extraction of phenolic compounds from grapes. </w:t>
      </w:r>
      <w:r w:rsidRPr="00F909B6">
        <w:rPr>
          <w:i/>
          <w:sz w:val="18"/>
          <w:szCs w:val="18"/>
        </w:rPr>
        <w:t>Analitica Chimica Acta</w:t>
      </w:r>
      <w:r w:rsidRPr="00F909B6">
        <w:rPr>
          <w:sz w:val="18"/>
          <w:szCs w:val="18"/>
        </w:rPr>
        <w:t xml:space="preserve"> </w:t>
      </w:r>
      <w:r w:rsidRPr="00F909B6">
        <w:rPr>
          <w:i/>
          <w:sz w:val="18"/>
          <w:szCs w:val="18"/>
        </w:rPr>
        <w:t>732</w:t>
      </w:r>
      <w:r w:rsidRPr="00F909B6">
        <w:rPr>
          <w:sz w:val="18"/>
          <w:szCs w:val="18"/>
        </w:rPr>
        <w:t>, 100-104.</w:t>
      </w:r>
    </w:p>
    <w:p w:rsidR="00587334" w:rsidRPr="00F909B6" w:rsidRDefault="00587334" w:rsidP="00F909B6">
      <w:pPr>
        <w:ind w:left="425" w:hanging="425"/>
        <w:jc w:val="both"/>
        <w:rPr>
          <w:sz w:val="18"/>
          <w:szCs w:val="18"/>
        </w:rPr>
      </w:pPr>
      <w:r w:rsidRPr="00F909B6">
        <w:rPr>
          <w:sz w:val="18"/>
          <w:szCs w:val="18"/>
        </w:rPr>
        <w:t xml:space="preserve">Devesa-Rey, R., Vecino, X., Varela-Alende, J.L., Barral, M.T., Cruz, J.M., &amp; Moldes, A.B. (2011). Valorization of winery waste vs. the costs of not recycling. </w:t>
      </w:r>
      <w:r w:rsidRPr="00F909B6">
        <w:rPr>
          <w:i/>
          <w:sz w:val="18"/>
          <w:szCs w:val="18"/>
        </w:rPr>
        <w:t>Waste Management</w:t>
      </w:r>
      <w:r w:rsidRPr="00F909B6">
        <w:rPr>
          <w:sz w:val="18"/>
          <w:szCs w:val="18"/>
        </w:rPr>
        <w:t xml:space="preserve">, </w:t>
      </w:r>
      <w:r w:rsidRPr="00F909B6">
        <w:rPr>
          <w:i/>
          <w:sz w:val="18"/>
          <w:szCs w:val="18"/>
        </w:rPr>
        <w:t>31</w:t>
      </w:r>
      <w:r w:rsidRPr="00F909B6">
        <w:rPr>
          <w:sz w:val="18"/>
          <w:szCs w:val="18"/>
        </w:rPr>
        <w:t>, 2327-2335.</w:t>
      </w:r>
    </w:p>
    <w:p w:rsidR="00587334" w:rsidRPr="00F909B6" w:rsidRDefault="00587334" w:rsidP="00F909B6">
      <w:pPr>
        <w:ind w:left="425" w:hanging="425"/>
        <w:jc w:val="both"/>
        <w:rPr>
          <w:sz w:val="18"/>
          <w:szCs w:val="18"/>
        </w:rPr>
      </w:pPr>
      <w:r w:rsidRPr="00F909B6">
        <w:rPr>
          <w:sz w:val="18"/>
          <w:szCs w:val="18"/>
        </w:rPr>
        <w:t xml:space="preserve">Galanakis, C.M. (2012). Recovery of high added-value components from food wastes: conventional, emerging technologies and commercialized applications. </w:t>
      </w:r>
      <w:r w:rsidRPr="00F909B6">
        <w:rPr>
          <w:i/>
          <w:sz w:val="18"/>
          <w:szCs w:val="18"/>
        </w:rPr>
        <w:t>Trends in Food Science &amp; Technology</w:t>
      </w:r>
      <w:r w:rsidRPr="00F909B6">
        <w:rPr>
          <w:sz w:val="18"/>
          <w:szCs w:val="18"/>
        </w:rPr>
        <w:t xml:space="preserve">, </w:t>
      </w:r>
      <w:r w:rsidRPr="00F909B6">
        <w:rPr>
          <w:i/>
          <w:sz w:val="18"/>
          <w:szCs w:val="18"/>
        </w:rPr>
        <w:t>26,</w:t>
      </w:r>
      <w:r w:rsidRPr="00F909B6">
        <w:rPr>
          <w:sz w:val="18"/>
          <w:szCs w:val="18"/>
        </w:rPr>
        <w:t xml:space="preserve"> 68-87.</w:t>
      </w:r>
    </w:p>
    <w:p w:rsidR="00587334" w:rsidRPr="00F909B6" w:rsidRDefault="00587334" w:rsidP="00F909B6">
      <w:pPr>
        <w:ind w:left="425" w:hanging="425"/>
        <w:jc w:val="both"/>
        <w:rPr>
          <w:sz w:val="18"/>
          <w:szCs w:val="18"/>
        </w:rPr>
      </w:pPr>
      <w:r w:rsidRPr="00F909B6">
        <w:rPr>
          <w:sz w:val="18"/>
          <w:szCs w:val="18"/>
        </w:rPr>
        <w:t>Garcia-Perez, J.V., García-Alvarado, M.A., Carcel, J.A., &amp; Mulet, A. (2010). Extraction kinetics modeling of antioxidants from grape stalk (</w:t>
      </w:r>
      <w:r w:rsidRPr="00F909B6">
        <w:rPr>
          <w:i/>
          <w:sz w:val="18"/>
          <w:szCs w:val="18"/>
        </w:rPr>
        <w:t>Vitis vinifera</w:t>
      </w:r>
      <w:r w:rsidRPr="00F909B6">
        <w:rPr>
          <w:sz w:val="18"/>
          <w:szCs w:val="18"/>
        </w:rPr>
        <w:t xml:space="preserve"> var. Bobal): Influence of drying conditions. </w:t>
      </w:r>
      <w:r w:rsidRPr="00F909B6">
        <w:rPr>
          <w:i/>
          <w:sz w:val="18"/>
          <w:szCs w:val="18"/>
        </w:rPr>
        <w:t>Journal of Food Engineering</w:t>
      </w:r>
      <w:r w:rsidRPr="00F909B6">
        <w:rPr>
          <w:sz w:val="18"/>
          <w:szCs w:val="18"/>
        </w:rPr>
        <w:t xml:space="preserve">, </w:t>
      </w:r>
      <w:r w:rsidRPr="00F909B6">
        <w:rPr>
          <w:i/>
          <w:sz w:val="18"/>
          <w:szCs w:val="18"/>
        </w:rPr>
        <w:t>101,</w:t>
      </w:r>
      <w:r w:rsidR="00F909B6">
        <w:rPr>
          <w:sz w:val="18"/>
          <w:szCs w:val="18"/>
        </w:rPr>
        <w:t xml:space="preserve"> </w:t>
      </w:r>
      <w:r w:rsidRPr="00F909B6">
        <w:rPr>
          <w:sz w:val="18"/>
          <w:szCs w:val="18"/>
        </w:rPr>
        <w:t>49-58.</w:t>
      </w:r>
    </w:p>
    <w:p w:rsidR="00587334" w:rsidRPr="00F909B6" w:rsidRDefault="00587334" w:rsidP="00F909B6">
      <w:pPr>
        <w:ind w:left="425" w:hanging="425"/>
        <w:jc w:val="both"/>
        <w:rPr>
          <w:sz w:val="18"/>
          <w:szCs w:val="18"/>
        </w:rPr>
      </w:pPr>
      <w:r w:rsidRPr="00F909B6">
        <w:rPr>
          <w:sz w:val="18"/>
          <w:szCs w:val="18"/>
        </w:rPr>
        <w:t xml:space="preserve">Ho, Y.-S., Harouna-Oumarou, H., Fauduet, H., &amp; Porte, C. (2005). Kinetics and model building of leaching of water-soluble compounds of </w:t>
      </w:r>
      <w:r w:rsidRPr="00F909B6">
        <w:rPr>
          <w:i/>
          <w:sz w:val="18"/>
          <w:szCs w:val="18"/>
        </w:rPr>
        <w:t>Tilia</w:t>
      </w:r>
      <w:r w:rsidRPr="00F909B6">
        <w:rPr>
          <w:sz w:val="18"/>
          <w:szCs w:val="18"/>
        </w:rPr>
        <w:t xml:space="preserve"> sapwood. </w:t>
      </w:r>
      <w:r w:rsidRPr="00F909B6">
        <w:rPr>
          <w:i/>
          <w:sz w:val="18"/>
          <w:szCs w:val="18"/>
        </w:rPr>
        <w:t>Separation &amp; Purification Technology</w:t>
      </w:r>
      <w:r w:rsidRPr="00F909B6">
        <w:rPr>
          <w:sz w:val="18"/>
          <w:szCs w:val="18"/>
        </w:rPr>
        <w:t xml:space="preserve">, </w:t>
      </w:r>
      <w:r w:rsidRPr="00F909B6">
        <w:rPr>
          <w:i/>
          <w:sz w:val="18"/>
          <w:szCs w:val="18"/>
        </w:rPr>
        <w:t>45,</w:t>
      </w:r>
      <w:r w:rsidRPr="00F909B6">
        <w:rPr>
          <w:sz w:val="18"/>
          <w:szCs w:val="18"/>
        </w:rPr>
        <w:t xml:space="preserve"> 169-173.</w:t>
      </w:r>
    </w:p>
    <w:p w:rsidR="00587334" w:rsidRPr="00F909B6" w:rsidRDefault="00587334" w:rsidP="00F909B6">
      <w:pPr>
        <w:ind w:left="425" w:hanging="425"/>
        <w:jc w:val="both"/>
        <w:rPr>
          <w:sz w:val="18"/>
          <w:szCs w:val="18"/>
        </w:rPr>
      </w:pPr>
      <w:r w:rsidRPr="00F909B6">
        <w:rPr>
          <w:sz w:val="18"/>
          <w:szCs w:val="18"/>
        </w:rPr>
        <w:t>Karvela, E., Makris, D.P., Kalogeropoulos, N., &amp; Karathanos, V.T. (2009a). Deployment of response surface methodology to optimise recovery of grape (</w:t>
      </w:r>
      <w:r w:rsidRPr="00F909B6">
        <w:rPr>
          <w:i/>
          <w:sz w:val="18"/>
          <w:szCs w:val="18"/>
        </w:rPr>
        <w:t>Vitis vinifera</w:t>
      </w:r>
      <w:r w:rsidRPr="00F909B6">
        <w:rPr>
          <w:sz w:val="18"/>
          <w:szCs w:val="18"/>
        </w:rPr>
        <w:t xml:space="preserve">) stem polyphenols. </w:t>
      </w:r>
      <w:r w:rsidRPr="00F909B6">
        <w:rPr>
          <w:i/>
          <w:sz w:val="18"/>
          <w:szCs w:val="18"/>
        </w:rPr>
        <w:t>Talanta</w:t>
      </w:r>
      <w:r w:rsidRPr="00F909B6">
        <w:rPr>
          <w:sz w:val="18"/>
          <w:szCs w:val="18"/>
        </w:rPr>
        <w:t xml:space="preserve">, </w:t>
      </w:r>
      <w:r w:rsidRPr="00F909B6">
        <w:rPr>
          <w:i/>
          <w:sz w:val="18"/>
          <w:szCs w:val="18"/>
        </w:rPr>
        <w:t>79,</w:t>
      </w:r>
      <w:r w:rsidRPr="00F909B6">
        <w:rPr>
          <w:sz w:val="18"/>
          <w:szCs w:val="18"/>
        </w:rPr>
        <w:t xml:space="preserve"> 1311-1321.</w:t>
      </w:r>
    </w:p>
    <w:p w:rsidR="00587334" w:rsidRPr="00F909B6" w:rsidRDefault="00587334" w:rsidP="00F909B6">
      <w:pPr>
        <w:ind w:left="425" w:hanging="425"/>
        <w:jc w:val="both"/>
        <w:rPr>
          <w:sz w:val="18"/>
          <w:szCs w:val="18"/>
        </w:rPr>
      </w:pPr>
      <w:r w:rsidRPr="00F909B6">
        <w:rPr>
          <w:sz w:val="18"/>
          <w:szCs w:val="18"/>
        </w:rPr>
        <w:t>Karvela, E., Makris, D.P., Kalogeropoulos, N., Karathanos, V.T., &amp; Kefalas, P. (2009b). Factorial design optimisation of grape (</w:t>
      </w:r>
      <w:r w:rsidRPr="00F909B6">
        <w:rPr>
          <w:i/>
          <w:sz w:val="18"/>
          <w:szCs w:val="18"/>
        </w:rPr>
        <w:t>Vitis vinifera</w:t>
      </w:r>
      <w:r w:rsidRPr="00F909B6">
        <w:rPr>
          <w:sz w:val="18"/>
          <w:szCs w:val="18"/>
        </w:rPr>
        <w:t xml:space="preserve">) seed polyphenol extraction. </w:t>
      </w:r>
      <w:r w:rsidRPr="00F909B6">
        <w:rPr>
          <w:i/>
          <w:sz w:val="18"/>
          <w:szCs w:val="18"/>
        </w:rPr>
        <w:t>European Food Research &amp; Technology</w:t>
      </w:r>
      <w:r w:rsidRPr="00F909B6">
        <w:rPr>
          <w:sz w:val="18"/>
          <w:szCs w:val="18"/>
        </w:rPr>
        <w:t xml:space="preserve">, </w:t>
      </w:r>
      <w:r w:rsidRPr="00F909B6">
        <w:rPr>
          <w:i/>
          <w:sz w:val="18"/>
          <w:szCs w:val="18"/>
        </w:rPr>
        <w:t>229,</w:t>
      </w:r>
      <w:r w:rsidRPr="00F909B6">
        <w:rPr>
          <w:sz w:val="18"/>
          <w:szCs w:val="18"/>
        </w:rPr>
        <w:t xml:space="preserve"> 731-743. </w:t>
      </w:r>
    </w:p>
    <w:p w:rsidR="00587334" w:rsidRPr="00F909B6" w:rsidRDefault="00587334" w:rsidP="00F909B6">
      <w:pPr>
        <w:ind w:left="425" w:hanging="425"/>
        <w:jc w:val="both"/>
        <w:rPr>
          <w:sz w:val="18"/>
          <w:szCs w:val="18"/>
        </w:rPr>
      </w:pPr>
      <w:r w:rsidRPr="00F909B6">
        <w:rPr>
          <w:sz w:val="18"/>
          <w:szCs w:val="18"/>
        </w:rPr>
        <w:lastRenderedPageBreak/>
        <w:t>Kiassos, E., Mylonaki, S., Makris, D.P., &amp; Kefalas, P. (2009). Implementation of response surface methodology to optimise extraction of onion (</w:t>
      </w:r>
      <w:r w:rsidRPr="00F909B6">
        <w:rPr>
          <w:i/>
          <w:sz w:val="18"/>
          <w:szCs w:val="18"/>
        </w:rPr>
        <w:t>Allium cepa</w:t>
      </w:r>
      <w:r w:rsidRPr="00F909B6">
        <w:rPr>
          <w:sz w:val="18"/>
          <w:szCs w:val="18"/>
        </w:rPr>
        <w:t xml:space="preserve">) solid waste phenolics. </w:t>
      </w:r>
      <w:r w:rsidRPr="00F909B6">
        <w:rPr>
          <w:i/>
          <w:sz w:val="18"/>
          <w:szCs w:val="18"/>
        </w:rPr>
        <w:t>Innovative Food Science &amp; Emerging Technologies</w:t>
      </w:r>
      <w:r w:rsidRPr="00F909B6">
        <w:rPr>
          <w:sz w:val="18"/>
          <w:szCs w:val="18"/>
        </w:rPr>
        <w:t xml:space="preserve">, </w:t>
      </w:r>
      <w:r w:rsidRPr="00F909B6">
        <w:rPr>
          <w:i/>
          <w:sz w:val="18"/>
          <w:szCs w:val="18"/>
        </w:rPr>
        <w:t>10,</w:t>
      </w:r>
      <w:r w:rsidRPr="00F909B6">
        <w:rPr>
          <w:sz w:val="18"/>
          <w:szCs w:val="18"/>
        </w:rPr>
        <w:t xml:space="preserve"> 246-252.</w:t>
      </w:r>
    </w:p>
    <w:p w:rsidR="00587334" w:rsidRPr="00F909B6" w:rsidRDefault="00587334" w:rsidP="00F909B6">
      <w:pPr>
        <w:ind w:left="425" w:hanging="425"/>
        <w:jc w:val="both"/>
        <w:rPr>
          <w:sz w:val="18"/>
          <w:szCs w:val="18"/>
        </w:rPr>
      </w:pPr>
      <w:r w:rsidRPr="00F909B6">
        <w:rPr>
          <w:sz w:val="18"/>
          <w:szCs w:val="18"/>
        </w:rPr>
        <w:t>Makris, D.P. (2010). Optimisation of anthocyanin recovery from onion (</w:t>
      </w:r>
      <w:r w:rsidRPr="00F909B6">
        <w:rPr>
          <w:i/>
          <w:sz w:val="18"/>
          <w:szCs w:val="18"/>
        </w:rPr>
        <w:t>Allium cepa</w:t>
      </w:r>
      <w:r w:rsidRPr="00F909B6">
        <w:rPr>
          <w:sz w:val="18"/>
          <w:szCs w:val="18"/>
        </w:rPr>
        <w:t xml:space="preserve">) solid wastes using response surface methodology. </w:t>
      </w:r>
      <w:r w:rsidRPr="00F909B6">
        <w:rPr>
          <w:i/>
          <w:sz w:val="18"/>
          <w:szCs w:val="18"/>
        </w:rPr>
        <w:t>Journal of Food Technology</w:t>
      </w:r>
      <w:r w:rsidRPr="00F909B6">
        <w:rPr>
          <w:sz w:val="18"/>
          <w:szCs w:val="18"/>
        </w:rPr>
        <w:t xml:space="preserve">, </w:t>
      </w:r>
      <w:r w:rsidRPr="00F909B6">
        <w:rPr>
          <w:i/>
          <w:sz w:val="18"/>
          <w:szCs w:val="18"/>
        </w:rPr>
        <w:t>9,</w:t>
      </w:r>
      <w:r w:rsidRPr="00F909B6">
        <w:rPr>
          <w:sz w:val="18"/>
          <w:szCs w:val="18"/>
        </w:rPr>
        <w:t xml:space="preserve"> 1587-1592.</w:t>
      </w:r>
    </w:p>
    <w:p w:rsidR="00587334" w:rsidRPr="00F909B6" w:rsidRDefault="00587334" w:rsidP="00F909B6">
      <w:pPr>
        <w:ind w:left="425" w:hanging="425"/>
        <w:jc w:val="both"/>
        <w:rPr>
          <w:sz w:val="18"/>
          <w:szCs w:val="18"/>
        </w:rPr>
      </w:pPr>
      <w:r w:rsidRPr="00F909B6">
        <w:rPr>
          <w:sz w:val="18"/>
          <w:szCs w:val="18"/>
        </w:rPr>
        <w:t xml:space="preserve">Makris, D.P., Boskou, G., &amp; Andrikopoulos, N.K. (2007). Polyphenolic content and in vitro antioxidant characteristics of wine industry and other agri-food solid waste extracts. Journal of Food Composition &amp; Analysis, </w:t>
      </w:r>
      <w:r w:rsidRPr="00F909B6">
        <w:rPr>
          <w:i/>
          <w:sz w:val="18"/>
          <w:szCs w:val="18"/>
        </w:rPr>
        <w:t>20,</w:t>
      </w:r>
      <w:r w:rsidRPr="00F909B6">
        <w:rPr>
          <w:sz w:val="18"/>
          <w:szCs w:val="18"/>
        </w:rPr>
        <w:t xml:space="preserve"> 125-132.</w:t>
      </w:r>
    </w:p>
    <w:p w:rsidR="00587334" w:rsidRPr="00F909B6" w:rsidRDefault="00587334" w:rsidP="00F909B6">
      <w:pPr>
        <w:ind w:left="425" w:hanging="425"/>
        <w:jc w:val="both"/>
        <w:rPr>
          <w:sz w:val="18"/>
          <w:szCs w:val="18"/>
        </w:rPr>
      </w:pPr>
      <w:r w:rsidRPr="00F909B6">
        <w:rPr>
          <w:sz w:val="18"/>
          <w:szCs w:val="18"/>
        </w:rPr>
        <w:t>Makris, D.P., Boskou, G., Chiou, A., &amp; Andrikopoulos, N.K. (2008). An investigation on factors affecting recovery of antioxidant phenolics and anthocyanins from red grape (</w:t>
      </w:r>
      <w:r w:rsidRPr="00F909B6">
        <w:rPr>
          <w:i/>
          <w:sz w:val="18"/>
          <w:szCs w:val="18"/>
        </w:rPr>
        <w:t>Vitis vinifera</w:t>
      </w:r>
      <w:r w:rsidRPr="00F909B6">
        <w:rPr>
          <w:sz w:val="18"/>
          <w:szCs w:val="18"/>
        </w:rPr>
        <w:t xml:space="preserve"> L.) pomace employing water/ethanol-based solutions. </w:t>
      </w:r>
      <w:r w:rsidRPr="00F909B6">
        <w:rPr>
          <w:i/>
          <w:sz w:val="18"/>
          <w:szCs w:val="18"/>
        </w:rPr>
        <w:t>American Journal of Food Technology</w:t>
      </w:r>
      <w:r w:rsidRPr="00F909B6">
        <w:rPr>
          <w:sz w:val="18"/>
          <w:szCs w:val="18"/>
        </w:rPr>
        <w:t xml:space="preserve">, </w:t>
      </w:r>
      <w:r w:rsidRPr="00F909B6">
        <w:rPr>
          <w:i/>
          <w:sz w:val="18"/>
          <w:szCs w:val="18"/>
        </w:rPr>
        <w:t>3,</w:t>
      </w:r>
      <w:r w:rsidRPr="00F909B6">
        <w:rPr>
          <w:sz w:val="18"/>
          <w:szCs w:val="18"/>
        </w:rPr>
        <w:t xml:space="preserve"> 1</w:t>
      </w:r>
      <w:r w:rsidR="00F909B6">
        <w:rPr>
          <w:sz w:val="18"/>
          <w:szCs w:val="18"/>
        </w:rPr>
        <w:t>64-173.</w:t>
      </w:r>
    </w:p>
    <w:p w:rsidR="00587334" w:rsidRPr="00F909B6" w:rsidRDefault="00587334" w:rsidP="00F909B6">
      <w:pPr>
        <w:ind w:left="425" w:hanging="425"/>
        <w:jc w:val="both"/>
        <w:rPr>
          <w:sz w:val="18"/>
          <w:szCs w:val="18"/>
        </w:rPr>
      </w:pPr>
      <w:r w:rsidRPr="00F909B6">
        <w:rPr>
          <w:sz w:val="18"/>
          <w:szCs w:val="18"/>
        </w:rPr>
        <w:t>Mylonaki, S., Kiassos, E., Makris, D.P., &amp; Kefalas, P. (2008). Optimisation of the extraction of olive (</w:t>
      </w:r>
      <w:r w:rsidRPr="00F909B6">
        <w:rPr>
          <w:i/>
          <w:sz w:val="18"/>
          <w:szCs w:val="18"/>
        </w:rPr>
        <w:t>Olea europaea</w:t>
      </w:r>
      <w:r w:rsidRPr="00F909B6">
        <w:rPr>
          <w:sz w:val="18"/>
          <w:szCs w:val="18"/>
        </w:rPr>
        <w:t xml:space="preserve">) leaf phenolics using water/ethanol-based solvent systems and response surface methodology. Analytical &amp; Bioanalytical Chemistry, </w:t>
      </w:r>
      <w:r w:rsidRPr="00F909B6">
        <w:rPr>
          <w:i/>
          <w:sz w:val="18"/>
          <w:szCs w:val="18"/>
        </w:rPr>
        <w:t>392,</w:t>
      </w:r>
      <w:r w:rsidRPr="00F909B6">
        <w:rPr>
          <w:sz w:val="18"/>
          <w:szCs w:val="18"/>
        </w:rPr>
        <w:t xml:space="preserve"> 977-985.</w:t>
      </w:r>
    </w:p>
    <w:p w:rsidR="00587334" w:rsidRPr="00F909B6" w:rsidRDefault="00587334" w:rsidP="00F909B6">
      <w:pPr>
        <w:ind w:left="425" w:hanging="425"/>
        <w:jc w:val="both"/>
        <w:rPr>
          <w:sz w:val="18"/>
          <w:szCs w:val="18"/>
        </w:rPr>
      </w:pPr>
      <w:r w:rsidRPr="00F909B6">
        <w:rPr>
          <w:sz w:val="18"/>
          <w:szCs w:val="18"/>
        </w:rPr>
        <w:t xml:space="preserve">Pinelo, M., Arnous, A., &amp; Meyer, A.S. (2006). Upgrading of grape skins: Significance of plant cell-wall structural components and extraction techniques for phenol release. </w:t>
      </w:r>
      <w:r w:rsidRPr="00F909B6">
        <w:rPr>
          <w:i/>
          <w:sz w:val="18"/>
          <w:szCs w:val="18"/>
        </w:rPr>
        <w:t>Trends in Food Science &amp; Technology</w:t>
      </w:r>
      <w:r w:rsidRPr="00F909B6">
        <w:rPr>
          <w:sz w:val="18"/>
          <w:szCs w:val="18"/>
        </w:rPr>
        <w:t xml:space="preserve">, </w:t>
      </w:r>
      <w:r w:rsidRPr="00F909B6">
        <w:rPr>
          <w:i/>
          <w:sz w:val="18"/>
          <w:szCs w:val="18"/>
        </w:rPr>
        <w:t>17,</w:t>
      </w:r>
      <w:r w:rsidRPr="00F909B6">
        <w:rPr>
          <w:sz w:val="18"/>
          <w:szCs w:val="18"/>
        </w:rPr>
        <w:t xml:space="preserve"> 579-590.</w:t>
      </w:r>
    </w:p>
    <w:p w:rsidR="00587334" w:rsidRPr="00F909B6" w:rsidRDefault="00587334" w:rsidP="00F909B6">
      <w:pPr>
        <w:ind w:left="425" w:hanging="425"/>
        <w:jc w:val="both"/>
        <w:rPr>
          <w:sz w:val="18"/>
          <w:szCs w:val="18"/>
        </w:rPr>
      </w:pPr>
      <w:r w:rsidRPr="00F909B6">
        <w:rPr>
          <w:sz w:val="18"/>
          <w:szCs w:val="18"/>
        </w:rPr>
        <w:t xml:space="preserve">Psarra, E., Makris, D.P., Kallithraka, S., &amp; Kefalas, P. (2002). Evaluation of the antiradical and reducing properties of selected Greek white wines: Correlation with polyphenolic composition. Journal of the Science of Food &amp; Agriculture, </w:t>
      </w:r>
      <w:r w:rsidRPr="00F909B6">
        <w:rPr>
          <w:i/>
          <w:sz w:val="18"/>
          <w:szCs w:val="18"/>
        </w:rPr>
        <w:t>82,</w:t>
      </w:r>
      <w:r w:rsidRPr="00F909B6">
        <w:rPr>
          <w:sz w:val="18"/>
          <w:szCs w:val="18"/>
        </w:rPr>
        <w:t xml:space="preserve"> 1014-1020.</w:t>
      </w:r>
    </w:p>
    <w:p w:rsidR="00587334" w:rsidRPr="00F909B6" w:rsidRDefault="00587334" w:rsidP="00F909B6">
      <w:pPr>
        <w:ind w:left="425" w:hanging="425"/>
        <w:jc w:val="both"/>
        <w:rPr>
          <w:sz w:val="18"/>
          <w:szCs w:val="18"/>
        </w:rPr>
      </w:pPr>
      <w:r w:rsidRPr="00F909B6">
        <w:rPr>
          <w:sz w:val="18"/>
          <w:szCs w:val="18"/>
        </w:rPr>
        <w:t xml:space="preserve">Rakotondramasy-Rabesiaka, L., Havet, J.-L., Porte, C., &amp; Fauduet, H. (2007). Solid–liquid extraction of protopine from </w:t>
      </w:r>
      <w:r w:rsidRPr="00F909B6">
        <w:rPr>
          <w:i/>
          <w:sz w:val="18"/>
          <w:szCs w:val="18"/>
        </w:rPr>
        <w:t>Fumaria officinalis</w:t>
      </w:r>
      <w:r w:rsidR="00F909B6">
        <w:rPr>
          <w:sz w:val="18"/>
          <w:szCs w:val="18"/>
        </w:rPr>
        <w:t xml:space="preserve"> L. </w:t>
      </w:r>
      <w:r w:rsidRPr="00F909B6">
        <w:rPr>
          <w:sz w:val="18"/>
          <w:szCs w:val="18"/>
        </w:rPr>
        <w:t xml:space="preserve">Analysis determination, kinetic reaction and model building. Separation &amp; Purification Technology, </w:t>
      </w:r>
      <w:r w:rsidRPr="00F909B6">
        <w:rPr>
          <w:i/>
          <w:sz w:val="18"/>
          <w:szCs w:val="18"/>
        </w:rPr>
        <w:t>54,</w:t>
      </w:r>
      <w:r w:rsidRPr="00F909B6">
        <w:rPr>
          <w:sz w:val="18"/>
          <w:szCs w:val="18"/>
        </w:rPr>
        <w:t xml:space="preserve"> 253-261.</w:t>
      </w:r>
    </w:p>
    <w:p w:rsidR="00587334" w:rsidRPr="00F909B6" w:rsidRDefault="00587334" w:rsidP="00F909B6">
      <w:pPr>
        <w:ind w:left="425" w:hanging="425"/>
        <w:jc w:val="both"/>
        <w:rPr>
          <w:sz w:val="18"/>
          <w:szCs w:val="18"/>
        </w:rPr>
      </w:pPr>
      <w:r w:rsidRPr="00F909B6">
        <w:rPr>
          <w:sz w:val="18"/>
          <w:szCs w:val="18"/>
        </w:rPr>
        <w:t xml:space="preserve">Yu, J., &amp; Ahmedna, M. (2013). Functional components of grape pomace: their composition, biological properties and potential applications. </w:t>
      </w:r>
      <w:r w:rsidRPr="00F909B6">
        <w:rPr>
          <w:i/>
          <w:sz w:val="18"/>
          <w:szCs w:val="18"/>
        </w:rPr>
        <w:t>International Journal of Food Science &amp; Technology,</w:t>
      </w:r>
      <w:r w:rsidRPr="00F909B6">
        <w:rPr>
          <w:sz w:val="18"/>
          <w:szCs w:val="18"/>
        </w:rPr>
        <w:t xml:space="preserve"> </w:t>
      </w:r>
      <w:r w:rsidRPr="00F909B6">
        <w:rPr>
          <w:i/>
          <w:sz w:val="18"/>
          <w:szCs w:val="18"/>
        </w:rPr>
        <w:t>48,</w:t>
      </w:r>
      <w:r w:rsidRPr="00F909B6">
        <w:rPr>
          <w:sz w:val="18"/>
          <w:szCs w:val="18"/>
        </w:rPr>
        <w:t xml:space="preserve"> 221-237.</w:t>
      </w:r>
    </w:p>
    <w:p w:rsidR="00587334" w:rsidRPr="00B54A13" w:rsidRDefault="00587334" w:rsidP="00587334">
      <w:pPr>
        <w:jc w:val="both"/>
      </w:pPr>
    </w:p>
    <w:p w:rsidR="00587334" w:rsidRPr="00B54A13" w:rsidRDefault="00587334" w:rsidP="00587334">
      <w:pPr>
        <w:jc w:val="both"/>
      </w:pPr>
    </w:p>
    <w:p w:rsidR="000E0ACE" w:rsidRPr="0032449C" w:rsidRDefault="000E0ACE" w:rsidP="00831C98">
      <w:pPr>
        <w:widowControl w:val="0"/>
        <w:ind w:left="425" w:hanging="425"/>
        <w:jc w:val="both"/>
        <w:rPr>
          <w:rFonts w:eastAsia="AdvTimes"/>
          <w:sz w:val="22"/>
          <w:szCs w:val="22"/>
        </w:rPr>
      </w:pPr>
    </w:p>
    <w:p w:rsidR="000E0ACE" w:rsidRPr="0032449C" w:rsidRDefault="000E0ACE" w:rsidP="00831C98">
      <w:pPr>
        <w:widowControl w:val="0"/>
        <w:ind w:left="425" w:hanging="425"/>
        <w:jc w:val="both"/>
        <w:rPr>
          <w:rFonts w:eastAsia="AdvTimes"/>
          <w:sz w:val="22"/>
          <w:szCs w:val="22"/>
        </w:rPr>
      </w:pPr>
    </w:p>
    <w:p w:rsidR="000E0ACE" w:rsidRPr="0032449C" w:rsidRDefault="000E0ACE" w:rsidP="00831C98">
      <w:pPr>
        <w:widowControl w:val="0"/>
        <w:ind w:left="425" w:hanging="425"/>
        <w:jc w:val="both"/>
        <w:rPr>
          <w:sz w:val="22"/>
          <w:szCs w:val="22"/>
        </w:rPr>
      </w:pPr>
    </w:p>
    <w:p w:rsidR="005133AA" w:rsidRPr="00600674" w:rsidRDefault="005133AA" w:rsidP="005133AA">
      <w:pPr>
        <w:autoSpaceDE w:val="0"/>
        <w:autoSpaceDN w:val="0"/>
        <w:adjustRightInd w:val="0"/>
        <w:ind w:left="709" w:hanging="709"/>
        <w:jc w:val="right"/>
        <w:rPr>
          <w:sz w:val="22"/>
          <w:szCs w:val="22"/>
        </w:rPr>
      </w:pPr>
      <w:r w:rsidRPr="00600674">
        <w:rPr>
          <w:sz w:val="22"/>
          <w:szCs w:val="22"/>
        </w:rPr>
        <w:t xml:space="preserve">Received: </w:t>
      </w:r>
      <w:r w:rsidR="00600674" w:rsidRPr="00600674">
        <w:rPr>
          <w:sz w:val="22"/>
          <w:szCs w:val="22"/>
        </w:rPr>
        <w:t>March</w:t>
      </w:r>
      <w:r w:rsidRPr="00600674">
        <w:rPr>
          <w:sz w:val="22"/>
          <w:szCs w:val="22"/>
        </w:rPr>
        <w:t xml:space="preserve"> </w:t>
      </w:r>
      <w:r w:rsidR="00600674" w:rsidRPr="00600674">
        <w:rPr>
          <w:sz w:val="22"/>
          <w:szCs w:val="22"/>
        </w:rPr>
        <w:t>10</w:t>
      </w:r>
      <w:r w:rsidRPr="00600674">
        <w:rPr>
          <w:sz w:val="22"/>
          <w:szCs w:val="22"/>
        </w:rPr>
        <w:t>, 201</w:t>
      </w:r>
      <w:r w:rsidR="005365AD" w:rsidRPr="00600674">
        <w:rPr>
          <w:sz w:val="22"/>
          <w:szCs w:val="22"/>
        </w:rPr>
        <w:t>7</w:t>
      </w:r>
    </w:p>
    <w:p w:rsidR="005133AA" w:rsidRPr="00600674" w:rsidRDefault="005133AA" w:rsidP="005133AA">
      <w:pPr>
        <w:autoSpaceDE w:val="0"/>
        <w:autoSpaceDN w:val="0"/>
        <w:adjustRightInd w:val="0"/>
        <w:ind w:left="709" w:hanging="709"/>
        <w:jc w:val="right"/>
        <w:rPr>
          <w:sz w:val="22"/>
          <w:szCs w:val="22"/>
        </w:rPr>
      </w:pPr>
      <w:r w:rsidRPr="00600674">
        <w:rPr>
          <w:sz w:val="22"/>
          <w:szCs w:val="22"/>
        </w:rPr>
        <w:t xml:space="preserve">Accepted: </w:t>
      </w:r>
      <w:r w:rsidR="00600674" w:rsidRPr="00600674">
        <w:rPr>
          <w:sz w:val="22"/>
          <w:szCs w:val="22"/>
        </w:rPr>
        <w:t>July</w:t>
      </w:r>
      <w:r w:rsidRPr="00600674">
        <w:rPr>
          <w:sz w:val="22"/>
          <w:szCs w:val="22"/>
        </w:rPr>
        <w:t xml:space="preserve"> </w:t>
      </w:r>
      <w:r w:rsidR="00600674" w:rsidRPr="00600674">
        <w:rPr>
          <w:sz w:val="22"/>
          <w:szCs w:val="22"/>
        </w:rPr>
        <w:t>14</w:t>
      </w:r>
      <w:r w:rsidRPr="00600674">
        <w:rPr>
          <w:sz w:val="22"/>
          <w:szCs w:val="22"/>
        </w:rPr>
        <w:t>, 2017</w:t>
      </w:r>
    </w:p>
    <w:p w:rsidR="0013693B" w:rsidRDefault="0013693B" w:rsidP="008D1668">
      <w:pPr>
        <w:rPr>
          <w:sz w:val="22"/>
          <w:szCs w:val="22"/>
        </w:rPr>
      </w:pPr>
    </w:p>
    <w:p w:rsidR="00D244A3" w:rsidRDefault="00D244A3" w:rsidP="008D1668">
      <w:pPr>
        <w:rPr>
          <w:sz w:val="22"/>
          <w:szCs w:val="22"/>
        </w:rPr>
      </w:pPr>
    </w:p>
    <w:p w:rsidR="00D244A3" w:rsidRDefault="00D244A3" w:rsidP="008D1668">
      <w:pPr>
        <w:rPr>
          <w:sz w:val="22"/>
          <w:szCs w:val="22"/>
        </w:rPr>
      </w:pPr>
    </w:p>
    <w:p w:rsidR="00F909B6" w:rsidRDefault="00F909B6" w:rsidP="008D1668">
      <w:pPr>
        <w:rPr>
          <w:sz w:val="22"/>
          <w:szCs w:val="22"/>
        </w:rPr>
      </w:pPr>
    </w:p>
    <w:p w:rsidR="00F909B6" w:rsidRDefault="00F909B6" w:rsidP="008D1668">
      <w:pPr>
        <w:rPr>
          <w:sz w:val="22"/>
          <w:szCs w:val="22"/>
        </w:rPr>
      </w:pPr>
    </w:p>
    <w:p w:rsidR="00F909B6" w:rsidRDefault="00F909B6" w:rsidP="008D1668">
      <w:pPr>
        <w:rPr>
          <w:sz w:val="22"/>
          <w:szCs w:val="22"/>
        </w:rPr>
      </w:pPr>
    </w:p>
    <w:p w:rsidR="00F909B6" w:rsidRDefault="00F909B6" w:rsidP="008D1668">
      <w:pPr>
        <w:rPr>
          <w:sz w:val="22"/>
          <w:szCs w:val="22"/>
        </w:rPr>
      </w:pPr>
    </w:p>
    <w:p w:rsidR="00F909B6" w:rsidRDefault="00F909B6" w:rsidP="008D1668">
      <w:pPr>
        <w:rPr>
          <w:sz w:val="22"/>
          <w:szCs w:val="22"/>
        </w:rPr>
      </w:pPr>
    </w:p>
    <w:p w:rsidR="00F909B6" w:rsidRDefault="00F909B6" w:rsidP="008D1668">
      <w:pPr>
        <w:rPr>
          <w:sz w:val="22"/>
          <w:szCs w:val="22"/>
        </w:rPr>
      </w:pPr>
    </w:p>
    <w:p w:rsidR="00F909B6" w:rsidRDefault="00F909B6" w:rsidP="008D1668">
      <w:pPr>
        <w:rPr>
          <w:sz w:val="22"/>
          <w:szCs w:val="22"/>
        </w:rPr>
      </w:pPr>
    </w:p>
    <w:p w:rsidR="00F909B6" w:rsidRDefault="00F909B6" w:rsidP="008D1668">
      <w:pPr>
        <w:rPr>
          <w:sz w:val="22"/>
          <w:szCs w:val="22"/>
        </w:rPr>
      </w:pPr>
    </w:p>
    <w:p w:rsidR="00F909B6" w:rsidRDefault="00F909B6" w:rsidP="008D1668">
      <w:pPr>
        <w:rPr>
          <w:sz w:val="22"/>
          <w:szCs w:val="22"/>
        </w:rPr>
      </w:pPr>
    </w:p>
    <w:p w:rsidR="00F909B6" w:rsidRDefault="00F909B6" w:rsidP="008D1668">
      <w:pPr>
        <w:rPr>
          <w:sz w:val="22"/>
          <w:szCs w:val="22"/>
        </w:rPr>
      </w:pPr>
    </w:p>
    <w:p w:rsidR="00587334" w:rsidRPr="005B58AA" w:rsidRDefault="00587334" w:rsidP="00587334">
      <w:pPr>
        <w:pStyle w:val="CommentText"/>
        <w:jc w:val="center"/>
        <w:rPr>
          <w:sz w:val="22"/>
          <w:szCs w:val="22"/>
        </w:rPr>
      </w:pPr>
      <w:r w:rsidRPr="00F909B6">
        <w:rPr>
          <w:sz w:val="22"/>
          <w:szCs w:val="22"/>
        </w:rPr>
        <w:t xml:space="preserve">EKSTRAKCIJA ANTIOKSIDANATA IZ KOMINE CRVENOG GROŽĐA VODENIM RASTVORIMA </w:t>
      </w:r>
      <w:r w:rsidRPr="005B58AA">
        <w:rPr>
          <w:sz w:val="22"/>
          <w:szCs w:val="22"/>
        </w:rPr>
        <w:t>ORGANSKIH KISELINA KORIŠĆENJEM KINETIČKOG MODELOVANJA</w:t>
      </w:r>
    </w:p>
    <w:p w:rsidR="00F909B6" w:rsidRPr="005B58AA" w:rsidRDefault="00F909B6" w:rsidP="00587334">
      <w:pPr>
        <w:pStyle w:val="CommentText"/>
        <w:jc w:val="center"/>
        <w:rPr>
          <w:sz w:val="22"/>
          <w:szCs w:val="22"/>
        </w:rPr>
      </w:pPr>
    </w:p>
    <w:p w:rsidR="008F5020" w:rsidRPr="005B58AA" w:rsidRDefault="00587334" w:rsidP="0032449C">
      <w:pPr>
        <w:pStyle w:val="eaae-authorinfo"/>
        <w:rPr>
          <w:b/>
          <w:szCs w:val="22"/>
        </w:rPr>
      </w:pPr>
      <w:r w:rsidRPr="005B58AA">
        <w:rPr>
          <w:b/>
          <w:bCs/>
          <w:szCs w:val="22"/>
        </w:rPr>
        <w:t>Dimitris P. Makris</w:t>
      </w:r>
      <w:r w:rsidR="008F5020" w:rsidRPr="005B58AA">
        <w:rPr>
          <w:rStyle w:val="FootnoteReference"/>
          <w:b/>
          <w:bCs/>
          <w:szCs w:val="22"/>
        </w:rPr>
        <w:footnoteReference w:customMarkFollows="1" w:id="3"/>
        <w:t>*</w:t>
      </w:r>
    </w:p>
    <w:p w:rsidR="008F5020" w:rsidRPr="005B58AA" w:rsidRDefault="008F5020" w:rsidP="0032449C">
      <w:pPr>
        <w:pStyle w:val="eaae-authorinfo"/>
        <w:rPr>
          <w:szCs w:val="22"/>
        </w:rPr>
      </w:pPr>
    </w:p>
    <w:p w:rsidR="008F5020" w:rsidRPr="005B58AA" w:rsidRDefault="00587334" w:rsidP="0032449C">
      <w:pPr>
        <w:jc w:val="center"/>
        <w:rPr>
          <w:sz w:val="22"/>
          <w:szCs w:val="22"/>
        </w:rPr>
      </w:pPr>
      <w:r w:rsidRPr="005B58AA">
        <w:rPr>
          <w:iCs/>
          <w:sz w:val="22"/>
          <w:szCs w:val="22"/>
          <w:highlight w:val="yellow"/>
          <w:lang w:val="pl-PL"/>
        </w:rPr>
        <w:t>Fakultet za ekologiju, Egejski univerzitet</w:t>
      </w:r>
      <w:r w:rsidRPr="005B58AA">
        <w:rPr>
          <w:iCs/>
          <w:sz w:val="22"/>
          <w:szCs w:val="22"/>
          <w:lang w:val="pl-PL"/>
        </w:rPr>
        <w:t>, Lemnos, Grčka</w:t>
      </w:r>
    </w:p>
    <w:p w:rsidR="008F5020" w:rsidRPr="005B58AA" w:rsidRDefault="008F5020" w:rsidP="0032449C">
      <w:pPr>
        <w:jc w:val="center"/>
        <w:rPr>
          <w:sz w:val="22"/>
          <w:szCs w:val="22"/>
        </w:rPr>
      </w:pPr>
    </w:p>
    <w:p w:rsidR="00882582" w:rsidRPr="005B58AA" w:rsidRDefault="00882582" w:rsidP="00F44E5F">
      <w:pPr>
        <w:jc w:val="center"/>
        <w:rPr>
          <w:sz w:val="22"/>
          <w:szCs w:val="22"/>
          <w:lang w:val="pl-PL"/>
        </w:rPr>
      </w:pPr>
      <w:r w:rsidRPr="005B58AA">
        <w:rPr>
          <w:sz w:val="22"/>
          <w:szCs w:val="22"/>
          <w:lang w:val="pl-PL"/>
        </w:rPr>
        <w:t>R e z i m e</w:t>
      </w:r>
    </w:p>
    <w:p w:rsidR="005F7431" w:rsidRPr="005B58AA" w:rsidRDefault="005F7431" w:rsidP="00F44E5F">
      <w:pPr>
        <w:jc w:val="center"/>
        <w:rPr>
          <w:sz w:val="22"/>
          <w:szCs w:val="22"/>
          <w:lang w:val="pl-PL"/>
        </w:rPr>
      </w:pPr>
    </w:p>
    <w:p w:rsidR="00587334" w:rsidRPr="00F909B6" w:rsidRDefault="00587334" w:rsidP="00F909B6">
      <w:pPr>
        <w:ind w:firstLine="426"/>
        <w:jc w:val="both"/>
        <w:rPr>
          <w:sz w:val="22"/>
          <w:szCs w:val="22"/>
          <w:lang w:val="pl-PL"/>
        </w:rPr>
      </w:pPr>
      <w:r w:rsidRPr="00F909B6">
        <w:rPr>
          <w:sz w:val="22"/>
          <w:szCs w:val="22"/>
          <w:lang w:val="pl-PL"/>
        </w:rPr>
        <w:t xml:space="preserve">Komina grožđa je rezidualni materijal prehrambene industrije koji može sadržati </w:t>
      </w:r>
      <w:r w:rsidRPr="00F909B6">
        <w:rPr>
          <w:sz w:val="22"/>
          <w:szCs w:val="22"/>
          <w:highlight w:val="yellow"/>
          <w:lang w:val="pl-PL"/>
        </w:rPr>
        <w:t>veliku količinu polifenolnih antioksidanata</w:t>
      </w:r>
      <w:r w:rsidRPr="00F909B6">
        <w:rPr>
          <w:sz w:val="22"/>
          <w:szCs w:val="22"/>
          <w:lang w:val="pl-PL"/>
        </w:rPr>
        <w:t xml:space="preserve"> i </w:t>
      </w:r>
      <w:r w:rsidRPr="00F909B6">
        <w:rPr>
          <w:sz w:val="22"/>
          <w:szCs w:val="22"/>
          <w:highlight w:val="yellow"/>
          <w:lang w:val="pl-PL"/>
        </w:rPr>
        <w:t>nekoliko metoda je implementirano</w:t>
      </w:r>
      <w:r w:rsidRPr="00F909B6">
        <w:rPr>
          <w:sz w:val="22"/>
          <w:szCs w:val="22"/>
          <w:lang w:val="pl-PL"/>
        </w:rPr>
        <w:t xml:space="preserve"> za njihovo efikasno </w:t>
      </w:r>
      <w:r w:rsidRPr="00F909B6">
        <w:rPr>
          <w:sz w:val="22"/>
          <w:szCs w:val="22"/>
          <w:highlight w:val="yellow"/>
          <w:lang w:val="pl-PL"/>
        </w:rPr>
        <w:t>ponovno dobijanje</w:t>
      </w:r>
      <w:r w:rsidRPr="00F909B6">
        <w:rPr>
          <w:sz w:val="22"/>
          <w:szCs w:val="22"/>
          <w:lang w:val="pl-PL"/>
        </w:rPr>
        <w:t xml:space="preserve">. Međutim, ekološki procesi bi trebalo da obuhvate i ekološki benigne i netokstične rastvarače. Na osnovu toga, ovo istraživanje ispituje ekstrakciju antioksidanata, upotrebom vodenih rastvora sirćetne i limunske kiseline i </w:t>
      </w:r>
      <w:r w:rsidRPr="00F909B6">
        <w:rPr>
          <w:sz w:val="22"/>
          <w:szCs w:val="22"/>
          <w:highlight w:val="yellow"/>
          <w:lang w:val="pl-PL"/>
        </w:rPr>
        <w:t>praćenje redukcione moći</w:t>
      </w:r>
      <w:r w:rsidRPr="00F909B6">
        <w:rPr>
          <w:sz w:val="22"/>
          <w:szCs w:val="22"/>
          <w:lang w:val="pl-PL"/>
        </w:rPr>
        <w:t xml:space="preserve"> (engl. </w:t>
      </w:r>
      <w:r w:rsidRPr="00F909B6">
        <w:rPr>
          <w:i/>
          <w:sz w:val="22"/>
          <w:szCs w:val="22"/>
          <w:lang w:val="pl-PL"/>
        </w:rPr>
        <w:t>reducing power</w:t>
      </w:r>
      <w:r w:rsidRPr="00F909B6">
        <w:rPr>
          <w:sz w:val="22"/>
          <w:szCs w:val="22"/>
          <w:lang w:val="pl-PL"/>
        </w:rPr>
        <w:t xml:space="preserve"> </w:t>
      </w:r>
      <w:r w:rsidR="00F909B6">
        <w:rPr>
          <w:sz w:val="22"/>
          <w:szCs w:val="22"/>
          <w:lang w:val="pl-PL"/>
        </w:rPr>
        <w:sym w:font="Symbol" w:char="F02D"/>
      </w:r>
      <w:r w:rsidRPr="00F909B6">
        <w:rPr>
          <w:sz w:val="22"/>
          <w:szCs w:val="22"/>
          <w:lang w:val="pl-PL"/>
        </w:rPr>
        <w:t xml:space="preserve"> P</w:t>
      </w:r>
      <w:r w:rsidRPr="00F909B6">
        <w:rPr>
          <w:sz w:val="22"/>
          <w:szCs w:val="22"/>
          <w:vertAlign w:val="subscript"/>
          <w:lang w:val="pl-PL"/>
        </w:rPr>
        <w:t>R</w:t>
      </w:r>
      <w:r w:rsidRPr="00F909B6">
        <w:rPr>
          <w:sz w:val="22"/>
          <w:szCs w:val="22"/>
          <w:lang w:val="pl-PL"/>
        </w:rPr>
        <w:t xml:space="preserve">) ekstrakta. Cilj je bio da se ispita uticaj koncentracije kiseline na ekstrakcioni prinos korišćenjem kinetike. Uspostavljen kinetički model omogućio je verodostojno poređenje efikasnosti ekstrakcije, </w:t>
      </w:r>
      <w:r w:rsidRPr="00F909B6">
        <w:rPr>
          <w:sz w:val="22"/>
          <w:szCs w:val="22"/>
          <w:highlight w:val="yellow"/>
          <w:lang w:val="pl-PL"/>
        </w:rPr>
        <w:t>postignute korišćenjem rastvora sirćetne i limunske kiseline različite koncentracije</w:t>
      </w:r>
      <w:r w:rsidRPr="00F909B6">
        <w:rPr>
          <w:sz w:val="22"/>
          <w:szCs w:val="22"/>
          <w:lang w:val="pl-PL"/>
        </w:rPr>
        <w:t xml:space="preserve">. Rezultati sugerišu da su rastvori limunske kiseline  efikasniji u </w:t>
      </w:r>
      <w:r w:rsidRPr="00F909B6">
        <w:rPr>
          <w:sz w:val="22"/>
          <w:szCs w:val="22"/>
          <w:highlight w:val="yellow"/>
          <w:lang w:val="pl-PL"/>
        </w:rPr>
        <w:t>ponovnom dobijanju</w:t>
      </w:r>
      <w:r w:rsidRPr="00F909B6">
        <w:rPr>
          <w:sz w:val="22"/>
          <w:szCs w:val="22"/>
          <w:lang w:val="pl-PL"/>
        </w:rPr>
        <w:t xml:space="preserve"> antioksidanata iz komine crvenog grožđa. </w:t>
      </w:r>
      <w:r w:rsidR="00F909B6">
        <w:rPr>
          <w:sz w:val="22"/>
          <w:szCs w:val="22"/>
          <w:lang w:val="pl-PL"/>
        </w:rPr>
        <w:t>Korišćenjem</w:t>
      </w:r>
      <w:r w:rsidRPr="00F909B6">
        <w:rPr>
          <w:sz w:val="22"/>
          <w:szCs w:val="22"/>
          <w:lang w:val="pl-PL"/>
        </w:rPr>
        <w:t xml:space="preserve"> 4% (w/v) rastvora limunske kiseline, mogla bi se postići </w:t>
      </w:r>
      <w:r w:rsidRPr="00F909B6">
        <w:rPr>
          <w:sz w:val="22"/>
          <w:szCs w:val="22"/>
          <w:highlight w:val="yellow"/>
          <w:lang w:val="pl-PL"/>
        </w:rPr>
        <w:t>maksimalna redukciona moć, P</w:t>
      </w:r>
      <w:r w:rsidRPr="00F909B6">
        <w:rPr>
          <w:sz w:val="22"/>
          <w:szCs w:val="22"/>
          <w:highlight w:val="yellow"/>
          <w:vertAlign w:val="subscript"/>
          <w:lang w:val="pl-PL"/>
        </w:rPr>
        <w:t>R,</w:t>
      </w:r>
      <w:r w:rsidRPr="00F909B6">
        <w:rPr>
          <w:sz w:val="22"/>
          <w:szCs w:val="22"/>
          <w:highlight w:val="yellow"/>
          <w:lang w:val="pl-PL"/>
        </w:rPr>
        <w:t xml:space="preserve"> od 229,8 </w:t>
      </w:r>
      <w:r w:rsidRPr="00F909B6">
        <w:rPr>
          <w:sz w:val="22"/>
          <w:szCs w:val="22"/>
          <w:highlight w:val="yellow"/>
        </w:rPr>
        <w:t>μ</w:t>
      </w:r>
      <w:r w:rsidRPr="00F909B6">
        <w:rPr>
          <w:sz w:val="22"/>
          <w:szCs w:val="22"/>
          <w:highlight w:val="yellow"/>
          <w:lang w:val="pl-PL"/>
        </w:rPr>
        <w:t>M ekvivalenata askorbinske kiseline</w:t>
      </w:r>
      <w:r w:rsidRPr="00F909B6">
        <w:rPr>
          <w:sz w:val="22"/>
          <w:szCs w:val="22"/>
          <w:lang w:val="pl-PL"/>
        </w:rPr>
        <w:t xml:space="preserve"> po g suve komine. Ovo istraživanje je pokazalo da bi </w:t>
      </w:r>
      <w:r w:rsidRPr="00F909B6">
        <w:rPr>
          <w:sz w:val="22"/>
          <w:szCs w:val="22"/>
          <w:highlight w:val="yellow"/>
          <w:lang w:val="pl-PL"/>
        </w:rPr>
        <w:t>vodene sredine</w:t>
      </w:r>
      <w:r w:rsidRPr="00F909B6">
        <w:rPr>
          <w:sz w:val="22"/>
          <w:szCs w:val="22"/>
          <w:lang w:val="pl-PL"/>
        </w:rPr>
        <w:t xml:space="preserve"> koje se koriste za ekstrakciju antioksidativnih jedinjenja iz otpada u prehrambenoj industriji mogle biti značajno uslovljene sredstvom za zakišeljavanje i njegovom koncentracijom</w:t>
      </w:r>
      <w:r w:rsidRPr="00F909B6">
        <w:rPr>
          <w:bCs/>
          <w:sz w:val="22"/>
          <w:szCs w:val="22"/>
          <w:lang w:val="pl-PL"/>
        </w:rPr>
        <w:t>.</w:t>
      </w:r>
    </w:p>
    <w:p w:rsidR="00587334" w:rsidRPr="00F909B6" w:rsidRDefault="00587334" w:rsidP="00F909B6">
      <w:pPr>
        <w:ind w:firstLine="426"/>
        <w:jc w:val="both"/>
        <w:rPr>
          <w:sz w:val="22"/>
          <w:szCs w:val="22"/>
          <w:lang w:val="pl-PL"/>
        </w:rPr>
      </w:pPr>
      <w:r w:rsidRPr="00F909B6">
        <w:rPr>
          <w:b/>
          <w:bCs/>
          <w:color w:val="222222"/>
          <w:sz w:val="22"/>
          <w:szCs w:val="22"/>
        </w:rPr>
        <w:t>Ključne reči:</w:t>
      </w:r>
      <w:r w:rsidRPr="00F909B6">
        <w:rPr>
          <w:sz w:val="22"/>
          <w:szCs w:val="22"/>
          <w:lang w:val="pl-PL"/>
        </w:rPr>
        <w:t xml:space="preserve"> antioksidanti, ekstrakcija, komina grožđa, kinetika, organske kiseline, redukciona moć</w:t>
      </w:r>
      <w:r w:rsidR="00F909B6">
        <w:rPr>
          <w:sz w:val="22"/>
          <w:szCs w:val="22"/>
          <w:lang w:val="pl-PL"/>
        </w:rPr>
        <w:t>.</w:t>
      </w:r>
    </w:p>
    <w:p w:rsidR="00771B78" w:rsidRDefault="00771B78" w:rsidP="0032449C">
      <w:pPr>
        <w:jc w:val="both"/>
        <w:rPr>
          <w:sz w:val="22"/>
          <w:szCs w:val="22"/>
        </w:rPr>
      </w:pPr>
    </w:p>
    <w:p w:rsidR="00F909B6" w:rsidRDefault="00F909B6" w:rsidP="0032449C">
      <w:pPr>
        <w:jc w:val="both"/>
        <w:rPr>
          <w:sz w:val="22"/>
          <w:szCs w:val="22"/>
        </w:rPr>
      </w:pPr>
    </w:p>
    <w:p w:rsidR="0032449C" w:rsidRPr="0032449C" w:rsidRDefault="0032449C" w:rsidP="0032449C">
      <w:pPr>
        <w:jc w:val="both"/>
        <w:rPr>
          <w:sz w:val="22"/>
          <w:szCs w:val="22"/>
        </w:rPr>
      </w:pPr>
    </w:p>
    <w:p w:rsidR="00CD1299" w:rsidRPr="0032449C" w:rsidRDefault="00CD1299" w:rsidP="0032449C">
      <w:pPr>
        <w:pStyle w:val="NoSpacing"/>
        <w:ind w:left="0" w:right="0" w:firstLine="0"/>
        <w:jc w:val="both"/>
        <w:rPr>
          <w:rFonts w:ascii="Times New Roman" w:hAnsi="Times New Roman"/>
        </w:rPr>
      </w:pPr>
    </w:p>
    <w:p w:rsidR="005133AA" w:rsidRPr="00600674" w:rsidRDefault="005133AA" w:rsidP="005133AA">
      <w:pPr>
        <w:autoSpaceDE w:val="0"/>
        <w:autoSpaceDN w:val="0"/>
        <w:adjustRightInd w:val="0"/>
        <w:ind w:left="709" w:hanging="709"/>
        <w:jc w:val="right"/>
        <w:rPr>
          <w:sz w:val="22"/>
          <w:szCs w:val="22"/>
        </w:rPr>
      </w:pPr>
      <w:r w:rsidRPr="00600674">
        <w:rPr>
          <w:sz w:val="22"/>
          <w:szCs w:val="22"/>
        </w:rPr>
        <w:t xml:space="preserve">Primljeno: </w:t>
      </w:r>
      <w:r w:rsidR="00600674" w:rsidRPr="00600674">
        <w:rPr>
          <w:sz w:val="22"/>
          <w:szCs w:val="22"/>
        </w:rPr>
        <w:t>10</w:t>
      </w:r>
      <w:r w:rsidRPr="00600674">
        <w:rPr>
          <w:sz w:val="22"/>
          <w:szCs w:val="22"/>
        </w:rPr>
        <w:t xml:space="preserve">. </w:t>
      </w:r>
      <w:r w:rsidR="00600674" w:rsidRPr="00600674">
        <w:rPr>
          <w:sz w:val="22"/>
          <w:szCs w:val="22"/>
        </w:rPr>
        <w:t>marta</w:t>
      </w:r>
      <w:r w:rsidRPr="00600674">
        <w:rPr>
          <w:sz w:val="22"/>
          <w:szCs w:val="22"/>
        </w:rPr>
        <w:t xml:space="preserve"> 201</w:t>
      </w:r>
      <w:r w:rsidR="005365AD" w:rsidRPr="00600674">
        <w:rPr>
          <w:sz w:val="22"/>
          <w:szCs w:val="22"/>
        </w:rPr>
        <w:t>7</w:t>
      </w:r>
      <w:r w:rsidRPr="00600674">
        <w:rPr>
          <w:sz w:val="22"/>
          <w:szCs w:val="22"/>
        </w:rPr>
        <w:t>.</w:t>
      </w:r>
    </w:p>
    <w:p w:rsidR="005133AA" w:rsidRPr="00600674" w:rsidRDefault="005133AA" w:rsidP="005133AA">
      <w:pPr>
        <w:autoSpaceDE w:val="0"/>
        <w:autoSpaceDN w:val="0"/>
        <w:adjustRightInd w:val="0"/>
        <w:ind w:left="709" w:hanging="709"/>
        <w:jc w:val="right"/>
        <w:rPr>
          <w:sz w:val="22"/>
          <w:szCs w:val="22"/>
        </w:rPr>
      </w:pPr>
      <w:r w:rsidRPr="00600674">
        <w:rPr>
          <w:sz w:val="22"/>
          <w:szCs w:val="22"/>
        </w:rPr>
        <w:t xml:space="preserve">Odobreno: </w:t>
      </w:r>
      <w:r w:rsidR="00600674" w:rsidRPr="00600674">
        <w:rPr>
          <w:sz w:val="22"/>
          <w:szCs w:val="22"/>
        </w:rPr>
        <w:t>14</w:t>
      </w:r>
      <w:r w:rsidRPr="00600674">
        <w:rPr>
          <w:sz w:val="22"/>
          <w:szCs w:val="22"/>
        </w:rPr>
        <w:t xml:space="preserve">. </w:t>
      </w:r>
      <w:r w:rsidR="00600674" w:rsidRPr="00600674">
        <w:rPr>
          <w:sz w:val="22"/>
          <w:szCs w:val="22"/>
        </w:rPr>
        <w:t>jula</w:t>
      </w:r>
      <w:r w:rsidRPr="00600674">
        <w:rPr>
          <w:sz w:val="22"/>
          <w:szCs w:val="22"/>
        </w:rPr>
        <w:t xml:space="preserve"> 2017.</w:t>
      </w:r>
    </w:p>
    <w:p w:rsidR="00B1268C" w:rsidRDefault="00B1268C" w:rsidP="005133AA">
      <w:pPr>
        <w:autoSpaceDE w:val="0"/>
        <w:autoSpaceDN w:val="0"/>
        <w:adjustRightInd w:val="0"/>
        <w:ind w:left="709" w:hanging="709"/>
        <w:jc w:val="right"/>
        <w:rPr>
          <w:sz w:val="18"/>
          <w:szCs w:val="18"/>
        </w:rPr>
      </w:pPr>
    </w:p>
    <w:p w:rsidR="00B1268C" w:rsidRDefault="00B1268C" w:rsidP="005133AA">
      <w:pPr>
        <w:autoSpaceDE w:val="0"/>
        <w:autoSpaceDN w:val="0"/>
        <w:adjustRightInd w:val="0"/>
        <w:ind w:left="709" w:hanging="709"/>
        <w:jc w:val="right"/>
        <w:rPr>
          <w:sz w:val="18"/>
          <w:szCs w:val="18"/>
        </w:rPr>
      </w:pPr>
    </w:p>
    <w:p w:rsidR="00B1268C" w:rsidRDefault="00B1268C" w:rsidP="005133AA">
      <w:pPr>
        <w:autoSpaceDE w:val="0"/>
        <w:autoSpaceDN w:val="0"/>
        <w:adjustRightInd w:val="0"/>
        <w:ind w:left="709" w:hanging="709"/>
        <w:jc w:val="right"/>
        <w:rPr>
          <w:sz w:val="18"/>
          <w:szCs w:val="18"/>
        </w:rPr>
      </w:pPr>
    </w:p>
    <w:p w:rsidR="00B1268C" w:rsidRDefault="00B1268C" w:rsidP="005133AA">
      <w:pPr>
        <w:autoSpaceDE w:val="0"/>
        <w:autoSpaceDN w:val="0"/>
        <w:adjustRightInd w:val="0"/>
        <w:ind w:left="709" w:hanging="709"/>
        <w:jc w:val="right"/>
        <w:rPr>
          <w:sz w:val="18"/>
          <w:szCs w:val="18"/>
        </w:rPr>
      </w:pPr>
    </w:p>
    <w:p w:rsidR="00B1268C" w:rsidRDefault="00B1268C" w:rsidP="005133AA">
      <w:pPr>
        <w:autoSpaceDE w:val="0"/>
        <w:autoSpaceDN w:val="0"/>
        <w:adjustRightInd w:val="0"/>
        <w:ind w:left="709" w:hanging="709"/>
        <w:jc w:val="right"/>
        <w:rPr>
          <w:sz w:val="18"/>
          <w:szCs w:val="18"/>
        </w:rPr>
      </w:pPr>
    </w:p>
    <w:p w:rsidR="00B1268C" w:rsidRDefault="00B1268C" w:rsidP="005133AA">
      <w:pPr>
        <w:autoSpaceDE w:val="0"/>
        <w:autoSpaceDN w:val="0"/>
        <w:adjustRightInd w:val="0"/>
        <w:ind w:left="709" w:hanging="709"/>
        <w:jc w:val="right"/>
        <w:rPr>
          <w:sz w:val="18"/>
          <w:szCs w:val="18"/>
        </w:rPr>
      </w:pPr>
    </w:p>
    <w:p w:rsidR="00B1268C" w:rsidRDefault="00B1268C" w:rsidP="005133AA">
      <w:pPr>
        <w:autoSpaceDE w:val="0"/>
        <w:autoSpaceDN w:val="0"/>
        <w:adjustRightInd w:val="0"/>
        <w:ind w:left="709" w:hanging="709"/>
        <w:jc w:val="right"/>
        <w:rPr>
          <w:sz w:val="18"/>
          <w:szCs w:val="18"/>
        </w:rPr>
      </w:pPr>
    </w:p>
    <w:sectPr w:rsidR="00B1268C" w:rsidSect="008E7B76">
      <w:headerReference w:type="even" r:id="rId16"/>
      <w:headerReference w:type="default" r:id="rId17"/>
      <w:headerReference w:type="first" r:id="rId18"/>
      <w:footnotePr>
        <w:numFmt w:val="chicago"/>
      </w:footnotePr>
      <w:endnotePr>
        <w:numFmt w:val="chicago"/>
      </w:endnotePr>
      <w:pgSz w:w="11907" w:h="16840" w:code="9"/>
      <w:pgMar w:top="3119" w:right="2268" w:bottom="3119" w:left="2268" w:header="2268" w:footer="709" w:gutter="0"/>
      <w:pgNumType w:start="1"/>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Danijela" w:date="2017-09-27T09:45:00Z" w:initials="D">
    <w:p w:rsidR="00587334" w:rsidRPr="00C11043" w:rsidRDefault="00587334" w:rsidP="00587334">
      <w:pPr>
        <w:pStyle w:val="CommentText"/>
      </w:pPr>
      <w:r>
        <w:rPr>
          <w:rStyle w:val="CommentReference"/>
        </w:rPr>
        <w:annotationRef/>
      </w:r>
      <w:r>
        <w:t>Maybe: olive leaf polyphenols?</w:t>
      </w:r>
    </w:p>
  </w:comment>
  <w:comment w:id="1" w:author="Korisnik HP" w:date="2017-09-28T19:12:00Z" w:initials="PPF">
    <w:p w:rsidR="005B58AA" w:rsidRDefault="005B58AA">
      <w:pPr>
        <w:pStyle w:val="CommentText"/>
      </w:pPr>
      <w:r>
        <w:rPr>
          <w:rStyle w:val="CommentReference"/>
        </w:rPr>
        <w:annotationRef/>
      </w:r>
      <w:r w:rsidR="00600674">
        <w:t>Is this right place for this section?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481" w:rsidRDefault="00814481">
      <w:r>
        <w:separator/>
      </w:r>
    </w:p>
  </w:endnote>
  <w:endnote w:type="continuationSeparator" w:id="1">
    <w:p w:rsidR="00814481" w:rsidRDefault="008144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YuTimes">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JGBZHV+Swiss721BT-LightCondense">
    <w:altName w:val="Arial"/>
    <w:panose1 w:val="00000000000000000000"/>
    <w:charset w:val="00"/>
    <w:family w:val="swiss"/>
    <w:notTrueType/>
    <w:pitch w:val="default"/>
    <w:sig w:usb0="00000003" w:usb1="00000000" w:usb2="00000000" w:usb3="00000000" w:csb0="00000001" w:csb1="00000000"/>
  </w:font>
  <w:font w:name="Garamond Premr Pro">
    <w:altName w:val="Times New Roman"/>
    <w:panose1 w:val="00000000000000000000"/>
    <w:charset w:val="00"/>
    <w:family w:val="roman"/>
    <w:notTrueType/>
    <w:pitch w:val="variable"/>
    <w:sig w:usb0="E00002BF" w:usb1="5000E07B"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Premr Pro Smbd">
    <w:altName w:val="Times New Roman"/>
    <w:panose1 w:val="00000000000000000000"/>
    <w:charset w:val="00"/>
    <w:family w:val="roman"/>
    <w:notTrueType/>
    <w:pitch w:val="variable"/>
    <w:sig w:usb0="00000001" w:usb1="5000E07B" w:usb2="00000000" w:usb3="00000000" w:csb0="0000019F" w:csb1="00000000"/>
  </w:font>
  <w:font w:name="B Nazanin">
    <w:altName w:val="Courier New"/>
    <w:charset w:val="B2"/>
    <w:family w:val="auto"/>
    <w:pitch w:val="variable"/>
    <w:sig w:usb0="00002000" w:usb1="80000000" w:usb2="00000008" w:usb3="00000000" w:csb0="00000040" w:csb1="00000000"/>
  </w:font>
  <w:font w:name="Helvetica">
    <w:panose1 w:val="020B0604020202030204"/>
    <w:charset w:val="00"/>
    <w:family w:val="swiss"/>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A00002EF" w:usb1="420020EB" w:usb2="00000000" w:usb3="00000000" w:csb0="0000019F" w:csb1="00000000"/>
  </w:font>
  <w:font w:name="AdvTimes">
    <w:altName w:val="MS Mincho"/>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481" w:rsidRDefault="00814481">
      <w:r>
        <w:separator/>
      </w:r>
    </w:p>
  </w:footnote>
  <w:footnote w:type="continuationSeparator" w:id="1">
    <w:p w:rsidR="00814481" w:rsidRDefault="00814481">
      <w:r>
        <w:continuationSeparator/>
      </w:r>
    </w:p>
  </w:footnote>
  <w:footnote w:id="2">
    <w:p w:rsidR="008F5020" w:rsidRPr="00CD1299" w:rsidRDefault="008F5020" w:rsidP="008F5020">
      <w:pPr>
        <w:pStyle w:val="FootnoteText"/>
        <w:jc w:val="both"/>
        <w:rPr>
          <w:sz w:val="18"/>
          <w:szCs w:val="18"/>
        </w:rPr>
      </w:pPr>
      <w:r w:rsidRPr="00CC7A58">
        <w:rPr>
          <w:rStyle w:val="FootnoteReference"/>
          <w:sz w:val="18"/>
          <w:szCs w:val="18"/>
        </w:rPr>
        <w:footnoteRef/>
      </w:r>
      <w:r w:rsidRPr="008F5020">
        <w:rPr>
          <w:bCs/>
          <w:sz w:val="18"/>
          <w:szCs w:val="18"/>
        </w:rPr>
        <w:t xml:space="preserve">Corresponding author: e-mail: </w:t>
      </w:r>
      <w:hyperlink r:id="rId1" w:history="1">
        <w:r w:rsidR="00587334" w:rsidRPr="006234D0">
          <w:rPr>
            <w:rStyle w:val="Hyperlink"/>
            <w:iCs/>
            <w:color w:val="auto"/>
            <w:sz w:val="18"/>
            <w:szCs w:val="18"/>
            <w:u w:val="none"/>
          </w:rPr>
          <w:t>dmakris@aegean.gr</w:t>
        </w:r>
      </w:hyperlink>
    </w:p>
  </w:footnote>
  <w:footnote w:id="3">
    <w:p w:rsidR="008F5020" w:rsidRPr="00F909B6" w:rsidRDefault="008F5020" w:rsidP="008F5020">
      <w:pPr>
        <w:pStyle w:val="FootnoteText"/>
        <w:rPr>
          <w:sz w:val="18"/>
          <w:szCs w:val="18"/>
          <w:lang w:val="en-US"/>
        </w:rPr>
      </w:pPr>
      <w:r w:rsidRPr="00F909B6">
        <w:rPr>
          <w:rStyle w:val="FootnoteReference"/>
          <w:sz w:val="18"/>
          <w:szCs w:val="18"/>
        </w:rPr>
        <w:t>*</w:t>
      </w:r>
      <w:r w:rsidRPr="00F909B6">
        <w:rPr>
          <w:bCs/>
          <w:sz w:val="18"/>
          <w:szCs w:val="18"/>
        </w:rPr>
        <w:t>Autor za kontakt: e-mail:</w:t>
      </w:r>
      <w:r w:rsidRPr="00F909B6">
        <w:rPr>
          <w:sz w:val="18"/>
          <w:szCs w:val="18"/>
        </w:rPr>
        <w:t xml:space="preserve"> </w:t>
      </w:r>
      <w:hyperlink r:id="rId2" w:history="1">
        <w:r w:rsidR="00587334" w:rsidRPr="00F909B6">
          <w:rPr>
            <w:rStyle w:val="Hyperlink"/>
            <w:iCs/>
            <w:color w:val="auto"/>
            <w:sz w:val="18"/>
            <w:szCs w:val="18"/>
            <w:u w:val="none"/>
            <w:lang w:val="pl-PL"/>
          </w:rPr>
          <w:t>dmakris@aegean.gr</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9DD" w:rsidRDefault="003A07C0" w:rsidP="003E2BC8">
    <w:pPr>
      <w:pStyle w:val="Header"/>
      <w:framePr w:wrap="around" w:vAnchor="text" w:hAnchor="page" w:x="2264" w:y="24"/>
      <w:rPr>
        <w:rStyle w:val="PageNumber"/>
        <w:sz w:val="18"/>
      </w:rPr>
    </w:pPr>
    <w:r w:rsidRPr="004D3E6C">
      <w:rPr>
        <w:rStyle w:val="PageNumber"/>
        <w:sz w:val="18"/>
      </w:rPr>
      <w:fldChar w:fldCharType="begin"/>
    </w:r>
    <w:r w:rsidR="008879DD" w:rsidRPr="004D3E6C">
      <w:rPr>
        <w:rStyle w:val="PageNumber"/>
        <w:sz w:val="18"/>
      </w:rPr>
      <w:instrText xml:space="preserve">PAGE  </w:instrText>
    </w:r>
    <w:r w:rsidRPr="004D3E6C">
      <w:rPr>
        <w:rStyle w:val="PageNumber"/>
        <w:sz w:val="18"/>
      </w:rPr>
      <w:fldChar w:fldCharType="separate"/>
    </w:r>
    <w:r w:rsidR="00600674">
      <w:rPr>
        <w:rStyle w:val="PageNumber"/>
        <w:noProof/>
        <w:sz w:val="18"/>
      </w:rPr>
      <w:t>2</w:t>
    </w:r>
    <w:r w:rsidRPr="004D3E6C">
      <w:rPr>
        <w:rStyle w:val="PageNumber"/>
        <w:sz w:val="18"/>
      </w:rPr>
      <w:fldChar w:fldCharType="end"/>
    </w:r>
  </w:p>
  <w:p w:rsidR="008879DD" w:rsidRPr="00587334" w:rsidRDefault="00587334" w:rsidP="00231632">
    <w:pPr>
      <w:pStyle w:val="Header"/>
      <w:pBdr>
        <w:bottom w:val="single" w:sz="4" w:space="1" w:color="auto"/>
      </w:pBdr>
      <w:jc w:val="center"/>
      <w:rPr>
        <w:sz w:val="18"/>
        <w:szCs w:val="18"/>
        <w:lang w:val="en-US"/>
      </w:rPr>
    </w:pPr>
    <w:r w:rsidRPr="00587334">
      <w:rPr>
        <w:bCs/>
        <w:sz w:val="18"/>
        <w:szCs w:val="18"/>
      </w:rPr>
      <w:t>Dimitris P. Makris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9DD" w:rsidRPr="009C09D1" w:rsidRDefault="003A07C0">
    <w:pPr>
      <w:pStyle w:val="Header"/>
      <w:framePr w:wrap="around" w:vAnchor="text" w:hAnchor="margin" w:xAlign="outside" w:y="1"/>
      <w:rPr>
        <w:rStyle w:val="PageNumber"/>
        <w:color w:val="FF0000"/>
        <w:sz w:val="18"/>
      </w:rPr>
    </w:pPr>
    <w:r w:rsidRPr="004D3E6C">
      <w:rPr>
        <w:rStyle w:val="PageNumber"/>
        <w:sz w:val="18"/>
      </w:rPr>
      <w:fldChar w:fldCharType="begin"/>
    </w:r>
    <w:r w:rsidR="008879DD" w:rsidRPr="004D3E6C">
      <w:rPr>
        <w:rStyle w:val="PageNumber"/>
        <w:sz w:val="18"/>
      </w:rPr>
      <w:instrText xml:space="preserve">PAGE  </w:instrText>
    </w:r>
    <w:r w:rsidRPr="004D3E6C">
      <w:rPr>
        <w:rStyle w:val="PageNumber"/>
        <w:sz w:val="18"/>
      </w:rPr>
      <w:fldChar w:fldCharType="separate"/>
    </w:r>
    <w:r w:rsidR="00600674">
      <w:rPr>
        <w:rStyle w:val="PageNumber"/>
        <w:noProof/>
        <w:sz w:val="18"/>
      </w:rPr>
      <w:t>3</w:t>
    </w:r>
    <w:r w:rsidRPr="004D3E6C">
      <w:rPr>
        <w:rStyle w:val="PageNumber"/>
        <w:sz w:val="18"/>
      </w:rPr>
      <w:fldChar w:fldCharType="end"/>
    </w:r>
  </w:p>
  <w:p w:rsidR="008879DD" w:rsidRPr="00587334" w:rsidRDefault="00587334" w:rsidP="00231632">
    <w:pPr>
      <w:pStyle w:val="Header"/>
      <w:pBdr>
        <w:bottom w:val="single" w:sz="4" w:space="1" w:color="auto"/>
      </w:pBdr>
      <w:jc w:val="center"/>
      <w:rPr>
        <w:color w:val="FF0000"/>
        <w:sz w:val="18"/>
        <w:szCs w:val="18"/>
      </w:rPr>
    </w:pPr>
    <w:r w:rsidRPr="00587334">
      <w:rPr>
        <w:color w:val="FF0000"/>
        <w:sz w:val="18"/>
        <w:szCs w:val="18"/>
      </w:rPr>
      <w:t>Extraction of red grape pomace antioxidants with aqueous organic acid solutions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371" w:type="dxa"/>
      <w:tblCellMar>
        <w:left w:w="0" w:type="dxa"/>
        <w:right w:w="0" w:type="dxa"/>
      </w:tblCellMar>
      <w:tblLook w:val="0000"/>
    </w:tblPr>
    <w:tblGrid>
      <w:gridCol w:w="3686"/>
      <w:gridCol w:w="3685"/>
    </w:tblGrid>
    <w:tr w:rsidR="008879DD" w:rsidRPr="001320CA" w:rsidTr="00623218">
      <w:tc>
        <w:tcPr>
          <w:tcW w:w="3686" w:type="dxa"/>
        </w:tcPr>
        <w:p w:rsidR="008879DD" w:rsidRPr="004D3E6C" w:rsidRDefault="008879DD">
          <w:pPr>
            <w:rPr>
              <w:sz w:val="18"/>
              <w:szCs w:val="18"/>
              <w:lang w:val="en-US"/>
            </w:rPr>
          </w:pPr>
          <w:r w:rsidRPr="004D3E6C">
            <w:rPr>
              <w:sz w:val="18"/>
              <w:szCs w:val="18"/>
              <w:lang w:val="en-US"/>
            </w:rPr>
            <w:t>Journal of Agricultural Sciences</w:t>
          </w:r>
        </w:p>
        <w:p w:rsidR="008879DD" w:rsidRPr="004D3E6C" w:rsidRDefault="008879DD" w:rsidP="006211A0">
          <w:pPr>
            <w:rPr>
              <w:sz w:val="18"/>
              <w:szCs w:val="18"/>
              <w:lang w:val="en-US"/>
            </w:rPr>
          </w:pPr>
          <w:r>
            <w:rPr>
              <w:sz w:val="18"/>
              <w:szCs w:val="18"/>
              <w:lang w:val="en-US"/>
            </w:rPr>
            <w:t>Vol. 62</w:t>
          </w:r>
          <w:r w:rsidRPr="004D3E6C">
            <w:rPr>
              <w:sz w:val="18"/>
              <w:szCs w:val="18"/>
              <w:lang w:val="en-US"/>
            </w:rPr>
            <w:t xml:space="preserve">, No. </w:t>
          </w:r>
          <w:r>
            <w:rPr>
              <w:sz w:val="18"/>
              <w:szCs w:val="18"/>
              <w:lang w:val="en-US"/>
            </w:rPr>
            <w:t>3</w:t>
          </w:r>
          <w:r w:rsidRPr="004D3E6C">
            <w:rPr>
              <w:sz w:val="18"/>
              <w:szCs w:val="18"/>
              <w:lang w:val="en-US"/>
            </w:rPr>
            <w:t>, 201</w:t>
          </w:r>
          <w:r>
            <w:rPr>
              <w:sz w:val="18"/>
              <w:szCs w:val="18"/>
              <w:lang w:val="en-US"/>
            </w:rPr>
            <w:t>7</w:t>
          </w:r>
        </w:p>
        <w:p w:rsidR="008879DD" w:rsidRPr="00621E03" w:rsidRDefault="008879DD" w:rsidP="00CC7A58">
          <w:pPr>
            <w:tabs>
              <w:tab w:val="left" w:pos="1377"/>
            </w:tabs>
            <w:rPr>
              <w:sz w:val="18"/>
              <w:szCs w:val="18"/>
            </w:rPr>
          </w:pPr>
          <w:r w:rsidRPr="004D3E6C">
            <w:rPr>
              <w:sz w:val="18"/>
              <w:szCs w:val="18"/>
              <w:lang w:val="en-US"/>
            </w:rPr>
            <w:t xml:space="preserve">Pages </w:t>
          </w:r>
          <w:r>
            <w:rPr>
              <w:sz w:val="18"/>
              <w:szCs w:val="18"/>
              <w:lang w:val="en-US"/>
            </w:rPr>
            <w:t>XX-XX</w:t>
          </w:r>
        </w:p>
      </w:tc>
      <w:tc>
        <w:tcPr>
          <w:tcW w:w="3685" w:type="dxa"/>
        </w:tcPr>
        <w:p w:rsidR="008879DD" w:rsidRPr="005561C6" w:rsidRDefault="008879DD" w:rsidP="005561C6">
          <w:pPr>
            <w:tabs>
              <w:tab w:val="right" w:leader="dot" w:pos="7371"/>
            </w:tabs>
            <w:jc w:val="right"/>
            <w:rPr>
              <w:sz w:val="18"/>
              <w:szCs w:val="18"/>
            </w:rPr>
          </w:pPr>
          <w:r w:rsidRPr="005561C6">
            <w:rPr>
              <w:sz w:val="18"/>
              <w:szCs w:val="18"/>
            </w:rPr>
            <w:t xml:space="preserve">DOI: </w:t>
          </w:r>
        </w:p>
        <w:p w:rsidR="008879DD" w:rsidRPr="005561C6" w:rsidRDefault="008879DD" w:rsidP="002135FE">
          <w:pPr>
            <w:pStyle w:val="BodyText"/>
            <w:tabs>
              <w:tab w:val="right" w:leader="dot" w:pos="7371"/>
            </w:tabs>
            <w:spacing w:after="0"/>
            <w:jc w:val="right"/>
            <w:rPr>
              <w:sz w:val="18"/>
              <w:szCs w:val="18"/>
              <w:lang w:val="sr-Latn-CS"/>
            </w:rPr>
          </w:pPr>
          <w:r w:rsidRPr="005561C6">
            <w:rPr>
              <w:sz w:val="18"/>
              <w:szCs w:val="18"/>
              <w:lang w:val="en-US"/>
            </w:rPr>
            <w:t>UDC:</w:t>
          </w:r>
          <w:r w:rsidRPr="005561C6">
            <w:rPr>
              <w:rFonts w:eastAsia="LiberationSerif"/>
              <w:sz w:val="18"/>
              <w:szCs w:val="18"/>
              <w:lang w:val="en-US" w:eastAsia="en-US"/>
            </w:rPr>
            <w:t xml:space="preserve"> </w:t>
          </w:r>
          <w:r w:rsidRPr="005561C6">
            <w:rPr>
              <w:sz w:val="18"/>
              <w:szCs w:val="18"/>
              <w:lang w:val="en-US"/>
            </w:rPr>
            <w:t xml:space="preserve"> </w:t>
          </w:r>
        </w:p>
        <w:p w:rsidR="008879DD" w:rsidRPr="00502BDF" w:rsidRDefault="008879DD" w:rsidP="002C2784">
          <w:pPr>
            <w:jc w:val="right"/>
            <w:rPr>
              <w:sz w:val="18"/>
              <w:szCs w:val="18"/>
            </w:rPr>
          </w:pPr>
          <w:r w:rsidRPr="00502BDF">
            <w:rPr>
              <w:sz w:val="18"/>
              <w:szCs w:val="18"/>
              <w:lang w:val="en-US"/>
            </w:rPr>
            <w:t>Original scientific paper</w:t>
          </w:r>
        </w:p>
      </w:tc>
    </w:tr>
  </w:tbl>
  <w:p w:rsidR="008879DD" w:rsidRPr="00621E03" w:rsidRDefault="008879DD">
    <w:pPr>
      <w:pStyle w:val="Header"/>
      <w:rPr>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9474F"/>
    <w:multiLevelType w:val="hybridMultilevel"/>
    <w:tmpl w:val="D938E70C"/>
    <w:lvl w:ilvl="0" w:tplc="FA622F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CB4DB1"/>
    <w:multiLevelType w:val="multilevel"/>
    <w:tmpl w:val="6B4821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8D926C5"/>
    <w:multiLevelType w:val="hybridMultilevel"/>
    <w:tmpl w:val="D3AADD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3C7381"/>
    <w:multiLevelType w:val="hybridMultilevel"/>
    <w:tmpl w:val="565684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A70EF0"/>
    <w:multiLevelType w:val="hybridMultilevel"/>
    <w:tmpl w:val="6C068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D71BE7"/>
    <w:multiLevelType w:val="hybridMultilevel"/>
    <w:tmpl w:val="527E0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0A1CFD"/>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2207F7"/>
    <w:multiLevelType w:val="hybridMultilevel"/>
    <w:tmpl w:val="5A4EEBEA"/>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8">
    <w:nsid w:val="0E923615"/>
    <w:multiLevelType w:val="hybridMultilevel"/>
    <w:tmpl w:val="E55EF19E"/>
    <w:lvl w:ilvl="0" w:tplc="081A000F">
      <w:start w:val="1"/>
      <w:numFmt w:val="decimal"/>
      <w:lvlText w:val="%1."/>
      <w:lvlJc w:val="left"/>
      <w:pPr>
        <w:tabs>
          <w:tab w:val="num" w:pos="1440"/>
        </w:tabs>
        <w:ind w:left="1440" w:hanging="360"/>
      </w:pPr>
    </w:lvl>
    <w:lvl w:ilvl="1" w:tplc="081A0019" w:tentative="1">
      <w:start w:val="1"/>
      <w:numFmt w:val="lowerLetter"/>
      <w:lvlText w:val="%2."/>
      <w:lvlJc w:val="left"/>
      <w:pPr>
        <w:tabs>
          <w:tab w:val="num" w:pos="2160"/>
        </w:tabs>
        <w:ind w:left="2160" w:hanging="360"/>
      </w:pPr>
    </w:lvl>
    <w:lvl w:ilvl="2" w:tplc="081A001B" w:tentative="1">
      <w:start w:val="1"/>
      <w:numFmt w:val="lowerRoman"/>
      <w:lvlText w:val="%3."/>
      <w:lvlJc w:val="right"/>
      <w:pPr>
        <w:tabs>
          <w:tab w:val="num" w:pos="2880"/>
        </w:tabs>
        <w:ind w:left="2880" w:hanging="180"/>
      </w:pPr>
    </w:lvl>
    <w:lvl w:ilvl="3" w:tplc="081A000F" w:tentative="1">
      <w:start w:val="1"/>
      <w:numFmt w:val="decimal"/>
      <w:lvlText w:val="%4."/>
      <w:lvlJc w:val="left"/>
      <w:pPr>
        <w:tabs>
          <w:tab w:val="num" w:pos="3600"/>
        </w:tabs>
        <w:ind w:left="3600" w:hanging="360"/>
      </w:pPr>
    </w:lvl>
    <w:lvl w:ilvl="4" w:tplc="081A0019" w:tentative="1">
      <w:start w:val="1"/>
      <w:numFmt w:val="lowerLetter"/>
      <w:lvlText w:val="%5."/>
      <w:lvlJc w:val="left"/>
      <w:pPr>
        <w:tabs>
          <w:tab w:val="num" w:pos="4320"/>
        </w:tabs>
        <w:ind w:left="4320" w:hanging="360"/>
      </w:pPr>
    </w:lvl>
    <w:lvl w:ilvl="5" w:tplc="081A001B" w:tentative="1">
      <w:start w:val="1"/>
      <w:numFmt w:val="lowerRoman"/>
      <w:lvlText w:val="%6."/>
      <w:lvlJc w:val="right"/>
      <w:pPr>
        <w:tabs>
          <w:tab w:val="num" w:pos="5040"/>
        </w:tabs>
        <w:ind w:left="5040" w:hanging="180"/>
      </w:pPr>
    </w:lvl>
    <w:lvl w:ilvl="6" w:tplc="081A000F" w:tentative="1">
      <w:start w:val="1"/>
      <w:numFmt w:val="decimal"/>
      <w:lvlText w:val="%7."/>
      <w:lvlJc w:val="left"/>
      <w:pPr>
        <w:tabs>
          <w:tab w:val="num" w:pos="5760"/>
        </w:tabs>
        <w:ind w:left="5760" w:hanging="360"/>
      </w:pPr>
    </w:lvl>
    <w:lvl w:ilvl="7" w:tplc="081A0019" w:tentative="1">
      <w:start w:val="1"/>
      <w:numFmt w:val="lowerLetter"/>
      <w:lvlText w:val="%8."/>
      <w:lvlJc w:val="left"/>
      <w:pPr>
        <w:tabs>
          <w:tab w:val="num" w:pos="6480"/>
        </w:tabs>
        <w:ind w:left="6480" w:hanging="360"/>
      </w:pPr>
    </w:lvl>
    <w:lvl w:ilvl="8" w:tplc="081A001B" w:tentative="1">
      <w:start w:val="1"/>
      <w:numFmt w:val="lowerRoman"/>
      <w:lvlText w:val="%9."/>
      <w:lvlJc w:val="right"/>
      <w:pPr>
        <w:tabs>
          <w:tab w:val="num" w:pos="7200"/>
        </w:tabs>
        <w:ind w:left="7200" w:hanging="180"/>
      </w:pPr>
    </w:lvl>
  </w:abstractNum>
  <w:abstractNum w:abstractNumId="9">
    <w:nsid w:val="0F7D6ACD"/>
    <w:multiLevelType w:val="hybridMultilevel"/>
    <w:tmpl w:val="07905838"/>
    <w:lvl w:ilvl="0" w:tplc="0409000F">
      <w:start w:val="1"/>
      <w:numFmt w:val="decimal"/>
      <w:lvlText w:val="%1."/>
      <w:lvlJc w:val="left"/>
      <w:pPr>
        <w:tabs>
          <w:tab w:val="num" w:pos="1980"/>
        </w:tabs>
        <w:ind w:left="1980" w:hanging="360"/>
      </w:pPr>
      <w:rPr>
        <w:rFonts w:cs="Times New Roman"/>
      </w:rPr>
    </w:lvl>
    <w:lvl w:ilvl="1" w:tplc="04090019">
      <w:start w:val="1"/>
      <w:numFmt w:val="lowerLetter"/>
      <w:lvlText w:val="%2."/>
      <w:lvlJc w:val="left"/>
      <w:pPr>
        <w:tabs>
          <w:tab w:val="num" w:pos="2340"/>
        </w:tabs>
        <w:ind w:left="2340" w:hanging="360"/>
      </w:pPr>
      <w:rPr>
        <w:rFonts w:cs="Times New Roman"/>
      </w:rPr>
    </w:lvl>
    <w:lvl w:ilvl="2" w:tplc="0409001B">
      <w:start w:val="1"/>
      <w:numFmt w:val="lowerRoman"/>
      <w:lvlText w:val="%3."/>
      <w:lvlJc w:val="right"/>
      <w:pPr>
        <w:tabs>
          <w:tab w:val="num" w:pos="3060"/>
        </w:tabs>
        <w:ind w:left="3060" w:hanging="180"/>
      </w:pPr>
      <w:rPr>
        <w:rFonts w:cs="Times New Roman"/>
      </w:rPr>
    </w:lvl>
    <w:lvl w:ilvl="3" w:tplc="0409000F">
      <w:start w:val="1"/>
      <w:numFmt w:val="decimal"/>
      <w:lvlText w:val="%4."/>
      <w:lvlJc w:val="left"/>
      <w:pPr>
        <w:tabs>
          <w:tab w:val="num" w:pos="3780"/>
        </w:tabs>
        <w:ind w:left="3780" w:hanging="360"/>
      </w:pPr>
      <w:rPr>
        <w:rFonts w:cs="Times New Roman"/>
      </w:rPr>
    </w:lvl>
    <w:lvl w:ilvl="4" w:tplc="04090019">
      <w:start w:val="1"/>
      <w:numFmt w:val="lowerLetter"/>
      <w:lvlText w:val="%5."/>
      <w:lvlJc w:val="left"/>
      <w:pPr>
        <w:tabs>
          <w:tab w:val="num" w:pos="4500"/>
        </w:tabs>
        <w:ind w:left="4500" w:hanging="360"/>
      </w:pPr>
      <w:rPr>
        <w:rFonts w:cs="Times New Roman"/>
      </w:rPr>
    </w:lvl>
    <w:lvl w:ilvl="5" w:tplc="0409001B">
      <w:start w:val="1"/>
      <w:numFmt w:val="lowerRoman"/>
      <w:lvlText w:val="%6."/>
      <w:lvlJc w:val="right"/>
      <w:pPr>
        <w:tabs>
          <w:tab w:val="num" w:pos="5220"/>
        </w:tabs>
        <w:ind w:left="5220" w:hanging="180"/>
      </w:pPr>
      <w:rPr>
        <w:rFonts w:cs="Times New Roman"/>
      </w:rPr>
    </w:lvl>
    <w:lvl w:ilvl="6" w:tplc="0409000F">
      <w:start w:val="1"/>
      <w:numFmt w:val="decimal"/>
      <w:lvlText w:val="%7."/>
      <w:lvlJc w:val="left"/>
      <w:pPr>
        <w:tabs>
          <w:tab w:val="num" w:pos="5940"/>
        </w:tabs>
        <w:ind w:left="5940" w:hanging="360"/>
      </w:pPr>
      <w:rPr>
        <w:rFonts w:cs="Times New Roman"/>
      </w:rPr>
    </w:lvl>
    <w:lvl w:ilvl="7" w:tplc="04090019">
      <w:start w:val="1"/>
      <w:numFmt w:val="lowerLetter"/>
      <w:lvlText w:val="%8."/>
      <w:lvlJc w:val="left"/>
      <w:pPr>
        <w:tabs>
          <w:tab w:val="num" w:pos="6660"/>
        </w:tabs>
        <w:ind w:left="6660" w:hanging="360"/>
      </w:pPr>
      <w:rPr>
        <w:rFonts w:cs="Times New Roman"/>
      </w:rPr>
    </w:lvl>
    <w:lvl w:ilvl="8" w:tplc="0409001B">
      <w:start w:val="1"/>
      <w:numFmt w:val="lowerRoman"/>
      <w:lvlText w:val="%9."/>
      <w:lvlJc w:val="right"/>
      <w:pPr>
        <w:tabs>
          <w:tab w:val="num" w:pos="7380"/>
        </w:tabs>
        <w:ind w:left="7380" w:hanging="180"/>
      </w:pPr>
      <w:rPr>
        <w:rFonts w:cs="Times New Roman"/>
      </w:rPr>
    </w:lvl>
  </w:abstractNum>
  <w:abstractNum w:abstractNumId="10">
    <w:nsid w:val="107B6662"/>
    <w:multiLevelType w:val="hybridMultilevel"/>
    <w:tmpl w:val="2AA46484"/>
    <w:lvl w:ilvl="0" w:tplc="80CC93F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1">
    <w:nsid w:val="12F870A6"/>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EF6026"/>
    <w:multiLevelType w:val="hybridMultilevel"/>
    <w:tmpl w:val="AFE8E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4843402"/>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3804D8"/>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89B189E"/>
    <w:multiLevelType w:val="multilevel"/>
    <w:tmpl w:val="540A6D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1E107CDA"/>
    <w:multiLevelType w:val="hybridMultilevel"/>
    <w:tmpl w:val="ED74057A"/>
    <w:lvl w:ilvl="0" w:tplc="514C3EA2">
      <w:start w:val="14"/>
      <w:numFmt w:val="bullet"/>
      <w:lvlText w:val=""/>
      <w:lvlJc w:val="left"/>
      <w:pPr>
        <w:ind w:left="1080" w:hanging="360"/>
      </w:pPr>
      <w:rPr>
        <w:rFonts w:ascii="Symbol" w:eastAsia="Calibri" w:hAnsi="Symbol" w:cs="Times New Roman" w:hint="default"/>
        <w:vertAlign w:val="superscrip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E457DEB"/>
    <w:multiLevelType w:val="hybridMultilevel"/>
    <w:tmpl w:val="051E94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D426AA"/>
    <w:multiLevelType w:val="hybridMultilevel"/>
    <w:tmpl w:val="1C4E56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3E1385D"/>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4033F72"/>
    <w:multiLevelType w:val="hybridMultilevel"/>
    <w:tmpl w:val="6A244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4BF6887"/>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6374086"/>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AAE7FDB"/>
    <w:multiLevelType w:val="hybridMultilevel"/>
    <w:tmpl w:val="BCCA2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EBC1446"/>
    <w:multiLevelType w:val="hybridMultilevel"/>
    <w:tmpl w:val="7F8C7D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0294FA2"/>
    <w:multiLevelType w:val="multilevel"/>
    <w:tmpl w:val="4E5A49F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3BF72512"/>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2FC7CD6"/>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43C797F"/>
    <w:multiLevelType w:val="multilevel"/>
    <w:tmpl w:val="9C5868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4CDF4D2B"/>
    <w:multiLevelType w:val="hybridMultilevel"/>
    <w:tmpl w:val="CD3C26B6"/>
    <w:lvl w:ilvl="0" w:tplc="05A2916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D0C0040"/>
    <w:multiLevelType w:val="hybridMultilevel"/>
    <w:tmpl w:val="903007A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1">
    <w:nsid w:val="4E585A4A"/>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C936CA"/>
    <w:multiLevelType w:val="multilevel"/>
    <w:tmpl w:val="6AA252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nsid w:val="542C7539"/>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623504E"/>
    <w:multiLevelType w:val="hybridMultilevel"/>
    <w:tmpl w:val="0E06397C"/>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35">
    <w:nsid w:val="5F4A6505"/>
    <w:multiLevelType w:val="hybridMultilevel"/>
    <w:tmpl w:val="57F02B58"/>
    <w:lvl w:ilvl="0" w:tplc="0409000F">
      <w:start w:val="1"/>
      <w:numFmt w:val="decimal"/>
      <w:lvlText w:val="%1."/>
      <w:lvlJc w:val="left"/>
      <w:pPr>
        <w:tabs>
          <w:tab w:val="num" w:pos="1381"/>
        </w:tabs>
        <w:ind w:left="1381" w:hanging="360"/>
      </w:p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36">
    <w:nsid w:val="65D1547A"/>
    <w:multiLevelType w:val="hybridMultilevel"/>
    <w:tmpl w:val="A942ECB4"/>
    <w:lvl w:ilvl="0" w:tplc="3ABA713C">
      <w:start w:val="1"/>
      <w:numFmt w:val="decimal"/>
      <w:lvlText w:val="%1."/>
      <w:lvlJc w:val="left"/>
      <w:pPr>
        <w:tabs>
          <w:tab w:val="num" w:pos="785"/>
        </w:tabs>
        <w:ind w:left="785" w:hanging="360"/>
      </w:pPr>
      <w:rPr>
        <w:b w:val="0"/>
        <w:color w:val="auto"/>
        <w:sz w:val="28"/>
        <w:szCs w:val="28"/>
      </w:rPr>
    </w:lvl>
    <w:lvl w:ilvl="1" w:tplc="04190019">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37">
    <w:nsid w:val="680E2536"/>
    <w:multiLevelType w:val="hybridMultilevel"/>
    <w:tmpl w:val="6CB855F6"/>
    <w:lvl w:ilvl="0" w:tplc="0409000F">
      <w:start w:val="1"/>
      <w:numFmt w:val="decimal"/>
      <w:lvlText w:val="%1."/>
      <w:lvlJc w:val="left"/>
      <w:pPr>
        <w:tabs>
          <w:tab w:val="num" w:pos="1004"/>
        </w:tabs>
        <w:ind w:left="1004" w:hanging="360"/>
      </w:pPr>
      <w:rPr>
        <w:rFonts w:cs="Times New Roman"/>
      </w:rPr>
    </w:lvl>
    <w:lvl w:ilvl="1" w:tplc="04090019">
      <w:start w:val="1"/>
      <w:numFmt w:val="lowerLetter"/>
      <w:lvlText w:val="%2."/>
      <w:lvlJc w:val="left"/>
      <w:pPr>
        <w:tabs>
          <w:tab w:val="num" w:pos="1724"/>
        </w:tabs>
        <w:ind w:left="1724" w:hanging="360"/>
      </w:pPr>
      <w:rPr>
        <w:rFonts w:cs="Times New Roman"/>
      </w:rPr>
    </w:lvl>
    <w:lvl w:ilvl="2" w:tplc="0409001B">
      <w:start w:val="1"/>
      <w:numFmt w:val="lowerRoman"/>
      <w:lvlText w:val="%3."/>
      <w:lvlJc w:val="right"/>
      <w:pPr>
        <w:tabs>
          <w:tab w:val="num" w:pos="2444"/>
        </w:tabs>
        <w:ind w:left="2444" w:hanging="180"/>
      </w:pPr>
      <w:rPr>
        <w:rFonts w:cs="Times New Roman"/>
      </w:rPr>
    </w:lvl>
    <w:lvl w:ilvl="3" w:tplc="0409000F">
      <w:start w:val="1"/>
      <w:numFmt w:val="decimal"/>
      <w:lvlText w:val="%4."/>
      <w:lvlJc w:val="left"/>
      <w:pPr>
        <w:tabs>
          <w:tab w:val="num" w:pos="3164"/>
        </w:tabs>
        <w:ind w:left="3164" w:hanging="360"/>
      </w:pPr>
      <w:rPr>
        <w:rFonts w:cs="Times New Roman"/>
      </w:rPr>
    </w:lvl>
    <w:lvl w:ilvl="4" w:tplc="04090019">
      <w:start w:val="1"/>
      <w:numFmt w:val="lowerLetter"/>
      <w:lvlText w:val="%5."/>
      <w:lvlJc w:val="left"/>
      <w:pPr>
        <w:tabs>
          <w:tab w:val="num" w:pos="3884"/>
        </w:tabs>
        <w:ind w:left="3884" w:hanging="360"/>
      </w:pPr>
      <w:rPr>
        <w:rFonts w:cs="Times New Roman"/>
      </w:rPr>
    </w:lvl>
    <w:lvl w:ilvl="5" w:tplc="0409001B">
      <w:start w:val="1"/>
      <w:numFmt w:val="lowerRoman"/>
      <w:lvlText w:val="%6."/>
      <w:lvlJc w:val="right"/>
      <w:pPr>
        <w:tabs>
          <w:tab w:val="num" w:pos="4604"/>
        </w:tabs>
        <w:ind w:left="4604" w:hanging="180"/>
      </w:pPr>
      <w:rPr>
        <w:rFonts w:cs="Times New Roman"/>
      </w:rPr>
    </w:lvl>
    <w:lvl w:ilvl="6" w:tplc="0409000F">
      <w:start w:val="1"/>
      <w:numFmt w:val="decimal"/>
      <w:lvlText w:val="%7."/>
      <w:lvlJc w:val="left"/>
      <w:pPr>
        <w:tabs>
          <w:tab w:val="num" w:pos="5324"/>
        </w:tabs>
        <w:ind w:left="5324" w:hanging="360"/>
      </w:pPr>
      <w:rPr>
        <w:rFonts w:cs="Times New Roman"/>
      </w:rPr>
    </w:lvl>
    <w:lvl w:ilvl="7" w:tplc="04090019">
      <w:start w:val="1"/>
      <w:numFmt w:val="lowerLetter"/>
      <w:lvlText w:val="%8."/>
      <w:lvlJc w:val="left"/>
      <w:pPr>
        <w:tabs>
          <w:tab w:val="num" w:pos="6044"/>
        </w:tabs>
        <w:ind w:left="6044" w:hanging="360"/>
      </w:pPr>
      <w:rPr>
        <w:rFonts w:cs="Times New Roman"/>
      </w:rPr>
    </w:lvl>
    <w:lvl w:ilvl="8" w:tplc="0409001B">
      <w:start w:val="1"/>
      <w:numFmt w:val="lowerRoman"/>
      <w:lvlText w:val="%9."/>
      <w:lvlJc w:val="right"/>
      <w:pPr>
        <w:tabs>
          <w:tab w:val="num" w:pos="6764"/>
        </w:tabs>
        <w:ind w:left="6764" w:hanging="180"/>
      </w:pPr>
      <w:rPr>
        <w:rFonts w:cs="Times New Roman"/>
      </w:rPr>
    </w:lvl>
  </w:abstractNum>
  <w:abstractNum w:abstractNumId="38">
    <w:nsid w:val="68513F8A"/>
    <w:multiLevelType w:val="hybridMultilevel"/>
    <w:tmpl w:val="98D24330"/>
    <w:lvl w:ilvl="0" w:tplc="D3DA11C0">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9">
    <w:nsid w:val="71866731"/>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EF1CF4"/>
    <w:multiLevelType w:val="hybridMultilevel"/>
    <w:tmpl w:val="DB84194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1">
    <w:nsid w:val="73DC1FA0"/>
    <w:multiLevelType w:val="hybridMultilevel"/>
    <w:tmpl w:val="065A1140"/>
    <w:lvl w:ilvl="0" w:tplc="A2646BC6">
      <w:start w:val="1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3FC4EF0"/>
    <w:multiLevelType w:val="hybridMultilevel"/>
    <w:tmpl w:val="C2AAAB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4A4762E"/>
    <w:multiLevelType w:val="hybridMultilevel"/>
    <w:tmpl w:val="32AC6204"/>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44">
    <w:nsid w:val="75B31769"/>
    <w:multiLevelType w:val="hybridMultilevel"/>
    <w:tmpl w:val="B1CA471C"/>
    <w:lvl w:ilvl="0" w:tplc="A53094F4">
      <w:start w:val="1"/>
      <w:numFmt w:val="decimal"/>
      <w:lvlText w:val="%1."/>
      <w:lvlJc w:val="left"/>
      <w:pPr>
        <w:tabs>
          <w:tab w:val="num" w:pos="57"/>
        </w:tabs>
        <w:ind w:left="964" w:hanging="96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5">
    <w:nsid w:val="7BA96785"/>
    <w:multiLevelType w:val="hybridMultilevel"/>
    <w:tmpl w:val="8514B8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34"/>
  </w:num>
  <w:num w:numId="3">
    <w:abstractNumId w:val="8"/>
  </w:num>
  <w:num w:numId="4">
    <w:abstractNumId w:val="7"/>
  </w:num>
  <w:num w:numId="5">
    <w:abstractNumId w:val="35"/>
  </w:num>
  <w:num w:numId="6">
    <w:abstractNumId w:val="42"/>
  </w:num>
  <w:num w:numId="7">
    <w:abstractNumId w:val="12"/>
  </w:num>
  <w:num w:numId="8">
    <w:abstractNumId w:val="5"/>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num>
  <w:num w:numId="11">
    <w:abstractNumId w:val="38"/>
  </w:num>
  <w:num w:numId="12">
    <w:abstractNumId w:val="44"/>
  </w:num>
  <w:num w:numId="13">
    <w:abstractNumId w:val="9"/>
  </w:num>
  <w:num w:numId="14">
    <w:abstractNumId w:val="40"/>
  </w:num>
  <w:num w:numId="15">
    <w:abstractNumId w:val="37"/>
  </w:num>
  <w:num w:numId="16">
    <w:abstractNumId w:val="25"/>
  </w:num>
  <w:num w:numId="17">
    <w:abstractNumId w:val="30"/>
  </w:num>
  <w:num w:numId="18">
    <w:abstractNumId w:val="10"/>
  </w:num>
  <w:num w:numId="19">
    <w:abstractNumId w:val="3"/>
  </w:num>
  <w:num w:numId="20">
    <w:abstractNumId w:val="45"/>
  </w:num>
  <w:num w:numId="21">
    <w:abstractNumId w:val="17"/>
  </w:num>
  <w:num w:numId="22">
    <w:abstractNumId w:val="2"/>
  </w:num>
  <w:num w:numId="23">
    <w:abstractNumId w:val="18"/>
  </w:num>
  <w:num w:numId="24">
    <w:abstractNumId w:val="29"/>
  </w:num>
  <w:num w:numId="25">
    <w:abstractNumId w:val="0"/>
  </w:num>
  <w:num w:numId="26">
    <w:abstractNumId w:val="13"/>
  </w:num>
  <w:num w:numId="27">
    <w:abstractNumId w:val="11"/>
  </w:num>
  <w:num w:numId="28">
    <w:abstractNumId w:val="19"/>
  </w:num>
  <w:num w:numId="29">
    <w:abstractNumId w:val="33"/>
  </w:num>
  <w:num w:numId="30">
    <w:abstractNumId w:val="6"/>
  </w:num>
  <w:num w:numId="31">
    <w:abstractNumId w:val="14"/>
  </w:num>
  <w:num w:numId="32">
    <w:abstractNumId w:val="21"/>
  </w:num>
  <w:num w:numId="33">
    <w:abstractNumId w:val="31"/>
  </w:num>
  <w:num w:numId="34">
    <w:abstractNumId w:val="39"/>
  </w:num>
  <w:num w:numId="35">
    <w:abstractNumId w:val="27"/>
  </w:num>
  <w:num w:numId="36">
    <w:abstractNumId w:val="26"/>
  </w:num>
  <w:num w:numId="37">
    <w:abstractNumId w:val="22"/>
  </w:num>
  <w:num w:numId="38">
    <w:abstractNumId w:val="20"/>
  </w:num>
  <w:num w:numId="39">
    <w:abstractNumId w:val="41"/>
  </w:num>
  <w:num w:numId="40">
    <w:abstractNumId w:val="32"/>
  </w:num>
  <w:num w:numId="41">
    <w:abstractNumId w:val="23"/>
  </w:num>
  <w:num w:numId="42">
    <w:abstractNumId w:val="15"/>
  </w:num>
  <w:num w:numId="43">
    <w:abstractNumId w:val="1"/>
  </w:num>
  <w:num w:numId="44">
    <w:abstractNumId w:val="28"/>
  </w:num>
  <w:num w:numId="45">
    <w:abstractNumId w:val="16"/>
  </w:num>
  <w:num w:numId="4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425"/>
  <w:hyphenationZone w:val="425"/>
  <w:evenAndOddHeaders/>
  <w:drawingGridHorizontalSpacing w:val="100"/>
  <w:displayHorizontalDrawingGridEvery w:val="2"/>
  <w:characterSpacingControl w:val="doNotCompress"/>
  <w:hdrShapeDefaults>
    <o:shapedefaults v:ext="edit" spidmax="70658"/>
  </w:hdrShapeDefaults>
  <w:footnotePr>
    <w:numFmt w:val="chicago"/>
    <w:footnote w:id="0"/>
    <w:footnote w:id="1"/>
  </w:footnotePr>
  <w:endnotePr>
    <w:numFmt w:val="chicago"/>
    <w:endnote w:id="0"/>
    <w:endnote w:id="1"/>
  </w:endnotePr>
  <w:compat/>
  <w:rsids>
    <w:rsidRoot w:val="00864A51"/>
    <w:rsid w:val="00000392"/>
    <w:rsid w:val="00001280"/>
    <w:rsid w:val="0000183B"/>
    <w:rsid w:val="0000417E"/>
    <w:rsid w:val="0000545C"/>
    <w:rsid w:val="000058A0"/>
    <w:rsid w:val="00006BE4"/>
    <w:rsid w:val="00007AC9"/>
    <w:rsid w:val="00007C2C"/>
    <w:rsid w:val="00014355"/>
    <w:rsid w:val="00014B65"/>
    <w:rsid w:val="00016C42"/>
    <w:rsid w:val="0002046F"/>
    <w:rsid w:val="0002071D"/>
    <w:rsid w:val="00020E31"/>
    <w:rsid w:val="00021B32"/>
    <w:rsid w:val="00023D8E"/>
    <w:rsid w:val="00024A75"/>
    <w:rsid w:val="00025986"/>
    <w:rsid w:val="000259E9"/>
    <w:rsid w:val="000262DE"/>
    <w:rsid w:val="000309D7"/>
    <w:rsid w:val="0003458B"/>
    <w:rsid w:val="00035D82"/>
    <w:rsid w:val="00035EC8"/>
    <w:rsid w:val="00037094"/>
    <w:rsid w:val="000402F6"/>
    <w:rsid w:val="00040FA1"/>
    <w:rsid w:val="0004639B"/>
    <w:rsid w:val="00050B5D"/>
    <w:rsid w:val="00051095"/>
    <w:rsid w:val="00052689"/>
    <w:rsid w:val="000535F1"/>
    <w:rsid w:val="000536D8"/>
    <w:rsid w:val="00054A00"/>
    <w:rsid w:val="00060E84"/>
    <w:rsid w:val="0006179A"/>
    <w:rsid w:val="00065EDB"/>
    <w:rsid w:val="000668EF"/>
    <w:rsid w:val="00067337"/>
    <w:rsid w:val="0007089C"/>
    <w:rsid w:val="00071C67"/>
    <w:rsid w:val="000734D9"/>
    <w:rsid w:val="00077104"/>
    <w:rsid w:val="00077346"/>
    <w:rsid w:val="00084783"/>
    <w:rsid w:val="00086180"/>
    <w:rsid w:val="00087A3D"/>
    <w:rsid w:val="000908F4"/>
    <w:rsid w:val="0009186A"/>
    <w:rsid w:val="00092547"/>
    <w:rsid w:val="00093FEB"/>
    <w:rsid w:val="00094C83"/>
    <w:rsid w:val="00094CF6"/>
    <w:rsid w:val="000A7069"/>
    <w:rsid w:val="000A71D5"/>
    <w:rsid w:val="000A7942"/>
    <w:rsid w:val="000B1E22"/>
    <w:rsid w:val="000B2777"/>
    <w:rsid w:val="000B365F"/>
    <w:rsid w:val="000B4472"/>
    <w:rsid w:val="000B52C0"/>
    <w:rsid w:val="000B69DD"/>
    <w:rsid w:val="000C0423"/>
    <w:rsid w:val="000C2AD1"/>
    <w:rsid w:val="000C60B1"/>
    <w:rsid w:val="000C6E7A"/>
    <w:rsid w:val="000D1FFB"/>
    <w:rsid w:val="000D20CD"/>
    <w:rsid w:val="000D219A"/>
    <w:rsid w:val="000D35CB"/>
    <w:rsid w:val="000D5967"/>
    <w:rsid w:val="000D7789"/>
    <w:rsid w:val="000E0ACE"/>
    <w:rsid w:val="000E2F35"/>
    <w:rsid w:val="000E5E4E"/>
    <w:rsid w:val="000E62B7"/>
    <w:rsid w:val="000E734C"/>
    <w:rsid w:val="000F0A5C"/>
    <w:rsid w:val="000F1184"/>
    <w:rsid w:val="000F254A"/>
    <w:rsid w:val="000F430C"/>
    <w:rsid w:val="000F4FEB"/>
    <w:rsid w:val="000F54A1"/>
    <w:rsid w:val="000F54D7"/>
    <w:rsid w:val="000F5512"/>
    <w:rsid w:val="000F5631"/>
    <w:rsid w:val="0010112D"/>
    <w:rsid w:val="00101949"/>
    <w:rsid w:val="0010338D"/>
    <w:rsid w:val="001039D2"/>
    <w:rsid w:val="001070DF"/>
    <w:rsid w:val="00110411"/>
    <w:rsid w:val="00110D1C"/>
    <w:rsid w:val="00111D81"/>
    <w:rsid w:val="00112DCB"/>
    <w:rsid w:val="001148FD"/>
    <w:rsid w:val="001155C3"/>
    <w:rsid w:val="0011790C"/>
    <w:rsid w:val="00120B6C"/>
    <w:rsid w:val="00121B41"/>
    <w:rsid w:val="00123384"/>
    <w:rsid w:val="00125C4A"/>
    <w:rsid w:val="00125ED4"/>
    <w:rsid w:val="0012717F"/>
    <w:rsid w:val="001274EB"/>
    <w:rsid w:val="00127EA6"/>
    <w:rsid w:val="00130AB4"/>
    <w:rsid w:val="0013134B"/>
    <w:rsid w:val="001317FE"/>
    <w:rsid w:val="00131ADC"/>
    <w:rsid w:val="00131D44"/>
    <w:rsid w:val="001320CA"/>
    <w:rsid w:val="00134C75"/>
    <w:rsid w:val="001362C8"/>
    <w:rsid w:val="0013693B"/>
    <w:rsid w:val="00137717"/>
    <w:rsid w:val="00137C2E"/>
    <w:rsid w:val="001407C6"/>
    <w:rsid w:val="00140F88"/>
    <w:rsid w:val="00141D2A"/>
    <w:rsid w:val="00142433"/>
    <w:rsid w:val="00142DE1"/>
    <w:rsid w:val="00142E24"/>
    <w:rsid w:val="001435A3"/>
    <w:rsid w:val="001435AF"/>
    <w:rsid w:val="00144AB1"/>
    <w:rsid w:val="0014608F"/>
    <w:rsid w:val="00146295"/>
    <w:rsid w:val="00146837"/>
    <w:rsid w:val="001523F8"/>
    <w:rsid w:val="001546E9"/>
    <w:rsid w:val="001549E8"/>
    <w:rsid w:val="00154C08"/>
    <w:rsid w:val="00155C51"/>
    <w:rsid w:val="00155C7F"/>
    <w:rsid w:val="001566F5"/>
    <w:rsid w:val="0015685B"/>
    <w:rsid w:val="001572BD"/>
    <w:rsid w:val="001604C0"/>
    <w:rsid w:val="00160867"/>
    <w:rsid w:val="00164F54"/>
    <w:rsid w:val="001651CA"/>
    <w:rsid w:val="00165B4B"/>
    <w:rsid w:val="001703CB"/>
    <w:rsid w:val="00171A27"/>
    <w:rsid w:val="00174159"/>
    <w:rsid w:val="00175021"/>
    <w:rsid w:val="0017778B"/>
    <w:rsid w:val="00177B58"/>
    <w:rsid w:val="00180AB6"/>
    <w:rsid w:val="00180BE7"/>
    <w:rsid w:val="00181846"/>
    <w:rsid w:val="00183645"/>
    <w:rsid w:val="001858A7"/>
    <w:rsid w:val="00185C45"/>
    <w:rsid w:val="00187E8B"/>
    <w:rsid w:val="00191CF5"/>
    <w:rsid w:val="001923D4"/>
    <w:rsid w:val="0019272C"/>
    <w:rsid w:val="00195D68"/>
    <w:rsid w:val="0019645B"/>
    <w:rsid w:val="0019713E"/>
    <w:rsid w:val="00197F4A"/>
    <w:rsid w:val="001A1230"/>
    <w:rsid w:val="001A3703"/>
    <w:rsid w:val="001A5B51"/>
    <w:rsid w:val="001A5CDE"/>
    <w:rsid w:val="001A678F"/>
    <w:rsid w:val="001A6AA7"/>
    <w:rsid w:val="001A715D"/>
    <w:rsid w:val="001A72B6"/>
    <w:rsid w:val="001B1F31"/>
    <w:rsid w:val="001B20D5"/>
    <w:rsid w:val="001B4F0F"/>
    <w:rsid w:val="001B5731"/>
    <w:rsid w:val="001B6EAE"/>
    <w:rsid w:val="001C17C4"/>
    <w:rsid w:val="001C2948"/>
    <w:rsid w:val="001C2F84"/>
    <w:rsid w:val="001C3835"/>
    <w:rsid w:val="001C3E7F"/>
    <w:rsid w:val="001C4938"/>
    <w:rsid w:val="001C5C0A"/>
    <w:rsid w:val="001C6414"/>
    <w:rsid w:val="001C733F"/>
    <w:rsid w:val="001C7B7E"/>
    <w:rsid w:val="001D0468"/>
    <w:rsid w:val="001D72E6"/>
    <w:rsid w:val="001D742E"/>
    <w:rsid w:val="001E162B"/>
    <w:rsid w:val="001E2AF3"/>
    <w:rsid w:val="001E3638"/>
    <w:rsid w:val="001E5108"/>
    <w:rsid w:val="001E5401"/>
    <w:rsid w:val="001E5955"/>
    <w:rsid w:val="001E64D9"/>
    <w:rsid w:val="001E71EA"/>
    <w:rsid w:val="001E73D9"/>
    <w:rsid w:val="001F320C"/>
    <w:rsid w:val="001F66ED"/>
    <w:rsid w:val="00200718"/>
    <w:rsid w:val="00200962"/>
    <w:rsid w:val="00200E81"/>
    <w:rsid w:val="00202F7A"/>
    <w:rsid w:val="002050B2"/>
    <w:rsid w:val="0020699D"/>
    <w:rsid w:val="00206FBE"/>
    <w:rsid w:val="0020733E"/>
    <w:rsid w:val="00207635"/>
    <w:rsid w:val="0020776E"/>
    <w:rsid w:val="0021095B"/>
    <w:rsid w:val="002133A4"/>
    <w:rsid w:val="002135FE"/>
    <w:rsid w:val="002146D9"/>
    <w:rsid w:val="00214D74"/>
    <w:rsid w:val="00217B59"/>
    <w:rsid w:val="0022110B"/>
    <w:rsid w:val="00221494"/>
    <w:rsid w:val="002228CB"/>
    <w:rsid w:val="00223A2B"/>
    <w:rsid w:val="00224466"/>
    <w:rsid w:val="00224893"/>
    <w:rsid w:val="00224C1D"/>
    <w:rsid w:val="002254A6"/>
    <w:rsid w:val="002305A2"/>
    <w:rsid w:val="00230FDE"/>
    <w:rsid w:val="0023159D"/>
    <w:rsid w:val="00231632"/>
    <w:rsid w:val="0023306B"/>
    <w:rsid w:val="00233596"/>
    <w:rsid w:val="002364FE"/>
    <w:rsid w:val="002377A8"/>
    <w:rsid w:val="00244D67"/>
    <w:rsid w:val="00245ED9"/>
    <w:rsid w:val="00247469"/>
    <w:rsid w:val="002477FE"/>
    <w:rsid w:val="00247C75"/>
    <w:rsid w:val="002515CC"/>
    <w:rsid w:val="0025409D"/>
    <w:rsid w:val="002543E7"/>
    <w:rsid w:val="00254AED"/>
    <w:rsid w:val="00254D3F"/>
    <w:rsid w:val="00256A44"/>
    <w:rsid w:val="002603D6"/>
    <w:rsid w:val="00262E4A"/>
    <w:rsid w:val="0026355A"/>
    <w:rsid w:val="00265709"/>
    <w:rsid w:val="00265AED"/>
    <w:rsid w:val="00266DE8"/>
    <w:rsid w:val="00267380"/>
    <w:rsid w:val="0026738F"/>
    <w:rsid w:val="0027098E"/>
    <w:rsid w:val="002726B5"/>
    <w:rsid w:val="0027405E"/>
    <w:rsid w:val="00275415"/>
    <w:rsid w:val="00277376"/>
    <w:rsid w:val="002800BF"/>
    <w:rsid w:val="002803E5"/>
    <w:rsid w:val="00281BAA"/>
    <w:rsid w:val="0028218B"/>
    <w:rsid w:val="0028466A"/>
    <w:rsid w:val="002848B6"/>
    <w:rsid w:val="00285196"/>
    <w:rsid w:val="00285245"/>
    <w:rsid w:val="002858EF"/>
    <w:rsid w:val="0029021E"/>
    <w:rsid w:val="002902EC"/>
    <w:rsid w:val="00290863"/>
    <w:rsid w:val="002909E5"/>
    <w:rsid w:val="002926FD"/>
    <w:rsid w:val="00293489"/>
    <w:rsid w:val="00293ABF"/>
    <w:rsid w:val="00293E95"/>
    <w:rsid w:val="002947C5"/>
    <w:rsid w:val="0029632B"/>
    <w:rsid w:val="00296AE9"/>
    <w:rsid w:val="00296D87"/>
    <w:rsid w:val="00297580"/>
    <w:rsid w:val="00297803"/>
    <w:rsid w:val="00297B33"/>
    <w:rsid w:val="00297EE6"/>
    <w:rsid w:val="002A2342"/>
    <w:rsid w:val="002A372D"/>
    <w:rsid w:val="002A715E"/>
    <w:rsid w:val="002B1184"/>
    <w:rsid w:val="002B352C"/>
    <w:rsid w:val="002B4D87"/>
    <w:rsid w:val="002B4EEA"/>
    <w:rsid w:val="002C0382"/>
    <w:rsid w:val="002C0D5E"/>
    <w:rsid w:val="002C1DF0"/>
    <w:rsid w:val="002C1E64"/>
    <w:rsid w:val="002C2784"/>
    <w:rsid w:val="002C3A18"/>
    <w:rsid w:val="002C4CD4"/>
    <w:rsid w:val="002C4E3F"/>
    <w:rsid w:val="002C5621"/>
    <w:rsid w:val="002C65B4"/>
    <w:rsid w:val="002C6FFA"/>
    <w:rsid w:val="002D16BB"/>
    <w:rsid w:val="002D2DE6"/>
    <w:rsid w:val="002D41E8"/>
    <w:rsid w:val="002D69EF"/>
    <w:rsid w:val="002E0306"/>
    <w:rsid w:val="002E204F"/>
    <w:rsid w:val="002E2B30"/>
    <w:rsid w:val="002E2DA4"/>
    <w:rsid w:val="002E357B"/>
    <w:rsid w:val="002E3AE3"/>
    <w:rsid w:val="002E4BAE"/>
    <w:rsid w:val="002E5831"/>
    <w:rsid w:val="002E6660"/>
    <w:rsid w:val="002E746A"/>
    <w:rsid w:val="002F009F"/>
    <w:rsid w:val="002F1017"/>
    <w:rsid w:val="002F1527"/>
    <w:rsid w:val="002F18D9"/>
    <w:rsid w:val="002F39D2"/>
    <w:rsid w:val="002F6623"/>
    <w:rsid w:val="0030070D"/>
    <w:rsid w:val="00300E3E"/>
    <w:rsid w:val="0030448E"/>
    <w:rsid w:val="00306CCB"/>
    <w:rsid w:val="00307E19"/>
    <w:rsid w:val="00315827"/>
    <w:rsid w:val="003175DC"/>
    <w:rsid w:val="00320918"/>
    <w:rsid w:val="00323739"/>
    <w:rsid w:val="0032449C"/>
    <w:rsid w:val="0032520F"/>
    <w:rsid w:val="0032797E"/>
    <w:rsid w:val="00330389"/>
    <w:rsid w:val="00331A81"/>
    <w:rsid w:val="00332631"/>
    <w:rsid w:val="00334CD0"/>
    <w:rsid w:val="0033759B"/>
    <w:rsid w:val="00341C52"/>
    <w:rsid w:val="00343CA3"/>
    <w:rsid w:val="00344572"/>
    <w:rsid w:val="00345062"/>
    <w:rsid w:val="0034544F"/>
    <w:rsid w:val="00347495"/>
    <w:rsid w:val="00347C0A"/>
    <w:rsid w:val="00350B45"/>
    <w:rsid w:val="00353031"/>
    <w:rsid w:val="0035388B"/>
    <w:rsid w:val="003543CF"/>
    <w:rsid w:val="00354809"/>
    <w:rsid w:val="003557B9"/>
    <w:rsid w:val="00356585"/>
    <w:rsid w:val="00357F92"/>
    <w:rsid w:val="003602BA"/>
    <w:rsid w:val="00360938"/>
    <w:rsid w:val="00361020"/>
    <w:rsid w:val="0036124B"/>
    <w:rsid w:val="00364F8E"/>
    <w:rsid w:val="003672C1"/>
    <w:rsid w:val="003714DF"/>
    <w:rsid w:val="003720F5"/>
    <w:rsid w:val="003729A7"/>
    <w:rsid w:val="00376847"/>
    <w:rsid w:val="0037750B"/>
    <w:rsid w:val="00377691"/>
    <w:rsid w:val="003826D6"/>
    <w:rsid w:val="00383608"/>
    <w:rsid w:val="00383B59"/>
    <w:rsid w:val="003849E8"/>
    <w:rsid w:val="00386298"/>
    <w:rsid w:val="00390EB7"/>
    <w:rsid w:val="00390FEC"/>
    <w:rsid w:val="00391156"/>
    <w:rsid w:val="0039348C"/>
    <w:rsid w:val="003936E8"/>
    <w:rsid w:val="0039631A"/>
    <w:rsid w:val="00396D64"/>
    <w:rsid w:val="003A07C0"/>
    <w:rsid w:val="003A1DCA"/>
    <w:rsid w:val="003A21E7"/>
    <w:rsid w:val="003A30DA"/>
    <w:rsid w:val="003A6E32"/>
    <w:rsid w:val="003A76D9"/>
    <w:rsid w:val="003A7767"/>
    <w:rsid w:val="003B03F3"/>
    <w:rsid w:val="003B2519"/>
    <w:rsid w:val="003B35FA"/>
    <w:rsid w:val="003B702E"/>
    <w:rsid w:val="003C0D55"/>
    <w:rsid w:val="003C1BE0"/>
    <w:rsid w:val="003C445B"/>
    <w:rsid w:val="003C62E4"/>
    <w:rsid w:val="003C734E"/>
    <w:rsid w:val="003D037F"/>
    <w:rsid w:val="003D06DF"/>
    <w:rsid w:val="003D1308"/>
    <w:rsid w:val="003D283D"/>
    <w:rsid w:val="003D3250"/>
    <w:rsid w:val="003D433E"/>
    <w:rsid w:val="003D5DBF"/>
    <w:rsid w:val="003D737D"/>
    <w:rsid w:val="003D780C"/>
    <w:rsid w:val="003E04B0"/>
    <w:rsid w:val="003E09D0"/>
    <w:rsid w:val="003E0DC9"/>
    <w:rsid w:val="003E2BC8"/>
    <w:rsid w:val="003E44B4"/>
    <w:rsid w:val="003E4707"/>
    <w:rsid w:val="003E4C1E"/>
    <w:rsid w:val="003E5ED0"/>
    <w:rsid w:val="003F0E1D"/>
    <w:rsid w:val="003F1CAF"/>
    <w:rsid w:val="003F3A06"/>
    <w:rsid w:val="003F4D00"/>
    <w:rsid w:val="0040230D"/>
    <w:rsid w:val="00402C5C"/>
    <w:rsid w:val="0040436E"/>
    <w:rsid w:val="004137CF"/>
    <w:rsid w:val="00414BE9"/>
    <w:rsid w:val="00417FC9"/>
    <w:rsid w:val="00422B06"/>
    <w:rsid w:val="00423DEC"/>
    <w:rsid w:val="00424819"/>
    <w:rsid w:val="004254B6"/>
    <w:rsid w:val="004271D0"/>
    <w:rsid w:val="004301F0"/>
    <w:rsid w:val="0043112D"/>
    <w:rsid w:val="00432A68"/>
    <w:rsid w:val="00432E5C"/>
    <w:rsid w:val="0043384B"/>
    <w:rsid w:val="00436406"/>
    <w:rsid w:val="0043669D"/>
    <w:rsid w:val="004414BB"/>
    <w:rsid w:val="00443BDD"/>
    <w:rsid w:val="00444D1C"/>
    <w:rsid w:val="00445C0F"/>
    <w:rsid w:val="00445E0B"/>
    <w:rsid w:val="004468AB"/>
    <w:rsid w:val="004474A8"/>
    <w:rsid w:val="004474FD"/>
    <w:rsid w:val="00450137"/>
    <w:rsid w:val="00450F2B"/>
    <w:rsid w:val="00451D1E"/>
    <w:rsid w:val="00452330"/>
    <w:rsid w:val="00452570"/>
    <w:rsid w:val="00453E8F"/>
    <w:rsid w:val="00454F7E"/>
    <w:rsid w:val="00455B69"/>
    <w:rsid w:val="00462CD6"/>
    <w:rsid w:val="00463915"/>
    <w:rsid w:val="00464F68"/>
    <w:rsid w:val="0046534D"/>
    <w:rsid w:val="00465B74"/>
    <w:rsid w:val="004662BB"/>
    <w:rsid w:val="00467F50"/>
    <w:rsid w:val="00471B41"/>
    <w:rsid w:val="00472923"/>
    <w:rsid w:val="0047401B"/>
    <w:rsid w:val="00475EFB"/>
    <w:rsid w:val="00477547"/>
    <w:rsid w:val="004779C9"/>
    <w:rsid w:val="0048091D"/>
    <w:rsid w:val="004810AC"/>
    <w:rsid w:val="004814CA"/>
    <w:rsid w:val="00482CCE"/>
    <w:rsid w:val="004845FE"/>
    <w:rsid w:val="004877D0"/>
    <w:rsid w:val="004878F2"/>
    <w:rsid w:val="00487C4F"/>
    <w:rsid w:val="00491130"/>
    <w:rsid w:val="004917BA"/>
    <w:rsid w:val="004919B2"/>
    <w:rsid w:val="00492E22"/>
    <w:rsid w:val="00495F7E"/>
    <w:rsid w:val="004A0319"/>
    <w:rsid w:val="004A127D"/>
    <w:rsid w:val="004A3AC5"/>
    <w:rsid w:val="004A4F37"/>
    <w:rsid w:val="004A73DA"/>
    <w:rsid w:val="004B149C"/>
    <w:rsid w:val="004B2694"/>
    <w:rsid w:val="004B6C6B"/>
    <w:rsid w:val="004C0B0D"/>
    <w:rsid w:val="004C1146"/>
    <w:rsid w:val="004C2D0D"/>
    <w:rsid w:val="004C6D10"/>
    <w:rsid w:val="004D16FA"/>
    <w:rsid w:val="004D1DE3"/>
    <w:rsid w:val="004D3E6C"/>
    <w:rsid w:val="004D49A0"/>
    <w:rsid w:val="004D5895"/>
    <w:rsid w:val="004D69D5"/>
    <w:rsid w:val="004E00BB"/>
    <w:rsid w:val="004E27AF"/>
    <w:rsid w:val="004E4729"/>
    <w:rsid w:val="004E7C02"/>
    <w:rsid w:val="004F0D80"/>
    <w:rsid w:val="004F4232"/>
    <w:rsid w:val="004F5382"/>
    <w:rsid w:val="004F7ACC"/>
    <w:rsid w:val="005001DF"/>
    <w:rsid w:val="00500CFE"/>
    <w:rsid w:val="005012CC"/>
    <w:rsid w:val="00502BDF"/>
    <w:rsid w:val="005048B0"/>
    <w:rsid w:val="00504F0C"/>
    <w:rsid w:val="005070D7"/>
    <w:rsid w:val="005133AA"/>
    <w:rsid w:val="00514373"/>
    <w:rsid w:val="00515087"/>
    <w:rsid w:val="00516C2D"/>
    <w:rsid w:val="0052224A"/>
    <w:rsid w:val="005278ED"/>
    <w:rsid w:val="005279A8"/>
    <w:rsid w:val="00527AFA"/>
    <w:rsid w:val="00532C8D"/>
    <w:rsid w:val="00533506"/>
    <w:rsid w:val="00534D87"/>
    <w:rsid w:val="005365AD"/>
    <w:rsid w:val="00537985"/>
    <w:rsid w:val="00540672"/>
    <w:rsid w:val="0054077F"/>
    <w:rsid w:val="005408C3"/>
    <w:rsid w:val="0054273B"/>
    <w:rsid w:val="0054325E"/>
    <w:rsid w:val="00543705"/>
    <w:rsid w:val="00545825"/>
    <w:rsid w:val="00547315"/>
    <w:rsid w:val="00550A20"/>
    <w:rsid w:val="00550A75"/>
    <w:rsid w:val="00554A86"/>
    <w:rsid w:val="00555FC3"/>
    <w:rsid w:val="005561C6"/>
    <w:rsid w:val="005568B0"/>
    <w:rsid w:val="00560D9E"/>
    <w:rsid w:val="00564A31"/>
    <w:rsid w:val="00566BA3"/>
    <w:rsid w:val="00566E23"/>
    <w:rsid w:val="005701BF"/>
    <w:rsid w:val="00570C77"/>
    <w:rsid w:val="00570EEE"/>
    <w:rsid w:val="005718B8"/>
    <w:rsid w:val="00571DA7"/>
    <w:rsid w:val="005721ED"/>
    <w:rsid w:val="0057425E"/>
    <w:rsid w:val="005769F7"/>
    <w:rsid w:val="00580758"/>
    <w:rsid w:val="00581408"/>
    <w:rsid w:val="00582EB3"/>
    <w:rsid w:val="00586175"/>
    <w:rsid w:val="00587334"/>
    <w:rsid w:val="005878A4"/>
    <w:rsid w:val="005922DE"/>
    <w:rsid w:val="00595E90"/>
    <w:rsid w:val="005977CD"/>
    <w:rsid w:val="005977EA"/>
    <w:rsid w:val="00597BD3"/>
    <w:rsid w:val="00597CEC"/>
    <w:rsid w:val="005A2507"/>
    <w:rsid w:val="005A6D1D"/>
    <w:rsid w:val="005B0DA8"/>
    <w:rsid w:val="005B1332"/>
    <w:rsid w:val="005B32A1"/>
    <w:rsid w:val="005B58AA"/>
    <w:rsid w:val="005B5DA9"/>
    <w:rsid w:val="005B6D55"/>
    <w:rsid w:val="005C0CCD"/>
    <w:rsid w:val="005C3211"/>
    <w:rsid w:val="005C4877"/>
    <w:rsid w:val="005C6333"/>
    <w:rsid w:val="005C790A"/>
    <w:rsid w:val="005D155E"/>
    <w:rsid w:val="005D33B7"/>
    <w:rsid w:val="005D652A"/>
    <w:rsid w:val="005E09F2"/>
    <w:rsid w:val="005E37E5"/>
    <w:rsid w:val="005E6C1B"/>
    <w:rsid w:val="005E6D25"/>
    <w:rsid w:val="005F0C25"/>
    <w:rsid w:val="005F199C"/>
    <w:rsid w:val="005F208F"/>
    <w:rsid w:val="005F4FC8"/>
    <w:rsid w:val="005F5D22"/>
    <w:rsid w:val="005F64EC"/>
    <w:rsid w:val="005F7431"/>
    <w:rsid w:val="00600674"/>
    <w:rsid w:val="00604F07"/>
    <w:rsid w:val="00605F2F"/>
    <w:rsid w:val="00606666"/>
    <w:rsid w:val="00606C9A"/>
    <w:rsid w:val="006073C5"/>
    <w:rsid w:val="00607488"/>
    <w:rsid w:val="00611D95"/>
    <w:rsid w:val="00612461"/>
    <w:rsid w:val="00612B09"/>
    <w:rsid w:val="00613F7F"/>
    <w:rsid w:val="006173F5"/>
    <w:rsid w:val="00617497"/>
    <w:rsid w:val="00617E26"/>
    <w:rsid w:val="006211A0"/>
    <w:rsid w:val="0062191C"/>
    <w:rsid w:val="00621E03"/>
    <w:rsid w:val="00623218"/>
    <w:rsid w:val="006232A9"/>
    <w:rsid w:val="006234D0"/>
    <w:rsid w:val="00625851"/>
    <w:rsid w:val="00630109"/>
    <w:rsid w:val="0063062C"/>
    <w:rsid w:val="00633B76"/>
    <w:rsid w:val="006340DC"/>
    <w:rsid w:val="0063462A"/>
    <w:rsid w:val="00634E04"/>
    <w:rsid w:val="00635399"/>
    <w:rsid w:val="006353FE"/>
    <w:rsid w:val="00636359"/>
    <w:rsid w:val="00636F1B"/>
    <w:rsid w:val="0063701B"/>
    <w:rsid w:val="00642B53"/>
    <w:rsid w:val="00643BB9"/>
    <w:rsid w:val="006451EA"/>
    <w:rsid w:val="006455D7"/>
    <w:rsid w:val="00651560"/>
    <w:rsid w:val="00652429"/>
    <w:rsid w:val="0065321F"/>
    <w:rsid w:val="00653BE0"/>
    <w:rsid w:val="0065457B"/>
    <w:rsid w:val="006551FB"/>
    <w:rsid w:val="00655780"/>
    <w:rsid w:val="00656F57"/>
    <w:rsid w:val="006571BF"/>
    <w:rsid w:val="00657F8C"/>
    <w:rsid w:val="00657FBA"/>
    <w:rsid w:val="006613EB"/>
    <w:rsid w:val="00661FD0"/>
    <w:rsid w:val="00663042"/>
    <w:rsid w:val="006633B8"/>
    <w:rsid w:val="006635DE"/>
    <w:rsid w:val="006638FB"/>
    <w:rsid w:val="0066394C"/>
    <w:rsid w:val="00665B12"/>
    <w:rsid w:val="00667131"/>
    <w:rsid w:val="00667C62"/>
    <w:rsid w:val="00667D63"/>
    <w:rsid w:val="00670569"/>
    <w:rsid w:val="00670B16"/>
    <w:rsid w:val="00670E61"/>
    <w:rsid w:val="006744E2"/>
    <w:rsid w:val="0067573A"/>
    <w:rsid w:val="006802E3"/>
    <w:rsid w:val="00681447"/>
    <w:rsid w:val="0068162E"/>
    <w:rsid w:val="0068279C"/>
    <w:rsid w:val="00682935"/>
    <w:rsid w:val="00683D05"/>
    <w:rsid w:val="006843C0"/>
    <w:rsid w:val="00685E5F"/>
    <w:rsid w:val="00686BBB"/>
    <w:rsid w:val="006912AB"/>
    <w:rsid w:val="006913E4"/>
    <w:rsid w:val="006922D7"/>
    <w:rsid w:val="00692B1E"/>
    <w:rsid w:val="00692BA4"/>
    <w:rsid w:val="00692F35"/>
    <w:rsid w:val="00693BEE"/>
    <w:rsid w:val="0069469B"/>
    <w:rsid w:val="006950EE"/>
    <w:rsid w:val="0069544A"/>
    <w:rsid w:val="0069580B"/>
    <w:rsid w:val="006971F3"/>
    <w:rsid w:val="00697616"/>
    <w:rsid w:val="006A0DEE"/>
    <w:rsid w:val="006A1B85"/>
    <w:rsid w:val="006A2BFF"/>
    <w:rsid w:val="006A3692"/>
    <w:rsid w:val="006A4BB5"/>
    <w:rsid w:val="006A4EB6"/>
    <w:rsid w:val="006A515F"/>
    <w:rsid w:val="006A5F33"/>
    <w:rsid w:val="006A7DFF"/>
    <w:rsid w:val="006B18DD"/>
    <w:rsid w:val="006B7F8B"/>
    <w:rsid w:val="006C41C0"/>
    <w:rsid w:val="006C465E"/>
    <w:rsid w:val="006C4894"/>
    <w:rsid w:val="006C6477"/>
    <w:rsid w:val="006C7C5F"/>
    <w:rsid w:val="006D0126"/>
    <w:rsid w:val="006D0857"/>
    <w:rsid w:val="006D1AA9"/>
    <w:rsid w:val="006D2829"/>
    <w:rsid w:val="006D3F83"/>
    <w:rsid w:val="006D4B9F"/>
    <w:rsid w:val="006D5625"/>
    <w:rsid w:val="006D6E6D"/>
    <w:rsid w:val="006D7CB0"/>
    <w:rsid w:val="006E0349"/>
    <w:rsid w:val="006E242A"/>
    <w:rsid w:val="006E4720"/>
    <w:rsid w:val="006E519E"/>
    <w:rsid w:val="006E5657"/>
    <w:rsid w:val="006E6291"/>
    <w:rsid w:val="006E6B21"/>
    <w:rsid w:val="006E7389"/>
    <w:rsid w:val="006F16F7"/>
    <w:rsid w:val="006F24B9"/>
    <w:rsid w:val="006F4388"/>
    <w:rsid w:val="006F5D18"/>
    <w:rsid w:val="006F6BE1"/>
    <w:rsid w:val="00700CCA"/>
    <w:rsid w:val="00700E54"/>
    <w:rsid w:val="00700F79"/>
    <w:rsid w:val="007012B3"/>
    <w:rsid w:val="00702E5B"/>
    <w:rsid w:val="00705B01"/>
    <w:rsid w:val="00705FF4"/>
    <w:rsid w:val="00706C1B"/>
    <w:rsid w:val="00706F3E"/>
    <w:rsid w:val="007070FB"/>
    <w:rsid w:val="007102A9"/>
    <w:rsid w:val="00711578"/>
    <w:rsid w:val="00711C55"/>
    <w:rsid w:val="00712A9D"/>
    <w:rsid w:val="00713171"/>
    <w:rsid w:val="00714BE3"/>
    <w:rsid w:val="00715585"/>
    <w:rsid w:val="00715877"/>
    <w:rsid w:val="00716D56"/>
    <w:rsid w:val="00717A3A"/>
    <w:rsid w:val="00717D74"/>
    <w:rsid w:val="00720DFC"/>
    <w:rsid w:val="00720FE6"/>
    <w:rsid w:val="00721FF0"/>
    <w:rsid w:val="0072623C"/>
    <w:rsid w:val="0072664E"/>
    <w:rsid w:val="00733BAB"/>
    <w:rsid w:val="00734B61"/>
    <w:rsid w:val="007435BF"/>
    <w:rsid w:val="00753D32"/>
    <w:rsid w:val="007544F4"/>
    <w:rsid w:val="00756D80"/>
    <w:rsid w:val="00757720"/>
    <w:rsid w:val="00757D7A"/>
    <w:rsid w:val="007610A9"/>
    <w:rsid w:val="007640C6"/>
    <w:rsid w:val="0076468A"/>
    <w:rsid w:val="007648FB"/>
    <w:rsid w:val="0076533E"/>
    <w:rsid w:val="00767435"/>
    <w:rsid w:val="0077178E"/>
    <w:rsid w:val="00771B78"/>
    <w:rsid w:val="00771BE3"/>
    <w:rsid w:val="00772705"/>
    <w:rsid w:val="00772765"/>
    <w:rsid w:val="00773044"/>
    <w:rsid w:val="007739E3"/>
    <w:rsid w:val="007741FB"/>
    <w:rsid w:val="00774372"/>
    <w:rsid w:val="00774728"/>
    <w:rsid w:val="00774E90"/>
    <w:rsid w:val="00777796"/>
    <w:rsid w:val="0077798F"/>
    <w:rsid w:val="0078271A"/>
    <w:rsid w:val="00783406"/>
    <w:rsid w:val="00784AA9"/>
    <w:rsid w:val="007851A6"/>
    <w:rsid w:val="00785B16"/>
    <w:rsid w:val="007873B0"/>
    <w:rsid w:val="00787F61"/>
    <w:rsid w:val="00792385"/>
    <w:rsid w:val="00793BF6"/>
    <w:rsid w:val="007952AB"/>
    <w:rsid w:val="00795306"/>
    <w:rsid w:val="00795876"/>
    <w:rsid w:val="00795BDF"/>
    <w:rsid w:val="00797EE8"/>
    <w:rsid w:val="007A24B8"/>
    <w:rsid w:val="007A34A0"/>
    <w:rsid w:val="007A4B8C"/>
    <w:rsid w:val="007B0091"/>
    <w:rsid w:val="007B0164"/>
    <w:rsid w:val="007B02C0"/>
    <w:rsid w:val="007B0BFF"/>
    <w:rsid w:val="007B0FCC"/>
    <w:rsid w:val="007B60C4"/>
    <w:rsid w:val="007B722F"/>
    <w:rsid w:val="007B74B6"/>
    <w:rsid w:val="007C0719"/>
    <w:rsid w:val="007C0BF5"/>
    <w:rsid w:val="007C1953"/>
    <w:rsid w:val="007C28BD"/>
    <w:rsid w:val="007C39B9"/>
    <w:rsid w:val="007C57C9"/>
    <w:rsid w:val="007C5AD2"/>
    <w:rsid w:val="007D07F3"/>
    <w:rsid w:val="007D3126"/>
    <w:rsid w:val="007D540C"/>
    <w:rsid w:val="007D603D"/>
    <w:rsid w:val="007D65BE"/>
    <w:rsid w:val="007D6765"/>
    <w:rsid w:val="007D71E0"/>
    <w:rsid w:val="007E0565"/>
    <w:rsid w:val="007E0739"/>
    <w:rsid w:val="007E0867"/>
    <w:rsid w:val="007E73DA"/>
    <w:rsid w:val="007E7C6B"/>
    <w:rsid w:val="007F3590"/>
    <w:rsid w:val="007F3593"/>
    <w:rsid w:val="007F3A85"/>
    <w:rsid w:val="007F5C1A"/>
    <w:rsid w:val="007F5ED9"/>
    <w:rsid w:val="007F7A49"/>
    <w:rsid w:val="008033F0"/>
    <w:rsid w:val="00803D5D"/>
    <w:rsid w:val="008125F4"/>
    <w:rsid w:val="00813FC7"/>
    <w:rsid w:val="00814481"/>
    <w:rsid w:val="0081634C"/>
    <w:rsid w:val="0082347E"/>
    <w:rsid w:val="00823AF6"/>
    <w:rsid w:val="0082566C"/>
    <w:rsid w:val="00831C98"/>
    <w:rsid w:val="00834380"/>
    <w:rsid w:val="00834AE3"/>
    <w:rsid w:val="008379C6"/>
    <w:rsid w:val="00837A24"/>
    <w:rsid w:val="00844730"/>
    <w:rsid w:val="00846243"/>
    <w:rsid w:val="008464B4"/>
    <w:rsid w:val="008473E3"/>
    <w:rsid w:val="00852E7F"/>
    <w:rsid w:val="00854799"/>
    <w:rsid w:val="008578F7"/>
    <w:rsid w:val="00857AF9"/>
    <w:rsid w:val="00860A64"/>
    <w:rsid w:val="00862BA4"/>
    <w:rsid w:val="00863E2C"/>
    <w:rsid w:val="00864A51"/>
    <w:rsid w:val="00865DF1"/>
    <w:rsid w:val="00867166"/>
    <w:rsid w:val="008677E9"/>
    <w:rsid w:val="008678B9"/>
    <w:rsid w:val="00870035"/>
    <w:rsid w:val="008709E1"/>
    <w:rsid w:val="00871BED"/>
    <w:rsid w:val="00872C71"/>
    <w:rsid w:val="008738E4"/>
    <w:rsid w:val="00873AC1"/>
    <w:rsid w:val="00875670"/>
    <w:rsid w:val="008803A2"/>
    <w:rsid w:val="00882582"/>
    <w:rsid w:val="00884FB9"/>
    <w:rsid w:val="00886F15"/>
    <w:rsid w:val="008879DD"/>
    <w:rsid w:val="0089166F"/>
    <w:rsid w:val="00892888"/>
    <w:rsid w:val="008929DF"/>
    <w:rsid w:val="00893E4F"/>
    <w:rsid w:val="00896017"/>
    <w:rsid w:val="00897FE3"/>
    <w:rsid w:val="008A0D57"/>
    <w:rsid w:val="008A123F"/>
    <w:rsid w:val="008A1D83"/>
    <w:rsid w:val="008A304F"/>
    <w:rsid w:val="008A37C1"/>
    <w:rsid w:val="008A40BD"/>
    <w:rsid w:val="008A7970"/>
    <w:rsid w:val="008B1258"/>
    <w:rsid w:val="008B1584"/>
    <w:rsid w:val="008B251A"/>
    <w:rsid w:val="008B566D"/>
    <w:rsid w:val="008C3672"/>
    <w:rsid w:val="008C3919"/>
    <w:rsid w:val="008C4ECF"/>
    <w:rsid w:val="008D12B7"/>
    <w:rsid w:val="008D1668"/>
    <w:rsid w:val="008D4381"/>
    <w:rsid w:val="008D54DB"/>
    <w:rsid w:val="008D5C5F"/>
    <w:rsid w:val="008E6EE1"/>
    <w:rsid w:val="008E768F"/>
    <w:rsid w:val="008E7B76"/>
    <w:rsid w:val="008F0342"/>
    <w:rsid w:val="008F07C5"/>
    <w:rsid w:val="008F3CE6"/>
    <w:rsid w:val="008F5020"/>
    <w:rsid w:val="008F5530"/>
    <w:rsid w:val="008F67B3"/>
    <w:rsid w:val="008F68F2"/>
    <w:rsid w:val="008F751C"/>
    <w:rsid w:val="008F7F36"/>
    <w:rsid w:val="0090027D"/>
    <w:rsid w:val="00900DD3"/>
    <w:rsid w:val="0090329C"/>
    <w:rsid w:val="009037F7"/>
    <w:rsid w:val="0090553D"/>
    <w:rsid w:val="00905A35"/>
    <w:rsid w:val="009078DE"/>
    <w:rsid w:val="00914EA6"/>
    <w:rsid w:val="00915C0B"/>
    <w:rsid w:val="00915CF9"/>
    <w:rsid w:val="009172DE"/>
    <w:rsid w:val="00917C8E"/>
    <w:rsid w:val="0092026F"/>
    <w:rsid w:val="00921859"/>
    <w:rsid w:val="00922274"/>
    <w:rsid w:val="00924CEF"/>
    <w:rsid w:val="0092541A"/>
    <w:rsid w:val="00926BAD"/>
    <w:rsid w:val="009276D2"/>
    <w:rsid w:val="00927EE1"/>
    <w:rsid w:val="0093135D"/>
    <w:rsid w:val="00934029"/>
    <w:rsid w:val="00934EEA"/>
    <w:rsid w:val="009355FB"/>
    <w:rsid w:val="009356E0"/>
    <w:rsid w:val="00942ED6"/>
    <w:rsid w:val="009447B8"/>
    <w:rsid w:val="0094532C"/>
    <w:rsid w:val="009469A8"/>
    <w:rsid w:val="00946F42"/>
    <w:rsid w:val="00950F9E"/>
    <w:rsid w:val="00951E47"/>
    <w:rsid w:val="00952EDD"/>
    <w:rsid w:val="00954586"/>
    <w:rsid w:val="00954DD6"/>
    <w:rsid w:val="009563A2"/>
    <w:rsid w:val="00961664"/>
    <w:rsid w:val="00961BAF"/>
    <w:rsid w:val="00964616"/>
    <w:rsid w:val="00967BAD"/>
    <w:rsid w:val="00974F86"/>
    <w:rsid w:val="00977327"/>
    <w:rsid w:val="00980234"/>
    <w:rsid w:val="00981C9A"/>
    <w:rsid w:val="00982DC7"/>
    <w:rsid w:val="00983320"/>
    <w:rsid w:val="00985653"/>
    <w:rsid w:val="00987177"/>
    <w:rsid w:val="00987597"/>
    <w:rsid w:val="00987C86"/>
    <w:rsid w:val="009911F2"/>
    <w:rsid w:val="009918FD"/>
    <w:rsid w:val="00991D17"/>
    <w:rsid w:val="00992EED"/>
    <w:rsid w:val="00997500"/>
    <w:rsid w:val="009978C0"/>
    <w:rsid w:val="00997B96"/>
    <w:rsid w:val="009A05D2"/>
    <w:rsid w:val="009A1132"/>
    <w:rsid w:val="009A1D34"/>
    <w:rsid w:val="009A3C70"/>
    <w:rsid w:val="009A5BFD"/>
    <w:rsid w:val="009A5CA7"/>
    <w:rsid w:val="009A61A5"/>
    <w:rsid w:val="009B00D6"/>
    <w:rsid w:val="009B06B5"/>
    <w:rsid w:val="009B1EFF"/>
    <w:rsid w:val="009B31B1"/>
    <w:rsid w:val="009B4963"/>
    <w:rsid w:val="009B512C"/>
    <w:rsid w:val="009B56C3"/>
    <w:rsid w:val="009B79F1"/>
    <w:rsid w:val="009C09D1"/>
    <w:rsid w:val="009C17C1"/>
    <w:rsid w:val="009C2C52"/>
    <w:rsid w:val="009C31C8"/>
    <w:rsid w:val="009C459C"/>
    <w:rsid w:val="009C5B6C"/>
    <w:rsid w:val="009C691F"/>
    <w:rsid w:val="009C748C"/>
    <w:rsid w:val="009D0393"/>
    <w:rsid w:val="009D28A7"/>
    <w:rsid w:val="009D4071"/>
    <w:rsid w:val="009E014D"/>
    <w:rsid w:val="009E0F74"/>
    <w:rsid w:val="009E59C8"/>
    <w:rsid w:val="009E6A46"/>
    <w:rsid w:val="009F1776"/>
    <w:rsid w:val="009F1B4D"/>
    <w:rsid w:val="009F2345"/>
    <w:rsid w:val="009F3E64"/>
    <w:rsid w:val="009F64D8"/>
    <w:rsid w:val="00A0090E"/>
    <w:rsid w:val="00A02B44"/>
    <w:rsid w:val="00A03DBC"/>
    <w:rsid w:val="00A04995"/>
    <w:rsid w:val="00A058EC"/>
    <w:rsid w:val="00A05CC6"/>
    <w:rsid w:val="00A062E2"/>
    <w:rsid w:val="00A10BD5"/>
    <w:rsid w:val="00A127DD"/>
    <w:rsid w:val="00A12CF5"/>
    <w:rsid w:val="00A158AE"/>
    <w:rsid w:val="00A15D57"/>
    <w:rsid w:val="00A167D4"/>
    <w:rsid w:val="00A2151B"/>
    <w:rsid w:val="00A219EB"/>
    <w:rsid w:val="00A21AA2"/>
    <w:rsid w:val="00A23616"/>
    <w:rsid w:val="00A23D8A"/>
    <w:rsid w:val="00A24693"/>
    <w:rsid w:val="00A25ADE"/>
    <w:rsid w:val="00A26053"/>
    <w:rsid w:val="00A30EAD"/>
    <w:rsid w:val="00A3172D"/>
    <w:rsid w:val="00A35FC9"/>
    <w:rsid w:val="00A363AB"/>
    <w:rsid w:val="00A37900"/>
    <w:rsid w:val="00A37F4C"/>
    <w:rsid w:val="00A41E96"/>
    <w:rsid w:val="00A4220A"/>
    <w:rsid w:val="00A43300"/>
    <w:rsid w:val="00A4394A"/>
    <w:rsid w:val="00A43A2D"/>
    <w:rsid w:val="00A469C0"/>
    <w:rsid w:val="00A47BAA"/>
    <w:rsid w:val="00A51EA7"/>
    <w:rsid w:val="00A524FE"/>
    <w:rsid w:val="00A54C9D"/>
    <w:rsid w:val="00A55273"/>
    <w:rsid w:val="00A558B4"/>
    <w:rsid w:val="00A6094C"/>
    <w:rsid w:val="00A609BA"/>
    <w:rsid w:val="00A61122"/>
    <w:rsid w:val="00A63B37"/>
    <w:rsid w:val="00A640E8"/>
    <w:rsid w:val="00A657C0"/>
    <w:rsid w:val="00A67B05"/>
    <w:rsid w:val="00A67E1E"/>
    <w:rsid w:val="00A70C9C"/>
    <w:rsid w:val="00A713CF"/>
    <w:rsid w:val="00A71699"/>
    <w:rsid w:val="00A7224B"/>
    <w:rsid w:val="00A7551D"/>
    <w:rsid w:val="00A76EA2"/>
    <w:rsid w:val="00A8196C"/>
    <w:rsid w:val="00A8230A"/>
    <w:rsid w:val="00A82DAA"/>
    <w:rsid w:val="00A85910"/>
    <w:rsid w:val="00A870B2"/>
    <w:rsid w:val="00A877A4"/>
    <w:rsid w:val="00A90C15"/>
    <w:rsid w:val="00A913A2"/>
    <w:rsid w:val="00A9248E"/>
    <w:rsid w:val="00A949EF"/>
    <w:rsid w:val="00A94BAD"/>
    <w:rsid w:val="00A94FA1"/>
    <w:rsid w:val="00A95353"/>
    <w:rsid w:val="00A95CEF"/>
    <w:rsid w:val="00A965A2"/>
    <w:rsid w:val="00AA0079"/>
    <w:rsid w:val="00AA1F4C"/>
    <w:rsid w:val="00AA4E61"/>
    <w:rsid w:val="00AA5638"/>
    <w:rsid w:val="00AA5CA5"/>
    <w:rsid w:val="00AA68ED"/>
    <w:rsid w:val="00AA6F64"/>
    <w:rsid w:val="00AB0BC7"/>
    <w:rsid w:val="00AB1791"/>
    <w:rsid w:val="00AB358A"/>
    <w:rsid w:val="00AB4338"/>
    <w:rsid w:val="00AB4EFA"/>
    <w:rsid w:val="00AB56D8"/>
    <w:rsid w:val="00AB71F6"/>
    <w:rsid w:val="00AB737B"/>
    <w:rsid w:val="00AB749C"/>
    <w:rsid w:val="00AC1AD1"/>
    <w:rsid w:val="00AC2BAE"/>
    <w:rsid w:val="00AC4652"/>
    <w:rsid w:val="00AC4D87"/>
    <w:rsid w:val="00AD19C9"/>
    <w:rsid w:val="00AD24A9"/>
    <w:rsid w:val="00AD65F4"/>
    <w:rsid w:val="00AE0119"/>
    <w:rsid w:val="00AE03E4"/>
    <w:rsid w:val="00AE2F13"/>
    <w:rsid w:val="00AE5181"/>
    <w:rsid w:val="00AE53B6"/>
    <w:rsid w:val="00AE7325"/>
    <w:rsid w:val="00AF0364"/>
    <w:rsid w:val="00AF084A"/>
    <w:rsid w:val="00AF0976"/>
    <w:rsid w:val="00AF1045"/>
    <w:rsid w:val="00AF1E3D"/>
    <w:rsid w:val="00AF2080"/>
    <w:rsid w:val="00AF24EF"/>
    <w:rsid w:val="00AF283F"/>
    <w:rsid w:val="00AF6A40"/>
    <w:rsid w:val="00B003F9"/>
    <w:rsid w:val="00B010C5"/>
    <w:rsid w:val="00B011CE"/>
    <w:rsid w:val="00B017CE"/>
    <w:rsid w:val="00B0710C"/>
    <w:rsid w:val="00B0763A"/>
    <w:rsid w:val="00B1002E"/>
    <w:rsid w:val="00B1025C"/>
    <w:rsid w:val="00B1268C"/>
    <w:rsid w:val="00B12DE4"/>
    <w:rsid w:val="00B13B7F"/>
    <w:rsid w:val="00B17A44"/>
    <w:rsid w:val="00B17E64"/>
    <w:rsid w:val="00B2084D"/>
    <w:rsid w:val="00B225AE"/>
    <w:rsid w:val="00B24B31"/>
    <w:rsid w:val="00B30468"/>
    <w:rsid w:val="00B320FF"/>
    <w:rsid w:val="00B3497D"/>
    <w:rsid w:val="00B34A31"/>
    <w:rsid w:val="00B372B7"/>
    <w:rsid w:val="00B37DC9"/>
    <w:rsid w:val="00B4018B"/>
    <w:rsid w:val="00B409E7"/>
    <w:rsid w:val="00B40EFB"/>
    <w:rsid w:val="00B458ED"/>
    <w:rsid w:val="00B45A52"/>
    <w:rsid w:val="00B45DB0"/>
    <w:rsid w:val="00B46690"/>
    <w:rsid w:val="00B51C0F"/>
    <w:rsid w:val="00B5219E"/>
    <w:rsid w:val="00B52E44"/>
    <w:rsid w:val="00B52E8D"/>
    <w:rsid w:val="00B5692D"/>
    <w:rsid w:val="00B57AA6"/>
    <w:rsid w:val="00B57B1A"/>
    <w:rsid w:val="00B57CEE"/>
    <w:rsid w:val="00B60611"/>
    <w:rsid w:val="00B60B83"/>
    <w:rsid w:val="00B60FB8"/>
    <w:rsid w:val="00B674A2"/>
    <w:rsid w:val="00B7107E"/>
    <w:rsid w:val="00B72EB5"/>
    <w:rsid w:val="00B73BF8"/>
    <w:rsid w:val="00B74975"/>
    <w:rsid w:val="00B76A11"/>
    <w:rsid w:val="00B77038"/>
    <w:rsid w:val="00B80DEE"/>
    <w:rsid w:val="00B83292"/>
    <w:rsid w:val="00B85907"/>
    <w:rsid w:val="00B91548"/>
    <w:rsid w:val="00B91A20"/>
    <w:rsid w:val="00B9507F"/>
    <w:rsid w:val="00BA1513"/>
    <w:rsid w:val="00BA45E7"/>
    <w:rsid w:val="00BA4F51"/>
    <w:rsid w:val="00BA547B"/>
    <w:rsid w:val="00BA621C"/>
    <w:rsid w:val="00BA75D6"/>
    <w:rsid w:val="00BB0065"/>
    <w:rsid w:val="00BB01CD"/>
    <w:rsid w:val="00BB0793"/>
    <w:rsid w:val="00BB0F00"/>
    <w:rsid w:val="00BB1401"/>
    <w:rsid w:val="00BB41BF"/>
    <w:rsid w:val="00BB6744"/>
    <w:rsid w:val="00BB6BF0"/>
    <w:rsid w:val="00BB6C99"/>
    <w:rsid w:val="00BC1E89"/>
    <w:rsid w:val="00BC2885"/>
    <w:rsid w:val="00BC374F"/>
    <w:rsid w:val="00BC4156"/>
    <w:rsid w:val="00BC53DC"/>
    <w:rsid w:val="00BC54A3"/>
    <w:rsid w:val="00BC64DA"/>
    <w:rsid w:val="00BC7589"/>
    <w:rsid w:val="00BD0172"/>
    <w:rsid w:val="00BD10E6"/>
    <w:rsid w:val="00BD3528"/>
    <w:rsid w:val="00BD36E7"/>
    <w:rsid w:val="00BD3A97"/>
    <w:rsid w:val="00BD68FD"/>
    <w:rsid w:val="00BE033D"/>
    <w:rsid w:val="00BE1B5B"/>
    <w:rsid w:val="00BE2921"/>
    <w:rsid w:val="00BE3464"/>
    <w:rsid w:val="00BE3D09"/>
    <w:rsid w:val="00BE3D8A"/>
    <w:rsid w:val="00BE48C5"/>
    <w:rsid w:val="00BE6588"/>
    <w:rsid w:val="00BF03D7"/>
    <w:rsid w:val="00BF1B57"/>
    <w:rsid w:val="00BF2242"/>
    <w:rsid w:val="00BF24F6"/>
    <w:rsid w:val="00BF36F0"/>
    <w:rsid w:val="00BF372B"/>
    <w:rsid w:val="00BF45C7"/>
    <w:rsid w:val="00BF4963"/>
    <w:rsid w:val="00BF5398"/>
    <w:rsid w:val="00BF6AF1"/>
    <w:rsid w:val="00C03B4C"/>
    <w:rsid w:val="00C0463C"/>
    <w:rsid w:val="00C054E6"/>
    <w:rsid w:val="00C0588D"/>
    <w:rsid w:val="00C10587"/>
    <w:rsid w:val="00C10AC0"/>
    <w:rsid w:val="00C114F2"/>
    <w:rsid w:val="00C11650"/>
    <w:rsid w:val="00C118BC"/>
    <w:rsid w:val="00C11EB3"/>
    <w:rsid w:val="00C2149B"/>
    <w:rsid w:val="00C21ABF"/>
    <w:rsid w:val="00C252DF"/>
    <w:rsid w:val="00C255C5"/>
    <w:rsid w:val="00C2665B"/>
    <w:rsid w:val="00C30EB3"/>
    <w:rsid w:val="00C31FBC"/>
    <w:rsid w:val="00C373E1"/>
    <w:rsid w:val="00C41300"/>
    <w:rsid w:val="00C41475"/>
    <w:rsid w:val="00C421C1"/>
    <w:rsid w:val="00C42917"/>
    <w:rsid w:val="00C47AF3"/>
    <w:rsid w:val="00C503AE"/>
    <w:rsid w:val="00C5046D"/>
    <w:rsid w:val="00C52B76"/>
    <w:rsid w:val="00C55C1E"/>
    <w:rsid w:val="00C5685E"/>
    <w:rsid w:val="00C56E4F"/>
    <w:rsid w:val="00C576B9"/>
    <w:rsid w:val="00C6010B"/>
    <w:rsid w:val="00C604B8"/>
    <w:rsid w:val="00C639B2"/>
    <w:rsid w:val="00C63AEF"/>
    <w:rsid w:val="00C662F8"/>
    <w:rsid w:val="00C66764"/>
    <w:rsid w:val="00C66C37"/>
    <w:rsid w:val="00C67305"/>
    <w:rsid w:val="00C67D12"/>
    <w:rsid w:val="00C7265C"/>
    <w:rsid w:val="00C7379B"/>
    <w:rsid w:val="00C73DDC"/>
    <w:rsid w:val="00C749D6"/>
    <w:rsid w:val="00C74BB7"/>
    <w:rsid w:val="00C7688F"/>
    <w:rsid w:val="00C80FF1"/>
    <w:rsid w:val="00C828AD"/>
    <w:rsid w:val="00C85591"/>
    <w:rsid w:val="00C91E64"/>
    <w:rsid w:val="00C949E3"/>
    <w:rsid w:val="00C96B26"/>
    <w:rsid w:val="00CA4429"/>
    <w:rsid w:val="00CA46BD"/>
    <w:rsid w:val="00CA5E03"/>
    <w:rsid w:val="00CB149D"/>
    <w:rsid w:val="00CB24A5"/>
    <w:rsid w:val="00CB31B6"/>
    <w:rsid w:val="00CB3971"/>
    <w:rsid w:val="00CB4974"/>
    <w:rsid w:val="00CB5069"/>
    <w:rsid w:val="00CB51E3"/>
    <w:rsid w:val="00CB56EC"/>
    <w:rsid w:val="00CB6242"/>
    <w:rsid w:val="00CB74FC"/>
    <w:rsid w:val="00CC26F0"/>
    <w:rsid w:val="00CC2B17"/>
    <w:rsid w:val="00CC2C31"/>
    <w:rsid w:val="00CC3AE7"/>
    <w:rsid w:val="00CC3BB5"/>
    <w:rsid w:val="00CC4187"/>
    <w:rsid w:val="00CC4704"/>
    <w:rsid w:val="00CC78FF"/>
    <w:rsid w:val="00CC7A58"/>
    <w:rsid w:val="00CD1299"/>
    <w:rsid w:val="00CD330D"/>
    <w:rsid w:val="00CD4FFE"/>
    <w:rsid w:val="00CD70E3"/>
    <w:rsid w:val="00CD7F42"/>
    <w:rsid w:val="00CE072A"/>
    <w:rsid w:val="00CE07DE"/>
    <w:rsid w:val="00CE0CFE"/>
    <w:rsid w:val="00CE1169"/>
    <w:rsid w:val="00CE4FEA"/>
    <w:rsid w:val="00CE7E73"/>
    <w:rsid w:val="00CE7FB5"/>
    <w:rsid w:val="00CF0C4A"/>
    <w:rsid w:val="00CF260B"/>
    <w:rsid w:val="00CF36FE"/>
    <w:rsid w:val="00CF3969"/>
    <w:rsid w:val="00CF7F6D"/>
    <w:rsid w:val="00D02C82"/>
    <w:rsid w:val="00D03A54"/>
    <w:rsid w:val="00D07876"/>
    <w:rsid w:val="00D132E4"/>
    <w:rsid w:val="00D1736D"/>
    <w:rsid w:val="00D201AE"/>
    <w:rsid w:val="00D21B13"/>
    <w:rsid w:val="00D2274D"/>
    <w:rsid w:val="00D22A6D"/>
    <w:rsid w:val="00D244A3"/>
    <w:rsid w:val="00D250B7"/>
    <w:rsid w:val="00D25345"/>
    <w:rsid w:val="00D2710B"/>
    <w:rsid w:val="00D30950"/>
    <w:rsid w:val="00D31CE6"/>
    <w:rsid w:val="00D361B4"/>
    <w:rsid w:val="00D37C5D"/>
    <w:rsid w:val="00D41687"/>
    <w:rsid w:val="00D4195B"/>
    <w:rsid w:val="00D442CC"/>
    <w:rsid w:val="00D444B7"/>
    <w:rsid w:val="00D46427"/>
    <w:rsid w:val="00D466C5"/>
    <w:rsid w:val="00D47BF4"/>
    <w:rsid w:val="00D51636"/>
    <w:rsid w:val="00D52BD7"/>
    <w:rsid w:val="00D540A1"/>
    <w:rsid w:val="00D544D2"/>
    <w:rsid w:val="00D56644"/>
    <w:rsid w:val="00D56A36"/>
    <w:rsid w:val="00D57C28"/>
    <w:rsid w:val="00D6013E"/>
    <w:rsid w:val="00D61146"/>
    <w:rsid w:val="00D63ADE"/>
    <w:rsid w:val="00D643DE"/>
    <w:rsid w:val="00D65A10"/>
    <w:rsid w:val="00D6723E"/>
    <w:rsid w:val="00D7088C"/>
    <w:rsid w:val="00D71432"/>
    <w:rsid w:val="00D7233E"/>
    <w:rsid w:val="00D72ADA"/>
    <w:rsid w:val="00D7318D"/>
    <w:rsid w:val="00D7515F"/>
    <w:rsid w:val="00D75E02"/>
    <w:rsid w:val="00D76EE9"/>
    <w:rsid w:val="00D77169"/>
    <w:rsid w:val="00D82336"/>
    <w:rsid w:val="00D82547"/>
    <w:rsid w:val="00D82E0B"/>
    <w:rsid w:val="00D837A8"/>
    <w:rsid w:val="00D83C3D"/>
    <w:rsid w:val="00D85C19"/>
    <w:rsid w:val="00D85E38"/>
    <w:rsid w:val="00D877C0"/>
    <w:rsid w:val="00D87948"/>
    <w:rsid w:val="00D912EF"/>
    <w:rsid w:val="00D96020"/>
    <w:rsid w:val="00D976DF"/>
    <w:rsid w:val="00DA093D"/>
    <w:rsid w:val="00DA4E53"/>
    <w:rsid w:val="00DA533D"/>
    <w:rsid w:val="00DA5511"/>
    <w:rsid w:val="00DA5BB3"/>
    <w:rsid w:val="00DA78F3"/>
    <w:rsid w:val="00DA7FDB"/>
    <w:rsid w:val="00DB1EC3"/>
    <w:rsid w:val="00DB21B1"/>
    <w:rsid w:val="00DB317C"/>
    <w:rsid w:val="00DB4D07"/>
    <w:rsid w:val="00DB5918"/>
    <w:rsid w:val="00DB5BE5"/>
    <w:rsid w:val="00DB643E"/>
    <w:rsid w:val="00DB6D99"/>
    <w:rsid w:val="00DB74C8"/>
    <w:rsid w:val="00DC0D53"/>
    <w:rsid w:val="00DC2E94"/>
    <w:rsid w:val="00DC36EF"/>
    <w:rsid w:val="00DC5541"/>
    <w:rsid w:val="00DC5715"/>
    <w:rsid w:val="00DC5E26"/>
    <w:rsid w:val="00DC73FC"/>
    <w:rsid w:val="00DD1F35"/>
    <w:rsid w:val="00DD24E1"/>
    <w:rsid w:val="00DD32DE"/>
    <w:rsid w:val="00DD362A"/>
    <w:rsid w:val="00DD39AC"/>
    <w:rsid w:val="00DD4027"/>
    <w:rsid w:val="00DD4D70"/>
    <w:rsid w:val="00DD5D23"/>
    <w:rsid w:val="00DD618C"/>
    <w:rsid w:val="00DD6572"/>
    <w:rsid w:val="00DD7FBC"/>
    <w:rsid w:val="00DE14F3"/>
    <w:rsid w:val="00DE66E2"/>
    <w:rsid w:val="00DE7796"/>
    <w:rsid w:val="00DF0116"/>
    <w:rsid w:val="00DF52EB"/>
    <w:rsid w:val="00DF5F81"/>
    <w:rsid w:val="00E0048F"/>
    <w:rsid w:val="00E05378"/>
    <w:rsid w:val="00E10641"/>
    <w:rsid w:val="00E10E7F"/>
    <w:rsid w:val="00E12322"/>
    <w:rsid w:val="00E13530"/>
    <w:rsid w:val="00E17013"/>
    <w:rsid w:val="00E216BB"/>
    <w:rsid w:val="00E2365E"/>
    <w:rsid w:val="00E24BF0"/>
    <w:rsid w:val="00E31EF1"/>
    <w:rsid w:val="00E32705"/>
    <w:rsid w:val="00E32DB8"/>
    <w:rsid w:val="00E33213"/>
    <w:rsid w:val="00E33331"/>
    <w:rsid w:val="00E3574C"/>
    <w:rsid w:val="00E3727D"/>
    <w:rsid w:val="00E40007"/>
    <w:rsid w:val="00E41751"/>
    <w:rsid w:val="00E429E5"/>
    <w:rsid w:val="00E45D1E"/>
    <w:rsid w:val="00E468FA"/>
    <w:rsid w:val="00E479C0"/>
    <w:rsid w:val="00E520B8"/>
    <w:rsid w:val="00E53426"/>
    <w:rsid w:val="00E53924"/>
    <w:rsid w:val="00E53ED2"/>
    <w:rsid w:val="00E561D5"/>
    <w:rsid w:val="00E608ED"/>
    <w:rsid w:val="00E612DD"/>
    <w:rsid w:val="00E643C1"/>
    <w:rsid w:val="00E67145"/>
    <w:rsid w:val="00E7011D"/>
    <w:rsid w:val="00E70B09"/>
    <w:rsid w:val="00E74001"/>
    <w:rsid w:val="00E74FA6"/>
    <w:rsid w:val="00E754A8"/>
    <w:rsid w:val="00E812EA"/>
    <w:rsid w:val="00E84050"/>
    <w:rsid w:val="00E8415F"/>
    <w:rsid w:val="00E846A0"/>
    <w:rsid w:val="00E84DB9"/>
    <w:rsid w:val="00E8527E"/>
    <w:rsid w:val="00E86297"/>
    <w:rsid w:val="00E863F0"/>
    <w:rsid w:val="00E86C96"/>
    <w:rsid w:val="00E91051"/>
    <w:rsid w:val="00E92FA5"/>
    <w:rsid w:val="00E93FB0"/>
    <w:rsid w:val="00E9469B"/>
    <w:rsid w:val="00E951D8"/>
    <w:rsid w:val="00E955DB"/>
    <w:rsid w:val="00E96DC2"/>
    <w:rsid w:val="00EA11C2"/>
    <w:rsid w:val="00EA141C"/>
    <w:rsid w:val="00EA23AD"/>
    <w:rsid w:val="00EA2BD8"/>
    <w:rsid w:val="00EA4E9B"/>
    <w:rsid w:val="00EA4F2B"/>
    <w:rsid w:val="00EA7B9E"/>
    <w:rsid w:val="00EB6F7B"/>
    <w:rsid w:val="00EB770E"/>
    <w:rsid w:val="00EC1B40"/>
    <w:rsid w:val="00EC5081"/>
    <w:rsid w:val="00EC50A1"/>
    <w:rsid w:val="00EC6D29"/>
    <w:rsid w:val="00ED0F2A"/>
    <w:rsid w:val="00ED2A13"/>
    <w:rsid w:val="00ED3AC6"/>
    <w:rsid w:val="00ED5C5D"/>
    <w:rsid w:val="00EE28C9"/>
    <w:rsid w:val="00EE32E4"/>
    <w:rsid w:val="00EE4997"/>
    <w:rsid w:val="00EE4DF9"/>
    <w:rsid w:val="00EF47AD"/>
    <w:rsid w:val="00EF5FB1"/>
    <w:rsid w:val="00EF64EA"/>
    <w:rsid w:val="00EF669B"/>
    <w:rsid w:val="00F00303"/>
    <w:rsid w:val="00F03ECD"/>
    <w:rsid w:val="00F04679"/>
    <w:rsid w:val="00F05A5C"/>
    <w:rsid w:val="00F07861"/>
    <w:rsid w:val="00F1322A"/>
    <w:rsid w:val="00F149F7"/>
    <w:rsid w:val="00F15017"/>
    <w:rsid w:val="00F16C0E"/>
    <w:rsid w:val="00F171ED"/>
    <w:rsid w:val="00F217F8"/>
    <w:rsid w:val="00F2321F"/>
    <w:rsid w:val="00F26015"/>
    <w:rsid w:val="00F2638F"/>
    <w:rsid w:val="00F27164"/>
    <w:rsid w:val="00F33675"/>
    <w:rsid w:val="00F370C5"/>
    <w:rsid w:val="00F37CB0"/>
    <w:rsid w:val="00F37D3D"/>
    <w:rsid w:val="00F4019E"/>
    <w:rsid w:val="00F440A5"/>
    <w:rsid w:val="00F441F7"/>
    <w:rsid w:val="00F44E5F"/>
    <w:rsid w:val="00F47F2C"/>
    <w:rsid w:val="00F51A3A"/>
    <w:rsid w:val="00F51C2E"/>
    <w:rsid w:val="00F5212E"/>
    <w:rsid w:val="00F54A70"/>
    <w:rsid w:val="00F56C10"/>
    <w:rsid w:val="00F57F01"/>
    <w:rsid w:val="00F62F1B"/>
    <w:rsid w:val="00F62F8F"/>
    <w:rsid w:val="00F6507A"/>
    <w:rsid w:val="00F656E1"/>
    <w:rsid w:val="00F70A2F"/>
    <w:rsid w:val="00F71F16"/>
    <w:rsid w:val="00F72132"/>
    <w:rsid w:val="00F73F51"/>
    <w:rsid w:val="00F80D9B"/>
    <w:rsid w:val="00F83EE0"/>
    <w:rsid w:val="00F8479B"/>
    <w:rsid w:val="00F879DE"/>
    <w:rsid w:val="00F909B6"/>
    <w:rsid w:val="00F913BA"/>
    <w:rsid w:val="00F91C95"/>
    <w:rsid w:val="00F93E41"/>
    <w:rsid w:val="00F942F1"/>
    <w:rsid w:val="00F97E69"/>
    <w:rsid w:val="00FA10B6"/>
    <w:rsid w:val="00FA3E3E"/>
    <w:rsid w:val="00FA4A04"/>
    <w:rsid w:val="00FA5B67"/>
    <w:rsid w:val="00FA6DD6"/>
    <w:rsid w:val="00FA798E"/>
    <w:rsid w:val="00FB0B49"/>
    <w:rsid w:val="00FB4015"/>
    <w:rsid w:val="00FB62B6"/>
    <w:rsid w:val="00FB647B"/>
    <w:rsid w:val="00FB6AAD"/>
    <w:rsid w:val="00FC2B82"/>
    <w:rsid w:val="00FC3DF3"/>
    <w:rsid w:val="00FC475D"/>
    <w:rsid w:val="00FC538E"/>
    <w:rsid w:val="00FC73F4"/>
    <w:rsid w:val="00FD0D9C"/>
    <w:rsid w:val="00FD2775"/>
    <w:rsid w:val="00FD3E32"/>
    <w:rsid w:val="00FD6067"/>
    <w:rsid w:val="00FD683A"/>
    <w:rsid w:val="00FE139C"/>
    <w:rsid w:val="00FE1D23"/>
    <w:rsid w:val="00FE41C8"/>
    <w:rsid w:val="00FE4621"/>
    <w:rsid w:val="00FE4A3C"/>
    <w:rsid w:val="00FE4BC0"/>
    <w:rsid w:val="00FE63DC"/>
    <w:rsid w:val="00FE7065"/>
    <w:rsid w:val="00FF3D2F"/>
    <w:rsid w:val="00FF42B3"/>
    <w:rsid w:val="00FF527D"/>
    <w:rsid w:val="00FF6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uiPriority w:val="9"/>
    <w:qFormat/>
    <w:rsid w:val="002A2342"/>
    <w:pPr>
      <w:keepNext/>
      <w:jc w:val="center"/>
      <w:outlineLvl w:val="0"/>
    </w:pPr>
    <w:rPr>
      <w:b/>
      <w:sz w:val="22"/>
      <w:szCs w:val="22"/>
    </w:rPr>
  </w:style>
  <w:style w:type="paragraph" w:styleId="Heading2">
    <w:name w:val="heading 2"/>
    <w:basedOn w:val="Normal"/>
    <w:next w:val="Normal"/>
    <w:link w:val="Heading2Char"/>
    <w:uiPriority w:val="9"/>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uiPriority w:val="9"/>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uiPriority w:val="9"/>
    <w:qFormat/>
    <w:rsid w:val="00376847"/>
    <w:pPr>
      <w:keepNext/>
      <w:tabs>
        <w:tab w:val="left" w:pos="540"/>
      </w:tabs>
      <w:spacing w:line="360" w:lineRule="auto"/>
      <w:ind w:firstLine="720"/>
      <w:jc w:val="both"/>
      <w:outlineLvl w:val="4"/>
    </w:pPr>
    <w:rPr>
      <w:b/>
      <w:bCs/>
      <w:sz w:val="24"/>
      <w:szCs w:val="24"/>
    </w:rPr>
  </w:style>
  <w:style w:type="paragraph" w:styleId="Heading6">
    <w:name w:val="heading 6"/>
    <w:basedOn w:val="Normal"/>
    <w:next w:val="Normal"/>
    <w:link w:val="Heading6Char"/>
    <w:uiPriority w:val="9"/>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376847"/>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A4EB6"/>
    <w:rPr>
      <w:b/>
      <w:sz w:val="22"/>
      <w:szCs w:val="22"/>
      <w:lang w:eastAsia="en-GB"/>
    </w:rPr>
  </w:style>
  <w:style w:type="character" w:customStyle="1" w:styleId="Heading2Char">
    <w:name w:val="Heading 2 Char"/>
    <w:link w:val="Heading2"/>
    <w:uiPriority w:val="9"/>
    <w:semiHidden/>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
    <w:rsid w:val="00376847"/>
    <w:rPr>
      <w:b/>
      <w:bCs/>
      <w:sz w:val="24"/>
      <w:szCs w:val="24"/>
      <w:lang w:val="en-GB"/>
    </w:rPr>
  </w:style>
  <w:style w:type="character" w:customStyle="1" w:styleId="Heading7Char">
    <w:name w:val="Heading 7 Char"/>
    <w:link w:val="Heading7"/>
    <w:uiPriority w:val="99"/>
    <w:rsid w:val="00376847"/>
    <w:rPr>
      <w:sz w:val="24"/>
      <w:szCs w:val="24"/>
      <w:lang w:val="en-GB"/>
    </w:rPr>
  </w:style>
  <w:style w:type="paragraph" w:styleId="BodyTextIndent">
    <w:name w:val="Body Text Indent"/>
    <w:basedOn w:val="Normal"/>
    <w:link w:val="BodyTextIndentChar"/>
    <w:uiPriority w:val="99"/>
    <w:semiHidden/>
    <w:rsid w:val="002A2342"/>
    <w:pPr>
      <w:ind w:firstLine="720"/>
      <w:jc w:val="both"/>
    </w:pPr>
    <w:rPr>
      <w:sz w:val="22"/>
      <w:szCs w:val="24"/>
    </w:rPr>
  </w:style>
  <w:style w:type="character" w:customStyle="1" w:styleId="BodyTextIndentChar">
    <w:name w:val="Body Text Indent Char"/>
    <w:link w:val="BodyTextIndent"/>
    <w:uiPriority w:val="99"/>
    <w:semiHidden/>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rsid w:val="002A2342"/>
    <w:rPr>
      <w:color w:val="0000FF"/>
      <w:u w:val="single"/>
    </w:rPr>
  </w:style>
  <w:style w:type="character" w:styleId="FootnoteReference">
    <w:name w:val="footnote reference"/>
    <w:uiPriority w:val="99"/>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uiPriority w:val="99"/>
    <w:rsid w:val="002A2342"/>
    <w:pPr>
      <w:ind w:firstLine="426"/>
      <w:jc w:val="both"/>
    </w:pPr>
    <w:rPr>
      <w:sz w:val="22"/>
      <w:szCs w:val="22"/>
    </w:rPr>
  </w:style>
  <w:style w:type="character" w:customStyle="1" w:styleId="BodyTextIndent2Char">
    <w:name w:val="Body Text Indent 2 Char"/>
    <w:link w:val="BodyTextIndent2"/>
    <w:uiPriority w:val="99"/>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uiPriority w:val="99"/>
    <w:rsid w:val="002A2342"/>
  </w:style>
  <w:style w:type="character" w:customStyle="1" w:styleId="FootnoteTextChar">
    <w:name w:val="Footnote Text Char"/>
    <w:link w:val="FootnoteText"/>
    <w:uiPriority w:val="99"/>
    <w:rsid w:val="006A4EB6"/>
    <w:rPr>
      <w:lang w:val="en-GB" w:eastAsia="en-GB"/>
    </w:rPr>
  </w:style>
  <w:style w:type="character" w:customStyle="1" w:styleId="apple-converted-space">
    <w:name w:val="apple-converted-space"/>
    <w:basedOn w:val="DefaultParagraphFont"/>
    <w:rsid w:val="002A2342"/>
  </w:style>
  <w:style w:type="paragraph" w:styleId="BalloonText">
    <w:name w:val="Balloon Text"/>
    <w:basedOn w:val="Normal"/>
    <w:link w:val="BalloonTextChar"/>
    <w:uiPriority w:val="99"/>
    <w:semiHidden/>
    <w:rsid w:val="002A2342"/>
    <w:rPr>
      <w:rFonts w:ascii="Tahoma" w:hAnsi="Tahoma"/>
      <w:sz w:val="16"/>
      <w:szCs w:val="16"/>
    </w:rPr>
  </w:style>
  <w:style w:type="character" w:customStyle="1" w:styleId="BalloonTextChar">
    <w:name w:val="Balloon Text Char"/>
    <w:link w:val="BalloonText"/>
    <w:uiPriority w:val="99"/>
    <w:semiHidden/>
    <w:rsid w:val="00F4019E"/>
    <w:rPr>
      <w:rFonts w:ascii="Tahoma" w:hAnsi="Tahoma" w:cs="Tahoma"/>
      <w:sz w:val="16"/>
      <w:szCs w:val="16"/>
      <w:lang w:val="en-GB" w:eastAsia="en-GB"/>
    </w:rPr>
  </w:style>
  <w:style w:type="character" w:styleId="CommentReference">
    <w:name w:val="annotation reference"/>
    <w:uiPriority w:val="99"/>
    <w:rsid w:val="002A2342"/>
    <w:rPr>
      <w:sz w:val="16"/>
      <w:szCs w:val="16"/>
    </w:rPr>
  </w:style>
  <w:style w:type="paragraph" w:styleId="CommentText">
    <w:name w:val="annotation text"/>
    <w:basedOn w:val="Normal"/>
    <w:link w:val="CommentTextChar"/>
    <w:uiPriority w:val="99"/>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rsid w:val="0028466A"/>
    <w:pPr>
      <w:spacing w:after="120"/>
    </w:pPr>
    <w:rPr>
      <w:sz w:val="24"/>
      <w:szCs w:val="24"/>
    </w:rPr>
  </w:style>
  <w:style w:type="character" w:customStyle="1" w:styleId="BodyTextChar">
    <w:name w:val="Body Text Char"/>
    <w:aliases w:val="Body Text Char Char Char1,Body Text Char Char Char Char"/>
    <w:link w:val="BodyText"/>
    <w:rsid w:val="0028466A"/>
    <w:rPr>
      <w:sz w:val="24"/>
      <w:szCs w:val="24"/>
    </w:rPr>
  </w:style>
  <w:style w:type="table" w:styleId="TableGrid">
    <w:name w:val="Table Grid"/>
    <w:basedOn w:val="TableNormal"/>
    <w:uiPriority w:val="59"/>
    <w:rsid w:val="00284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uiPriority w:val="99"/>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uiPriority w:val="35"/>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uiPriority w:val="34"/>
    <w:qFormat/>
    <w:rsid w:val="00D72ADA"/>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link w:val="NoSpacingChar"/>
    <w:uiPriority w:val="1"/>
    <w:qFormat/>
    <w:rsid w:val="00961BAF"/>
    <w:pPr>
      <w:ind w:left="284" w:right="284" w:hanging="284"/>
      <w:jc w:val="right"/>
    </w:pPr>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qFormat/>
    <w:rsid w:val="00FA3E3E"/>
    <w:pPr>
      <w:spacing w:line="480" w:lineRule="auto"/>
      <w:jc w:val="center"/>
    </w:pPr>
    <w:rPr>
      <w:b/>
      <w:bCs/>
      <w:sz w:val="28"/>
      <w:szCs w:val="28"/>
      <w:lang w:bidi="fa-IR"/>
    </w:rPr>
  </w:style>
  <w:style w:type="character" w:customStyle="1" w:styleId="TitleChar">
    <w:name w:val="Title Char"/>
    <w:link w:val="Title"/>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character" w:customStyle="1" w:styleId="Heading6Char">
    <w:name w:val="Heading 6 Char"/>
    <w:link w:val="Heading6"/>
    <w:uiPriority w:val="9"/>
    <w:semiHidden/>
    <w:rsid w:val="0019645B"/>
    <w:rPr>
      <w:rFonts w:ascii="Calibri" w:eastAsia="Times New Roman" w:hAnsi="Calibri" w:cs="Times New Roman"/>
      <w:b/>
      <w:bCs/>
      <w:sz w:val="22"/>
      <w:szCs w:val="22"/>
      <w:lang w:val="en-GB" w:eastAsia="en-GB"/>
    </w:rPr>
  </w:style>
  <w:style w:type="paragraph" w:styleId="Revision">
    <w:name w:val="Revision"/>
    <w:hidden/>
    <w:uiPriority w:val="99"/>
    <w:semiHidden/>
    <w:rsid w:val="00EC5081"/>
    <w:rPr>
      <w:lang w:val="en-GB" w:eastAsia="en-GB"/>
    </w:rPr>
  </w:style>
  <w:style w:type="paragraph" w:customStyle="1" w:styleId="heading30">
    <w:name w:val="heading3"/>
    <w:basedOn w:val="Normal"/>
    <w:next w:val="Normal"/>
    <w:link w:val="heading3Char0"/>
    <w:uiPriority w:val="99"/>
    <w:rsid w:val="002C0D5E"/>
    <w:pPr>
      <w:keepNext/>
      <w:overflowPunct w:val="0"/>
      <w:autoSpaceDE w:val="0"/>
      <w:autoSpaceDN w:val="0"/>
      <w:adjustRightInd w:val="0"/>
      <w:spacing w:before="240" w:after="180" w:line="360" w:lineRule="auto"/>
      <w:textAlignment w:val="baseline"/>
    </w:pPr>
    <w:rPr>
      <w:rFonts w:ascii="Arial" w:hAnsi="Arial"/>
      <w:i/>
      <w:iCs/>
      <w:sz w:val="24"/>
      <w:szCs w:val="24"/>
      <w:lang w:eastAsia="de-DE"/>
    </w:rPr>
  </w:style>
  <w:style w:type="character" w:customStyle="1" w:styleId="heading3Char0">
    <w:name w:val="heading3 Char"/>
    <w:link w:val="heading30"/>
    <w:uiPriority w:val="99"/>
    <w:rsid w:val="002C0D5E"/>
    <w:rPr>
      <w:rFonts w:ascii="Arial" w:hAnsi="Arial"/>
      <w:i/>
      <w:iCs/>
      <w:sz w:val="24"/>
      <w:szCs w:val="24"/>
      <w:lang w:eastAsia="de-DE"/>
    </w:rPr>
  </w:style>
  <w:style w:type="character" w:styleId="PlaceholderText">
    <w:name w:val="Placeholder Text"/>
    <w:uiPriority w:val="99"/>
    <w:semiHidden/>
    <w:rsid w:val="000D7789"/>
    <w:rPr>
      <w:color w:val="808080"/>
    </w:rPr>
  </w:style>
  <w:style w:type="character" w:customStyle="1" w:styleId="ref-journal">
    <w:name w:val="ref-journal"/>
    <w:basedOn w:val="DefaultParagraphFont"/>
    <w:rsid w:val="000D7789"/>
  </w:style>
  <w:style w:type="character" w:customStyle="1" w:styleId="ref-vol">
    <w:name w:val="ref-vol"/>
    <w:basedOn w:val="DefaultParagraphFont"/>
    <w:rsid w:val="000D7789"/>
  </w:style>
  <w:style w:type="paragraph" w:customStyle="1" w:styleId="Style10">
    <w:name w:val="Style1"/>
    <w:basedOn w:val="Normal"/>
    <w:link w:val="Style1Char"/>
    <w:qFormat/>
    <w:rsid w:val="00F70A2F"/>
    <w:pPr>
      <w:bidi/>
      <w:spacing w:line="276" w:lineRule="auto"/>
      <w:jc w:val="right"/>
    </w:pPr>
    <w:rPr>
      <w:rFonts w:ascii="B Nazanin" w:eastAsia="Calibri" w:hAnsi="B Nazanin" w:cs="B Nazanin"/>
      <w:sz w:val="24"/>
      <w:szCs w:val="24"/>
      <w:lang w:bidi="fa-IR"/>
    </w:rPr>
  </w:style>
  <w:style w:type="character" w:customStyle="1" w:styleId="Style1Char">
    <w:name w:val="Style1 Char"/>
    <w:link w:val="Style10"/>
    <w:rsid w:val="00F70A2F"/>
    <w:rPr>
      <w:rFonts w:ascii="B Nazanin" w:eastAsia="Calibri" w:hAnsi="B Nazanin" w:cs="B Nazanin"/>
      <w:sz w:val="24"/>
      <w:szCs w:val="24"/>
      <w:lang w:bidi="fa-IR"/>
    </w:rPr>
  </w:style>
  <w:style w:type="character" w:customStyle="1" w:styleId="alt-edited">
    <w:name w:val="alt-edited"/>
    <w:basedOn w:val="DefaultParagraphFont"/>
    <w:rsid w:val="001566F5"/>
  </w:style>
  <w:style w:type="character" w:customStyle="1" w:styleId="mceitemhidden">
    <w:name w:val="mceitemhidden"/>
    <w:basedOn w:val="DefaultParagraphFont"/>
    <w:rsid w:val="001566F5"/>
  </w:style>
  <w:style w:type="character" w:customStyle="1" w:styleId="gt-baf-back">
    <w:name w:val="gt-baf-back"/>
    <w:basedOn w:val="DefaultParagraphFont"/>
    <w:rsid w:val="000F5631"/>
  </w:style>
  <w:style w:type="character" w:customStyle="1" w:styleId="cit-source">
    <w:name w:val="cit-source"/>
    <w:rsid w:val="00A94FA1"/>
  </w:style>
  <w:style w:type="character" w:styleId="HTMLCite">
    <w:name w:val="HTML Cite"/>
    <w:uiPriority w:val="99"/>
    <w:semiHidden/>
    <w:unhideWhenUsed/>
    <w:rsid w:val="00A94FA1"/>
    <w:rPr>
      <w:i/>
      <w:iCs/>
    </w:rPr>
  </w:style>
  <w:style w:type="character" w:customStyle="1" w:styleId="NoSpacingChar">
    <w:name w:val="No Spacing Char"/>
    <w:link w:val="NoSpacing"/>
    <w:uiPriority w:val="1"/>
    <w:locked/>
    <w:rsid w:val="00711C55"/>
    <w:rPr>
      <w:rFonts w:ascii="Calibri" w:eastAsia="Calibri" w:hAnsi="Calibri"/>
      <w:sz w:val="22"/>
      <w:szCs w:val="22"/>
      <w:lang w:bidi="fa-IR"/>
    </w:rPr>
  </w:style>
  <w:style w:type="paragraph" w:customStyle="1" w:styleId="Body">
    <w:name w:val="Body"/>
    <w:basedOn w:val="Normal"/>
    <w:rsid w:val="00CD1299"/>
    <w:pPr>
      <w:spacing w:after="240"/>
      <w:jc w:val="both"/>
    </w:pPr>
    <w:rPr>
      <w:rFonts w:ascii="Helvetica" w:hAnsi="Helvetica"/>
      <w:lang w:val="en-US" w:eastAsia="en-US"/>
    </w:rPr>
  </w:style>
  <w:style w:type="character" w:customStyle="1" w:styleId="Date1">
    <w:name w:val="Date1"/>
    <w:basedOn w:val="DefaultParagraphFont"/>
    <w:rsid w:val="00771B78"/>
  </w:style>
  <w:style w:type="paragraph" w:customStyle="1" w:styleId="eaae-authorinfo">
    <w:name w:val="eaae- authorinfo"/>
    <w:rsid w:val="008F5020"/>
    <w:pPr>
      <w:suppressAutoHyphens/>
      <w:jc w:val="center"/>
    </w:pPr>
    <w:rPr>
      <w:rFonts w:eastAsia="Batang"/>
      <w:sz w:val="22"/>
      <w:szCs w:val="18"/>
      <w:lang w:val="en-GB" w:eastAsia="ar-SA"/>
    </w:rPr>
  </w:style>
  <w:style w:type="character" w:customStyle="1" w:styleId="hpsalt-edited">
    <w:name w:val="hps alt-edited"/>
    <w:basedOn w:val="DefaultParagraphFont"/>
    <w:rsid w:val="008F5020"/>
  </w:style>
  <w:style w:type="paragraph" w:customStyle="1" w:styleId="NormaleWeb1">
    <w:name w:val="Normale (Web)1"/>
    <w:basedOn w:val="Normal"/>
    <w:rsid w:val="008F5020"/>
    <w:pPr>
      <w:suppressAutoHyphens/>
      <w:spacing w:before="280" w:after="280"/>
    </w:pPr>
    <w:rPr>
      <w:sz w:val="24"/>
      <w:szCs w:val="24"/>
      <w:lang w:val="it-IT" w:eastAsia="ar-SA"/>
    </w:rPr>
  </w:style>
  <w:style w:type="paragraph" w:customStyle="1" w:styleId="eaae-paragraph">
    <w:name w:val="eaae - paragraph"/>
    <w:basedOn w:val="Normal"/>
    <w:rsid w:val="008F5020"/>
    <w:pPr>
      <w:suppressAutoHyphens/>
      <w:spacing w:line="300" w:lineRule="auto"/>
      <w:ind w:firstLine="567"/>
      <w:jc w:val="both"/>
    </w:pPr>
    <w:rPr>
      <w:sz w:val="22"/>
      <w:szCs w:val="22"/>
      <w:lang w:eastAsia="ar-SA"/>
    </w:rPr>
  </w:style>
</w:styles>
</file>

<file path=word/webSettings.xml><?xml version="1.0" encoding="utf-8"?>
<w:webSettings xmlns:r="http://schemas.openxmlformats.org/officeDocument/2006/relationships" xmlns:w="http://schemas.openxmlformats.org/wordprocessingml/2006/main">
  <w:divs>
    <w:div w:id="1288314786">
      <w:bodyDiv w:val="1"/>
      <w:marLeft w:val="0"/>
      <w:marRight w:val="0"/>
      <w:marTop w:val="0"/>
      <w:marBottom w:val="0"/>
      <w:divBdr>
        <w:top w:val="none" w:sz="0" w:space="0" w:color="auto"/>
        <w:left w:val="none" w:sz="0" w:space="0" w:color="auto"/>
        <w:bottom w:val="none" w:sz="0" w:space="0" w:color="auto"/>
        <w:right w:val="none" w:sz="0" w:space="0" w:color="auto"/>
      </w:divBdr>
    </w:div>
    <w:div w:id="1529872429">
      <w:bodyDiv w:val="1"/>
      <w:marLeft w:val="0"/>
      <w:marRight w:val="0"/>
      <w:marTop w:val="0"/>
      <w:marBottom w:val="0"/>
      <w:divBdr>
        <w:top w:val="none" w:sz="0" w:space="0" w:color="auto"/>
        <w:left w:val="none" w:sz="0" w:space="0" w:color="auto"/>
        <w:bottom w:val="none" w:sz="0" w:space="0" w:color="auto"/>
        <w:right w:val="none" w:sz="0" w:space="0" w:color="auto"/>
      </w:divBdr>
    </w:div>
    <w:div w:id="2139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5.emf"/><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s>
</file>

<file path=word/_rels/footnotes.xml.rels><?xml version="1.0" encoding="UTF-8" standalone="yes"?>
<Relationships xmlns="http://schemas.openxmlformats.org/package/2006/relationships"><Relationship Id="rId2" Type="http://schemas.openxmlformats.org/officeDocument/2006/relationships/hyperlink" Target="mailto:dmakris@aegean.gr" TargetMode="External"/><Relationship Id="rId1" Type="http://schemas.openxmlformats.org/officeDocument/2006/relationships/hyperlink" Target="mailto:dmakris@aegean.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C9BA8-84D1-4C8C-B306-38814D3BB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2930</Words>
  <Characters>16702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19593</CharactersWithSpaces>
  <SharedDoc>false</SharedDoc>
  <HLinks>
    <vt:vector size="12" baseType="variant">
      <vt:variant>
        <vt:i4>6422535</vt:i4>
      </vt:variant>
      <vt:variant>
        <vt:i4>3</vt:i4>
      </vt:variant>
      <vt:variant>
        <vt:i4>0</vt:i4>
      </vt:variant>
      <vt:variant>
        <vt:i4>5</vt:i4>
      </vt:variant>
      <vt:variant>
        <vt:lpwstr>mailto:felixtakim@yahoo.co.uk</vt:lpwstr>
      </vt:variant>
      <vt:variant>
        <vt:lpwstr/>
      </vt:variant>
      <vt:variant>
        <vt:i4>6422535</vt:i4>
      </vt:variant>
      <vt:variant>
        <vt:i4>0</vt:i4>
      </vt:variant>
      <vt:variant>
        <vt:i4>0</vt:i4>
      </vt:variant>
      <vt:variant>
        <vt:i4>5</vt:i4>
      </vt:variant>
      <vt:variant>
        <vt:lpwstr>mailto:felixtakim@yahoo.co.uk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Snezana</dc:creator>
  <cp:keywords/>
  <cp:lastModifiedBy>SnO</cp:lastModifiedBy>
  <cp:revision>3</cp:revision>
  <cp:lastPrinted>2017-09-26T12:00:00Z</cp:lastPrinted>
  <dcterms:created xsi:type="dcterms:W3CDTF">2017-09-27T11:36:00Z</dcterms:created>
  <dcterms:modified xsi:type="dcterms:W3CDTF">2017-09-28T17:16:00Z</dcterms:modified>
</cp:coreProperties>
</file>