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8F5020" w:rsidRDefault="00A47BAA" w:rsidP="008F5020">
      <w:pPr>
        <w:jc w:val="center"/>
        <w:rPr>
          <w:sz w:val="22"/>
          <w:szCs w:val="22"/>
          <w:lang w:val="en-US" w:bidi="fa-IR"/>
        </w:rPr>
      </w:pPr>
    </w:p>
    <w:p w:rsidR="001362C8" w:rsidRPr="008F5020" w:rsidRDefault="001362C8" w:rsidP="008F5020">
      <w:pPr>
        <w:jc w:val="center"/>
        <w:rPr>
          <w:sz w:val="22"/>
          <w:szCs w:val="22"/>
        </w:rPr>
      </w:pPr>
    </w:p>
    <w:p w:rsidR="00771B78" w:rsidRPr="008F5020" w:rsidRDefault="00771B78" w:rsidP="008F5020">
      <w:pPr>
        <w:jc w:val="center"/>
        <w:rPr>
          <w:sz w:val="22"/>
          <w:szCs w:val="22"/>
        </w:rPr>
      </w:pPr>
    </w:p>
    <w:p w:rsidR="008F5020" w:rsidRPr="008F5020" w:rsidRDefault="008F5020" w:rsidP="008F5020">
      <w:pPr>
        <w:jc w:val="center"/>
        <w:rPr>
          <w:color w:val="222222"/>
          <w:sz w:val="22"/>
          <w:szCs w:val="22"/>
        </w:rPr>
      </w:pPr>
      <w:r w:rsidRPr="008F5020">
        <w:rPr>
          <w:color w:val="222222"/>
          <w:sz w:val="22"/>
          <w:szCs w:val="22"/>
        </w:rPr>
        <w:t>QUANTITATIVE RELATIONSHIPS BETWEEN INVESTMENTS IN FARMS AND ENVIRONMENTAL EFFECTS IN SOME EUROPEAN COUNTRIES</w:t>
      </w:r>
    </w:p>
    <w:p w:rsidR="008F5020" w:rsidRPr="008F5020" w:rsidRDefault="008F5020" w:rsidP="008F5020">
      <w:pPr>
        <w:jc w:val="center"/>
        <w:rPr>
          <w:color w:val="222222"/>
          <w:sz w:val="22"/>
          <w:szCs w:val="22"/>
        </w:rPr>
      </w:pPr>
    </w:p>
    <w:p w:rsidR="008F5020" w:rsidRPr="008F5020" w:rsidRDefault="008F5020" w:rsidP="008F5020">
      <w:pPr>
        <w:pStyle w:val="eaae-authorinfo"/>
        <w:rPr>
          <w:b/>
          <w:szCs w:val="22"/>
        </w:rPr>
      </w:pPr>
      <w:r w:rsidRPr="008F5020">
        <w:rPr>
          <w:b/>
          <w:szCs w:val="22"/>
        </w:rPr>
        <w:t>Nicola Galluzzo</w:t>
      </w:r>
      <w:r w:rsidRPr="008F5020">
        <w:rPr>
          <w:rStyle w:val="FootnoteReference"/>
          <w:b/>
          <w:bCs/>
          <w:szCs w:val="22"/>
        </w:rPr>
        <w:footnoteReference w:id="2"/>
      </w:r>
    </w:p>
    <w:p w:rsidR="008F5020" w:rsidRPr="008F5020" w:rsidRDefault="008F5020" w:rsidP="008F5020">
      <w:pPr>
        <w:pStyle w:val="eaae-authorinfo"/>
        <w:rPr>
          <w:szCs w:val="22"/>
        </w:rPr>
      </w:pPr>
    </w:p>
    <w:p w:rsidR="008F5020" w:rsidRDefault="008F5020" w:rsidP="008F5020">
      <w:pPr>
        <w:pStyle w:val="eaae-authorinfo"/>
        <w:rPr>
          <w:szCs w:val="22"/>
          <w:lang w:val="en-US"/>
        </w:rPr>
      </w:pPr>
      <w:r w:rsidRPr="008F5020">
        <w:rPr>
          <w:szCs w:val="22"/>
          <w:lang w:val="en-US"/>
        </w:rPr>
        <w:t xml:space="preserve">Association of Economic and Geographical Studies of Rural Areas (ASGEAR) </w:t>
      </w:r>
    </w:p>
    <w:p w:rsidR="008F5020" w:rsidRPr="008F5020" w:rsidRDefault="008F5020" w:rsidP="008F5020">
      <w:pPr>
        <w:pStyle w:val="eaae-authorinfo"/>
        <w:rPr>
          <w:szCs w:val="22"/>
        </w:rPr>
      </w:pPr>
      <w:r w:rsidRPr="008F5020">
        <w:rPr>
          <w:szCs w:val="22"/>
        </w:rPr>
        <w:t>Via Salaria per L’Aquila, 76 scala A</w:t>
      </w:r>
      <w:r>
        <w:rPr>
          <w:szCs w:val="22"/>
        </w:rPr>
        <w:t xml:space="preserve">, </w:t>
      </w:r>
      <w:r w:rsidRPr="008F5020">
        <w:rPr>
          <w:szCs w:val="22"/>
        </w:rPr>
        <w:t>02100 Rieti, Italy</w:t>
      </w:r>
    </w:p>
    <w:p w:rsidR="00882582" w:rsidRPr="001C17C4" w:rsidRDefault="00882582" w:rsidP="00CC7A58">
      <w:pPr>
        <w:autoSpaceDE w:val="0"/>
        <w:autoSpaceDN w:val="0"/>
        <w:adjustRightInd w:val="0"/>
        <w:jc w:val="center"/>
        <w:rPr>
          <w:bCs/>
          <w:color w:val="000000"/>
          <w:sz w:val="22"/>
          <w:szCs w:val="22"/>
        </w:rPr>
      </w:pPr>
    </w:p>
    <w:p w:rsidR="008F5020" w:rsidRPr="008F5020" w:rsidRDefault="000F5631" w:rsidP="004F7ACC">
      <w:pPr>
        <w:ind w:firstLine="425"/>
        <w:jc w:val="both"/>
        <w:rPr>
          <w:color w:val="222222"/>
          <w:sz w:val="22"/>
          <w:szCs w:val="22"/>
        </w:rPr>
      </w:pPr>
      <w:r w:rsidRPr="008F5020">
        <w:rPr>
          <w:b/>
          <w:noProof/>
          <w:spacing w:val="-4"/>
          <w:sz w:val="22"/>
          <w:szCs w:val="22"/>
        </w:rPr>
        <w:t>Abstract</w:t>
      </w:r>
      <w:r w:rsidRPr="008F5020">
        <w:rPr>
          <w:b/>
          <w:noProof/>
          <w:spacing w:val="2"/>
          <w:sz w:val="22"/>
          <w:szCs w:val="22"/>
        </w:rPr>
        <w:t>:</w:t>
      </w:r>
      <w:r w:rsidRPr="008F5020">
        <w:rPr>
          <w:noProof/>
          <w:spacing w:val="2"/>
          <w:sz w:val="22"/>
          <w:szCs w:val="22"/>
        </w:rPr>
        <w:t xml:space="preserve"> </w:t>
      </w:r>
      <w:r w:rsidR="008F5020" w:rsidRPr="008F5020">
        <w:rPr>
          <w:color w:val="222222"/>
          <w:sz w:val="22"/>
          <w:szCs w:val="22"/>
        </w:rPr>
        <w:t>Since the early 1970s, in many European Union member countries, there has been a significant improvement in their own agricultural economic growth due to the Common Agricultural Policy. The increasing levels of investment in land and in machinery have been one of the pivotal pillars in improvement levels of food self-sufficiency. However, a growth in investments has increased pollutant emission in terms of carbon dioxide, nitrogenous compounds and a deterioration of an environment. The purpose of this paper was to investigate the impact of investments on agricultural and arable land in improving agricultural production towards environmental quality. The quantitative methods have used a neural relation analysis through the Kohonen’s maps or self-organizing maps (SOMs). Findings of Kohonen’s maps have pointed out a good ability to classify the time series data and the spatial evolution of data over the time; furthermore, SOMs have been useful in describing the impact of investment on production specialization, levels of pollution and food self-sufficiency in the European countries. To sum up, an improvement of food self-sufficient levels has been tightly linked to an increase of pollution in terms of carbon dioxide emissions.</w:t>
      </w:r>
    </w:p>
    <w:p w:rsidR="008F5020" w:rsidRPr="008F5020" w:rsidRDefault="008F5020" w:rsidP="004F7ACC">
      <w:pPr>
        <w:ind w:firstLine="425"/>
        <w:jc w:val="both"/>
        <w:rPr>
          <w:sz w:val="22"/>
          <w:szCs w:val="22"/>
        </w:rPr>
      </w:pPr>
      <w:r w:rsidRPr="008F5020">
        <w:rPr>
          <w:b/>
          <w:bCs/>
          <w:color w:val="222222"/>
          <w:sz w:val="22"/>
          <w:szCs w:val="22"/>
        </w:rPr>
        <w:t>Key words:</w:t>
      </w:r>
      <w:r w:rsidRPr="008F5020">
        <w:rPr>
          <w:color w:val="222222"/>
          <w:sz w:val="22"/>
          <w:szCs w:val="22"/>
        </w:rPr>
        <w:t xml:space="preserve"> </w:t>
      </w:r>
      <w:r w:rsidR="0032449C">
        <w:rPr>
          <w:color w:val="222222"/>
          <w:sz w:val="22"/>
          <w:szCs w:val="22"/>
        </w:rPr>
        <w:t>K</w:t>
      </w:r>
      <w:r w:rsidRPr="008F5020">
        <w:rPr>
          <w:color w:val="222222"/>
          <w:sz w:val="22"/>
          <w:szCs w:val="22"/>
        </w:rPr>
        <w:t>ohonen’s maps, Common Agricultural Policy, rural development, investments, productive specialization, multifunctionality.</w:t>
      </w:r>
    </w:p>
    <w:p w:rsidR="001C17C4" w:rsidRPr="008F5020" w:rsidRDefault="001C17C4" w:rsidP="004E4729">
      <w:pPr>
        <w:pStyle w:val="NoSpacing"/>
        <w:widowControl w:val="0"/>
        <w:ind w:left="0" w:right="0" w:firstLine="0"/>
        <w:jc w:val="center"/>
        <w:rPr>
          <w:rFonts w:ascii="Times New Roman" w:hAnsi="Times New Roman"/>
          <w:spacing w:val="-4"/>
        </w:rPr>
      </w:pPr>
    </w:p>
    <w:p w:rsidR="001E5955" w:rsidRPr="008B251A" w:rsidRDefault="001E5955" w:rsidP="00CC7A58">
      <w:pPr>
        <w:jc w:val="center"/>
        <w:rPr>
          <w:b/>
          <w:spacing w:val="2"/>
          <w:sz w:val="22"/>
          <w:szCs w:val="22"/>
        </w:rPr>
      </w:pPr>
      <w:r w:rsidRPr="008B251A">
        <w:rPr>
          <w:b/>
          <w:spacing w:val="2"/>
          <w:sz w:val="22"/>
          <w:szCs w:val="22"/>
        </w:rPr>
        <w:t>Introduction</w:t>
      </w:r>
    </w:p>
    <w:p w:rsidR="00987177" w:rsidRPr="004F7ACC" w:rsidRDefault="00987177" w:rsidP="004E4729">
      <w:pPr>
        <w:contextualSpacing/>
        <w:jc w:val="center"/>
        <w:rPr>
          <w:spacing w:val="2"/>
          <w:sz w:val="22"/>
          <w:szCs w:val="22"/>
        </w:rPr>
      </w:pPr>
    </w:p>
    <w:p w:rsidR="008F5020" w:rsidRPr="004E4729" w:rsidRDefault="008F5020" w:rsidP="004F7ACC">
      <w:pPr>
        <w:ind w:firstLine="426"/>
        <w:jc w:val="both"/>
        <w:rPr>
          <w:spacing w:val="2"/>
          <w:sz w:val="22"/>
          <w:szCs w:val="22"/>
        </w:rPr>
      </w:pPr>
      <w:r w:rsidRPr="004F7ACC">
        <w:rPr>
          <w:color w:val="222222"/>
          <w:sz w:val="22"/>
          <w:szCs w:val="22"/>
        </w:rPr>
        <w:t xml:space="preserve">In </w:t>
      </w:r>
      <w:r w:rsidRPr="004E4729">
        <w:rPr>
          <w:color w:val="222222"/>
          <w:spacing w:val="2"/>
          <w:sz w:val="22"/>
          <w:szCs w:val="22"/>
        </w:rPr>
        <w:t xml:space="preserve">the European Union, from 1955 to 1990, there was a significant implementation of economic conditions in the countryside due to a growth of levels of food self-sufficiency with positive consequences on the farmers’ income through the Common Agricultural Policy (CAP) by a direct price support of ag-commodities and through a protection of the domestic market by customs barriers (Vieri, 1994). In fact, the first and foremost purpose of the CAP was to ensure a decent level of income in the countryside by an allocation of specific actions able to protect the domestic European market, which in the nineties was one of the </w:t>
      </w:r>
      <w:r w:rsidRPr="004E4729">
        <w:rPr>
          <w:color w:val="222222"/>
          <w:spacing w:val="2"/>
          <w:sz w:val="22"/>
          <w:szCs w:val="22"/>
        </w:rPr>
        <w:lastRenderedPageBreak/>
        <w:t>predominant reasons of a radical structural change in the Common Agricultural Policy towards a post-productivist model of production (</w:t>
      </w:r>
      <w:r w:rsidRPr="004E4729">
        <w:rPr>
          <w:spacing w:val="2"/>
          <w:sz w:val="22"/>
          <w:szCs w:val="22"/>
        </w:rPr>
        <w:t xml:space="preserve">Shucksmith, 1993; Marsden 1995; </w:t>
      </w:r>
      <w:r w:rsidRPr="004E4729">
        <w:rPr>
          <w:color w:val="222222"/>
          <w:spacing w:val="2"/>
          <w:sz w:val="22"/>
          <w:szCs w:val="22"/>
        </w:rPr>
        <w:t>Ilbery, 1998). I</w:t>
      </w:r>
      <w:r w:rsidRPr="004E4729">
        <w:rPr>
          <w:rStyle w:val="hps"/>
          <w:spacing w:val="2"/>
          <w:sz w:val="22"/>
          <w:szCs w:val="22"/>
        </w:rPr>
        <w:t>t is impossible to</w:t>
      </w:r>
      <w:r w:rsidRPr="004E4729">
        <w:rPr>
          <w:spacing w:val="2"/>
          <w:sz w:val="22"/>
          <w:szCs w:val="22"/>
        </w:rPr>
        <w:t xml:space="preserve"> </w:t>
      </w:r>
      <w:r w:rsidRPr="004E4729">
        <w:rPr>
          <w:rStyle w:val="hpsalt-edited"/>
          <w:spacing w:val="2"/>
          <w:sz w:val="22"/>
          <w:szCs w:val="22"/>
        </w:rPr>
        <w:t>fail to mention</w:t>
      </w:r>
      <w:r w:rsidRPr="004E4729">
        <w:rPr>
          <w:spacing w:val="2"/>
          <w:sz w:val="22"/>
          <w:szCs w:val="22"/>
        </w:rPr>
        <w:t xml:space="preserve"> that the </w:t>
      </w:r>
      <w:r w:rsidRPr="004E4729">
        <w:rPr>
          <w:color w:val="222222"/>
          <w:spacing w:val="2"/>
          <w:sz w:val="22"/>
          <w:szCs w:val="22"/>
        </w:rPr>
        <w:t xml:space="preserve">CAP has been one of the key pillars for getting better living conditions in the primary sector by ensuring an adequate socio-economic welfare in the countryside as well </w:t>
      </w:r>
      <w:commentRangeStart w:id="0"/>
      <w:r w:rsidRPr="004E4729">
        <w:rPr>
          <w:color w:val="222222"/>
          <w:spacing w:val="2"/>
          <w:sz w:val="22"/>
          <w:szCs w:val="22"/>
        </w:rPr>
        <w:t>(XXXX, 2013a; XXXX 2013b</w:t>
      </w:r>
      <w:commentRangeEnd w:id="0"/>
      <w:r w:rsidR="00B1268C">
        <w:rPr>
          <w:rStyle w:val="CommentReference"/>
        </w:rPr>
        <w:commentReference w:id="0"/>
      </w:r>
      <w:r w:rsidRPr="004E4729">
        <w:rPr>
          <w:color w:val="222222"/>
          <w:spacing w:val="2"/>
          <w:sz w:val="22"/>
          <w:szCs w:val="22"/>
        </w:rPr>
        <w:t>) with a meaningful positive change in relationships among agriculture and environment throughout the multifunctionality (</w:t>
      </w:r>
      <w:r w:rsidRPr="004E4729">
        <w:rPr>
          <w:spacing w:val="2"/>
          <w:sz w:val="22"/>
          <w:szCs w:val="22"/>
        </w:rPr>
        <w:t xml:space="preserve">Van der Ploeg et al., 2002; </w:t>
      </w:r>
      <w:r w:rsidRPr="004E4729">
        <w:rPr>
          <w:color w:val="222222"/>
          <w:spacing w:val="2"/>
          <w:sz w:val="22"/>
          <w:szCs w:val="22"/>
        </w:rPr>
        <w:t xml:space="preserve">Van der Ploeg, 2006, 2009). </w:t>
      </w:r>
    </w:p>
    <w:p w:rsidR="008F5020" w:rsidRPr="004E4729" w:rsidRDefault="008F5020" w:rsidP="004F7ACC">
      <w:pPr>
        <w:ind w:firstLine="426"/>
        <w:jc w:val="both"/>
        <w:rPr>
          <w:color w:val="222222"/>
          <w:spacing w:val="2"/>
          <w:sz w:val="22"/>
          <w:szCs w:val="22"/>
        </w:rPr>
      </w:pPr>
      <w:r w:rsidRPr="004E4729">
        <w:rPr>
          <w:spacing w:val="2"/>
          <w:sz w:val="22"/>
          <w:szCs w:val="22"/>
        </w:rPr>
        <w:t xml:space="preserve">Focusing the attention on the enlargement of the European Union in 2004 and in 2007 and on the changes imposed by the international agreements such as GATT and WTO, there has been a cut-off in direct payments to farmers, or rather there has been a radical political turning point in the first pillar of the Common Agricultural Policy. The direct consequence has been the development of a new agricultural common policy aimed at supporting diversified measures in order to promote a holistic rural development by multifunctionality and by a diversification of activities in the countryside through a surge of pluriactivity farms financed by the second pillar of the CAP (Vieri, 1994, 2001, 2012; Belletti, 2003; Henke, 2004; Cooper et al., 2009; Hassink et al., 2013; Dufour et al., 2007; </w:t>
      </w:r>
      <w:commentRangeStart w:id="1"/>
      <w:r w:rsidRPr="004E4729">
        <w:rPr>
          <w:spacing w:val="2"/>
          <w:sz w:val="22"/>
          <w:szCs w:val="22"/>
        </w:rPr>
        <w:t>XXXX, 2015</w:t>
      </w:r>
      <w:commentRangeEnd w:id="1"/>
      <w:r w:rsidR="00B1268C">
        <w:rPr>
          <w:rStyle w:val="CommentReference"/>
        </w:rPr>
        <w:commentReference w:id="1"/>
      </w:r>
      <w:r w:rsidRPr="004E4729">
        <w:rPr>
          <w:spacing w:val="2"/>
          <w:sz w:val="22"/>
          <w:szCs w:val="22"/>
        </w:rPr>
        <w:t>).</w:t>
      </w:r>
    </w:p>
    <w:p w:rsidR="008F5020" w:rsidRPr="004E4729" w:rsidRDefault="008F5020" w:rsidP="004F7ACC">
      <w:pPr>
        <w:ind w:firstLine="426"/>
        <w:jc w:val="both"/>
        <w:rPr>
          <w:color w:val="222222"/>
          <w:spacing w:val="2"/>
          <w:sz w:val="22"/>
          <w:szCs w:val="22"/>
        </w:rPr>
      </w:pPr>
      <w:r w:rsidRPr="004E4729">
        <w:rPr>
          <w:color w:val="222222"/>
          <w:spacing w:val="2"/>
          <w:sz w:val="22"/>
          <w:szCs w:val="22"/>
        </w:rPr>
        <w:t xml:space="preserve">The improvement in the levels of food self-sufficiency has implied the levels of technical efficiency in terms of investments in agrarian land, in zootechnic productions and in machinery used in agriculture which, however, have increased the emission of pollutants into the atmosphere such as carbon dioxide, nitrogenous compounds, etc. (Nguyen et al., 2010, Olesen and Bindi, 2002). Multifunctionality has been a direct consequence of a new vision of the European Union agriculture in protecting the environment by a production of positive externalities in particular in the upland rural areas at risk of socio-economic marginalization as a consequence of the liberalization processes (Dibden et al., 2009). </w:t>
      </w:r>
      <w:r w:rsidRPr="004E4729">
        <w:rPr>
          <w:spacing w:val="2"/>
          <w:sz w:val="22"/>
          <w:szCs w:val="22"/>
        </w:rPr>
        <w:t>Excessive specialization and intensification of agricultural production have had some effects on ecological, environmental, economic-financial management and governance in all European Union member states (Vieri, 2001; Cunha and Swinbank, 2011) in order to render the environment more sustainable in the countryside</w:t>
      </w:r>
      <w:r w:rsidRPr="004E4729">
        <w:rPr>
          <w:i/>
          <w:spacing w:val="2"/>
          <w:sz w:val="22"/>
          <w:szCs w:val="22"/>
        </w:rPr>
        <w:t xml:space="preserve">. </w:t>
      </w:r>
      <w:r w:rsidRPr="004E4729">
        <w:rPr>
          <w:spacing w:val="2"/>
          <w:sz w:val="22"/>
          <w:szCs w:val="22"/>
        </w:rPr>
        <w:t>All this has led many European citizens to a greater awareness towards the second pillar of the Common Agricultural Policy towards the rural development by awarding and recognition of the role of agriculture as a public good with effects on territorial specialization, landscape and ability to produce positive externalities (Belletti, 2003; Henke, 2004; Cooper et al., 2009). Agriculture is given a multifunctional role in terms of protecting the environment and promoting the development of rural cohesion and protection of rural territories through multifunctionality (Hassink et al., 2013; Dufour et al., 2007).</w:t>
      </w:r>
    </w:p>
    <w:p w:rsidR="008F5020" w:rsidRPr="004F7ACC" w:rsidRDefault="008F5020" w:rsidP="004F7ACC">
      <w:pPr>
        <w:ind w:firstLine="426"/>
        <w:jc w:val="both"/>
        <w:rPr>
          <w:color w:val="222222"/>
          <w:sz w:val="22"/>
          <w:szCs w:val="22"/>
        </w:rPr>
      </w:pPr>
      <w:r w:rsidRPr="004F7ACC">
        <w:rPr>
          <w:color w:val="222222"/>
          <w:sz w:val="22"/>
          <w:szCs w:val="22"/>
        </w:rPr>
        <w:lastRenderedPageBreak/>
        <w:t>The purpose of this research was to evaluate, through the use of a quantitative method based on the self-organizing maps (SOMs), the impact of investments in land capital and machinery with the goal to improve agricultural production of commodities and the level of food self-sufficiency in the European Union countries from 1990 to 2012, and the environmental quality in terms of effects on agricultural and arable land. In order to assess these relationships, the FAO statistics database published on its website has been used</w:t>
      </w:r>
      <w:r w:rsidR="004F7ACC">
        <w:rPr>
          <w:color w:val="222222"/>
          <w:sz w:val="22"/>
          <w:szCs w:val="22"/>
        </w:rPr>
        <w:t>.</w:t>
      </w:r>
    </w:p>
    <w:p w:rsidR="004F7ACC" w:rsidRPr="004F7ACC" w:rsidRDefault="004F7ACC" w:rsidP="005365AD">
      <w:pPr>
        <w:jc w:val="center"/>
        <w:rPr>
          <w:sz w:val="22"/>
          <w:szCs w:val="22"/>
        </w:rPr>
      </w:pPr>
    </w:p>
    <w:p w:rsidR="0013693B" w:rsidRPr="001C17C4" w:rsidRDefault="0013693B" w:rsidP="005365AD">
      <w:pPr>
        <w:jc w:val="center"/>
        <w:rPr>
          <w:b/>
          <w:sz w:val="22"/>
          <w:szCs w:val="22"/>
        </w:rPr>
      </w:pPr>
      <w:r w:rsidRPr="001C17C4">
        <w:rPr>
          <w:b/>
          <w:sz w:val="22"/>
          <w:szCs w:val="22"/>
        </w:rPr>
        <w:t>Materials and Methods</w:t>
      </w:r>
    </w:p>
    <w:p w:rsidR="00F8479B" w:rsidRPr="001C17C4" w:rsidRDefault="00F8479B" w:rsidP="007544F4">
      <w:pPr>
        <w:pStyle w:val="BodyTextIndent2"/>
        <w:widowControl w:val="0"/>
        <w:tabs>
          <w:tab w:val="left" w:pos="426"/>
        </w:tabs>
        <w:ind w:firstLine="0"/>
        <w:jc w:val="center"/>
        <w:rPr>
          <w:spacing w:val="4"/>
        </w:rPr>
      </w:pPr>
    </w:p>
    <w:p w:rsidR="008F5020" w:rsidRPr="004F7ACC" w:rsidRDefault="008F5020" w:rsidP="004F7ACC">
      <w:pPr>
        <w:pStyle w:val="NormaleWeb1"/>
        <w:spacing w:before="0" w:after="0"/>
        <w:ind w:firstLine="425"/>
        <w:jc w:val="both"/>
        <w:rPr>
          <w:color w:val="222222"/>
          <w:sz w:val="22"/>
          <w:szCs w:val="22"/>
        </w:rPr>
      </w:pPr>
      <w:r w:rsidRPr="004F7ACC">
        <w:rPr>
          <w:color w:val="222222"/>
          <w:sz w:val="22"/>
          <w:szCs w:val="22"/>
        </w:rPr>
        <w:t>The methodology has employed a quantitative approach as the self-organizing maps (SOMs) proposed by Kohonen (Kohonen, 1995), using</w:t>
      </w:r>
      <w:r w:rsidRPr="004F7ACC">
        <w:rPr>
          <w:sz w:val="22"/>
          <w:szCs w:val="22"/>
          <w:lang w:val="en-GB"/>
        </w:rPr>
        <w:t xml:space="preserve"> the open source software </w:t>
      </w:r>
      <w:r w:rsidRPr="004F7ACC">
        <w:rPr>
          <w:color w:val="222222"/>
          <w:sz w:val="22"/>
          <w:szCs w:val="22"/>
        </w:rPr>
        <w:t>Spice-Som version 2.1 for the</w:t>
      </w:r>
      <w:r w:rsidRPr="004F7ACC">
        <w:rPr>
          <w:sz w:val="22"/>
          <w:szCs w:val="22"/>
          <w:lang w:val="en-GB"/>
        </w:rPr>
        <w:t xml:space="preserve"> estimation of the parameters</w:t>
      </w:r>
      <w:r w:rsidRPr="004F7ACC">
        <w:rPr>
          <w:color w:val="222222"/>
          <w:sz w:val="22"/>
          <w:szCs w:val="22"/>
        </w:rPr>
        <w:t>. The main goal of the paper was</w:t>
      </w:r>
      <w:r w:rsidRPr="004F7ACC">
        <w:rPr>
          <w:sz w:val="22"/>
          <w:szCs w:val="22"/>
          <w:lang w:val="en-GB"/>
        </w:rPr>
        <w:t xml:space="preserve"> </w:t>
      </w:r>
      <w:r w:rsidRPr="004F7ACC">
        <w:rPr>
          <w:color w:val="222222"/>
          <w:sz w:val="22"/>
          <w:szCs w:val="22"/>
        </w:rPr>
        <w:t>aimed at assessing if there was a unique winner neuron (black hexagons in the SOMs) in terms in the European countries able to produce the highest level of carbon dioxide emission with a nexus to the highest levels of investments and agrarian production.</w:t>
      </w:r>
    </w:p>
    <w:p w:rsidR="008F5020" w:rsidRPr="004F7ACC" w:rsidRDefault="008F5020" w:rsidP="004F7ACC">
      <w:pPr>
        <w:pStyle w:val="NormaleWeb1"/>
        <w:spacing w:before="0" w:after="0"/>
        <w:ind w:firstLine="425"/>
        <w:jc w:val="both"/>
        <w:rPr>
          <w:sz w:val="22"/>
          <w:szCs w:val="22"/>
        </w:rPr>
      </w:pPr>
      <w:r w:rsidRPr="004F7ACC">
        <w:rPr>
          <w:color w:val="222222"/>
          <w:sz w:val="22"/>
          <w:szCs w:val="22"/>
        </w:rPr>
        <w:t xml:space="preserve">In general, self-organizing maps are particularly useful to estimate, in time series, the structure and the evolution of several variables, such as poverty, lifestyle, health situation, development and welfare features in different countries in order to obtain a unique parameter and a visualization of different clusters of states or rather groups of hexagons with lots of analogies to the principal component analysis (Kasky and Kohonen, 1996; Mehmood et al., 2011). </w:t>
      </w:r>
      <w:r w:rsidRPr="004F7ACC">
        <w:rPr>
          <w:sz w:val="22"/>
          <w:szCs w:val="22"/>
        </w:rPr>
        <w:t>The s</w:t>
      </w:r>
      <w:r w:rsidRPr="004F7ACC">
        <w:rPr>
          <w:bCs/>
          <w:sz w:val="22"/>
          <w:szCs w:val="22"/>
        </w:rPr>
        <w:t>elf-organizing map</w:t>
      </w:r>
      <w:r w:rsidRPr="004F7ACC">
        <w:rPr>
          <w:sz w:val="22"/>
          <w:szCs w:val="22"/>
        </w:rPr>
        <w:t xml:space="preserve"> (</w:t>
      </w:r>
      <w:r w:rsidRPr="004F7ACC">
        <w:rPr>
          <w:bCs/>
          <w:sz w:val="22"/>
          <w:szCs w:val="22"/>
        </w:rPr>
        <w:t>SOM</w:t>
      </w:r>
      <w:r w:rsidRPr="004F7ACC">
        <w:rPr>
          <w:sz w:val="22"/>
          <w:szCs w:val="22"/>
        </w:rPr>
        <w:t xml:space="preserve">) is a particular quantitative model of an artificial neural network </w:t>
      </w:r>
      <w:r w:rsidRPr="004F7ACC">
        <w:rPr>
          <w:sz w:val="22"/>
          <w:szCs w:val="22"/>
          <w:lang w:val="en-GB"/>
        </w:rPr>
        <w:t xml:space="preserve">able to </w:t>
      </w:r>
      <w:r w:rsidRPr="004F7ACC">
        <w:rPr>
          <w:sz w:val="22"/>
          <w:szCs w:val="22"/>
        </w:rPr>
        <w:t xml:space="preserve">produce a low two-dimensional representation of inputs in some </w:t>
      </w:r>
      <w:r w:rsidRPr="004F7ACC">
        <w:rPr>
          <w:bCs/>
          <w:sz w:val="22"/>
          <w:szCs w:val="22"/>
        </w:rPr>
        <w:t xml:space="preserve">maps </w:t>
      </w:r>
      <w:r w:rsidRPr="004F7ACC">
        <w:rPr>
          <w:color w:val="222222"/>
          <w:sz w:val="22"/>
          <w:szCs w:val="22"/>
        </w:rPr>
        <w:t>(Kohonen, 1995)</w:t>
      </w:r>
      <w:r w:rsidRPr="004F7ACC">
        <w:rPr>
          <w:sz w:val="22"/>
          <w:szCs w:val="22"/>
        </w:rPr>
        <w:t>. Self-organizing maps are different from other artificial neural networks because they use a neighborhood function in order to preserve the topological properties of the input space considered in the model of analysis (Meraviglia, 2001).</w:t>
      </w:r>
    </w:p>
    <w:p w:rsidR="008F5020" w:rsidRPr="004F7ACC" w:rsidRDefault="008F5020" w:rsidP="004F7ACC">
      <w:pPr>
        <w:ind w:firstLine="425"/>
        <w:jc w:val="both"/>
        <w:rPr>
          <w:sz w:val="22"/>
          <w:szCs w:val="22"/>
        </w:rPr>
      </w:pPr>
      <w:r w:rsidRPr="004F7ACC">
        <w:rPr>
          <w:sz w:val="22"/>
          <w:szCs w:val="22"/>
        </w:rPr>
        <w:t>The s</w:t>
      </w:r>
      <w:r w:rsidRPr="004F7ACC">
        <w:rPr>
          <w:bCs/>
          <w:sz w:val="22"/>
          <w:szCs w:val="22"/>
        </w:rPr>
        <w:t>elf-organizing maps are</w:t>
      </w:r>
      <w:r w:rsidRPr="004F7ACC">
        <w:rPr>
          <w:sz w:val="22"/>
          <w:szCs w:val="22"/>
        </w:rPr>
        <w:t xml:space="preserve"> useful to visualize low dimensional views of high dimensional data and they consist of components called nodes or neurons. Each node is a weight vector of the same dimension as the input data vectors and also as a specific position in the map space. The usual arrangement of nodes is a two-dimensional regular spacing made by a hexagonal grid or rectangular box. The self-organizing map describes a mapping from a higher dimensional input space to a lower dimensional map space. The procedure for placing a vector in the map is to find out a node located nearest to the winner neuron considering that each vector in the map is linked with every neuron in the used dataset </w:t>
      </w:r>
      <w:r w:rsidRPr="004F7ACC">
        <w:rPr>
          <w:color w:val="222222"/>
          <w:sz w:val="22"/>
          <w:szCs w:val="22"/>
        </w:rPr>
        <w:t>(Kohonen, 1995)</w:t>
      </w:r>
      <w:r w:rsidRPr="004F7ACC">
        <w:rPr>
          <w:sz w:val="22"/>
          <w:szCs w:val="22"/>
        </w:rPr>
        <w:t xml:space="preserve">. </w:t>
      </w:r>
      <w:r w:rsidRPr="004F7ACC">
        <w:rPr>
          <w:rStyle w:val="hps"/>
          <w:sz w:val="22"/>
          <w:szCs w:val="22"/>
        </w:rPr>
        <w:t>The network in the SOM</w:t>
      </w:r>
      <w:r w:rsidRPr="004F7ACC">
        <w:rPr>
          <w:sz w:val="22"/>
          <w:szCs w:val="22"/>
        </w:rPr>
        <w:t xml:space="preserve"> </w:t>
      </w:r>
      <w:r w:rsidRPr="004F7ACC">
        <w:rPr>
          <w:rStyle w:val="hps"/>
          <w:sz w:val="22"/>
          <w:szCs w:val="22"/>
        </w:rPr>
        <w:t>is characterized by</w:t>
      </w:r>
      <w:r w:rsidRPr="004F7ACC">
        <w:rPr>
          <w:sz w:val="22"/>
          <w:szCs w:val="22"/>
        </w:rPr>
        <w:t xml:space="preserve"> </w:t>
      </w:r>
      <w:r w:rsidRPr="004F7ACC">
        <w:rPr>
          <w:rStyle w:val="hps"/>
          <w:sz w:val="22"/>
          <w:szCs w:val="22"/>
        </w:rPr>
        <w:t>a pattern</w:t>
      </w:r>
      <w:r w:rsidRPr="004F7ACC">
        <w:rPr>
          <w:sz w:val="22"/>
          <w:szCs w:val="22"/>
        </w:rPr>
        <w:t xml:space="preserve"> </w:t>
      </w:r>
      <w:r w:rsidRPr="004F7ACC">
        <w:rPr>
          <w:rStyle w:val="hps"/>
          <w:sz w:val="22"/>
          <w:szCs w:val="22"/>
        </w:rPr>
        <w:t>in</w:t>
      </w:r>
      <w:r w:rsidRPr="004F7ACC">
        <w:rPr>
          <w:sz w:val="22"/>
          <w:szCs w:val="22"/>
        </w:rPr>
        <w:t xml:space="preserve"> </w:t>
      </w:r>
      <w:r w:rsidRPr="004F7ACC">
        <w:rPr>
          <w:rStyle w:val="hps"/>
          <w:sz w:val="22"/>
          <w:szCs w:val="22"/>
        </w:rPr>
        <w:t>two different layers, one</w:t>
      </w:r>
      <w:r w:rsidRPr="004F7ACC">
        <w:rPr>
          <w:sz w:val="22"/>
          <w:szCs w:val="22"/>
        </w:rPr>
        <w:t xml:space="preserve"> layer is made up by </w:t>
      </w:r>
      <w:r w:rsidRPr="004F7ACC">
        <w:rPr>
          <w:rStyle w:val="hps"/>
          <w:sz w:val="22"/>
          <w:szCs w:val="22"/>
        </w:rPr>
        <w:t>input</w:t>
      </w:r>
      <w:r w:rsidRPr="004F7ACC">
        <w:rPr>
          <w:sz w:val="22"/>
          <w:szCs w:val="22"/>
        </w:rPr>
        <w:t xml:space="preserve"> </w:t>
      </w:r>
      <w:r w:rsidRPr="004F7ACC">
        <w:rPr>
          <w:rStyle w:val="hps"/>
          <w:sz w:val="22"/>
          <w:szCs w:val="22"/>
        </w:rPr>
        <w:t>and the other layer, commonly called</w:t>
      </w:r>
      <w:r w:rsidRPr="004F7ACC">
        <w:rPr>
          <w:sz w:val="22"/>
          <w:szCs w:val="22"/>
        </w:rPr>
        <w:t xml:space="preserve"> the </w:t>
      </w:r>
      <w:r w:rsidRPr="004F7ACC">
        <w:rPr>
          <w:rStyle w:val="hps"/>
          <w:sz w:val="22"/>
          <w:szCs w:val="22"/>
        </w:rPr>
        <w:t>Kohonen’s layer, is constituted by</w:t>
      </w:r>
      <w:r w:rsidRPr="004F7ACC">
        <w:rPr>
          <w:sz w:val="22"/>
          <w:szCs w:val="22"/>
        </w:rPr>
        <w:t xml:space="preserve"> </w:t>
      </w:r>
      <w:r w:rsidRPr="004F7ACC">
        <w:rPr>
          <w:rStyle w:val="hps"/>
          <w:sz w:val="22"/>
          <w:szCs w:val="22"/>
        </w:rPr>
        <w:t>output</w:t>
      </w:r>
      <w:r w:rsidRPr="004F7ACC">
        <w:rPr>
          <w:sz w:val="22"/>
          <w:szCs w:val="22"/>
        </w:rPr>
        <w:t xml:space="preserve"> (</w:t>
      </w:r>
      <w:r w:rsidRPr="004F7ACC">
        <w:rPr>
          <w:rStyle w:val="longtext"/>
          <w:sz w:val="22"/>
          <w:szCs w:val="22"/>
        </w:rPr>
        <w:t>Kohonen, 2001</w:t>
      </w:r>
      <w:r w:rsidRPr="004F7ACC">
        <w:rPr>
          <w:sz w:val="22"/>
          <w:szCs w:val="22"/>
        </w:rPr>
        <w:t xml:space="preserve">). </w:t>
      </w:r>
      <w:r w:rsidRPr="004F7ACC">
        <w:rPr>
          <w:rStyle w:val="hps"/>
          <w:sz w:val="22"/>
          <w:szCs w:val="22"/>
        </w:rPr>
        <w:t>The neurons</w:t>
      </w:r>
      <w:r w:rsidRPr="004F7ACC">
        <w:rPr>
          <w:sz w:val="22"/>
          <w:szCs w:val="22"/>
        </w:rPr>
        <w:t xml:space="preserve"> </w:t>
      </w:r>
      <w:r w:rsidRPr="004F7ACC">
        <w:rPr>
          <w:rStyle w:val="hps"/>
          <w:sz w:val="22"/>
          <w:szCs w:val="22"/>
        </w:rPr>
        <w:t>of the two layers</w:t>
      </w:r>
      <w:r w:rsidRPr="004F7ACC">
        <w:rPr>
          <w:sz w:val="22"/>
          <w:szCs w:val="22"/>
        </w:rPr>
        <w:t xml:space="preserve"> </w:t>
      </w:r>
      <w:r w:rsidRPr="004F7ACC">
        <w:rPr>
          <w:rStyle w:val="hps"/>
          <w:sz w:val="22"/>
          <w:szCs w:val="22"/>
        </w:rPr>
        <w:t xml:space="preserve">are </w:t>
      </w:r>
      <w:r w:rsidRPr="004F7ACC">
        <w:rPr>
          <w:rStyle w:val="hps"/>
          <w:sz w:val="22"/>
          <w:szCs w:val="22"/>
        </w:rPr>
        <w:lastRenderedPageBreak/>
        <w:t>completely</w:t>
      </w:r>
      <w:r w:rsidRPr="004F7ACC">
        <w:rPr>
          <w:sz w:val="22"/>
          <w:szCs w:val="22"/>
        </w:rPr>
        <w:t xml:space="preserve"> </w:t>
      </w:r>
      <w:r w:rsidRPr="004F7ACC">
        <w:rPr>
          <w:rStyle w:val="hps"/>
          <w:sz w:val="22"/>
          <w:szCs w:val="22"/>
        </w:rPr>
        <w:t>connected to each other</w:t>
      </w:r>
      <w:r w:rsidRPr="004F7ACC">
        <w:rPr>
          <w:sz w:val="22"/>
          <w:szCs w:val="22"/>
        </w:rPr>
        <w:t xml:space="preserve">, while </w:t>
      </w:r>
      <w:r w:rsidRPr="004F7ACC">
        <w:rPr>
          <w:rStyle w:val="hps"/>
          <w:sz w:val="22"/>
          <w:szCs w:val="22"/>
        </w:rPr>
        <w:t>neurons</w:t>
      </w:r>
      <w:r w:rsidRPr="004F7ACC">
        <w:rPr>
          <w:sz w:val="22"/>
          <w:szCs w:val="22"/>
        </w:rPr>
        <w:t xml:space="preserve"> </w:t>
      </w:r>
      <w:r w:rsidRPr="004F7ACC">
        <w:rPr>
          <w:rStyle w:val="hps"/>
          <w:sz w:val="22"/>
          <w:szCs w:val="22"/>
        </w:rPr>
        <w:t>of the output layer</w:t>
      </w:r>
      <w:r w:rsidRPr="004F7ACC">
        <w:rPr>
          <w:sz w:val="22"/>
          <w:szCs w:val="22"/>
        </w:rPr>
        <w:t xml:space="preserve"> are linked </w:t>
      </w:r>
      <w:r w:rsidRPr="004F7ACC">
        <w:rPr>
          <w:rStyle w:val="hps"/>
          <w:sz w:val="22"/>
          <w:szCs w:val="22"/>
        </w:rPr>
        <w:t xml:space="preserve">to different output neurons </w:t>
      </w:r>
      <w:r w:rsidRPr="004F7ACC">
        <w:rPr>
          <w:rStyle w:val="longtext"/>
          <w:sz w:val="22"/>
          <w:szCs w:val="22"/>
        </w:rPr>
        <w:t>(Kohonen, 1984).</w:t>
      </w:r>
    </w:p>
    <w:p w:rsidR="008F5020" w:rsidRPr="004F7ACC" w:rsidRDefault="008F5020" w:rsidP="004F7ACC">
      <w:pPr>
        <w:ind w:firstLine="425"/>
        <w:jc w:val="both"/>
        <w:rPr>
          <w:sz w:val="22"/>
          <w:szCs w:val="22"/>
        </w:rPr>
      </w:pPr>
      <w:r w:rsidRPr="004F7ACC">
        <w:rPr>
          <w:sz w:val="22"/>
          <w:szCs w:val="22"/>
        </w:rPr>
        <w:t xml:space="preserve">The purpose of the learning process in the SOM is to define different parts in the network made by the SOM able to match with patterns of different inputs. The weights of the neurons are initialized either to small random numbers or values sampled from a subspace crossed by the two larger eigenvalues able to increase the training because initial weights are a good approximation of weights in the SOM </w:t>
      </w:r>
      <w:r w:rsidRPr="004F7ACC">
        <w:rPr>
          <w:color w:val="222222"/>
          <w:sz w:val="22"/>
          <w:szCs w:val="22"/>
        </w:rPr>
        <w:t>(Kohonen, 1995)</w:t>
      </w:r>
      <w:r w:rsidRPr="004F7ACC">
        <w:rPr>
          <w:sz w:val="22"/>
          <w:szCs w:val="22"/>
        </w:rPr>
        <w:t xml:space="preserve">. When a training sample input is put in the network, its Euclidean distance is calculated from all vectors of weights. The neuron with the weight vector most similar to the input is called the best matching unit (BMU). Weights of the BMU and neurons close to it in the SOM lattice made by hexagons or component planes are closer to the input vector and the intensity of the approach decreases over time and in function of the distance of the neurons by the BMU </w:t>
      </w:r>
      <w:r w:rsidRPr="004F7ACC">
        <w:rPr>
          <w:rStyle w:val="longtext"/>
          <w:sz w:val="22"/>
          <w:szCs w:val="22"/>
        </w:rPr>
        <w:t>(Kohonen, 1984)</w:t>
      </w:r>
      <w:r w:rsidRPr="004F7ACC">
        <w:rPr>
          <w:sz w:val="22"/>
          <w:szCs w:val="22"/>
        </w:rPr>
        <w:t xml:space="preserve">. </w:t>
      </w:r>
    </w:p>
    <w:p w:rsidR="008F5020" w:rsidRPr="004F7ACC" w:rsidRDefault="008F5020" w:rsidP="004F7ACC">
      <w:pPr>
        <w:ind w:firstLine="425"/>
        <w:jc w:val="both"/>
        <w:rPr>
          <w:sz w:val="22"/>
          <w:szCs w:val="22"/>
          <w:lang w:val="fr-FR"/>
        </w:rPr>
      </w:pPr>
      <w:r w:rsidRPr="004F7ACC">
        <w:rPr>
          <w:sz w:val="22"/>
          <w:szCs w:val="22"/>
        </w:rPr>
        <w:t>The formula used for updating the weights of a neuron is Wv (Lucchini, 2007):</w:t>
      </w:r>
    </w:p>
    <w:p w:rsidR="008F5020" w:rsidRPr="004F7ACC" w:rsidRDefault="008F5020" w:rsidP="004F7ACC">
      <w:pPr>
        <w:ind w:firstLine="425"/>
        <w:jc w:val="right"/>
        <w:rPr>
          <w:sz w:val="22"/>
          <w:szCs w:val="22"/>
          <w:lang w:val="fr-FR"/>
        </w:rPr>
      </w:pPr>
      <w:r w:rsidRPr="004F7ACC">
        <w:rPr>
          <w:sz w:val="22"/>
          <w:szCs w:val="22"/>
          <w:lang w:val="fr-FR"/>
        </w:rPr>
        <w:t xml:space="preserve">Wv ( t + 1) = Wv (t ) + </w:t>
      </w:r>
      <w:r w:rsidRPr="004F7ACC">
        <w:rPr>
          <w:sz w:val="22"/>
          <w:szCs w:val="22"/>
        </w:rPr>
        <w:t>Θ</w:t>
      </w:r>
      <w:r w:rsidRPr="004F7ACC">
        <w:rPr>
          <w:sz w:val="22"/>
          <w:szCs w:val="22"/>
          <w:lang w:val="fr-FR"/>
        </w:rPr>
        <w:t xml:space="preserve"> ( v, t) </w:t>
      </w:r>
      <w:r w:rsidRPr="004F7ACC">
        <w:rPr>
          <w:sz w:val="22"/>
          <w:szCs w:val="22"/>
        </w:rPr>
        <w:t>α</w:t>
      </w:r>
      <w:r w:rsidRPr="004F7ACC">
        <w:rPr>
          <w:sz w:val="22"/>
          <w:szCs w:val="22"/>
          <w:lang w:val="fr-FR"/>
        </w:rPr>
        <w:t xml:space="preserve"> (t ) [D (t) - Wv (t)]                      (1)</w:t>
      </w:r>
    </w:p>
    <w:p w:rsidR="008F5020" w:rsidRPr="004F7ACC" w:rsidRDefault="008F5020" w:rsidP="004F7ACC">
      <w:pPr>
        <w:ind w:firstLine="425"/>
        <w:jc w:val="both"/>
        <w:rPr>
          <w:sz w:val="22"/>
          <w:szCs w:val="22"/>
          <w:lang w:val="fr-FR"/>
        </w:rPr>
      </w:pPr>
    </w:p>
    <w:p w:rsidR="008F5020" w:rsidRPr="004F7ACC" w:rsidRDefault="008F5020" w:rsidP="004F7ACC">
      <w:pPr>
        <w:ind w:firstLine="425"/>
        <w:jc w:val="both"/>
        <w:rPr>
          <w:sz w:val="22"/>
          <w:szCs w:val="22"/>
        </w:rPr>
      </w:pPr>
      <w:r w:rsidRPr="004F7ACC">
        <w:rPr>
          <w:sz w:val="22"/>
          <w:szCs w:val="22"/>
        </w:rPr>
        <w:t>where α(t) is a monotone decreasing learning coefficient and D(t) is the input vector. The function that defines the neighborhood Θ (v, t) depends on the distance in the lattice between the BMU and the neuron v. In a simplified form of the competitive network, the value is equal to 1 for all neurons close to the BMU and 0 for others, even if the most common choice is similar to a Gaussian function; hence, the winner neuron is in a central position and the losers are distant. In general, regardless of the kind of used function, the neighborhood function decreases over time; initially, when the neighborhood is broad, the self-organizing map takes place on a global scale and when the neighborhood is reduced to only a few neurons, weights converge to a local estimate called a tuning phase. This process is repeated for each input vector and it is also reiterated for a v</w:t>
      </w:r>
      <w:r w:rsidR="004F7ACC">
        <w:rPr>
          <w:sz w:val="22"/>
          <w:szCs w:val="22"/>
        </w:rPr>
        <w:t>ariable large number of cycles.</w:t>
      </w:r>
    </w:p>
    <w:p w:rsidR="004F7ACC" w:rsidRPr="004F7ACC" w:rsidRDefault="004F7ACC" w:rsidP="00570EEE">
      <w:pPr>
        <w:jc w:val="center"/>
        <w:rPr>
          <w:sz w:val="22"/>
          <w:szCs w:val="22"/>
        </w:rPr>
      </w:pPr>
    </w:p>
    <w:p w:rsidR="0013693B" w:rsidRPr="00A41E96" w:rsidRDefault="0013693B" w:rsidP="00570EEE">
      <w:pPr>
        <w:jc w:val="center"/>
        <w:rPr>
          <w:b/>
          <w:sz w:val="22"/>
          <w:szCs w:val="22"/>
        </w:rPr>
      </w:pPr>
      <w:r w:rsidRPr="00A41E96">
        <w:rPr>
          <w:b/>
          <w:sz w:val="22"/>
          <w:szCs w:val="22"/>
        </w:rPr>
        <w:t>Results and Discussion</w:t>
      </w:r>
    </w:p>
    <w:p w:rsidR="0028218B" w:rsidRPr="00A41E96" w:rsidRDefault="0028218B" w:rsidP="00570EEE">
      <w:pPr>
        <w:jc w:val="center"/>
        <w:rPr>
          <w:sz w:val="22"/>
          <w:szCs w:val="22"/>
        </w:rPr>
      </w:pPr>
    </w:p>
    <w:p w:rsidR="004F7ACC" w:rsidRDefault="008F5020" w:rsidP="004F7ACC">
      <w:pPr>
        <w:ind w:firstLine="426"/>
        <w:jc w:val="both"/>
        <w:rPr>
          <w:sz w:val="22"/>
          <w:szCs w:val="22"/>
        </w:rPr>
      </w:pPr>
      <w:r w:rsidRPr="004F7ACC">
        <w:rPr>
          <w:color w:val="222222"/>
          <w:sz w:val="22"/>
          <w:szCs w:val="22"/>
        </w:rPr>
        <w:t xml:space="preserve">Findings in some analyzed variables such as arable land and permanent crops over </w:t>
      </w:r>
      <w:r w:rsidRPr="00B1268C">
        <w:rPr>
          <w:color w:val="222222"/>
          <w:sz w:val="22"/>
          <w:szCs w:val="22"/>
        </w:rPr>
        <w:t>time of investigation have pointed out on average a significant and sharp growth of arable land and by contrast a steady development of permanent crops lower than 5 million of hectares (Figure 1). Considering different European nations, the rural population on average seems to fluctuate significantly in all countries even if the highest diffusion of rural population has affected Germany, Italy, the United Kingdom and France where scattered small villages marked rural territories (Figure 2).</w:t>
      </w:r>
    </w:p>
    <w:p w:rsidR="004F7ACC" w:rsidRDefault="00236836" w:rsidP="004E4729">
      <w:pPr>
        <w:jc w:val="center"/>
        <w:rPr>
          <w:sz w:val="22"/>
          <w:szCs w:val="22"/>
        </w:rPr>
      </w:pPr>
      <w:r w:rsidRPr="00231C17">
        <w:rPr>
          <w:sz w:val="24"/>
          <w:szCs w:val="24"/>
          <w:lang w:val="en-U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pt;height:198.45pt;mso-position-horizontal:absolute;mso-position-horizontal-relative:text;mso-position-vertical:absolute;mso-position-vertical-relative:text;mso-width-relative:page;mso-height-relative:page" filled="t">
            <v:fill color2="black"/>
            <v:imagedata r:id="rId9" o:title="" grayscale="t"/>
          </v:shape>
        </w:pict>
      </w:r>
    </w:p>
    <w:p w:rsidR="004F7ACC" w:rsidRDefault="004F7ACC" w:rsidP="004F7ACC">
      <w:pPr>
        <w:ind w:firstLine="426"/>
        <w:jc w:val="both"/>
        <w:rPr>
          <w:sz w:val="22"/>
          <w:szCs w:val="22"/>
        </w:rPr>
      </w:pPr>
    </w:p>
    <w:p w:rsidR="004F7ACC" w:rsidRDefault="004F7ACC" w:rsidP="004F7ACC">
      <w:pPr>
        <w:ind w:left="-108" w:right="-108"/>
        <w:jc w:val="center"/>
        <w:rPr>
          <w:sz w:val="22"/>
          <w:szCs w:val="22"/>
          <w:lang w:val="en-US"/>
        </w:rPr>
      </w:pPr>
      <w:r w:rsidRPr="004F7ACC">
        <w:rPr>
          <w:sz w:val="22"/>
          <w:szCs w:val="22"/>
          <w:lang w:val="en-US"/>
        </w:rPr>
        <w:t>Figure 1. Evolution of arable land and permanent crops in thousands of</w:t>
      </w:r>
      <w:r w:rsidR="00B1268C" w:rsidRPr="00B1268C">
        <w:rPr>
          <w:sz w:val="22"/>
          <w:szCs w:val="22"/>
          <w:lang w:val="en-US"/>
        </w:rPr>
        <w:t xml:space="preserve"> </w:t>
      </w:r>
      <w:r w:rsidR="00B1268C" w:rsidRPr="004F7ACC">
        <w:rPr>
          <w:sz w:val="22"/>
          <w:szCs w:val="22"/>
          <w:lang w:val="en-US"/>
        </w:rPr>
        <w:t>hectares</w:t>
      </w:r>
    </w:p>
    <w:p w:rsidR="004F7ACC" w:rsidRPr="004F7ACC" w:rsidRDefault="004F7ACC" w:rsidP="004F7ACC">
      <w:pPr>
        <w:ind w:left="-108" w:right="-108"/>
        <w:jc w:val="center"/>
        <w:rPr>
          <w:sz w:val="22"/>
          <w:szCs w:val="22"/>
        </w:rPr>
      </w:pPr>
      <w:r w:rsidRPr="004F7ACC">
        <w:rPr>
          <w:sz w:val="22"/>
          <w:szCs w:val="22"/>
          <w:lang w:val="en-US"/>
        </w:rPr>
        <w:t>in all European countries.</w:t>
      </w:r>
    </w:p>
    <w:p w:rsidR="004F7ACC" w:rsidRDefault="004F7ACC" w:rsidP="0036124B">
      <w:pPr>
        <w:jc w:val="center"/>
        <w:rPr>
          <w:sz w:val="18"/>
          <w:szCs w:val="18"/>
        </w:rPr>
      </w:pPr>
      <w:r w:rsidRPr="004F7ACC">
        <w:rPr>
          <w:sz w:val="18"/>
          <w:szCs w:val="18"/>
        </w:rPr>
        <w:t xml:space="preserve">Source: Author’s elaboration on data </w:t>
      </w:r>
      <w:r w:rsidRPr="004F7ACC">
        <w:rPr>
          <w:rStyle w:val="Hyperlink"/>
          <w:color w:val="auto"/>
          <w:sz w:val="18"/>
          <w:szCs w:val="18"/>
          <w:u w:val="none"/>
        </w:rPr>
        <w:t>http://faostat3.fao.org/faostat-gateway/go/to/home/E</w:t>
      </w:r>
      <w:r w:rsidRPr="004F7ACC">
        <w:rPr>
          <w:sz w:val="18"/>
          <w:szCs w:val="18"/>
        </w:rPr>
        <w:t xml:space="preserve"> with the software GRETL 1.9</w:t>
      </w:r>
      <w:r>
        <w:rPr>
          <w:sz w:val="18"/>
          <w:szCs w:val="18"/>
        </w:rPr>
        <w:t>.</w:t>
      </w:r>
    </w:p>
    <w:p w:rsidR="004F7ACC" w:rsidRDefault="004F7ACC" w:rsidP="004F7ACC">
      <w:pPr>
        <w:ind w:firstLine="426"/>
        <w:jc w:val="both"/>
        <w:rPr>
          <w:sz w:val="22"/>
          <w:szCs w:val="22"/>
        </w:rPr>
      </w:pPr>
    </w:p>
    <w:p w:rsidR="004F7ACC" w:rsidRDefault="00236836" w:rsidP="004E4729">
      <w:pPr>
        <w:jc w:val="center"/>
        <w:rPr>
          <w:sz w:val="22"/>
          <w:szCs w:val="22"/>
        </w:rPr>
      </w:pPr>
      <w:r w:rsidRPr="00231C17">
        <w:rPr>
          <w:sz w:val="24"/>
          <w:szCs w:val="24"/>
          <w:lang w:val="en-US"/>
        </w:rPr>
        <w:pict>
          <v:shape id="_x0000_i1026" type="#_x0000_t75" style="width:331.85pt;height:207.25pt" filled="t">
            <v:fill color2="black"/>
            <v:imagedata r:id="rId10" o:title=""/>
          </v:shape>
        </w:pict>
      </w:r>
    </w:p>
    <w:p w:rsidR="004E4729" w:rsidRPr="004E4729" w:rsidRDefault="004E4729" w:rsidP="004F7ACC">
      <w:pPr>
        <w:jc w:val="center"/>
        <w:rPr>
          <w:sz w:val="16"/>
          <w:szCs w:val="16"/>
          <w:lang w:val="en-US"/>
        </w:rPr>
      </w:pPr>
    </w:p>
    <w:p w:rsidR="0036124B" w:rsidRDefault="004F7ACC" w:rsidP="004F7ACC">
      <w:pPr>
        <w:jc w:val="center"/>
        <w:rPr>
          <w:sz w:val="22"/>
          <w:szCs w:val="22"/>
          <w:lang w:val="en-US"/>
        </w:rPr>
      </w:pPr>
      <w:r w:rsidRPr="004F7ACC">
        <w:rPr>
          <w:sz w:val="22"/>
          <w:szCs w:val="22"/>
          <w:lang w:val="en-US"/>
        </w:rPr>
        <w:t>Figure 2.</w:t>
      </w:r>
      <w:r w:rsidRPr="004F7ACC">
        <w:rPr>
          <w:bCs/>
          <w:sz w:val="22"/>
          <w:szCs w:val="22"/>
          <w:lang w:val="en-US"/>
        </w:rPr>
        <w:t xml:space="preserve"> Average </w:t>
      </w:r>
      <w:r w:rsidRPr="0036124B">
        <w:rPr>
          <w:bCs/>
          <w:sz w:val="22"/>
          <w:szCs w:val="22"/>
          <w:lang w:val="en-US"/>
        </w:rPr>
        <w:t>of r</w:t>
      </w:r>
      <w:r w:rsidRPr="004F7ACC">
        <w:rPr>
          <w:sz w:val="22"/>
          <w:szCs w:val="22"/>
          <w:lang w:val="en-US"/>
        </w:rPr>
        <w:t>ural population in investigated Europe</w:t>
      </w:r>
      <w:r>
        <w:rPr>
          <w:sz w:val="22"/>
          <w:szCs w:val="22"/>
          <w:lang w:val="en-US"/>
        </w:rPr>
        <w:t xml:space="preserve">an </w:t>
      </w:r>
      <w:r w:rsidR="004E4729">
        <w:rPr>
          <w:sz w:val="22"/>
          <w:szCs w:val="22"/>
          <w:lang w:val="en-US"/>
        </w:rPr>
        <w:t>countries</w:t>
      </w:r>
    </w:p>
    <w:p w:rsidR="004F7ACC" w:rsidRPr="004F7ACC" w:rsidRDefault="004F7ACC" w:rsidP="004F7ACC">
      <w:pPr>
        <w:jc w:val="center"/>
        <w:rPr>
          <w:sz w:val="22"/>
          <w:szCs w:val="22"/>
        </w:rPr>
      </w:pPr>
      <w:r>
        <w:rPr>
          <w:sz w:val="22"/>
          <w:szCs w:val="22"/>
          <w:lang w:val="en-US"/>
        </w:rPr>
        <w:t>from 1991 to 2012.</w:t>
      </w:r>
    </w:p>
    <w:p w:rsidR="004F7ACC" w:rsidRPr="004E4729" w:rsidRDefault="004F7ACC" w:rsidP="0036124B">
      <w:pPr>
        <w:jc w:val="center"/>
        <w:rPr>
          <w:rStyle w:val="Hyperlink"/>
          <w:color w:val="auto"/>
          <w:sz w:val="18"/>
          <w:szCs w:val="18"/>
          <w:u w:val="none"/>
        </w:rPr>
      </w:pPr>
      <w:r w:rsidRPr="004F7ACC">
        <w:rPr>
          <w:sz w:val="18"/>
          <w:szCs w:val="18"/>
        </w:rPr>
        <w:t xml:space="preserve">Source: Author’s elaboration on </w:t>
      </w:r>
      <w:r w:rsidRPr="004E4729">
        <w:rPr>
          <w:sz w:val="18"/>
          <w:szCs w:val="18"/>
        </w:rPr>
        <w:t xml:space="preserve">data </w:t>
      </w:r>
      <w:hyperlink r:id="rId11" w:history="1">
        <w:r w:rsidR="004E4729" w:rsidRPr="004E4729">
          <w:rPr>
            <w:rStyle w:val="Hyperlink"/>
            <w:color w:val="auto"/>
            <w:sz w:val="18"/>
            <w:szCs w:val="18"/>
            <w:u w:val="none"/>
          </w:rPr>
          <w:t>http://faostat3.fao.org/faostat-gateway/go/to/home/E</w:t>
        </w:r>
      </w:hyperlink>
      <w:r w:rsidRPr="004E4729">
        <w:rPr>
          <w:rStyle w:val="Hyperlink"/>
          <w:color w:val="auto"/>
          <w:sz w:val="18"/>
          <w:szCs w:val="18"/>
          <w:u w:val="none"/>
        </w:rPr>
        <w:t>.</w:t>
      </w:r>
    </w:p>
    <w:p w:rsidR="004E4729" w:rsidRPr="004F7ACC" w:rsidRDefault="004E4729" w:rsidP="004E4729">
      <w:pPr>
        <w:ind w:firstLine="426"/>
        <w:jc w:val="both"/>
        <w:rPr>
          <w:sz w:val="22"/>
          <w:szCs w:val="22"/>
        </w:rPr>
      </w:pPr>
      <w:r w:rsidRPr="00B1268C">
        <w:rPr>
          <w:color w:val="222222"/>
          <w:sz w:val="22"/>
          <w:szCs w:val="22"/>
        </w:rPr>
        <w:lastRenderedPageBreak/>
        <w:t>In more than 20 years of investigation, the average value in the time series of protein and energy consumed every day by European citizens has highlighted a significant and consistent level of ingestion of food even if findings in some newcomer states of the European Union, such as Bulgaria, Latvia and Slovakia, have pointed out the lowest level of protein per day (Figure 3).</w:t>
      </w:r>
    </w:p>
    <w:p w:rsidR="004E4729" w:rsidRDefault="004E4729" w:rsidP="0036124B">
      <w:pPr>
        <w:jc w:val="center"/>
        <w:rPr>
          <w:sz w:val="22"/>
          <w:szCs w:val="22"/>
        </w:rPr>
      </w:pPr>
    </w:p>
    <w:p w:rsidR="004E4729" w:rsidRDefault="00236836" w:rsidP="004E4729">
      <w:pPr>
        <w:jc w:val="center"/>
        <w:rPr>
          <w:color w:val="222222"/>
          <w:sz w:val="22"/>
          <w:szCs w:val="22"/>
        </w:rPr>
      </w:pPr>
      <w:r w:rsidRPr="00231C17">
        <w:rPr>
          <w:sz w:val="22"/>
          <w:szCs w:val="22"/>
          <w:lang w:val="en-US"/>
        </w:rPr>
        <w:pict>
          <v:shape id="_x0000_i1027" type="#_x0000_t75" style="width:327.7pt;height:204pt" filled="t">
            <v:fill color2="black"/>
            <v:imagedata r:id="rId12" o:title="" grayscale="t"/>
          </v:shape>
        </w:pict>
      </w:r>
    </w:p>
    <w:p w:rsidR="004E4729" w:rsidRPr="00CB24A5" w:rsidRDefault="004E4729" w:rsidP="004E4729">
      <w:pPr>
        <w:jc w:val="center"/>
        <w:rPr>
          <w:sz w:val="8"/>
          <w:szCs w:val="8"/>
          <w:lang w:val="en-US"/>
        </w:rPr>
      </w:pPr>
    </w:p>
    <w:p w:rsidR="004E4729" w:rsidRDefault="004E4729" w:rsidP="004E4729">
      <w:pPr>
        <w:jc w:val="center"/>
        <w:rPr>
          <w:sz w:val="22"/>
          <w:szCs w:val="22"/>
          <w:lang w:val="en-US"/>
        </w:rPr>
      </w:pPr>
      <w:r w:rsidRPr="0036124B">
        <w:rPr>
          <w:sz w:val="22"/>
          <w:szCs w:val="22"/>
          <w:lang w:val="en-US"/>
        </w:rPr>
        <w:t xml:space="preserve">Figure 3. Daily average levels of protein and energy in European </w:t>
      </w:r>
    </w:p>
    <w:p w:rsidR="004E4729" w:rsidRPr="0036124B" w:rsidRDefault="004E4729" w:rsidP="004E4729">
      <w:pPr>
        <w:jc w:val="center"/>
        <w:rPr>
          <w:sz w:val="22"/>
          <w:szCs w:val="22"/>
        </w:rPr>
      </w:pPr>
      <w:r>
        <w:rPr>
          <w:sz w:val="22"/>
          <w:szCs w:val="22"/>
          <w:lang w:val="en-US"/>
        </w:rPr>
        <w:t>countries from 1991 to 2012.</w:t>
      </w:r>
    </w:p>
    <w:p w:rsidR="004E4729" w:rsidRDefault="004E4729" w:rsidP="004E4729">
      <w:pPr>
        <w:jc w:val="center"/>
        <w:rPr>
          <w:sz w:val="22"/>
          <w:szCs w:val="22"/>
          <w:lang w:val="en-US"/>
        </w:rPr>
      </w:pPr>
      <w:r>
        <w:rPr>
          <w:sz w:val="18"/>
          <w:szCs w:val="18"/>
        </w:rPr>
        <w:t>Source: Author’s elaboration on data http://faostat3.fao.org/faostat-gateway/go/to/home/E.</w:t>
      </w:r>
    </w:p>
    <w:p w:rsidR="004E4729" w:rsidRPr="00CB24A5" w:rsidRDefault="004E4729" w:rsidP="004E4729">
      <w:pPr>
        <w:tabs>
          <w:tab w:val="left" w:pos="6400"/>
        </w:tabs>
        <w:ind w:firstLine="426"/>
        <w:jc w:val="both"/>
        <w:rPr>
          <w:color w:val="222222"/>
          <w:sz w:val="8"/>
          <w:szCs w:val="8"/>
        </w:rPr>
      </w:pPr>
    </w:p>
    <w:p w:rsidR="008F5020" w:rsidRPr="00B1268C" w:rsidRDefault="008F5020" w:rsidP="0036124B">
      <w:pPr>
        <w:ind w:firstLine="426"/>
        <w:jc w:val="both"/>
        <w:rPr>
          <w:color w:val="222222"/>
          <w:sz w:val="22"/>
          <w:szCs w:val="22"/>
        </w:rPr>
      </w:pPr>
      <w:r w:rsidRPr="0036124B">
        <w:rPr>
          <w:color w:val="222222"/>
          <w:sz w:val="22"/>
          <w:szCs w:val="22"/>
        </w:rPr>
        <w:t xml:space="preserve">The rural population and also the urban population have been positively influenced by the level of intake </w:t>
      </w:r>
      <w:r w:rsidRPr="00B1268C">
        <w:rPr>
          <w:color w:val="222222"/>
          <w:sz w:val="22"/>
          <w:szCs w:val="22"/>
        </w:rPr>
        <w:t>protein (Table 1). In general, a growth of arable land has implemented the level of energy and protein consumed by the European citizens even if an increase of this latter has affected the use of fertilizers and CO</w:t>
      </w:r>
      <w:r w:rsidRPr="00B1268C">
        <w:rPr>
          <w:color w:val="222222"/>
          <w:sz w:val="22"/>
          <w:szCs w:val="22"/>
          <w:vertAlign w:val="subscript"/>
        </w:rPr>
        <w:t>2</w:t>
      </w:r>
      <w:r w:rsidRPr="00B1268C">
        <w:rPr>
          <w:color w:val="222222"/>
          <w:sz w:val="22"/>
          <w:szCs w:val="22"/>
        </w:rPr>
        <w:t xml:space="preserve"> emissions. Investments in machinery and in land capital have acted directly to the rising level of protein per day and they did not act on the level of consumpti</w:t>
      </w:r>
      <w:r w:rsidR="0032449C" w:rsidRPr="00B1268C">
        <w:rPr>
          <w:color w:val="222222"/>
          <w:sz w:val="22"/>
          <w:szCs w:val="22"/>
        </w:rPr>
        <w:t>on of food in terms of energy.</w:t>
      </w:r>
    </w:p>
    <w:p w:rsidR="004E4729" w:rsidRPr="0036124B" w:rsidRDefault="004E4729" w:rsidP="004E4729">
      <w:pPr>
        <w:tabs>
          <w:tab w:val="left" w:pos="6400"/>
        </w:tabs>
        <w:ind w:firstLine="426"/>
        <w:jc w:val="both"/>
        <w:rPr>
          <w:sz w:val="22"/>
          <w:szCs w:val="22"/>
          <w:lang w:val="en-US"/>
        </w:rPr>
      </w:pPr>
      <w:r w:rsidRPr="00B1268C">
        <w:rPr>
          <w:color w:val="222222"/>
          <w:sz w:val="22"/>
          <w:szCs w:val="22"/>
        </w:rPr>
        <w:t>Focusing the attention on all analyzed variables, such as protein and energy per day, arable land, agricultural areas, rural and urban population, investments in land capital and machinery, CO</w:t>
      </w:r>
      <w:r w:rsidRPr="00B1268C">
        <w:rPr>
          <w:color w:val="222222"/>
          <w:sz w:val="22"/>
          <w:szCs w:val="22"/>
          <w:vertAlign w:val="subscript"/>
        </w:rPr>
        <w:t>2</w:t>
      </w:r>
      <w:r w:rsidRPr="00B1268C">
        <w:rPr>
          <w:color w:val="222222"/>
          <w:sz w:val="22"/>
          <w:szCs w:val="22"/>
        </w:rPr>
        <w:t xml:space="preserve"> emissions, the Kohonen’s map has pointed out a meaningful level of horizontal variability with low level of interactions, as shown in white hexagons, in Italy and in some newcomer member states of the European Union such as Slovakia and Lithuania (Figure 4). Malta, Poland and Germany have been three countries characterized by the highest level of investigated variables such as a</w:t>
      </w:r>
      <w:r w:rsidRPr="00B1268C">
        <w:rPr>
          <w:color w:val="222222"/>
          <w:sz w:val="22"/>
          <w:szCs w:val="22"/>
          <w:lang w:val="en-US"/>
        </w:rPr>
        <w:t>rable land</w:t>
      </w:r>
      <w:r w:rsidRPr="00B1268C">
        <w:rPr>
          <w:color w:val="222222"/>
          <w:sz w:val="22"/>
          <w:szCs w:val="22"/>
        </w:rPr>
        <w:t>, level of investments, rural and urban population</w:t>
      </w:r>
      <w:r w:rsidRPr="0036124B">
        <w:rPr>
          <w:color w:val="222222"/>
          <w:sz w:val="22"/>
          <w:szCs w:val="22"/>
        </w:rPr>
        <w:t xml:space="preserve"> and food ingestions.</w:t>
      </w:r>
    </w:p>
    <w:p w:rsidR="004E4729" w:rsidRPr="0036124B" w:rsidRDefault="004E4729" w:rsidP="004E4729">
      <w:pPr>
        <w:jc w:val="both"/>
        <w:rPr>
          <w:sz w:val="22"/>
          <w:szCs w:val="22"/>
        </w:rPr>
      </w:pPr>
      <w:r w:rsidRPr="0036124B">
        <w:rPr>
          <w:sz w:val="22"/>
          <w:szCs w:val="22"/>
          <w:lang w:val="en-US"/>
        </w:rPr>
        <w:lastRenderedPageBreak/>
        <w:t>Table 1. Correlation among different investigated variables over time in all European countries.</w:t>
      </w:r>
    </w:p>
    <w:p w:rsidR="004E4729" w:rsidRPr="0036124B" w:rsidRDefault="004E4729" w:rsidP="004E4729">
      <w:pPr>
        <w:jc w:val="both"/>
        <w:rPr>
          <w:sz w:val="22"/>
          <w:szCs w:val="22"/>
        </w:rPr>
      </w:pPr>
    </w:p>
    <w:tbl>
      <w:tblPr>
        <w:tblW w:w="7371" w:type="dxa"/>
        <w:jc w:val="center"/>
        <w:tblLayout w:type="fixed"/>
        <w:tblCellMar>
          <w:left w:w="30" w:type="dxa"/>
          <w:right w:w="30" w:type="dxa"/>
        </w:tblCellMar>
        <w:tblLook w:val="0000"/>
      </w:tblPr>
      <w:tblGrid>
        <w:gridCol w:w="898"/>
        <w:gridCol w:w="622"/>
        <w:gridCol w:w="581"/>
        <w:gridCol w:w="622"/>
        <w:gridCol w:w="622"/>
        <w:gridCol w:w="678"/>
        <w:gridCol w:w="735"/>
        <w:gridCol w:w="635"/>
        <w:gridCol w:w="622"/>
        <w:gridCol w:w="678"/>
        <w:gridCol w:w="678"/>
      </w:tblGrid>
      <w:tr w:rsidR="004E4729" w:rsidRPr="0036124B" w:rsidTr="004E4729">
        <w:trPr>
          <w:cantSplit/>
          <w:trHeight w:val="1020"/>
          <w:jc w:val="center"/>
        </w:trPr>
        <w:tc>
          <w:tcPr>
            <w:tcW w:w="902" w:type="dxa"/>
            <w:tcBorders>
              <w:top w:val="single" w:sz="4" w:space="0" w:color="auto"/>
              <w:bottom w:val="single" w:sz="4" w:space="0" w:color="auto"/>
            </w:tcBorders>
            <w:shd w:val="clear" w:color="auto" w:fill="auto"/>
            <w:vAlign w:val="center"/>
          </w:tcPr>
          <w:p w:rsidR="004E4729" w:rsidRPr="0036124B" w:rsidRDefault="004E4729" w:rsidP="00D309AA">
            <w:pPr>
              <w:autoSpaceDE w:val="0"/>
              <w:snapToGrid w:val="0"/>
              <w:jc w:val="center"/>
              <w:rPr>
                <w:bCs/>
                <w:sz w:val="16"/>
                <w:szCs w:val="16"/>
              </w:rPr>
            </w:pPr>
          </w:p>
        </w:tc>
        <w:tc>
          <w:tcPr>
            <w:tcW w:w="624" w:type="dxa"/>
            <w:tcBorders>
              <w:top w:val="single" w:sz="4" w:space="0" w:color="auto"/>
              <w:bottom w:val="single" w:sz="4" w:space="0" w:color="auto"/>
            </w:tcBorders>
            <w:shd w:val="clear" w:color="auto" w:fill="auto"/>
            <w:textDirection w:val="btLr"/>
            <w:vAlign w:val="center"/>
          </w:tcPr>
          <w:p w:rsidR="004E4729" w:rsidRPr="0036124B" w:rsidRDefault="004E4729" w:rsidP="00D309AA">
            <w:pPr>
              <w:autoSpaceDE w:val="0"/>
              <w:ind w:left="113" w:right="113"/>
              <w:rPr>
                <w:bCs/>
                <w:sz w:val="16"/>
                <w:szCs w:val="16"/>
              </w:rPr>
            </w:pPr>
            <w:r w:rsidRPr="0036124B">
              <w:rPr>
                <w:bCs/>
                <w:sz w:val="16"/>
                <w:szCs w:val="16"/>
              </w:rPr>
              <w:t>Arable land</w:t>
            </w:r>
          </w:p>
        </w:tc>
        <w:tc>
          <w:tcPr>
            <w:tcW w:w="583" w:type="dxa"/>
            <w:tcBorders>
              <w:top w:val="single" w:sz="4" w:space="0" w:color="auto"/>
              <w:bottom w:val="single" w:sz="4" w:space="0" w:color="auto"/>
            </w:tcBorders>
            <w:shd w:val="clear" w:color="auto" w:fill="auto"/>
            <w:textDirection w:val="btLr"/>
            <w:vAlign w:val="center"/>
          </w:tcPr>
          <w:p w:rsidR="004E4729" w:rsidRPr="0036124B" w:rsidRDefault="004E4729" w:rsidP="00D309AA">
            <w:pPr>
              <w:autoSpaceDE w:val="0"/>
              <w:ind w:left="113" w:right="113"/>
              <w:rPr>
                <w:bCs/>
                <w:sz w:val="16"/>
                <w:szCs w:val="16"/>
              </w:rPr>
            </w:pPr>
            <w:r w:rsidRPr="0036124B">
              <w:rPr>
                <w:bCs/>
                <w:sz w:val="16"/>
                <w:szCs w:val="16"/>
              </w:rPr>
              <w:t>CO</w:t>
            </w:r>
            <w:r w:rsidRPr="0036124B">
              <w:rPr>
                <w:bCs/>
                <w:sz w:val="16"/>
                <w:szCs w:val="16"/>
                <w:vertAlign w:val="subscript"/>
              </w:rPr>
              <w:t xml:space="preserve">2 </w:t>
            </w:r>
            <w:r w:rsidRPr="0036124B">
              <w:rPr>
                <w:bCs/>
                <w:sz w:val="16"/>
                <w:szCs w:val="16"/>
              </w:rPr>
              <w:t>emission</w:t>
            </w:r>
          </w:p>
        </w:tc>
        <w:tc>
          <w:tcPr>
            <w:tcW w:w="624" w:type="dxa"/>
            <w:tcBorders>
              <w:top w:val="single" w:sz="4" w:space="0" w:color="auto"/>
              <w:bottom w:val="single" w:sz="4" w:space="0" w:color="auto"/>
            </w:tcBorders>
            <w:shd w:val="clear" w:color="auto" w:fill="auto"/>
            <w:textDirection w:val="btLr"/>
            <w:vAlign w:val="center"/>
          </w:tcPr>
          <w:p w:rsidR="004E4729" w:rsidRPr="0036124B" w:rsidRDefault="004E4729" w:rsidP="00D309AA">
            <w:pPr>
              <w:autoSpaceDE w:val="0"/>
              <w:ind w:left="113" w:right="113"/>
              <w:rPr>
                <w:bCs/>
                <w:sz w:val="16"/>
                <w:szCs w:val="16"/>
              </w:rPr>
            </w:pPr>
            <w:r w:rsidRPr="0036124B">
              <w:rPr>
                <w:bCs/>
                <w:sz w:val="16"/>
                <w:szCs w:val="16"/>
              </w:rPr>
              <w:t>Energy (kcal/day)</w:t>
            </w:r>
          </w:p>
        </w:tc>
        <w:tc>
          <w:tcPr>
            <w:tcW w:w="624" w:type="dxa"/>
            <w:tcBorders>
              <w:top w:val="single" w:sz="4" w:space="0" w:color="auto"/>
              <w:bottom w:val="single" w:sz="4" w:space="0" w:color="auto"/>
            </w:tcBorders>
            <w:shd w:val="clear" w:color="auto" w:fill="auto"/>
            <w:textDirection w:val="btLr"/>
            <w:vAlign w:val="center"/>
          </w:tcPr>
          <w:p w:rsidR="004E4729" w:rsidRPr="0036124B" w:rsidRDefault="004E4729" w:rsidP="00D309AA">
            <w:pPr>
              <w:autoSpaceDE w:val="0"/>
              <w:ind w:left="113" w:right="113"/>
              <w:rPr>
                <w:bCs/>
                <w:sz w:val="16"/>
                <w:szCs w:val="16"/>
              </w:rPr>
            </w:pPr>
            <w:r w:rsidRPr="0036124B">
              <w:rPr>
                <w:bCs/>
                <w:sz w:val="16"/>
                <w:szCs w:val="16"/>
              </w:rPr>
              <w:t>Forest</w:t>
            </w:r>
          </w:p>
        </w:tc>
        <w:tc>
          <w:tcPr>
            <w:tcW w:w="680" w:type="dxa"/>
            <w:tcBorders>
              <w:top w:val="single" w:sz="4" w:space="0" w:color="auto"/>
              <w:bottom w:val="single" w:sz="4" w:space="0" w:color="auto"/>
            </w:tcBorders>
            <w:shd w:val="clear" w:color="auto" w:fill="auto"/>
            <w:textDirection w:val="btLr"/>
            <w:vAlign w:val="center"/>
          </w:tcPr>
          <w:p w:rsidR="004E4729" w:rsidRPr="0036124B" w:rsidRDefault="004E4729" w:rsidP="00D309AA">
            <w:pPr>
              <w:autoSpaceDE w:val="0"/>
              <w:ind w:left="113" w:right="113"/>
              <w:rPr>
                <w:bCs/>
                <w:sz w:val="16"/>
                <w:szCs w:val="16"/>
              </w:rPr>
            </w:pPr>
            <w:r w:rsidRPr="0036124B">
              <w:rPr>
                <w:bCs/>
                <w:sz w:val="16"/>
                <w:szCs w:val="16"/>
              </w:rPr>
              <w:t>Land capital investments</w:t>
            </w:r>
          </w:p>
        </w:tc>
        <w:tc>
          <w:tcPr>
            <w:tcW w:w="737" w:type="dxa"/>
            <w:tcBorders>
              <w:top w:val="single" w:sz="4" w:space="0" w:color="auto"/>
              <w:bottom w:val="single" w:sz="4" w:space="0" w:color="auto"/>
            </w:tcBorders>
            <w:shd w:val="clear" w:color="auto" w:fill="auto"/>
            <w:textDirection w:val="btLr"/>
            <w:vAlign w:val="center"/>
          </w:tcPr>
          <w:p w:rsidR="004E4729" w:rsidRPr="0036124B" w:rsidRDefault="004E4729" w:rsidP="00D309AA">
            <w:pPr>
              <w:autoSpaceDE w:val="0"/>
              <w:ind w:left="113" w:right="113"/>
              <w:rPr>
                <w:bCs/>
                <w:sz w:val="16"/>
                <w:szCs w:val="16"/>
              </w:rPr>
            </w:pPr>
            <w:r w:rsidRPr="0036124B">
              <w:rPr>
                <w:bCs/>
                <w:sz w:val="16"/>
                <w:szCs w:val="16"/>
              </w:rPr>
              <w:t>Machinery investments</w:t>
            </w:r>
          </w:p>
        </w:tc>
        <w:tc>
          <w:tcPr>
            <w:tcW w:w="637" w:type="dxa"/>
            <w:tcBorders>
              <w:top w:val="single" w:sz="4" w:space="0" w:color="auto"/>
              <w:bottom w:val="single" w:sz="4" w:space="0" w:color="auto"/>
            </w:tcBorders>
            <w:shd w:val="clear" w:color="auto" w:fill="auto"/>
            <w:textDirection w:val="btLr"/>
            <w:vAlign w:val="center"/>
          </w:tcPr>
          <w:p w:rsidR="004E4729" w:rsidRPr="0036124B" w:rsidRDefault="004E4729" w:rsidP="00D309AA">
            <w:pPr>
              <w:autoSpaceDE w:val="0"/>
              <w:ind w:left="113" w:right="113"/>
              <w:rPr>
                <w:bCs/>
                <w:sz w:val="16"/>
                <w:szCs w:val="16"/>
              </w:rPr>
            </w:pPr>
            <w:r w:rsidRPr="0036124B">
              <w:rPr>
                <w:bCs/>
                <w:sz w:val="16"/>
                <w:szCs w:val="16"/>
              </w:rPr>
              <w:t>Meadows</w:t>
            </w:r>
          </w:p>
        </w:tc>
        <w:tc>
          <w:tcPr>
            <w:tcW w:w="624" w:type="dxa"/>
            <w:tcBorders>
              <w:top w:val="single" w:sz="4" w:space="0" w:color="auto"/>
              <w:bottom w:val="single" w:sz="4" w:space="0" w:color="auto"/>
            </w:tcBorders>
            <w:shd w:val="clear" w:color="auto" w:fill="auto"/>
            <w:textDirection w:val="btLr"/>
            <w:vAlign w:val="center"/>
          </w:tcPr>
          <w:p w:rsidR="004E4729" w:rsidRPr="0036124B" w:rsidRDefault="004E4729" w:rsidP="00D309AA">
            <w:pPr>
              <w:autoSpaceDE w:val="0"/>
              <w:ind w:left="113" w:right="113"/>
              <w:rPr>
                <w:bCs/>
                <w:sz w:val="16"/>
                <w:szCs w:val="16"/>
              </w:rPr>
            </w:pPr>
            <w:r w:rsidRPr="0036124B">
              <w:rPr>
                <w:bCs/>
                <w:sz w:val="16"/>
                <w:szCs w:val="16"/>
              </w:rPr>
              <w:t>Protein per day</w:t>
            </w:r>
          </w:p>
        </w:tc>
        <w:tc>
          <w:tcPr>
            <w:tcW w:w="680" w:type="dxa"/>
            <w:tcBorders>
              <w:top w:val="single" w:sz="4" w:space="0" w:color="auto"/>
              <w:bottom w:val="single" w:sz="4" w:space="0" w:color="auto"/>
            </w:tcBorders>
            <w:shd w:val="clear" w:color="auto" w:fill="auto"/>
            <w:textDirection w:val="btLr"/>
            <w:vAlign w:val="center"/>
          </w:tcPr>
          <w:p w:rsidR="004E4729" w:rsidRPr="0036124B" w:rsidRDefault="004E4729" w:rsidP="00D309AA">
            <w:pPr>
              <w:autoSpaceDE w:val="0"/>
              <w:ind w:left="113" w:right="113"/>
              <w:rPr>
                <w:bCs/>
                <w:sz w:val="16"/>
                <w:szCs w:val="16"/>
              </w:rPr>
            </w:pPr>
            <w:r w:rsidRPr="0036124B">
              <w:rPr>
                <w:bCs/>
                <w:sz w:val="16"/>
                <w:szCs w:val="16"/>
              </w:rPr>
              <w:t>Rural population</w:t>
            </w:r>
          </w:p>
        </w:tc>
        <w:tc>
          <w:tcPr>
            <w:tcW w:w="680" w:type="dxa"/>
            <w:tcBorders>
              <w:top w:val="single" w:sz="4" w:space="0" w:color="auto"/>
              <w:bottom w:val="single" w:sz="4" w:space="0" w:color="auto"/>
            </w:tcBorders>
            <w:shd w:val="clear" w:color="auto" w:fill="auto"/>
            <w:textDirection w:val="btLr"/>
            <w:vAlign w:val="center"/>
          </w:tcPr>
          <w:p w:rsidR="004E4729" w:rsidRPr="0036124B" w:rsidRDefault="004E4729" w:rsidP="00D309AA">
            <w:pPr>
              <w:autoSpaceDE w:val="0"/>
              <w:ind w:left="113" w:right="113"/>
              <w:rPr>
                <w:sz w:val="16"/>
                <w:szCs w:val="16"/>
              </w:rPr>
            </w:pPr>
            <w:r w:rsidRPr="0036124B">
              <w:rPr>
                <w:bCs/>
                <w:sz w:val="16"/>
                <w:szCs w:val="16"/>
              </w:rPr>
              <w:t>Urban population</w:t>
            </w:r>
          </w:p>
        </w:tc>
      </w:tr>
      <w:tr w:rsidR="004E4729" w:rsidRPr="0036124B" w:rsidTr="004E4729">
        <w:trPr>
          <w:trHeight w:val="283"/>
          <w:jc w:val="center"/>
        </w:trPr>
        <w:tc>
          <w:tcPr>
            <w:tcW w:w="902" w:type="dxa"/>
            <w:tcBorders>
              <w:top w:val="single" w:sz="4" w:space="0" w:color="auto"/>
            </w:tcBorders>
            <w:shd w:val="clear" w:color="auto" w:fill="auto"/>
            <w:vAlign w:val="center"/>
          </w:tcPr>
          <w:p w:rsidR="004E4729" w:rsidRPr="0036124B" w:rsidRDefault="004E4729" w:rsidP="00D309AA">
            <w:pPr>
              <w:autoSpaceDE w:val="0"/>
              <w:rPr>
                <w:sz w:val="16"/>
                <w:szCs w:val="16"/>
              </w:rPr>
            </w:pPr>
            <w:r w:rsidRPr="0036124B">
              <w:rPr>
                <w:bCs/>
                <w:sz w:val="16"/>
                <w:szCs w:val="16"/>
              </w:rPr>
              <w:t>Arable land</w:t>
            </w:r>
          </w:p>
        </w:tc>
        <w:tc>
          <w:tcPr>
            <w:tcW w:w="624" w:type="dxa"/>
            <w:tcBorders>
              <w:top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1.00</w:t>
            </w:r>
          </w:p>
        </w:tc>
        <w:tc>
          <w:tcPr>
            <w:tcW w:w="583" w:type="dxa"/>
            <w:tcBorders>
              <w:top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0.8820</w:t>
            </w:r>
          </w:p>
        </w:tc>
        <w:tc>
          <w:tcPr>
            <w:tcW w:w="624" w:type="dxa"/>
            <w:tcBorders>
              <w:top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0.3109*</w:t>
            </w:r>
          </w:p>
        </w:tc>
        <w:tc>
          <w:tcPr>
            <w:tcW w:w="624" w:type="dxa"/>
            <w:tcBorders>
              <w:top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0.4810</w:t>
            </w:r>
          </w:p>
        </w:tc>
        <w:tc>
          <w:tcPr>
            <w:tcW w:w="680" w:type="dxa"/>
            <w:tcBorders>
              <w:top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0.8092</w:t>
            </w:r>
          </w:p>
        </w:tc>
        <w:tc>
          <w:tcPr>
            <w:tcW w:w="737" w:type="dxa"/>
            <w:tcBorders>
              <w:top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0.8142</w:t>
            </w:r>
          </w:p>
        </w:tc>
        <w:tc>
          <w:tcPr>
            <w:tcW w:w="637" w:type="dxa"/>
            <w:tcBorders>
              <w:top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0.7810</w:t>
            </w:r>
          </w:p>
        </w:tc>
        <w:tc>
          <w:tcPr>
            <w:tcW w:w="624" w:type="dxa"/>
            <w:tcBorders>
              <w:top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0.2686*</w:t>
            </w:r>
          </w:p>
        </w:tc>
        <w:tc>
          <w:tcPr>
            <w:tcW w:w="680" w:type="dxa"/>
            <w:tcBorders>
              <w:top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0.8132</w:t>
            </w:r>
          </w:p>
        </w:tc>
        <w:tc>
          <w:tcPr>
            <w:tcW w:w="680" w:type="dxa"/>
            <w:tcBorders>
              <w:top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0.8040</w:t>
            </w:r>
          </w:p>
        </w:tc>
      </w:tr>
      <w:tr w:rsidR="004E4729" w:rsidRPr="0036124B" w:rsidTr="004E4729">
        <w:trPr>
          <w:trHeight w:val="227"/>
          <w:jc w:val="center"/>
        </w:trPr>
        <w:tc>
          <w:tcPr>
            <w:tcW w:w="902" w:type="dxa"/>
            <w:shd w:val="clear" w:color="auto" w:fill="auto"/>
            <w:vAlign w:val="center"/>
          </w:tcPr>
          <w:p w:rsidR="004E4729" w:rsidRPr="0036124B" w:rsidRDefault="004E4729" w:rsidP="00D309AA">
            <w:pPr>
              <w:autoSpaceDE w:val="0"/>
              <w:rPr>
                <w:sz w:val="16"/>
                <w:szCs w:val="16"/>
              </w:rPr>
            </w:pPr>
            <w:r w:rsidRPr="0036124B">
              <w:rPr>
                <w:bCs/>
                <w:sz w:val="16"/>
                <w:szCs w:val="16"/>
              </w:rPr>
              <w:t>CO</w:t>
            </w:r>
            <w:r w:rsidRPr="0036124B">
              <w:rPr>
                <w:bCs/>
                <w:sz w:val="16"/>
                <w:szCs w:val="16"/>
                <w:vertAlign w:val="subscript"/>
              </w:rPr>
              <w:t>2</w:t>
            </w:r>
            <w:r w:rsidRPr="0036124B">
              <w:rPr>
                <w:bCs/>
                <w:sz w:val="16"/>
                <w:szCs w:val="16"/>
              </w:rPr>
              <w:t xml:space="preserve"> emission</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0.8820</w:t>
            </w:r>
          </w:p>
        </w:tc>
        <w:tc>
          <w:tcPr>
            <w:tcW w:w="583" w:type="dxa"/>
            <w:shd w:val="clear" w:color="auto" w:fill="auto"/>
            <w:vAlign w:val="center"/>
          </w:tcPr>
          <w:p w:rsidR="004E4729" w:rsidRPr="0036124B" w:rsidRDefault="004E4729" w:rsidP="00D309AA">
            <w:pPr>
              <w:autoSpaceDE w:val="0"/>
              <w:jc w:val="center"/>
              <w:rPr>
                <w:sz w:val="16"/>
                <w:szCs w:val="16"/>
              </w:rPr>
            </w:pPr>
            <w:r w:rsidRPr="0036124B">
              <w:rPr>
                <w:sz w:val="16"/>
                <w:szCs w:val="16"/>
              </w:rPr>
              <w:t>1.00</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0.4810</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0.3885</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0.5291</w:t>
            </w:r>
          </w:p>
        </w:tc>
        <w:tc>
          <w:tcPr>
            <w:tcW w:w="7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0.8617</w:t>
            </w:r>
          </w:p>
        </w:tc>
        <w:tc>
          <w:tcPr>
            <w:tcW w:w="6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0.8096</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0.3145*</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0.8126</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0.9275</w:t>
            </w:r>
          </w:p>
        </w:tc>
      </w:tr>
      <w:tr w:rsidR="004E4729" w:rsidRPr="0036124B" w:rsidTr="004E4729">
        <w:trPr>
          <w:trHeight w:val="227"/>
          <w:jc w:val="center"/>
        </w:trPr>
        <w:tc>
          <w:tcPr>
            <w:tcW w:w="902" w:type="dxa"/>
            <w:shd w:val="clear" w:color="auto" w:fill="auto"/>
            <w:vAlign w:val="center"/>
          </w:tcPr>
          <w:p w:rsidR="004E4729" w:rsidRPr="0036124B" w:rsidRDefault="004E4729" w:rsidP="00D309AA">
            <w:pPr>
              <w:autoSpaceDE w:val="0"/>
              <w:rPr>
                <w:sz w:val="16"/>
                <w:szCs w:val="16"/>
              </w:rPr>
            </w:pPr>
            <w:r w:rsidRPr="0036124B">
              <w:rPr>
                <w:bCs/>
                <w:sz w:val="16"/>
                <w:szCs w:val="16"/>
              </w:rPr>
              <w:t>Energy (kcal/day)</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0.3109*</w:t>
            </w:r>
          </w:p>
        </w:tc>
        <w:tc>
          <w:tcPr>
            <w:tcW w:w="583" w:type="dxa"/>
            <w:shd w:val="clear" w:color="auto" w:fill="auto"/>
            <w:vAlign w:val="center"/>
          </w:tcPr>
          <w:p w:rsidR="004E4729" w:rsidRPr="0036124B" w:rsidRDefault="004E4729" w:rsidP="00D309AA">
            <w:pPr>
              <w:autoSpaceDE w:val="0"/>
              <w:jc w:val="center"/>
              <w:rPr>
                <w:sz w:val="16"/>
                <w:szCs w:val="16"/>
              </w:rPr>
            </w:pPr>
            <w:r w:rsidRPr="0036124B">
              <w:rPr>
                <w:sz w:val="16"/>
                <w:szCs w:val="16"/>
              </w:rPr>
              <w:t>0.3919</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1.00</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0.0263*</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0.2479*</w:t>
            </w:r>
          </w:p>
        </w:tc>
        <w:tc>
          <w:tcPr>
            <w:tcW w:w="7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0.3892</w:t>
            </w:r>
          </w:p>
        </w:tc>
        <w:tc>
          <w:tcPr>
            <w:tcW w:w="6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0.3772*</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0.8004</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0.3893</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0.3848</w:t>
            </w:r>
          </w:p>
        </w:tc>
      </w:tr>
      <w:tr w:rsidR="004E4729" w:rsidRPr="0036124B" w:rsidTr="004E4729">
        <w:trPr>
          <w:trHeight w:val="227"/>
          <w:jc w:val="center"/>
        </w:trPr>
        <w:tc>
          <w:tcPr>
            <w:tcW w:w="902" w:type="dxa"/>
            <w:shd w:val="clear" w:color="auto" w:fill="auto"/>
            <w:vAlign w:val="center"/>
          </w:tcPr>
          <w:p w:rsidR="004E4729" w:rsidRPr="0036124B" w:rsidRDefault="004E4729" w:rsidP="00D309AA">
            <w:pPr>
              <w:autoSpaceDE w:val="0"/>
              <w:rPr>
                <w:sz w:val="16"/>
                <w:szCs w:val="16"/>
              </w:rPr>
            </w:pPr>
            <w:r w:rsidRPr="0036124B">
              <w:rPr>
                <w:bCs/>
                <w:sz w:val="16"/>
                <w:szCs w:val="16"/>
              </w:rPr>
              <w:t>Forest</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0.4810</w:t>
            </w:r>
          </w:p>
        </w:tc>
        <w:tc>
          <w:tcPr>
            <w:tcW w:w="583" w:type="dxa"/>
            <w:shd w:val="clear" w:color="auto" w:fill="auto"/>
            <w:vAlign w:val="center"/>
          </w:tcPr>
          <w:p w:rsidR="004E4729" w:rsidRPr="0036124B" w:rsidRDefault="004E4729" w:rsidP="00D309AA">
            <w:pPr>
              <w:autoSpaceDE w:val="0"/>
              <w:jc w:val="center"/>
              <w:rPr>
                <w:sz w:val="16"/>
                <w:szCs w:val="16"/>
              </w:rPr>
            </w:pPr>
            <w:r w:rsidRPr="0036124B">
              <w:rPr>
                <w:sz w:val="16"/>
                <w:szCs w:val="16"/>
              </w:rPr>
              <w:t>0.3885</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0.0263*</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1.00</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0.3239*</w:t>
            </w:r>
          </w:p>
        </w:tc>
        <w:tc>
          <w:tcPr>
            <w:tcW w:w="7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0.4218</w:t>
            </w:r>
          </w:p>
        </w:tc>
        <w:tc>
          <w:tcPr>
            <w:tcW w:w="6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0.2934*</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0.2257*</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0.3008*</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0.3535*</w:t>
            </w:r>
          </w:p>
        </w:tc>
      </w:tr>
      <w:tr w:rsidR="004E4729" w:rsidRPr="0036124B" w:rsidTr="004E4729">
        <w:trPr>
          <w:trHeight w:val="227"/>
          <w:jc w:val="center"/>
        </w:trPr>
        <w:tc>
          <w:tcPr>
            <w:tcW w:w="902" w:type="dxa"/>
            <w:shd w:val="clear" w:color="auto" w:fill="auto"/>
            <w:vAlign w:val="center"/>
          </w:tcPr>
          <w:p w:rsidR="004E4729" w:rsidRPr="0036124B" w:rsidRDefault="004E4729" w:rsidP="00D309AA">
            <w:pPr>
              <w:autoSpaceDE w:val="0"/>
              <w:rPr>
                <w:sz w:val="16"/>
                <w:szCs w:val="16"/>
              </w:rPr>
            </w:pPr>
            <w:r w:rsidRPr="0036124B">
              <w:rPr>
                <w:bCs/>
                <w:sz w:val="16"/>
                <w:szCs w:val="16"/>
              </w:rPr>
              <w:t>Land capital investments</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0.8092</w:t>
            </w:r>
          </w:p>
        </w:tc>
        <w:tc>
          <w:tcPr>
            <w:tcW w:w="583" w:type="dxa"/>
            <w:shd w:val="clear" w:color="auto" w:fill="auto"/>
            <w:vAlign w:val="center"/>
          </w:tcPr>
          <w:p w:rsidR="004E4729" w:rsidRPr="0036124B" w:rsidRDefault="004E4729" w:rsidP="00D309AA">
            <w:pPr>
              <w:autoSpaceDE w:val="0"/>
              <w:jc w:val="center"/>
              <w:rPr>
                <w:sz w:val="16"/>
                <w:szCs w:val="16"/>
              </w:rPr>
            </w:pPr>
            <w:r w:rsidRPr="0036124B">
              <w:rPr>
                <w:sz w:val="16"/>
                <w:szCs w:val="16"/>
              </w:rPr>
              <w:t>0.5291</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0.2479*</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0.3239*</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1.00</w:t>
            </w:r>
          </w:p>
        </w:tc>
        <w:tc>
          <w:tcPr>
            <w:tcW w:w="7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0.4874</w:t>
            </w:r>
          </w:p>
        </w:tc>
        <w:tc>
          <w:tcPr>
            <w:tcW w:w="6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0.6542</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0.2656*</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0.6641</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0.5156</w:t>
            </w:r>
          </w:p>
        </w:tc>
      </w:tr>
      <w:tr w:rsidR="004E4729" w:rsidRPr="0036124B" w:rsidTr="004E4729">
        <w:trPr>
          <w:trHeight w:val="227"/>
          <w:jc w:val="center"/>
        </w:trPr>
        <w:tc>
          <w:tcPr>
            <w:tcW w:w="902" w:type="dxa"/>
            <w:shd w:val="clear" w:color="auto" w:fill="auto"/>
            <w:vAlign w:val="center"/>
          </w:tcPr>
          <w:p w:rsidR="004E4729" w:rsidRPr="0036124B" w:rsidRDefault="004E4729" w:rsidP="00D309AA">
            <w:pPr>
              <w:autoSpaceDE w:val="0"/>
              <w:rPr>
                <w:sz w:val="16"/>
                <w:szCs w:val="16"/>
              </w:rPr>
            </w:pPr>
            <w:r w:rsidRPr="0036124B">
              <w:rPr>
                <w:bCs/>
                <w:sz w:val="16"/>
                <w:szCs w:val="16"/>
              </w:rPr>
              <w:t>Machinery investments</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0.8142</w:t>
            </w:r>
          </w:p>
        </w:tc>
        <w:tc>
          <w:tcPr>
            <w:tcW w:w="583" w:type="dxa"/>
            <w:shd w:val="clear" w:color="auto" w:fill="auto"/>
            <w:vAlign w:val="center"/>
          </w:tcPr>
          <w:p w:rsidR="004E4729" w:rsidRPr="0036124B" w:rsidRDefault="004E4729" w:rsidP="00D309AA">
            <w:pPr>
              <w:autoSpaceDE w:val="0"/>
              <w:jc w:val="center"/>
              <w:rPr>
                <w:sz w:val="16"/>
                <w:szCs w:val="16"/>
              </w:rPr>
            </w:pPr>
            <w:r w:rsidRPr="0036124B">
              <w:rPr>
                <w:sz w:val="16"/>
                <w:szCs w:val="16"/>
              </w:rPr>
              <w:t>0.8617</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0.3892</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0.4218</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0.4874</w:t>
            </w:r>
          </w:p>
        </w:tc>
        <w:tc>
          <w:tcPr>
            <w:tcW w:w="737" w:type="dxa"/>
            <w:shd w:val="clear" w:color="auto" w:fill="auto"/>
            <w:vAlign w:val="center"/>
          </w:tcPr>
          <w:p w:rsidR="004E4729" w:rsidRPr="0036124B" w:rsidRDefault="004E4729" w:rsidP="00D309AA">
            <w:pPr>
              <w:autoSpaceDE w:val="0"/>
              <w:jc w:val="center"/>
              <w:rPr>
                <w:sz w:val="16"/>
                <w:szCs w:val="16"/>
              </w:rPr>
            </w:pPr>
            <w:r w:rsidRPr="0036124B">
              <w:rPr>
                <w:sz w:val="16"/>
                <w:szCs w:val="16"/>
              </w:rPr>
              <w:t>1.00</w:t>
            </w:r>
          </w:p>
        </w:tc>
        <w:tc>
          <w:tcPr>
            <w:tcW w:w="6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0.5940</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0.2663*</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0.9182</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0.8936</w:t>
            </w:r>
          </w:p>
        </w:tc>
      </w:tr>
      <w:tr w:rsidR="004E4729" w:rsidRPr="0036124B" w:rsidTr="004E4729">
        <w:trPr>
          <w:trHeight w:val="227"/>
          <w:jc w:val="center"/>
        </w:trPr>
        <w:tc>
          <w:tcPr>
            <w:tcW w:w="902" w:type="dxa"/>
            <w:shd w:val="clear" w:color="auto" w:fill="auto"/>
            <w:vAlign w:val="center"/>
          </w:tcPr>
          <w:p w:rsidR="004E4729" w:rsidRPr="0036124B" w:rsidRDefault="004E4729" w:rsidP="00D309AA">
            <w:pPr>
              <w:autoSpaceDE w:val="0"/>
              <w:rPr>
                <w:sz w:val="16"/>
                <w:szCs w:val="16"/>
              </w:rPr>
            </w:pPr>
            <w:r w:rsidRPr="0036124B">
              <w:rPr>
                <w:bCs/>
                <w:sz w:val="16"/>
                <w:szCs w:val="16"/>
              </w:rPr>
              <w:t>Meadows</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0.7810</w:t>
            </w:r>
          </w:p>
        </w:tc>
        <w:tc>
          <w:tcPr>
            <w:tcW w:w="583" w:type="dxa"/>
            <w:shd w:val="clear" w:color="auto" w:fill="auto"/>
            <w:vAlign w:val="center"/>
          </w:tcPr>
          <w:p w:rsidR="004E4729" w:rsidRPr="0036124B" w:rsidRDefault="004E4729" w:rsidP="00D309AA">
            <w:pPr>
              <w:autoSpaceDE w:val="0"/>
              <w:jc w:val="center"/>
              <w:rPr>
                <w:sz w:val="16"/>
                <w:szCs w:val="16"/>
              </w:rPr>
            </w:pPr>
            <w:r w:rsidRPr="0036124B">
              <w:rPr>
                <w:sz w:val="16"/>
                <w:szCs w:val="16"/>
              </w:rPr>
              <w:t>0.8096</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0.3772*</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0.2934*</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0.6542</w:t>
            </w:r>
          </w:p>
        </w:tc>
        <w:tc>
          <w:tcPr>
            <w:tcW w:w="7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0.5940</w:t>
            </w:r>
          </w:p>
        </w:tc>
        <w:tc>
          <w:tcPr>
            <w:tcW w:w="637" w:type="dxa"/>
            <w:shd w:val="clear" w:color="auto" w:fill="auto"/>
            <w:vAlign w:val="center"/>
          </w:tcPr>
          <w:p w:rsidR="004E4729" w:rsidRPr="0036124B" w:rsidRDefault="004E4729" w:rsidP="00D309AA">
            <w:pPr>
              <w:autoSpaceDE w:val="0"/>
              <w:jc w:val="center"/>
              <w:rPr>
                <w:sz w:val="16"/>
                <w:szCs w:val="16"/>
              </w:rPr>
            </w:pPr>
            <w:r w:rsidRPr="0036124B">
              <w:rPr>
                <w:sz w:val="16"/>
                <w:szCs w:val="16"/>
              </w:rPr>
              <w:t>1.00</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0.3657*</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0.6931</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0.7965</w:t>
            </w:r>
          </w:p>
        </w:tc>
      </w:tr>
      <w:tr w:rsidR="004E4729" w:rsidRPr="0036124B" w:rsidTr="004E4729">
        <w:trPr>
          <w:trHeight w:val="227"/>
          <w:jc w:val="center"/>
        </w:trPr>
        <w:tc>
          <w:tcPr>
            <w:tcW w:w="902" w:type="dxa"/>
            <w:shd w:val="clear" w:color="auto" w:fill="auto"/>
            <w:vAlign w:val="center"/>
          </w:tcPr>
          <w:p w:rsidR="004E4729" w:rsidRPr="0036124B" w:rsidRDefault="004E4729" w:rsidP="00D309AA">
            <w:pPr>
              <w:autoSpaceDE w:val="0"/>
              <w:rPr>
                <w:sz w:val="16"/>
                <w:szCs w:val="16"/>
              </w:rPr>
            </w:pPr>
            <w:r w:rsidRPr="0036124B">
              <w:rPr>
                <w:bCs/>
                <w:sz w:val="16"/>
                <w:szCs w:val="16"/>
              </w:rPr>
              <w:t>Protein per day</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0.2686*</w:t>
            </w:r>
          </w:p>
        </w:tc>
        <w:tc>
          <w:tcPr>
            <w:tcW w:w="583" w:type="dxa"/>
            <w:shd w:val="clear" w:color="auto" w:fill="auto"/>
            <w:vAlign w:val="center"/>
          </w:tcPr>
          <w:p w:rsidR="004E4729" w:rsidRPr="0036124B" w:rsidRDefault="004E4729" w:rsidP="00D309AA">
            <w:pPr>
              <w:autoSpaceDE w:val="0"/>
              <w:jc w:val="center"/>
              <w:rPr>
                <w:sz w:val="16"/>
                <w:szCs w:val="16"/>
              </w:rPr>
            </w:pPr>
            <w:r w:rsidRPr="0036124B">
              <w:rPr>
                <w:sz w:val="16"/>
                <w:szCs w:val="16"/>
              </w:rPr>
              <w:t>0.3145*</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0.8004</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0.2257*</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0.2656*</w:t>
            </w:r>
          </w:p>
        </w:tc>
        <w:tc>
          <w:tcPr>
            <w:tcW w:w="7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0.2663*</w:t>
            </w:r>
          </w:p>
        </w:tc>
        <w:tc>
          <w:tcPr>
            <w:tcW w:w="6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0.3657*</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1.00</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0.2339*</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0.2588*</w:t>
            </w:r>
          </w:p>
        </w:tc>
      </w:tr>
      <w:tr w:rsidR="004E4729" w:rsidRPr="0036124B" w:rsidTr="004E4729">
        <w:trPr>
          <w:trHeight w:val="227"/>
          <w:jc w:val="center"/>
        </w:trPr>
        <w:tc>
          <w:tcPr>
            <w:tcW w:w="902" w:type="dxa"/>
            <w:shd w:val="clear" w:color="auto" w:fill="auto"/>
            <w:vAlign w:val="center"/>
          </w:tcPr>
          <w:p w:rsidR="004E4729" w:rsidRPr="0036124B" w:rsidRDefault="004E4729" w:rsidP="00D309AA">
            <w:pPr>
              <w:autoSpaceDE w:val="0"/>
              <w:rPr>
                <w:sz w:val="16"/>
                <w:szCs w:val="16"/>
              </w:rPr>
            </w:pPr>
            <w:r w:rsidRPr="0036124B">
              <w:rPr>
                <w:bCs/>
                <w:sz w:val="16"/>
                <w:szCs w:val="16"/>
              </w:rPr>
              <w:t>Rural population</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0.8132</w:t>
            </w:r>
          </w:p>
        </w:tc>
        <w:tc>
          <w:tcPr>
            <w:tcW w:w="583" w:type="dxa"/>
            <w:shd w:val="clear" w:color="auto" w:fill="auto"/>
            <w:vAlign w:val="center"/>
          </w:tcPr>
          <w:p w:rsidR="004E4729" w:rsidRPr="0036124B" w:rsidRDefault="004E4729" w:rsidP="00D309AA">
            <w:pPr>
              <w:autoSpaceDE w:val="0"/>
              <w:jc w:val="center"/>
              <w:rPr>
                <w:sz w:val="16"/>
                <w:szCs w:val="16"/>
              </w:rPr>
            </w:pPr>
            <w:r w:rsidRPr="0036124B">
              <w:rPr>
                <w:sz w:val="16"/>
                <w:szCs w:val="16"/>
              </w:rPr>
              <w:t>0.8126</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0.3893</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0.3008*</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0.6641</w:t>
            </w:r>
          </w:p>
        </w:tc>
        <w:tc>
          <w:tcPr>
            <w:tcW w:w="7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0.9182</w:t>
            </w:r>
          </w:p>
        </w:tc>
        <w:tc>
          <w:tcPr>
            <w:tcW w:w="637" w:type="dxa"/>
            <w:shd w:val="clear" w:color="auto" w:fill="auto"/>
            <w:vAlign w:val="center"/>
          </w:tcPr>
          <w:p w:rsidR="004E4729" w:rsidRPr="0036124B" w:rsidRDefault="004E4729" w:rsidP="00D309AA">
            <w:pPr>
              <w:autoSpaceDE w:val="0"/>
              <w:jc w:val="center"/>
              <w:rPr>
                <w:sz w:val="16"/>
                <w:szCs w:val="16"/>
              </w:rPr>
            </w:pPr>
            <w:r w:rsidRPr="0036124B">
              <w:rPr>
                <w:sz w:val="16"/>
                <w:szCs w:val="16"/>
              </w:rPr>
              <w:t>0.6931</w:t>
            </w:r>
          </w:p>
        </w:tc>
        <w:tc>
          <w:tcPr>
            <w:tcW w:w="624" w:type="dxa"/>
            <w:shd w:val="clear" w:color="auto" w:fill="auto"/>
            <w:vAlign w:val="center"/>
          </w:tcPr>
          <w:p w:rsidR="004E4729" w:rsidRPr="0036124B" w:rsidRDefault="004E4729" w:rsidP="00D309AA">
            <w:pPr>
              <w:autoSpaceDE w:val="0"/>
              <w:jc w:val="center"/>
              <w:rPr>
                <w:sz w:val="16"/>
                <w:szCs w:val="16"/>
              </w:rPr>
            </w:pPr>
            <w:r w:rsidRPr="0036124B">
              <w:rPr>
                <w:sz w:val="16"/>
                <w:szCs w:val="16"/>
              </w:rPr>
              <w:t>0.2339*</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1.00</w:t>
            </w:r>
          </w:p>
        </w:tc>
        <w:tc>
          <w:tcPr>
            <w:tcW w:w="680" w:type="dxa"/>
            <w:shd w:val="clear" w:color="auto" w:fill="auto"/>
            <w:vAlign w:val="center"/>
          </w:tcPr>
          <w:p w:rsidR="004E4729" w:rsidRPr="0036124B" w:rsidRDefault="004E4729" w:rsidP="00D309AA">
            <w:pPr>
              <w:autoSpaceDE w:val="0"/>
              <w:jc w:val="center"/>
              <w:rPr>
                <w:sz w:val="16"/>
                <w:szCs w:val="16"/>
              </w:rPr>
            </w:pPr>
            <w:r w:rsidRPr="0036124B">
              <w:rPr>
                <w:sz w:val="16"/>
                <w:szCs w:val="16"/>
              </w:rPr>
              <w:t>0.9159</w:t>
            </w:r>
          </w:p>
        </w:tc>
      </w:tr>
      <w:tr w:rsidR="004E4729" w:rsidRPr="0036124B" w:rsidTr="004E4729">
        <w:trPr>
          <w:trHeight w:val="227"/>
          <w:jc w:val="center"/>
        </w:trPr>
        <w:tc>
          <w:tcPr>
            <w:tcW w:w="902" w:type="dxa"/>
            <w:tcBorders>
              <w:bottom w:val="single" w:sz="4" w:space="0" w:color="auto"/>
            </w:tcBorders>
            <w:shd w:val="clear" w:color="auto" w:fill="auto"/>
            <w:vAlign w:val="center"/>
          </w:tcPr>
          <w:p w:rsidR="004E4729" w:rsidRPr="0036124B" w:rsidRDefault="004E4729" w:rsidP="00D309AA">
            <w:pPr>
              <w:autoSpaceDE w:val="0"/>
              <w:rPr>
                <w:sz w:val="16"/>
                <w:szCs w:val="16"/>
              </w:rPr>
            </w:pPr>
            <w:r w:rsidRPr="0036124B">
              <w:rPr>
                <w:bCs/>
                <w:sz w:val="16"/>
                <w:szCs w:val="16"/>
              </w:rPr>
              <w:t>Urban population</w:t>
            </w:r>
          </w:p>
        </w:tc>
        <w:tc>
          <w:tcPr>
            <w:tcW w:w="624" w:type="dxa"/>
            <w:tcBorders>
              <w:bottom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0.8040</w:t>
            </w:r>
          </w:p>
        </w:tc>
        <w:tc>
          <w:tcPr>
            <w:tcW w:w="583" w:type="dxa"/>
            <w:tcBorders>
              <w:bottom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0.9275</w:t>
            </w:r>
          </w:p>
        </w:tc>
        <w:tc>
          <w:tcPr>
            <w:tcW w:w="624" w:type="dxa"/>
            <w:tcBorders>
              <w:bottom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0.3848</w:t>
            </w:r>
          </w:p>
        </w:tc>
        <w:tc>
          <w:tcPr>
            <w:tcW w:w="624" w:type="dxa"/>
            <w:tcBorders>
              <w:bottom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0.3535*</w:t>
            </w:r>
          </w:p>
        </w:tc>
        <w:tc>
          <w:tcPr>
            <w:tcW w:w="680" w:type="dxa"/>
            <w:tcBorders>
              <w:bottom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0.5156</w:t>
            </w:r>
          </w:p>
        </w:tc>
        <w:tc>
          <w:tcPr>
            <w:tcW w:w="737" w:type="dxa"/>
            <w:tcBorders>
              <w:bottom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0.8936</w:t>
            </w:r>
          </w:p>
        </w:tc>
        <w:tc>
          <w:tcPr>
            <w:tcW w:w="637" w:type="dxa"/>
            <w:tcBorders>
              <w:bottom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0.7965</w:t>
            </w:r>
          </w:p>
        </w:tc>
        <w:tc>
          <w:tcPr>
            <w:tcW w:w="624" w:type="dxa"/>
            <w:tcBorders>
              <w:bottom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0.2588*</w:t>
            </w:r>
          </w:p>
        </w:tc>
        <w:tc>
          <w:tcPr>
            <w:tcW w:w="680" w:type="dxa"/>
            <w:tcBorders>
              <w:bottom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0.9159</w:t>
            </w:r>
          </w:p>
        </w:tc>
        <w:tc>
          <w:tcPr>
            <w:tcW w:w="680" w:type="dxa"/>
            <w:tcBorders>
              <w:bottom w:val="single" w:sz="4" w:space="0" w:color="auto"/>
            </w:tcBorders>
            <w:shd w:val="clear" w:color="auto" w:fill="auto"/>
            <w:vAlign w:val="center"/>
          </w:tcPr>
          <w:p w:rsidR="004E4729" w:rsidRPr="0036124B" w:rsidRDefault="004E4729" w:rsidP="00D309AA">
            <w:pPr>
              <w:autoSpaceDE w:val="0"/>
              <w:jc w:val="center"/>
              <w:rPr>
                <w:sz w:val="16"/>
                <w:szCs w:val="16"/>
              </w:rPr>
            </w:pPr>
            <w:r w:rsidRPr="0036124B">
              <w:rPr>
                <w:sz w:val="16"/>
                <w:szCs w:val="16"/>
              </w:rPr>
              <w:t>1.00</w:t>
            </w:r>
          </w:p>
        </w:tc>
      </w:tr>
    </w:tbl>
    <w:p w:rsidR="004E4729" w:rsidRPr="0036124B" w:rsidRDefault="004E4729" w:rsidP="004E4729">
      <w:pPr>
        <w:spacing w:before="40"/>
        <w:jc w:val="both"/>
        <w:rPr>
          <w:sz w:val="18"/>
          <w:szCs w:val="18"/>
        </w:rPr>
      </w:pPr>
      <w:r w:rsidRPr="0036124B">
        <w:rPr>
          <w:sz w:val="18"/>
          <w:szCs w:val="18"/>
          <w:lang w:val="en-US"/>
        </w:rPr>
        <w:t>* denotes significance at 5%.</w:t>
      </w:r>
    </w:p>
    <w:p w:rsidR="004E4729" w:rsidRDefault="004E4729" w:rsidP="004E4729">
      <w:pPr>
        <w:ind w:firstLine="23"/>
        <w:jc w:val="both"/>
        <w:rPr>
          <w:color w:val="222222"/>
          <w:sz w:val="18"/>
          <w:szCs w:val="18"/>
        </w:rPr>
      </w:pPr>
      <w:r w:rsidRPr="0036124B">
        <w:rPr>
          <w:sz w:val="18"/>
          <w:szCs w:val="18"/>
        </w:rPr>
        <w:t>Source: Author’s elaboration on data http://faostat3.fao.org/faostat-gateway/go/to/home/E</w:t>
      </w:r>
      <w:r w:rsidRPr="0036124B">
        <w:rPr>
          <w:color w:val="222222"/>
          <w:sz w:val="18"/>
          <w:szCs w:val="18"/>
          <w:lang w:val="en-US"/>
        </w:rPr>
        <w:t xml:space="preserve"> </w:t>
      </w:r>
      <w:r w:rsidRPr="0036124B">
        <w:rPr>
          <w:color w:val="222222"/>
          <w:sz w:val="18"/>
          <w:szCs w:val="18"/>
        </w:rPr>
        <w:t>with the software GRETL 1.9.</w:t>
      </w:r>
    </w:p>
    <w:p w:rsidR="004E4729" w:rsidRPr="0036124B" w:rsidRDefault="004E4729" w:rsidP="004E4729">
      <w:pPr>
        <w:ind w:firstLine="23"/>
        <w:jc w:val="both"/>
        <w:rPr>
          <w:color w:val="222222"/>
          <w:sz w:val="18"/>
          <w:szCs w:val="18"/>
          <w:lang w:val="en-US"/>
        </w:rPr>
      </w:pPr>
    </w:p>
    <w:p w:rsidR="0036124B" w:rsidRDefault="00236836" w:rsidP="0036124B">
      <w:pPr>
        <w:jc w:val="center"/>
        <w:rPr>
          <w:color w:val="222222"/>
          <w:sz w:val="24"/>
          <w:szCs w:val="24"/>
        </w:rPr>
      </w:pPr>
      <w:r w:rsidRPr="00231C17">
        <w:rPr>
          <w:color w:val="222222"/>
          <w:sz w:val="24"/>
          <w:szCs w:val="24"/>
        </w:rPr>
        <w:pict>
          <v:shape id="_x0000_i1028" type="#_x0000_t75" style="width:195.7pt;height:196.6pt" filled="t">
            <v:fill color2="black"/>
            <v:imagedata r:id="rId13" o:title="" grayscale="t"/>
          </v:shape>
        </w:pict>
      </w:r>
    </w:p>
    <w:p w:rsidR="0036124B" w:rsidRPr="004E4729" w:rsidRDefault="0036124B" w:rsidP="0036124B">
      <w:pPr>
        <w:jc w:val="center"/>
        <w:rPr>
          <w:sz w:val="8"/>
          <w:szCs w:val="8"/>
          <w:lang w:val="en-US"/>
        </w:rPr>
      </w:pPr>
    </w:p>
    <w:p w:rsidR="0036124B" w:rsidRPr="0036124B" w:rsidRDefault="0036124B" w:rsidP="0036124B">
      <w:pPr>
        <w:jc w:val="center"/>
        <w:rPr>
          <w:sz w:val="22"/>
          <w:szCs w:val="22"/>
        </w:rPr>
      </w:pPr>
      <w:r w:rsidRPr="0036124B">
        <w:rPr>
          <w:sz w:val="22"/>
          <w:szCs w:val="22"/>
        </w:rPr>
        <w:t>Figure 4. Component planes of all analysed variables.</w:t>
      </w:r>
    </w:p>
    <w:p w:rsidR="008F5020" w:rsidRDefault="0036124B" w:rsidP="0036124B">
      <w:pPr>
        <w:tabs>
          <w:tab w:val="left" w:pos="6400"/>
        </w:tabs>
        <w:jc w:val="center"/>
        <w:rPr>
          <w:sz w:val="24"/>
          <w:szCs w:val="24"/>
          <w:lang w:val="en-US"/>
        </w:rPr>
      </w:pPr>
      <w:r>
        <w:rPr>
          <w:sz w:val="18"/>
          <w:szCs w:val="18"/>
        </w:rPr>
        <w:t>Source: Author’s elaboration on data http://faostat3.fao.org/faostat-gateway/go/to/home/E.</w:t>
      </w:r>
    </w:p>
    <w:p w:rsidR="008F5020" w:rsidRPr="001E162B" w:rsidRDefault="008F5020" w:rsidP="0036124B">
      <w:pPr>
        <w:ind w:firstLine="426"/>
        <w:jc w:val="both"/>
        <w:rPr>
          <w:spacing w:val="4"/>
          <w:sz w:val="22"/>
          <w:szCs w:val="22"/>
        </w:rPr>
      </w:pPr>
      <w:r w:rsidRPr="001E162B">
        <w:rPr>
          <w:color w:val="222222"/>
          <w:spacing w:val="4"/>
          <w:sz w:val="22"/>
          <w:szCs w:val="22"/>
        </w:rPr>
        <w:lastRenderedPageBreak/>
        <w:t xml:space="preserve">The Kohonen’s maps comparing the level of intake protein and energy have pointed out that Bulgaria and newcomers of the European Union such as Cyprus, Hungary </w:t>
      </w:r>
      <w:r w:rsidRPr="00B1268C">
        <w:rPr>
          <w:color w:val="222222"/>
          <w:spacing w:val="4"/>
          <w:sz w:val="22"/>
          <w:szCs w:val="22"/>
        </w:rPr>
        <w:t>and Slovenia have been characterized by black hexagons, which have implied the highest levels of these variables (Figure 5). C</w:t>
      </w:r>
      <w:r w:rsidRPr="00B1268C">
        <w:rPr>
          <w:spacing w:val="4"/>
          <w:sz w:val="22"/>
          <w:szCs w:val="22"/>
        </w:rPr>
        <w:t>omponent planes of nutrition levels, in terms of kilocalories and protein per day, which are a useful tool to understand over time the level of food self-sufficiency as a result of improving in the level of wellbeing and personal</w:t>
      </w:r>
      <w:r w:rsidRPr="001E162B">
        <w:rPr>
          <w:spacing w:val="4"/>
          <w:sz w:val="22"/>
          <w:szCs w:val="22"/>
        </w:rPr>
        <w:t xml:space="preserve"> income, have showed a fairly homogeneous situation in all different European countries with the exception of some nations located in the European peripheral areas. In general, the level of intake protein per day has not underscored a great diversity among member countries of the EU. The heterogeneity in nodes, due to a greater allocation of agricultural areas, has concerned northern European countries such as France and Ireland, where there are extensive farming systems and large-sized farms.</w:t>
      </w:r>
    </w:p>
    <w:p w:rsidR="003C734E" w:rsidRDefault="003C734E" w:rsidP="008F5020">
      <w:pPr>
        <w:ind w:firstLine="709"/>
        <w:jc w:val="both"/>
        <w:rPr>
          <w:color w:val="222222"/>
          <w:sz w:val="24"/>
          <w:szCs w:val="24"/>
          <w:lang w:val="en-US"/>
        </w:rPr>
      </w:pPr>
    </w:p>
    <w:p w:rsidR="003C734E" w:rsidRDefault="00236836" w:rsidP="003C734E">
      <w:pPr>
        <w:jc w:val="center"/>
        <w:rPr>
          <w:color w:val="222222"/>
          <w:sz w:val="24"/>
          <w:szCs w:val="24"/>
          <w:lang w:val="en-US"/>
        </w:rPr>
      </w:pPr>
      <w:r w:rsidRPr="00231C17">
        <w:rPr>
          <w:color w:val="222222"/>
          <w:lang w:val="en-US"/>
        </w:rPr>
        <w:pict>
          <v:shape id="_x0000_i1029" type="#_x0000_t75" style="width:180pt;height:184.15pt" filled="t">
            <v:fill color2="black"/>
            <v:imagedata r:id="rId14" o:title="" grayscale="t"/>
          </v:shape>
        </w:pict>
      </w:r>
      <w:r w:rsidR="003C734E" w:rsidRPr="003C734E">
        <w:rPr>
          <w:color w:val="222222"/>
          <w:sz w:val="22"/>
          <w:szCs w:val="22"/>
          <w:lang w:val="en-US"/>
        </w:rPr>
        <w:t xml:space="preserve"> </w:t>
      </w:r>
      <w:r w:rsidRPr="00231C17">
        <w:rPr>
          <w:color w:val="222222"/>
          <w:lang w:val="en-US"/>
        </w:rPr>
        <w:pict>
          <v:shape id="_x0000_i1030" type="#_x0000_t75" style="width:179.1pt;height:184.15pt" filled="t">
            <v:fill color2="black"/>
            <v:imagedata r:id="rId15" o:title="" grayscale="t"/>
          </v:shape>
        </w:pict>
      </w:r>
    </w:p>
    <w:p w:rsidR="003C734E" w:rsidRDefault="003C734E" w:rsidP="003C734E">
      <w:pPr>
        <w:ind w:left="991" w:firstLine="709"/>
        <w:jc w:val="both"/>
        <w:rPr>
          <w:color w:val="222222"/>
          <w:sz w:val="24"/>
          <w:szCs w:val="24"/>
          <w:lang w:val="en-US"/>
        </w:rPr>
      </w:pPr>
      <w:r>
        <w:rPr>
          <w:color w:val="222222"/>
          <w:sz w:val="18"/>
          <w:szCs w:val="18"/>
          <w:lang w:val="en-US"/>
        </w:rPr>
        <w:t>(A)</w:t>
      </w:r>
      <w:r w:rsidRPr="003C734E">
        <w:rPr>
          <w:color w:val="222222"/>
          <w:sz w:val="18"/>
          <w:szCs w:val="18"/>
          <w:lang w:val="en-US"/>
        </w:rPr>
        <w:t xml:space="preserve"> </w:t>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t>(B)</w:t>
      </w:r>
    </w:p>
    <w:p w:rsidR="003C734E" w:rsidRDefault="003C734E" w:rsidP="003C734E">
      <w:pPr>
        <w:ind w:left="35" w:hanging="12"/>
        <w:jc w:val="center"/>
        <w:rPr>
          <w:i/>
          <w:sz w:val="18"/>
          <w:szCs w:val="18"/>
        </w:rPr>
      </w:pPr>
    </w:p>
    <w:p w:rsidR="003C734E" w:rsidRDefault="003C734E" w:rsidP="003C734E">
      <w:pPr>
        <w:jc w:val="center"/>
        <w:rPr>
          <w:sz w:val="22"/>
          <w:szCs w:val="22"/>
        </w:rPr>
      </w:pPr>
      <w:r w:rsidRPr="003C734E">
        <w:rPr>
          <w:sz w:val="22"/>
          <w:szCs w:val="22"/>
        </w:rPr>
        <w:t>Figure 5. Component planes of some inputs such as kilocalories</w:t>
      </w:r>
      <w:r w:rsidRPr="003C734E">
        <w:rPr>
          <w:color w:val="222222"/>
          <w:sz w:val="22"/>
          <w:szCs w:val="22"/>
          <w:lang w:val="en-US"/>
        </w:rPr>
        <w:t xml:space="preserve"> </w:t>
      </w:r>
      <w:r w:rsidRPr="003C734E">
        <w:rPr>
          <w:sz w:val="22"/>
          <w:szCs w:val="22"/>
        </w:rPr>
        <w:t>p</w:t>
      </w:r>
      <w:r w:rsidRPr="003C734E">
        <w:rPr>
          <w:color w:val="222222"/>
          <w:sz w:val="22"/>
          <w:szCs w:val="22"/>
          <w:lang w:val="en-US"/>
        </w:rPr>
        <w:t>er day (A)</w:t>
      </w:r>
      <w:r w:rsidRPr="003C734E">
        <w:rPr>
          <w:sz w:val="22"/>
          <w:szCs w:val="22"/>
        </w:rPr>
        <w:t xml:space="preserve"> and l</w:t>
      </w:r>
      <w:r w:rsidRPr="003C734E">
        <w:rPr>
          <w:color w:val="222222"/>
          <w:sz w:val="22"/>
          <w:szCs w:val="22"/>
          <w:lang w:val="en-US"/>
        </w:rPr>
        <w:t>evel of protein per day (B).</w:t>
      </w:r>
    </w:p>
    <w:p w:rsidR="008F5020" w:rsidRDefault="003C734E" w:rsidP="003C734E">
      <w:pPr>
        <w:jc w:val="center"/>
        <w:rPr>
          <w:sz w:val="18"/>
          <w:szCs w:val="18"/>
        </w:rPr>
      </w:pPr>
      <w:r w:rsidRPr="003C734E">
        <w:rPr>
          <w:sz w:val="18"/>
          <w:szCs w:val="18"/>
        </w:rPr>
        <w:t xml:space="preserve">Source: Author’s elaboration on data </w:t>
      </w:r>
      <w:hyperlink r:id="rId16" w:history="1">
        <w:r w:rsidRPr="003C734E">
          <w:rPr>
            <w:rStyle w:val="Hyperlink"/>
            <w:color w:val="auto"/>
            <w:sz w:val="18"/>
            <w:szCs w:val="18"/>
            <w:u w:val="none"/>
          </w:rPr>
          <w:t>http://faostat3.fao.org/faostat-gateway/go/to/home/E</w:t>
        </w:r>
      </w:hyperlink>
      <w:r>
        <w:rPr>
          <w:sz w:val="18"/>
          <w:szCs w:val="18"/>
        </w:rPr>
        <w:t>.</w:t>
      </w:r>
    </w:p>
    <w:p w:rsidR="008F5020" w:rsidRPr="003C734E" w:rsidRDefault="008F5020" w:rsidP="003C734E">
      <w:pPr>
        <w:ind w:firstLine="426"/>
        <w:jc w:val="both"/>
        <w:rPr>
          <w:color w:val="222222"/>
          <w:sz w:val="22"/>
          <w:szCs w:val="22"/>
        </w:rPr>
      </w:pPr>
    </w:p>
    <w:p w:rsidR="008F5020" w:rsidRPr="00B1268C" w:rsidRDefault="008F5020" w:rsidP="003C734E">
      <w:pPr>
        <w:ind w:firstLine="426"/>
        <w:jc w:val="both"/>
        <w:rPr>
          <w:spacing w:val="4"/>
          <w:sz w:val="22"/>
          <w:szCs w:val="22"/>
        </w:rPr>
      </w:pPr>
      <w:r w:rsidRPr="001E162B">
        <w:rPr>
          <w:spacing w:val="4"/>
          <w:sz w:val="22"/>
          <w:szCs w:val="22"/>
        </w:rPr>
        <w:t>Findings in component planes of the variables such as agricultural areas and arable</w:t>
      </w:r>
      <w:r w:rsidRPr="001E162B">
        <w:rPr>
          <w:color w:val="222222"/>
          <w:spacing w:val="4"/>
          <w:sz w:val="22"/>
          <w:szCs w:val="22"/>
        </w:rPr>
        <w:t xml:space="preserve"> land have highlighted that there has been the highest level of this latter variable in France (black hexagon); newcomer states of the EU such as Romania, Lithuania, Belgium and Luxemburg have also pointed out the highest level of arable land. In contrast, Italy, Germany and Malta, on one hand, and the Netherlands, Austria, Greece and Slovenia (white and grayish scale), on the </w:t>
      </w:r>
      <w:r w:rsidRPr="001E162B">
        <w:rPr>
          <w:color w:val="222222"/>
          <w:spacing w:val="4"/>
          <w:sz w:val="22"/>
          <w:szCs w:val="22"/>
        </w:rPr>
        <w:lastRenderedPageBreak/>
        <w:t xml:space="preserve">other hand, have shown the lowest </w:t>
      </w:r>
      <w:r w:rsidRPr="00B1268C">
        <w:rPr>
          <w:color w:val="222222"/>
          <w:spacing w:val="4"/>
          <w:sz w:val="22"/>
          <w:szCs w:val="22"/>
        </w:rPr>
        <w:t>levels of arable land (Figure 6). T</w:t>
      </w:r>
      <w:r w:rsidRPr="00B1268C">
        <w:rPr>
          <w:spacing w:val="4"/>
          <w:sz w:val="22"/>
          <w:szCs w:val="22"/>
        </w:rPr>
        <w:t xml:space="preserve">he analysis of the component planes for the arable land variable has pointed out a higher homogeneity in nodes among all EU countries, even if newcomer states have demonstrated a greater endowment of arable land compared to small countries of the Mediterranean basin (Cyprus and Malta) or in other nations, where the orography does not allow cultivating of wide agrarian areas. </w:t>
      </w:r>
      <w:r w:rsidRPr="00B1268C">
        <w:rPr>
          <w:color w:val="222222"/>
          <w:spacing w:val="4"/>
          <w:sz w:val="22"/>
          <w:szCs w:val="22"/>
        </w:rPr>
        <w:t>Summing up, different component planes of self-organizing maps have highlighted a different intensity of connections. The analysis revealed a considerable horizontal variability in the agricultural areas, focusing the attention on the case of the arable land in all member states of the European Union.</w:t>
      </w:r>
    </w:p>
    <w:p w:rsidR="00CB24A5" w:rsidRPr="00B1268C" w:rsidRDefault="00CB24A5" w:rsidP="00CB24A5">
      <w:pPr>
        <w:ind w:firstLine="426"/>
        <w:jc w:val="both"/>
        <w:rPr>
          <w:spacing w:val="4"/>
          <w:sz w:val="22"/>
          <w:szCs w:val="22"/>
        </w:rPr>
      </w:pPr>
      <w:r w:rsidRPr="00B1268C">
        <w:rPr>
          <w:spacing w:val="4"/>
          <w:sz w:val="22"/>
          <w:szCs w:val="22"/>
        </w:rPr>
        <w:t>It is interesting that the analysis of component planes refers to the variables such as the rural population and the urban population as well, concentrated predominately in Germany (Figure 7); the SOMs have showed that in countries, with higher agricultural areas with scattered rural villages, there is a high concentration of citizens unlike Slovakia and other countries, which have been members of the European Union since 2004, and where the population is predominantly concentrated in few urban areas.</w:t>
      </w:r>
    </w:p>
    <w:p w:rsidR="00CB24A5" w:rsidRPr="001E162B" w:rsidRDefault="00CB24A5" w:rsidP="00CB24A5">
      <w:pPr>
        <w:pStyle w:val="eaae-paragraph"/>
        <w:spacing w:line="240" w:lineRule="auto"/>
        <w:ind w:firstLine="425"/>
        <w:rPr>
          <w:color w:val="222222"/>
          <w:spacing w:val="4"/>
          <w:lang w:val="en-US"/>
        </w:rPr>
      </w:pPr>
      <w:r w:rsidRPr="00B1268C">
        <w:rPr>
          <w:spacing w:val="4"/>
        </w:rPr>
        <w:t>Findings in SOMs investigating the level of investments in machinery and in land capital have pointed out that Latvia has invested more than Slovakia and Finland in machinery (Figure 8); in contrast, Denmark and France (black hexagons) have invested more in agrarian capital than newcomer states of the EU such as Bulgaria and Cyprus. Outcomes in European countries have pointed out that the higher is the rate of agricultural employment the higher is the level of agricultural population living in rural spaces. Addressing</w:t>
      </w:r>
      <w:r w:rsidRPr="001E162B">
        <w:rPr>
          <w:spacing w:val="4"/>
        </w:rPr>
        <w:t xml:space="preserve"> the research on the variable level of investments in countries that became members of the EU during the enlargement in 2004, findings have underlined that the most important financial resources have been used on investments in intensifying the endowment in agricultural machinery and equipment. By contrast, investments in increasing the endowment of land capital have involved predominately the old member states of the European Union, with the exception of Italy, and only few newcomer nations such as Poland.</w:t>
      </w:r>
    </w:p>
    <w:p w:rsidR="008F5020" w:rsidRPr="001E162B" w:rsidRDefault="008F5020" w:rsidP="003C734E">
      <w:pPr>
        <w:ind w:firstLine="426"/>
        <w:jc w:val="both"/>
        <w:rPr>
          <w:spacing w:val="4"/>
          <w:sz w:val="22"/>
          <w:szCs w:val="22"/>
        </w:rPr>
      </w:pPr>
    </w:p>
    <w:p w:rsidR="003C734E" w:rsidRDefault="00236836" w:rsidP="003C734E">
      <w:pPr>
        <w:jc w:val="center"/>
        <w:rPr>
          <w:sz w:val="22"/>
          <w:szCs w:val="22"/>
        </w:rPr>
      </w:pPr>
      <w:r w:rsidRPr="00231C17">
        <w:rPr>
          <w:color w:val="222222"/>
          <w:sz w:val="22"/>
          <w:szCs w:val="22"/>
          <w:lang w:val="en-US"/>
        </w:rPr>
        <w:lastRenderedPageBreak/>
        <w:pict>
          <v:shape id="_x0000_i1031" type="#_x0000_t75" style="width:180pt;height:177.25pt" filled="t">
            <v:fill color2="black"/>
            <v:imagedata r:id="rId17" o:title="" grayscale="t"/>
          </v:shape>
        </w:pict>
      </w:r>
      <w:r w:rsidR="003C734E">
        <w:rPr>
          <w:color w:val="222222"/>
          <w:sz w:val="22"/>
          <w:szCs w:val="22"/>
          <w:lang w:val="en-US"/>
        </w:rPr>
        <w:t xml:space="preserve"> </w:t>
      </w:r>
      <w:r w:rsidRPr="00231C17">
        <w:rPr>
          <w:color w:val="222222"/>
          <w:sz w:val="22"/>
          <w:szCs w:val="22"/>
          <w:lang w:val="en-US"/>
        </w:rPr>
        <w:pict>
          <v:shape id="_x0000_i1032" type="#_x0000_t75" style="width:180pt;height:177.25pt" filled="t">
            <v:fill color2="black"/>
            <v:imagedata r:id="rId18" o:title="" grayscale="t"/>
          </v:shape>
        </w:pict>
      </w:r>
    </w:p>
    <w:p w:rsidR="003C734E" w:rsidRDefault="003C734E" w:rsidP="003C734E">
      <w:pPr>
        <w:ind w:left="991" w:firstLine="709"/>
        <w:jc w:val="both"/>
        <w:rPr>
          <w:color w:val="222222"/>
          <w:sz w:val="24"/>
          <w:szCs w:val="24"/>
          <w:lang w:val="en-US"/>
        </w:rPr>
      </w:pPr>
      <w:r>
        <w:rPr>
          <w:color w:val="222222"/>
          <w:sz w:val="18"/>
          <w:szCs w:val="18"/>
          <w:lang w:val="en-US"/>
        </w:rPr>
        <w:t>(A)</w:t>
      </w:r>
      <w:r w:rsidRPr="003C734E">
        <w:rPr>
          <w:color w:val="222222"/>
          <w:sz w:val="18"/>
          <w:szCs w:val="18"/>
          <w:lang w:val="en-US"/>
        </w:rPr>
        <w:t xml:space="preserve"> </w:t>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t>(B)</w:t>
      </w:r>
    </w:p>
    <w:p w:rsidR="003C734E" w:rsidRPr="00B1268C" w:rsidRDefault="003C734E" w:rsidP="003C734E">
      <w:pPr>
        <w:ind w:left="35" w:hanging="12"/>
        <w:jc w:val="center"/>
        <w:rPr>
          <w:i/>
          <w:sz w:val="24"/>
          <w:szCs w:val="24"/>
        </w:rPr>
      </w:pPr>
    </w:p>
    <w:p w:rsidR="003C734E" w:rsidRDefault="003C734E" w:rsidP="003C734E">
      <w:pPr>
        <w:jc w:val="center"/>
        <w:rPr>
          <w:sz w:val="22"/>
          <w:szCs w:val="22"/>
        </w:rPr>
      </w:pPr>
      <w:r w:rsidRPr="003C734E">
        <w:rPr>
          <w:sz w:val="22"/>
          <w:szCs w:val="22"/>
        </w:rPr>
        <w:t xml:space="preserve">Figure 6. Component planes of some inputs such as agricultural areas in </w:t>
      </w:r>
    </w:p>
    <w:p w:rsidR="003C734E" w:rsidRDefault="003C734E" w:rsidP="003C734E">
      <w:pPr>
        <w:jc w:val="center"/>
        <w:rPr>
          <w:color w:val="222222"/>
          <w:sz w:val="22"/>
          <w:szCs w:val="22"/>
          <w:lang w:val="en-US"/>
        </w:rPr>
      </w:pPr>
      <w:r w:rsidRPr="003C734E">
        <w:rPr>
          <w:sz w:val="22"/>
          <w:szCs w:val="22"/>
        </w:rPr>
        <w:t>hectares</w:t>
      </w:r>
      <w:r w:rsidRPr="003C734E">
        <w:rPr>
          <w:color w:val="222222"/>
          <w:sz w:val="22"/>
          <w:szCs w:val="22"/>
          <w:lang w:val="en-US"/>
        </w:rPr>
        <w:t xml:space="preserve"> (A)</w:t>
      </w:r>
      <w:r w:rsidRPr="003C734E">
        <w:rPr>
          <w:sz w:val="22"/>
          <w:szCs w:val="22"/>
        </w:rPr>
        <w:t xml:space="preserve"> and arable land</w:t>
      </w:r>
      <w:r w:rsidRPr="003C734E">
        <w:rPr>
          <w:color w:val="222222"/>
          <w:sz w:val="22"/>
          <w:szCs w:val="22"/>
          <w:lang w:val="en-US"/>
        </w:rPr>
        <w:t xml:space="preserve"> (B).</w:t>
      </w:r>
    </w:p>
    <w:p w:rsidR="003C734E" w:rsidRPr="003C734E" w:rsidRDefault="003C734E" w:rsidP="003C734E">
      <w:pPr>
        <w:jc w:val="center"/>
        <w:rPr>
          <w:sz w:val="18"/>
          <w:szCs w:val="18"/>
        </w:rPr>
      </w:pPr>
      <w:r w:rsidRPr="003C734E">
        <w:rPr>
          <w:sz w:val="18"/>
          <w:szCs w:val="18"/>
        </w:rPr>
        <w:t>Source: Author’s elaboration on data http://faostat3.fao.org/faostat-gateway/go/to/home/E.</w:t>
      </w:r>
    </w:p>
    <w:p w:rsidR="004E4729" w:rsidRPr="00B1268C" w:rsidRDefault="004E4729" w:rsidP="003C734E">
      <w:pPr>
        <w:ind w:firstLine="426"/>
        <w:jc w:val="both"/>
        <w:rPr>
          <w:sz w:val="24"/>
          <w:szCs w:val="24"/>
        </w:rPr>
      </w:pPr>
    </w:p>
    <w:p w:rsidR="003C734E" w:rsidRDefault="00236836" w:rsidP="003C734E">
      <w:pPr>
        <w:jc w:val="center"/>
        <w:rPr>
          <w:color w:val="222222"/>
          <w:lang w:val="en-US"/>
        </w:rPr>
      </w:pPr>
      <w:r w:rsidRPr="00231C17">
        <w:rPr>
          <w:color w:val="222222"/>
          <w:lang w:val="en-US"/>
        </w:rPr>
        <w:pict>
          <v:shape id="_x0000_i1033" type="#_x0000_t75" style="width:180pt;height:181.4pt" filled="t">
            <v:fill color2="black"/>
            <v:imagedata r:id="rId19" o:title="" grayscale="t"/>
          </v:shape>
        </w:pict>
      </w:r>
      <w:r w:rsidR="003C734E">
        <w:rPr>
          <w:color w:val="222222"/>
          <w:lang w:val="en-US"/>
        </w:rPr>
        <w:t xml:space="preserve"> </w:t>
      </w:r>
      <w:r w:rsidRPr="00231C17">
        <w:rPr>
          <w:color w:val="222222"/>
          <w:lang w:val="en-US"/>
        </w:rPr>
        <w:pict>
          <v:shape id="_x0000_i1034" type="#_x0000_t75" style="width:180pt;height:181.4pt" filled="t">
            <v:fill color2="black"/>
            <v:imagedata r:id="rId20" o:title="" grayscale="t"/>
          </v:shape>
        </w:pict>
      </w:r>
    </w:p>
    <w:p w:rsidR="003C734E" w:rsidRDefault="003C734E" w:rsidP="003C734E">
      <w:pPr>
        <w:ind w:left="991" w:firstLine="709"/>
        <w:jc w:val="both"/>
        <w:rPr>
          <w:color w:val="222222"/>
          <w:sz w:val="18"/>
          <w:szCs w:val="18"/>
          <w:lang w:val="en-US"/>
        </w:rPr>
      </w:pPr>
      <w:r>
        <w:rPr>
          <w:color w:val="222222"/>
          <w:sz w:val="18"/>
          <w:szCs w:val="18"/>
          <w:lang w:val="en-US"/>
        </w:rPr>
        <w:t>(A)</w:t>
      </w:r>
      <w:r w:rsidRPr="003C734E">
        <w:rPr>
          <w:color w:val="222222"/>
          <w:sz w:val="18"/>
          <w:szCs w:val="18"/>
          <w:lang w:val="en-US"/>
        </w:rPr>
        <w:t xml:space="preserve"> </w:t>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t>(B)</w:t>
      </w:r>
    </w:p>
    <w:p w:rsidR="003C734E" w:rsidRDefault="003C734E" w:rsidP="003C734E">
      <w:pPr>
        <w:ind w:left="991" w:firstLine="709"/>
        <w:jc w:val="both"/>
        <w:rPr>
          <w:color w:val="222222"/>
          <w:sz w:val="24"/>
          <w:szCs w:val="24"/>
          <w:lang w:val="en-US"/>
        </w:rPr>
      </w:pPr>
    </w:p>
    <w:p w:rsidR="003C734E" w:rsidRPr="003C734E" w:rsidRDefault="003C734E" w:rsidP="003C734E">
      <w:pPr>
        <w:jc w:val="center"/>
        <w:rPr>
          <w:sz w:val="22"/>
          <w:szCs w:val="22"/>
        </w:rPr>
      </w:pPr>
      <w:r w:rsidRPr="003C734E">
        <w:rPr>
          <w:sz w:val="22"/>
          <w:szCs w:val="22"/>
        </w:rPr>
        <w:t>Figure 7. Component planes of some inputs such as the rural population</w:t>
      </w:r>
      <w:r w:rsidRPr="003C734E">
        <w:rPr>
          <w:color w:val="222222"/>
          <w:sz w:val="22"/>
          <w:szCs w:val="22"/>
          <w:lang w:val="en-US"/>
        </w:rPr>
        <w:t xml:space="preserve"> (A)</w:t>
      </w:r>
      <w:r w:rsidRPr="003C734E">
        <w:rPr>
          <w:sz w:val="22"/>
          <w:szCs w:val="22"/>
        </w:rPr>
        <w:t xml:space="preserve"> and the urban population</w:t>
      </w:r>
      <w:r w:rsidRPr="003C734E">
        <w:rPr>
          <w:color w:val="222222"/>
          <w:sz w:val="22"/>
          <w:szCs w:val="22"/>
          <w:lang w:val="en-US"/>
        </w:rPr>
        <w:t xml:space="preserve"> (B).</w:t>
      </w:r>
    </w:p>
    <w:p w:rsidR="003C734E" w:rsidRDefault="003C734E" w:rsidP="003C734E">
      <w:pPr>
        <w:jc w:val="center"/>
        <w:rPr>
          <w:i/>
          <w:sz w:val="18"/>
          <w:szCs w:val="18"/>
        </w:rPr>
      </w:pPr>
      <w:r>
        <w:rPr>
          <w:sz w:val="18"/>
          <w:szCs w:val="18"/>
        </w:rPr>
        <w:t>Source: Author’s elaboration on data http://faostat3.fao.org/faostat-gateway/go/to/home/E.</w:t>
      </w:r>
    </w:p>
    <w:p w:rsidR="008F5020" w:rsidRPr="0000545C" w:rsidRDefault="008F5020" w:rsidP="0000545C">
      <w:pPr>
        <w:pStyle w:val="eaae-paragraph"/>
        <w:spacing w:line="240" w:lineRule="auto"/>
        <w:ind w:firstLine="425"/>
      </w:pPr>
    </w:p>
    <w:p w:rsidR="008F5020" w:rsidRDefault="008F5020" w:rsidP="008F5020">
      <w:pPr>
        <w:ind w:firstLine="709"/>
        <w:jc w:val="both"/>
        <w:rPr>
          <w:color w:val="222222"/>
          <w:sz w:val="24"/>
          <w:szCs w:val="24"/>
          <w:lang w:val="en-US"/>
        </w:rPr>
      </w:pPr>
    </w:p>
    <w:p w:rsidR="0000545C" w:rsidRDefault="00236836" w:rsidP="0000545C">
      <w:pPr>
        <w:jc w:val="center"/>
        <w:rPr>
          <w:color w:val="222222"/>
          <w:sz w:val="24"/>
          <w:szCs w:val="24"/>
          <w:lang w:val="en-US"/>
        </w:rPr>
      </w:pPr>
      <w:r w:rsidRPr="00231C17">
        <w:rPr>
          <w:color w:val="222222"/>
          <w:lang w:val="en-US"/>
        </w:rPr>
        <w:lastRenderedPageBreak/>
        <w:pict>
          <v:shape id="_x0000_i1035" type="#_x0000_t75" style="width:180pt;height:181.4pt" filled="t">
            <v:fill color2="black"/>
            <v:imagedata r:id="rId21" o:title="" grayscale="t"/>
          </v:shape>
        </w:pict>
      </w:r>
      <w:r w:rsidR="0000545C">
        <w:rPr>
          <w:color w:val="222222"/>
          <w:lang w:val="en-US"/>
        </w:rPr>
        <w:t xml:space="preserve"> </w:t>
      </w:r>
      <w:r w:rsidRPr="00231C17">
        <w:rPr>
          <w:color w:val="222222"/>
          <w:lang w:val="en-US"/>
        </w:rPr>
        <w:pict>
          <v:shape id="_x0000_i1036" type="#_x0000_t75" style="width:180pt;height:181.4pt" filled="t">
            <v:fill color2="black"/>
            <v:imagedata r:id="rId22" o:title="" grayscale="t"/>
          </v:shape>
        </w:pict>
      </w:r>
    </w:p>
    <w:p w:rsidR="0000545C" w:rsidRDefault="0000545C" w:rsidP="0000545C">
      <w:pPr>
        <w:ind w:left="991" w:firstLine="709"/>
        <w:jc w:val="both"/>
        <w:rPr>
          <w:color w:val="222222"/>
          <w:sz w:val="18"/>
          <w:szCs w:val="18"/>
          <w:lang w:val="en-US"/>
        </w:rPr>
      </w:pPr>
      <w:r>
        <w:rPr>
          <w:color w:val="222222"/>
          <w:sz w:val="18"/>
          <w:szCs w:val="18"/>
          <w:lang w:val="en-US"/>
        </w:rPr>
        <w:t>(A)</w:t>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t>(B)</w:t>
      </w:r>
    </w:p>
    <w:p w:rsidR="008F5020" w:rsidRPr="00CB24A5" w:rsidRDefault="008F5020" w:rsidP="00CB24A5">
      <w:pPr>
        <w:pStyle w:val="eaae-paragraph"/>
        <w:spacing w:line="240" w:lineRule="auto"/>
        <w:ind w:firstLine="0"/>
        <w:jc w:val="center"/>
        <w:rPr>
          <w:sz w:val="16"/>
          <w:szCs w:val="16"/>
          <w:lang w:val="en-US"/>
        </w:rPr>
      </w:pPr>
    </w:p>
    <w:p w:rsidR="0000545C" w:rsidRDefault="0000545C" w:rsidP="0000545C">
      <w:pPr>
        <w:jc w:val="center"/>
        <w:rPr>
          <w:sz w:val="22"/>
          <w:szCs w:val="22"/>
        </w:rPr>
      </w:pPr>
      <w:r w:rsidRPr="0000545C">
        <w:rPr>
          <w:sz w:val="22"/>
          <w:szCs w:val="22"/>
        </w:rPr>
        <w:t xml:space="preserve">Figure 8. Component planes of investments in machinery (A) and </w:t>
      </w:r>
    </w:p>
    <w:p w:rsidR="0000545C" w:rsidRPr="0000545C" w:rsidRDefault="0000545C" w:rsidP="0000545C">
      <w:pPr>
        <w:jc w:val="center"/>
        <w:rPr>
          <w:sz w:val="22"/>
          <w:szCs w:val="22"/>
        </w:rPr>
      </w:pPr>
      <w:r w:rsidRPr="0000545C">
        <w:rPr>
          <w:sz w:val="22"/>
          <w:szCs w:val="22"/>
        </w:rPr>
        <w:t>land capital (B) in different European countries.</w:t>
      </w:r>
    </w:p>
    <w:p w:rsidR="0000545C" w:rsidRDefault="0000545C" w:rsidP="0000545C">
      <w:pPr>
        <w:pStyle w:val="eaae-paragraph"/>
        <w:spacing w:line="240" w:lineRule="auto"/>
        <w:ind w:firstLine="0"/>
        <w:jc w:val="center"/>
        <w:rPr>
          <w:sz w:val="24"/>
          <w:szCs w:val="24"/>
          <w:lang w:val="en-US"/>
        </w:rPr>
      </w:pPr>
      <w:r>
        <w:rPr>
          <w:sz w:val="18"/>
          <w:szCs w:val="18"/>
        </w:rPr>
        <w:t>Source: Author’s elaboration on data http://faostat3.fao.org/faostat-gateway/go/to/home/E.</w:t>
      </w:r>
    </w:p>
    <w:p w:rsidR="004E4729" w:rsidRPr="00CB24A5" w:rsidRDefault="004E4729" w:rsidP="004E4729">
      <w:pPr>
        <w:pStyle w:val="eaae-paragraph"/>
        <w:spacing w:line="240" w:lineRule="auto"/>
        <w:ind w:firstLine="426"/>
        <w:rPr>
          <w:sz w:val="18"/>
          <w:szCs w:val="18"/>
        </w:rPr>
      </w:pPr>
    </w:p>
    <w:p w:rsidR="004E4729" w:rsidRDefault="004E4729" w:rsidP="004E4729">
      <w:pPr>
        <w:pStyle w:val="eaae-paragraph"/>
        <w:spacing w:line="240" w:lineRule="auto"/>
        <w:ind w:firstLine="426"/>
      </w:pPr>
      <w:r w:rsidRPr="0000545C">
        <w:t xml:space="preserve">The Kohonen’s maps assessing the endowment of agricultural areas in terms of meadows </w:t>
      </w:r>
      <w:r w:rsidRPr="00B1268C">
        <w:t>and pastures have pointed out a greater level of homogeneity among all European Union countries (Figure 9).</w:t>
      </w:r>
    </w:p>
    <w:p w:rsidR="004E4729" w:rsidRPr="00CB24A5" w:rsidRDefault="004E4729" w:rsidP="004E4729">
      <w:pPr>
        <w:pStyle w:val="eaae-paragraph"/>
        <w:spacing w:line="240" w:lineRule="auto"/>
        <w:ind w:firstLine="426"/>
        <w:rPr>
          <w:sz w:val="18"/>
          <w:szCs w:val="18"/>
        </w:rPr>
      </w:pPr>
    </w:p>
    <w:p w:rsidR="0000545C" w:rsidRDefault="00236836" w:rsidP="0000545C">
      <w:pPr>
        <w:pStyle w:val="eaae-paragraph"/>
        <w:spacing w:line="240" w:lineRule="auto"/>
        <w:ind w:firstLine="0"/>
        <w:jc w:val="center"/>
        <w:rPr>
          <w:sz w:val="24"/>
          <w:szCs w:val="24"/>
          <w:lang w:val="en-US"/>
        </w:rPr>
      </w:pPr>
      <w:r w:rsidRPr="00231C17">
        <w:rPr>
          <w:color w:val="222222"/>
          <w:sz w:val="24"/>
          <w:szCs w:val="24"/>
          <w:lang w:val="en-US"/>
        </w:rPr>
        <w:pict>
          <v:shape id="_x0000_i1037" type="#_x0000_t75" style="width:180pt;height:179.1pt" filled="t">
            <v:fill color2="black"/>
            <v:imagedata r:id="rId23" o:title="" grayscale="t"/>
          </v:shape>
        </w:pict>
      </w:r>
      <w:r w:rsidR="0000545C">
        <w:rPr>
          <w:color w:val="222222"/>
          <w:sz w:val="24"/>
          <w:szCs w:val="24"/>
          <w:lang w:val="en-US"/>
        </w:rPr>
        <w:t xml:space="preserve"> </w:t>
      </w:r>
      <w:r w:rsidRPr="00231C17">
        <w:rPr>
          <w:color w:val="222222"/>
          <w:sz w:val="18"/>
          <w:szCs w:val="18"/>
          <w:lang w:val="en-US"/>
        </w:rPr>
        <w:pict>
          <v:shape id="_x0000_i1038" type="#_x0000_t75" style="width:180pt;height:179.1pt" filled="t">
            <v:fill color2="black"/>
            <v:imagedata r:id="rId24" o:title="" grayscale="t"/>
          </v:shape>
        </w:pict>
      </w:r>
    </w:p>
    <w:p w:rsidR="0000545C" w:rsidRDefault="0000545C" w:rsidP="0000545C">
      <w:pPr>
        <w:ind w:left="991" w:firstLine="709"/>
        <w:jc w:val="both"/>
        <w:rPr>
          <w:color w:val="222222"/>
          <w:sz w:val="18"/>
          <w:szCs w:val="18"/>
          <w:lang w:val="en-US"/>
        </w:rPr>
      </w:pPr>
      <w:r>
        <w:rPr>
          <w:color w:val="222222"/>
          <w:sz w:val="18"/>
          <w:szCs w:val="18"/>
          <w:lang w:val="en-US"/>
        </w:rPr>
        <w:t>(A)</w:t>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r>
      <w:r>
        <w:rPr>
          <w:color w:val="222222"/>
          <w:sz w:val="18"/>
          <w:szCs w:val="18"/>
          <w:lang w:val="en-US"/>
        </w:rPr>
        <w:tab/>
        <w:t>(B)</w:t>
      </w:r>
    </w:p>
    <w:p w:rsidR="0000545C" w:rsidRPr="00CB24A5" w:rsidRDefault="0000545C" w:rsidP="008F5020">
      <w:pPr>
        <w:pStyle w:val="eaae-paragraph"/>
        <w:spacing w:line="240" w:lineRule="auto"/>
        <w:ind w:firstLine="709"/>
        <w:jc w:val="center"/>
        <w:rPr>
          <w:sz w:val="16"/>
          <w:szCs w:val="16"/>
          <w:lang w:val="en-US"/>
        </w:rPr>
      </w:pPr>
    </w:p>
    <w:p w:rsidR="0000545C" w:rsidRDefault="0000545C" w:rsidP="0000545C">
      <w:pPr>
        <w:jc w:val="center"/>
        <w:rPr>
          <w:sz w:val="22"/>
          <w:szCs w:val="22"/>
        </w:rPr>
      </w:pPr>
      <w:r w:rsidRPr="0000545C">
        <w:rPr>
          <w:sz w:val="22"/>
          <w:szCs w:val="22"/>
        </w:rPr>
        <w:t xml:space="preserve">Figure 9. Component planes of the carbon dioxide emission (A) and </w:t>
      </w:r>
    </w:p>
    <w:p w:rsidR="0000545C" w:rsidRPr="0000545C" w:rsidRDefault="0000545C" w:rsidP="0000545C">
      <w:pPr>
        <w:jc w:val="center"/>
        <w:rPr>
          <w:sz w:val="22"/>
          <w:szCs w:val="22"/>
        </w:rPr>
      </w:pPr>
      <w:r w:rsidRPr="0000545C">
        <w:rPr>
          <w:sz w:val="22"/>
          <w:szCs w:val="22"/>
        </w:rPr>
        <w:t>meadows and pastures (B) in all analysed European countries.</w:t>
      </w:r>
    </w:p>
    <w:p w:rsidR="0000545C" w:rsidRDefault="0000545C" w:rsidP="0000545C">
      <w:pPr>
        <w:pStyle w:val="eaae-paragraph"/>
        <w:spacing w:line="240" w:lineRule="auto"/>
        <w:ind w:firstLine="0"/>
        <w:jc w:val="center"/>
        <w:rPr>
          <w:sz w:val="24"/>
          <w:szCs w:val="24"/>
          <w:lang w:val="en-US"/>
        </w:rPr>
      </w:pPr>
      <w:r>
        <w:rPr>
          <w:sz w:val="18"/>
          <w:szCs w:val="18"/>
        </w:rPr>
        <w:t>Source: Author’s elaboration on data http://faostat3.fao.org/faostat-gateway/go/to/home/E.</w:t>
      </w:r>
    </w:p>
    <w:p w:rsidR="008F5020" w:rsidRPr="0000545C" w:rsidRDefault="008F5020" w:rsidP="0000545C">
      <w:pPr>
        <w:pStyle w:val="eaae-paragraph"/>
        <w:spacing w:line="240" w:lineRule="auto"/>
        <w:ind w:firstLine="426"/>
      </w:pPr>
      <w:r w:rsidRPr="0000545C">
        <w:lastRenderedPageBreak/>
        <w:t>The emission of carbon dioxide, as a consequence of a greater use of fertilizers and investment in the primary sector, has been homogeneous in all European countries. The level of emissions of carbon dioxide and other greenhouse gases, such as NO</w:t>
      </w:r>
      <w:r w:rsidRPr="0000545C">
        <w:rPr>
          <w:vertAlign w:val="subscript"/>
        </w:rPr>
        <w:t>2</w:t>
      </w:r>
      <w:r w:rsidRPr="0000545C">
        <w:t xml:space="preserve"> from fertilizers and soil, has underlined that there has been a growth of the level of discharge due to an increase of the agricultural productions in all European countries over 20 years of study. Findings have indicated that since 2007 there has been a significant drop in CO</w:t>
      </w:r>
      <w:r w:rsidRPr="0000545C">
        <w:rPr>
          <w:vertAlign w:val="subscript"/>
        </w:rPr>
        <w:t>2</w:t>
      </w:r>
      <w:r w:rsidRPr="0000545C">
        <w:t xml:space="preserve"> emissions as a consequence of several new </w:t>
      </w:r>
      <w:r w:rsidRPr="00B1268C">
        <w:t>actions carried out by the Common Agricultural Policy aimed at implementing the level of set-aside and not cultivated areas or afforested areas and at reducing the chemical negative impact on the environment through lots of actions correlated to the multifunctionality (Figure 10).</w:t>
      </w:r>
    </w:p>
    <w:p w:rsidR="008F5020" w:rsidRDefault="008F5020" w:rsidP="008F5020">
      <w:pPr>
        <w:pStyle w:val="eaae-paragraph"/>
        <w:spacing w:line="240" w:lineRule="auto"/>
        <w:ind w:firstLine="709"/>
        <w:rPr>
          <w:sz w:val="24"/>
          <w:szCs w:val="24"/>
        </w:rPr>
      </w:pPr>
    </w:p>
    <w:p w:rsidR="0000545C" w:rsidRDefault="00236836" w:rsidP="0000545C">
      <w:pPr>
        <w:pStyle w:val="eaae-paragraph"/>
        <w:spacing w:line="240" w:lineRule="auto"/>
        <w:ind w:firstLine="0"/>
        <w:jc w:val="center"/>
        <w:rPr>
          <w:color w:val="222222"/>
          <w:sz w:val="18"/>
          <w:szCs w:val="18"/>
        </w:rPr>
      </w:pPr>
      <w:r w:rsidRPr="00231C17">
        <w:rPr>
          <w:color w:val="222222"/>
          <w:sz w:val="18"/>
          <w:szCs w:val="18"/>
        </w:rPr>
        <w:pict>
          <v:shape id="_x0000_i1039" type="#_x0000_t75" style="width:231.25pt;height:197.55pt" filled="t">
            <v:fill color2="black"/>
            <v:imagedata r:id="rId25" o:title="" grayscale="t"/>
          </v:shape>
        </w:pict>
      </w:r>
    </w:p>
    <w:p w:rsidR="0000545C" w:rsidRDefault="0000545C" w:rsidP="0000545C">
      <w:pPr>
        <w:pStyle w:val="eaae-paragraph"/>
        <w:spacing w:line="240" w:lineRule="auto"/>
        <w:ind w:firstLine="0"/>
        <w:jc w:val="center"/>
        <w:rPr>
          <w:sz w:val="24"/>
          <w:szCs w:val="24"/>
        </w:rPr>
      </w:pPr>
    </w:p>
    <w:p w:rsidR="0000545C" w:rsidRDefault="0000545C" w:rsidP="0000545C">
      <w:pPr>
        <w:jc w:val="center"/>
        <w:rPr>
          <w:sz w:val="22"/>
          <w:szCs w:val="22"/>
        </w:rPr>
      </w:pPr>
      <w:r w:rsidRPr="0000545C">
        <w:rPr>
          <w:sz w:val="22"/>
          <w:szCs w:val="22"/>
        </w:rPr>
        <w:t>Figure 10. Self-organizing maps about the level of carbon dioxide emissions in</w:t>
      </w:r>
    </w:p>
    <w:p w:rsidR="0000545C" w:rsidRPr="0000545C" w:rsidRDefault="0000545C" w:rsidP="0000545C">
      <w:pPr>
        <w:jc w:val="center"/>
        <w:rPr>
          <w:sz w:val="22"/>
          <w:szCs w:val="22"/>
        </w:rPr>
      </w:pPr>
      <w:r w:rsidRPr="0000545C">
        <w:rPr>
          <w:sz w:val="22"/>
          <w:szCs w:val="22"/>
        </w:rPr>
        <w:t>all analysed countries.</w:t>
      </w:r>
    </w:p>
    <w:p w:rsidR="0000545C" w:rsidRDefault="0000545C" w:rsidP="0000545C">
      <w:pPr>
        <w:pStyle w:val="eaae-paragraph"/>
        <w:spacing w:line="240" w:lineRule="auto"/>
        <w:ind w:firstLine="0"/>
        <w:jc w:val="center"/>
        <w:rPr>
          <w:sz w:val="24"/>
          <w:szCs w:val="24"/>
        </w:rPr>
      </w:pPr>
      <w:r>
        <w:rPr>
          <w:sz w:val="18"/>
          <w:szCs w:val="18"/>
        </w:rPr>
        <w:t>Source: Author’s elaboration on data http://faostat3.fao.org/faostat-gateway/go/to/home/E.</w:t>
      </w:r>
    </w:p>
    <w:p w:rsidR="004E4729" w:rsidRPr="00CB56EC" w:rsidRDefault="004E4729" w:rsidP="0000545C">
      <w:pPr>
        <w:autoSpaceDE w:val="0"/>
        <w:autoSpaceDN w:val="0"/>
        <w:adjustRightInd w:val="0"/>
        <w:jc w:val="center"/>
        <w:rPr>
          <w:sz w:val="22"/>
          <w:szCs w:val="22"/>
        </w:rPr>
      </w:pPr>
    </w:p>
    <w:p w:rsidR="0013693B" w:rsidRPr="000B2777" w:rsidRDefault="0013693B" w:rsidP="0013693B">
      <w:pPr>
        <w:jc w:val="center"/>
        <w:rPr>
          <w:b/>
          <w:sz w:val="22"/>
          <w:szCs w:val="22"/>
        </w:rPr>
      </w:pPr>
      <w:r w:rsidRPr="000B2777">
        <w:rPr>
          <w:b/>
          <w:sz w:val="22"/>
          <w:szCs w:val="22"/>
        </w:rPr>
        <w:t>Conclusion</w:t>
      </w:r>
    </w:p>
    <w:p w:rsidR="000B2777" w:rsidRPr="00491130" w:rsidRDefault="000B2777" w:rsidP="00491130">
      <w:pPr>
        <w:jc w:val="center"/>
        <w:rPr>
          <w:sz w:val="22"/>
          <w:szCs w:val="22"/>
        </w:rPr>
      </w:pPr>
    </w:p>
    <w:p w:rsidR="008F5020" w:rsidRPr="0000545C" w:rsidRDefault="008F5020" w:rsidP="0000545C">
      <w:pPr>
        <w:ind w:firstLine="426"/>
        <w:jc w:val="both"/>
        <w:rPr>
          <w:sz w:val="22"/>
          <w:szCs w:val="22"/>
          <w:lang w:val="en-US"/>
        </w:rPr>
      </w:pPr>
      <w:r w:rsidRPr="0000545C">
        <w:rPr>
          <w:sz w:val="22"/>
          <w:szCs w:val="22"/>
          <w:lang w:val="en-US"/>
        </w:rPr>
        <w:t xml:space="preserve">The Kohonen’s maps have pointed out a good ability of this quantitative approach in order to investigate and classify time series data and its spatial evolution. Roughly speaking, this method has been useful in describing the impact of investment on production specialization, levels of pollution and food self-sufficiency. </w:t>
      </w:r>
    </w:p>
    <w:p w:rsidR="008F5020" w:rsidRPr="0000545C" w:rsidRDefault="008F5020" w:rsidP="0000545C">
      <w:pPr>
        <w:ind w:firstLine="426"/>
        <w:jc w:val="both"/>
        <w:rPr>
          <w:bCs/>
          <w:sz w:val="22"/>
          <w:szCs w:val="22"/>
        </w:rPr>
      </w:pPr>
      <w:r w:rsidRPr="0000545C">
        <w:rPr>
          <w:sz w:val="22"/>
          <w:szCs w:val="22"/>
          <w:lang w:val="en-US"/>
        </w:rPr>
        <w:t xml:space="preserve">The level of food self-sufficiency has increased since 2004, </w:t>
      </w:r>
      <w:r w:rsidRPr="0000545C">
        <w:rPr>
          <w:rStyle w:val="hps"/>
          <w:sz w:val="22"/>
          <w:szCs w:val="22"/>
        </w:rPr>
        <w:t>despite</w:t>
      </w:r>
      <w:r w:rsidRPr="0000545C">
        <w:rPr>
          <w:sz w:val="22"/>
          <w:szCs w:val="22"/>
        </w:rPr>
        <w:t xml:space="preserve"> </w:t>
      </w:r>
      <w:r w:rsidRPr="0000545C">
        <w:rPr>
          <w:rStyle w:val="hpsalt-edited"/>
          <w:sz w:val="22"/>
          <w:szCs w:val="22"/>
        </w:rPr>
        <w:t>the accession of</w:t>
      </w:r>
      <w:r w:rsidRPr="0000545C">
        <w:rPr>
          <w:sz w:val="22"/>
          <w:szCs w:val="22"/>
        </w:rPr>
        <w:t xml:space="preserve"> </w:t>
      </w:r>
      <w:r w:rsidRPr="0000545C">
        <w:rPr>
          <w:rStyle w:val="hpsalt-edited"/>
          <w:sz w:val="22"/>
          <w:szCs w:val="22"/>
        </w:rPr>
        <w:t>new member states</w:t>
      </w:r>
      <w:r w:rsidRPr="0000545C">
        <w:rPr>
          <w:sz w:val="22"/>
          <w:szCs w:val="22"/>
        </w:rPr>
        <w:t xml:space="preserve"> </w:t>
      </w:r>
      <w:r w:rsidRPr="0000545C">
        <w:rPr>
          <w:rStyle w:val="hpsalt-edited"/>
          <w:sz w:val="22"/>
          <w:szCs w:val="22"/>
        </w:rPr>
        <w:t>of Eastern Europe in the EU, which came from</w:t>
      </w:r>
      <w:r w:rsidRPr="0000545C">
        <w:rPr>
          <w:sz w:val="22"/>
          <w:szCs w:val="22"/>
        </w:rPr>
        <w:t xml:space="preserve"> the </w:t>
      </w:r>
      <w:r w:rsidRPr="0000545C">
        <w:rPr>
          <w:rStyle w:val="hpsalt-edited"/>
          <w:sz w:val="22"/>
          <w:szCs w:val="22"/>
        </w:rPr>
        <w:lastRenderedPageBreak/>
        <w:t>conditions of extreme</w:t>
      </w:r>
      <w:r w:rsidRPr="0000545C">
        <w:rPr>
          <w:sz w:val="22"/>
          <w:szCs w:val="22"/>
        </w:rPr>
        <w:t xml:space="preserve"> structural productive </w:t>
      </w:r>
      <w:r w:rsidRPr="0000545C">
        <w:rPr>
          <w:rStyle w:val="hps"/>
          <w:sz w:val="22"/>
          <w:szCs w:val="22"/>
        </w:rPr>
        <w:t>weakness</w:t>
      </w:r>
      <w:r w:rsidRPr="0000545C">
        <w:rPr>
          <w:sz w:val="22"/>
          <w:szCs w:val="22"/>
        </w:rPr>
        <w:t xml:space="preserve"> </w:t>
      </w:r>
      <w:r w:rsidRPr="0000545C">
        <w:rPr>
          <w:rStyle w:val="hps"/>
          <w:sz w:val="22"/>
          <w:szCs w:val="22"/>
        </w:rPr>
        <w:t>and economic</w:t>
      </w:r>
      <w:r w:rsidRPr="0000545C">
        <w:rPr>
          <w:sz w:val="22"/>
          <w:szCs w:val="22"/>
        </w:rPr>
        <w:t xml:space="preserve"> </w:t>
      </w:r>
      <w:r w:rsidRPr="0000545C">
        <w:rPr>
          <w:rStyle w:val="hps"/>
          <w:sz w:val="22"/>
          <w:szCs w:val="22"/>
        </w:rPr>
        <w:t>disadvantage; hence, the role of  pre-accession funds have been pivotal to stimulate farmers to improve their</w:t>
      </w:r>
      <w:r w:rsidRPr="0000545C">
        <w:rPr>
          <w:sz w:val="22"/>
          <w:szCs w:val="22"/>
        </w:rPr>
        <w:t xml:space="preserve"> </w:t>
      </w:r>
      <w:r w:rsidRPr="0000545C">
        <w:rPr>
          <w:rStyle w:val="hps"/>
          <w:sz w:val="22"/>
          <w:szCs w:val="22"/>
        </w:rPr>
        <w:t>factors of production and land capital</w:t>
      </w:r>
      <w:r w:rsidRPr="0000545C">
        <w:rPr>
          <w:sz w:val="22"/>
          <w:szCs w:val="22"/>
        </w:rPr>
        <w:t xml:space="preserve"> by </w:t>
      </w:r>
      <w:r w:rsidRPr="0000545C">
        <w:rPr>
          <w:rStyle w:val="hps"/>
          <w:sz w:val="22"/>
          <w:szCs w:val="22"/>
        </w:rPr>
        <w:t>investments able to improve both</w:t>
      </w:r>
      <w:r w:rsidRPr="0000545C">
        <w:rPr>
          <w:sz w:val="22"/>
          <w:szCs w:val="22"/>
        </w:rPr>
        <w:t xml:space="preserve"> </w:t>
      </w:r>
      <w:r w:rsidRPr="0000545C">
        <w:rPr>
          <w:rStyle w:val="hps"/>
          <w:sz w:val="22"/>
          <w:szCs w:val="22"/>
        </w:rPr>
        <w:t>economic and also food</w:t>
      </w:r>
      <w:r w:rsidRPr="0000545C">
        <w:rPr>
          <w:sz w:val="22"/>
          <w:szCs w:val="22"/>
        </w:rPr>
        <w:t xml:space="preserve"> </w:t>
      </w:r>
      <w:r w:rsidRPr="0000545C">
        <w:rPr>
          <w:rStyle w:val="hps"/>
          <w:sz w:val="22"/>
          <w:szCs w:val="22"/>
        </w:rPr>
        <w:t>self-sufficiency</w:t>
      </w:r>
      <w:r w:rsidRPr="0000545C">
        <w:rPr>
          <w:sz w:val="22"/>
          <w:szCs w:val="22"/>
        </w:rPr>
        <w:t xml:space="preserve"> reducing, on the other hand, </w:t>
      </w:r>
      <w:r w:rsidRPr="0000545C">
        <w:rPr>
          <w:rStyle w:val="hps"/>
          <w:sz w:val="22"/>
          <w:szCs w:val="22"/>
        </w:rPr>
        <w:t>the ecological impact</w:t>
      </w:r>
      <w:r w:rsidRPr="0000545C">
        <w:rPr>
          <w:sz w:val="22"/>
          <w:szCs w:val="22"/>
        </w:rPr>
        <w:t xml:space="preserve"> of</w:t>
      </w:r>
      <w:r w:rsidRPr="0000545C">
        <w:rPr>
          <w:rStyle w:val="hps"/>
          <w:sz w:val="22"/>
          <w:szCs w:val="22"/>
        </w:rPr>
        <w:t xml:space="preserve"> emissions of</w:t>
      </w:r>
      <w:r w:rsidRPr="0000545C">
        <w:rPr>
          <w:sz w:val="22"/>
          <w:szCs w:val="22"/>
        </w:rPr>
        <w:t xml:space="preserve"> </w:t>
      </w:r>
      <w:r w:rsidRPr="0000545C">
        <w:rPr>
          <w:rStyle w:val="hps"/>
          <w:sz w:val="22"/>
          <w:szCs w:val="22"/>
        </w:rPr>
        <w:t>pollutants</w:t>
      </w:r>
      <w:r w:rsidRPr="0000545C">
        <w:rPr>
          <w:sz w:val="22"/>
          <w:szCs w:val="22"/>
        </w:rPr>
        <w:t xml:space="preserve"> </w:t>
      </w:r>
      <w:r w:rsidRPr="0000545C">
        <w:rPr>
          <w:rStyle w:val="hps"/>
          <w:sz w:val="22"/>
          <w:szCs w:val="22"/>
        </w:rPr>
        <w:t>such as</w:t>
      </w:r>
      <w:r w:rsidRPr="0000545C">
        <w:rPr>
          <w:sz w:val="22"/>
          <w:szCs w:val="22"/>
        </w:rPr>
        <w:t xml:space="preserve"> </w:t>
      </w:r>
      <w:r w:rsidRPr="0000545C">
        <w:rPr>
          <w:rStyle w:val="hps"/>
          <w:sz w:val="22"/>
          <w:szCs w:val="22"/>
        </w:rPr>
        <w:t>carbon</w:t>
      </w:r>
      <w:r w:rsidRPr="0000545C">
        <w:rPr>
          <w:sz w:val="22"/>
          <w:szCs w:val="22"/>
        </w:rPr>
        <w:t xml:space="preserve"> dioxide by new ecological strategies proposed by the Common Agricultural Policy focused on protecting the environment and on reducing chemical use of pesticides and fertilizers through financial subsidies towards organic farms</w:t>
      </w:r>
      <w:r w:rsidRPr="0000545C">
        <w:rPr>
          <w:sz w:val="22"/>
          <w:szCs w:val="22"/>
          <w:lang w:val="en-US"/>
        </w:rPr>
        <w:t xml:space="preserve">. </w:t>
      </w:r>
    </w:p>
    <w:p w:rsidR="008F5020" w:rsidRPr="0000545C" w:rsidRDefault="008F5020" w:rsidP="0000545C">
      <w:pPr>
        <w:ind w:firstLine="426"/>
        <w:jc w:val="both"/>
        <w:rPr>
          <w:bCs/>
          <w:sz w:val="22"/>
          <w:szCs w:val="22"/>
        </w:rPr>
      </w:pPr>
      <w:r w:rsidRPr="0000545C">
        <w:rPr>
          <w:bCs/>
          <w:sz w:val="22"/>
          <w:szCs w:val="22"/>
        </w:rPr>
        <w:t>Results have underscored that countries with wide arable land areas have produced a high level of emissions in terms of CO2 from the fertilizers. In general, farmers with poorer areas than other European countries are able to put a lower level of carbon dioxide in the atmosphere, hence, this has implied that small farmers are able to produce a multifunctional effect compared to very large areas</w:t>
      </w:r>
      <w:r w:rsidR="0000545C">
        <w:rPr>
          <w:bCs/>
          <w:sz w:val="22"/>
          <w:szCs w:val="22"/>
        </w:rPr>
        <w:t>.</w:t>
      </w:r>
    </w:p>
    <w:p w:rsidR="008F5020" w:rsidRDefault="008F5020" w:rsidP="0000545C">
      <w:pPr>
        <w:ind w:firstLine="426"/>
        <w:jc w:val="both"/>
        <w:rPr>
          <w:bCs/>
          <w:sz w:val="22"/>
          <w:szCs w:val="22"/>
        </w:rPr>
      </w:pPr>
      <w:r w:rsidRPr="0000545C">
        <w:rPr>
          <w:bCs/>
          <w:sz w:val="22"/>
          <w:szCs w:val="22"/>
        </w:rPr>
        <w:t xml:space="preserve">To sum up, the analysis has underlined that an improvement of the food self-sufficient level has been tightly linked to an increase of pollution in terms of carbon dioxide emissions; therefore some proposals of the European Union Commission about the greening approach </w:t>
      </w:r>
      <w:r w:rsidRPr="0000545C">
        <w:rPr>
          <w:rStyle w:val="hpsalt-edited"/>
          <w:bCs/>
          <w:sz w:val="22"/>
          <w:szCs w:val="22"/>
        </w:rPr>
        <w:t>or as an alternative</w:t>
      </w:r>
      <w:r w:rsidRPr="0000545C">
        <w:rPr>
          <w:rStyle w:val="shorttext"/>
          <w:bCs/>
          <w:sz w:val="22"/>
          <w:szCs w:val="22"/>
        </w:rPr>
        <w:t xml:space="preserve"> </w:t>
      </w:r>
      <w:r w:rsidRPr="0000545C">
        <w:rPr>
          <w:rStyle w:val="hpsalt-edited"/>
          <w:bCs/>
          <w:sz w:val="22"/>
          <w:szCs w:val="22"/>
        </w:rPr>
        <w:t xml:space="preserve">reforestation </w:t>
      </w:r>
      <w:r w:rsidRPr="0000545C">
        <w:rPr>
          <w:bCs/>
          <w:sz w:val="22"/>
          <w:szCs w:val="22"/>
        </w:rPr>
        <w:t>seem to be the first and foremost strategies in reducing this ecological problem. It is important that policy makers</w:t>
      </w:r>
      <w:r w:rsidRPr="0000545C">
        <w:rPr>
          <w:rStyle w:val="hps"/>
          <w:bCs/>
          <w:sz w:val="22"/>
          <w:szCs w:val="22"/>
        </w:rPr>
        <w:t xml:space="preserve"> take</w:t>
      </w:r>
      <w:r w:rsidRPr="0000545C">
        <w:rPr>
          <w:bCs/>
          <w:sz w:val="22"/>
          <w:szCs w:val="22"/>
        </w:rPr>
        <w:t xml:space="preserve"> </w:t>
      </w:r>
      <w:r w:rsidRPr="0000545C">
        <w:rPr>
          <w:rStyle w:val="hps"/>
          <w:bCs/>
          <w:sz w:val="22"/>
          <w:szCs w:val="22"/>
        </w:rPr>
        <w:t>into account specificities</w:t>
      </w:r>
      <w:r w:rsidRPr="0000545C">
        <w:rPr>
          <w:bCs/>
          <w:sz w:val="22"/>
          <w:szCs w:val="22"/>
        </w:rPr>
        <w:t xml:space="preserve"> </w:t>
      </w:r>
      <w:r w:rsidRPr="0000545C">
        <w:rPr>
          <w:rStyle w:val="hps"/>
          <w:bCs/>
          <w:sz w:val="22"/>
          <w:szCs w:val="22"/>
        </w:rPr>
        <w:t>of the different</w:t>
      </w:r>
      <w:r w:rsidRPr="0000545C">
        <w:rPr>
          <w:bCs/>
          <w:sz w:val="22"/>
          <w:szCs w:val="22"/>
        </w:rPr>
        <w:t xml:space="preserve"> typologies of </w:t>
      </w:r>
      <w:r w:rsidRPr="0000545C">
        <w:rPr>
          <w:rStyle w:val="hps"/>
          <w:bCs/>
          <w:sz w:val="22"/>
          <w:szCs w:val="22"/>
        </w:rPr>
        <w:t>European agricultures,</w:t>
      </w:r>
      <w:r w:rsidRPr="0000545C">
        <w:rPr>
          <w:bCs/>
          <w:sz w:val="22"/>
          <w:szCs w:val="22"/>
        </w:rPr>
        <w:t xml:space="preserve"> with the aim to disburse financial subsidies by the CAP in favor of quality agrarian productions such as certified quality food and traditional food</w:t>
      </w:r>
      <w:r w:rsidR="0000545C">
        <w:rPr>
          <w:bCs/>
          <w:sz w:val="22"/>
          <w:szCs w:val="22"/>
        </w:rPr>
        <w:t>.</w:t>
      </w:r>
    </w:p>
    <w:p w:rsidR="0000545C" w:rsidRPr="0000545C" w:rsidRDefault="0000545C" w:rsidP="00CB24A5">
      <w:pPr>
        <w:jc w:val="center"/>
        <w:rPr>
          <w:sz w:val="22"/>
          <w:szCs w:val="22"/>
        </w:rPr>
      </w:pPr>
    </w:p>
    <w:p w:rsidR="0013693B" w:rsidRDefault="0013693B" w:rsidP="00F171ED">
      <w:pPr>
        <w:widowControl w:val="0"/>
        <w:jc w:val="center"/>
        <w:rPr>
          <w:b/>
          <w:sz w:val="22"/>
          <w:szCs w:val="22"/>
        </w:rPr>
      </w:pPr>
      <w:r w:rsidRPr="00831C98">
        <w:rPr>
          <w:b/>
          <w:sz w:val="22"/>
          <w:szCs w:val="22"/>
        </w:rPr>
        <w:t>References</w:t>
      </w:r>
    </w:p>
    <w:p w:rsidR="00831C98" w:rsidRPr="007648FB" w:rsidRDefault="00831C98" w:rsidP="000A7942">
      <w:pPr>
        <w:jc w:val="center"/>
        <w:rPr>
          <w:sz w:val="22"/>
          <w:szCs w:val="22"/>
        </w:rPr>
      </w:pPr>
    </w:p>
    <w:p w:rsidR="008F5020" w:rsidRPr="0000545C" w:rsidRDefault="008F5020" w:rsidP="0000545C">
      <w:pPr>
        <w:pStyle w:val="eaae-paragraph"/>
        <w:spacing w:line="240" w:lineRule="auto"/>
        <w:ind w:left="425" w:hanging="425"/>
        <w:rPr>
          <w:sz w:val="18"/>
          <w:szCs w:val="18"/>
        </w:rPr>
      </w:pPr>
      <w:r w:rsidRPr="0000545C">
        <w:rPr>
          <w:sz w:val="18"/>
          <w:szCs w:val="18"/>
          <w:lang w:val="it-IT"/>
        </w:rPr>
        <w:t xml:space="preserve">Belletti, G. (2003). Le denominazioni geografiche nel supporto all’agricoltura multifunzionale. </w:t>
      </w:r>
      <w:r w:rsidRPr="0000545C">
        <w:rPr>
          <w:i/>
          <w:iCs/>
          <w:sz w:val="18"/>
          <w:szCs w:val="18"/>
        </w:rPr>
        <w:t>Politica Agricola Internazionale</w:t>
      </w:r>
      <w:r w:rsidRPr="0000545C">
        <w:rPr>
          <w:sz w:val="18"/>
          <w:szCs w:val="18"/>
        </w:rPr>
        <w:t>,</w:t>
      </w:r>
      <w:r w:rsidRPr="0000545C">
        <w:rPr>
          <w:i/>
          <w:iCs/>
          <w:sz w:val="18"/>
          <w:szCs w:val="18"/>
        </w:rPr>
        <w:t xml:space="preserve"> </w:t>
      </w:r>
      <w:r w:rsidRPr="0000545C">
        <w:rPr>
          <w:sz w:val="18"/>
          <w:szCs w:val="18"/>
        </w:rPr>
        <w:t>4, 1-21.</w:t>
      </w:r>
    </w:p>
    <w:p w:rsidR="008F5020" w:rsidRPr="0000545C" w:rsidRDefault="008F5020" w:rsidP="0000545C">
      <w:pPr>
        <w:pStyle w:val="eaae-paragraph"/>
        <w:spacing w:line="240" w:lineRule="auto"/>
        <w:ind w:left="425" w:hanging="425"/>
        <w:rPr>
          <w:sz w:val="18"/>
          <w:szCs w:val="18"/>
        </w:rPr>
      </w:pPr>
      <w:r w:rsidRPr="0000545C">
        <w:rPr>
          <w:sz w:val="18"/>
          <w:szCs w:val="18"/>
        </w:rPr>
        <w:t>Cooper, T., Hart, K.</w:t>
      </w:r>
      <w:r w:rsidR="0000545C">
        <w:rPr>
          <w:sz w:val="18"/>
          <w:szCs w:val="18"/>
        </w:rPr>
        <w:t>,</w:t>
      </w:r>
      <w:r w:rsidRPr="0000545C">
        <w:rPr>
          <w:sz w:val="18"/>
          <w:szCs w:val="18"/>
        </w:rPr>
        <w:t xml:space="preserve"> &amp; Baldock, D. (2009). The Provision of Public Goods Through Agriculture in the European Union. Report for DG Agriculture and Rural Development. </w:t>
      </w:r>
      <w:r w:rsidRPr="0000545C">
        <w:rPr>
          <w:i/>
          <w:iCs/>
          <w:sz w:val="18"/>
          <w:szCs w:val="18"/>
        </w:rPr>
        <w:t>Institute for European Environmental Policy.</w:t>
      </w:r>
      <w:r w:rsidRPr="0000545C">
        <w:rPr>
          <w:sz w:val="18"/>
          <w:szCs w:val="18"/>
        </w:rPr>
        <w:t xml:space="preserve"> Retrieved November 18, 2016, from http://ec.europa.eu/agriculture/analysis/external/public-goods/index_en.htm.</w:t>
      </w:r>
    </w:p>
    <w:p w:rsidR="008F5020" w:rsidRPr="0000545C" w:rsidRDefault="008F5020" w:rsidP="0000545C">
      <w:pPr>
        <w:pStyle w:val="eaae-paragraph"/>
        <w:spacing w:line="240" w:lineRule="auto"/>
        <w:ind w:left="425" w:hanging="425"/>
        <w:rPr>
          <w:sz w:val="18"/>
          <w:szCs w:val="18"/>
        </w:rPr>
      </w:pPr>
      <w:r w:rsidRPr="0000545C">
        <w:rPr>
          <w:sz w:val="18"/>
          <w:szCs w:val="18"/>
        </w:rPr>
        <w:t>Cunha, A.</w:t>
      </w:r>
      <w:r w:rsidR="0000545C">
        <w:rPr>
          <w:sz w:val="18"/>
          <w:szCs w:val="18"/>
        </w:rPr>
        <w:t>,</w:t>
      </w:r>
      <w:r w:rsidRPr="0000545C">
        <w:rPr>
          <w:sz w:val="18"/>
          <w:szCs w:val="18"/>
        </w:rPr>
        <w:t xml:space="preserve"> &amp; Swinbank, A. (2011). </w:t>
      </w:r>
      <w:r w:rsidRPr="0000545C">
        <w:rPr>
          <w:i/>
          <w:iCs/>
          <w:sz w:val="18"/>
          <w:szCs w:val="18"/>
        </w:rPr>
        <w:t>An inside view of the CAP reform process. Exploring the MacSharry, Agenda 2000 and Fishler Reforms.</w:t>
      </w:r>
      <w:r w:rsidRPr="0000545C">
        <w:rPr>
          <w:sz w:val="18"/>
          <w:szCs w:val="18"/>
        </w:rPr>
        <w:t xml:space="preserve"> Oxford: Oxford University Press.</w:t>
      </w:r>
    </w:p>
    <w:p w:rsidR="008F5020" w:rsidRPr="0000545C" w:rsidRDefault="008F5020" w:rsidP="0000545C">
      <w:pPr>
        <w:pStyle w:val="eaae-paragraph"/>
        <w:spacing w:line="240" w:lineRule="auto"/>
        <w:ind w:left="425" w:hanging="425"/>
        <w:rPr>
          <w:sz w:val="18"/>
          <w:szCs w:val="18"/>
        </w:rPr>
      </w:pPr>
      <w:r w:rsidRPr="0000545C">
        <w:rPr>
          <w:sz w:val="18"/>
          <w:szCs w:val="18"/>
        </w:rPr>
        <w:t>Dibden, J., Potter, C.</w:t>
      </w:r>
      <w:r w:rsidR="0000545C">
        <w:rPr>
          <w:sz w:val="18"/>
          <w:szCs w:val="18"/>
        </w:rPr>
        <w:t>,</w:t>
      </w:r>
      <w:r w:rsidRPr="0000545C">
        <w:rPr>
          <w:sz w:val="18"/>
          <w:szCs w:val="18"/>
        </w:rPr>
        <w:t xml:space="preserve"> &amp; Cocklin, C. (2009). Contesting the neoliberal project for agriculture: Productivist and multifunctional trajectories in the European Union and Australia. </w:t>
      </w:r>
      <w:r w:rsidRPr="0000545C">
        <w:rPr>
          <w:i/>
          <w:iCs/>
          <w:sz w:val="18"/>
          <w:szCs w:val="18"/>
        </w:rPr>
        <w:t>Journal of Rural Studies,</w:t>
      </w:r>
      <w:r w:rsidRPr="0000545C">
        <w:rPr>
          <w:sz w:val="18"/>
          <w:szCs w:val="18"/>
        </w:rPr>
        <w:t xml:space="preserve"> </w:t>
      </w:r>
      <w:r w:rsidRPr="0000545C">
        <w:rPr>
          <w:i/>
          <w:sz w:val="18"/>
          <w:szCs w:val="18"/>
        </w:rPr>
        <w:t>25</w:t>
      </w:r>
      <w:r w:rsidRPr="0000545C">
        <w:rPr>
          <w:sz w:val="18"/>
          <w:szCs w:val="18"/>
        </w:rPr>
        <w:t>(3), 299-308.</w:t>
      </w:r>
    </w:p>
    <w:p w:rsidR="008F5020" w:rsidRPr="0000545C" w:rsidRDefault="008F5020" w:rsidP="0000545C">
      <w:pPr>
        <w:pStyle w:val="eaae-paragraph"/>
        <w:spacing w:line="240" w:lineRule="auto"/>
        <w:ind w:left="425" w:hanging="425"/>
        <w:rPr>
          <w:sz w:val="18"/>
          <w:szCs w:val="18"/>
        </w:rPr>
      </w:pPr>
      <w:r w:rsidRPr="0000545C">
        <w:rPr>
          <w:sz w:val="18"/>
          <w:szCs w:val="18"/>
        </w:rPr>
        <w:t>Dufour, A., Mauz, I., Rémy, J., Bernard, C., Dobremez, L., Havet, A., Pauthenet, Y., Pluvinage, J.</w:t>
      </w:r>
      <w:r w:rsidR="0000545C">
        <w:rPr>
          <w:sz w:val="18"/>
          <w:szCs w:val="18"/>
        </w:rPr>
        <w:t>,</w:t>
      </w:r>
      <w:r w:rsidRPr="0000545C">
        <w:rPr>
          <w:sz w:val="18"/>
          <w:szCs w:val="18"/>
        </w:rPr>
        <w:t xml:space="preserve"> &amp; Tchakérian, E. (2007). Multifunctionality in Agriculture and its Agents: Regional Comparisons. </w:t>
      </w:r>
      <w:r w:rsidRPr="0000545C">
        <w:rPr>
          <w:i/>
          <w:iCs/>
          <w:sz w:val="18"/>
          <w:szCs w:val="18"/>
        </w:rPr>
        <w:t>Sociologia Ruralis,</w:t>
      </w:r>
      <w:r w:rsidRPr="0000545C">
        <w:rPr>
          <w:sz w:val="18"/>
          <w:szCs w:val="18"/>
        </w:rPr>
        <w:t xml:space="preserve"> </w:t>
      </w:r>
      <w:r w:rsidRPr="0000545C">
        <w:rPr>
          <w:i/>
          <w:sz w:val="18"/>
          <w:szCs w:val="18"/>
        </w:rPr>
        <w:t>47</w:t>
      </w:r>
      <w:r w:rsidRPr="0000545C">
        <w:rPr>
          <w:sz w:val="18"/>
          <w:szCs w:val="18"/>
        </w:rPr>
        <w:t>(4), 316-342.</w:t>
      </w:r>
    </w:p>
    <w:p w:rsidR="008F5020" w:rsidRPr="0000545C" w:rsidRDefault="008F5020" w:rsidP="0000545C">
      <w:pPr>
        <w:pStyle w:val="eaae-paragraph"/>
        <w:spacing w:line="240" w:lineRule="auto"/>
        <w:ind w:left="425" w:hanging="425"/>
        <w:rPr>
          <w:sz w:val="18"/>
          <w:szCs w:val="18"/>
        </w:rPr>
      </w:pPr>
      <w:commentRangeStart w:id="2"/>
      <w:r w:rsidRPr="0000545C">
        <w:rPr>
          <w:sz w:val="18"/>
          <w:szCs w:val="18"/>
        </w:rPr>
        <w:t>XXXXX, XX. (2013a).   ….....XXXXXXX.........</w:t>
      </w:r>
    </w:p>
    <w:p w:rsidR="008F5020" w:rsidRPr="0000545C" w:rsidRDefault="008F5020" w:rsidP="0000545C">
      <w:pPr>
        <w:pStyle w:val="eaae-paragraph"/>
        <w:spacing w:line="240" w:lineRule="auto"/>
        <w:ind w:left="425" w:hanging="425"/>
        <w:rPr>
          <w:sz w:val="18"/>
          <w:szCs w:val="18"/>
        </w:rPr>
      </w:pPr>
      <w:r w:rsidRPr="0000545C">
        <w:rPr>
          <w:sz w:val="18"/>
          <w:szCs w:val="18"/>
        </w:rPr>
        <w:t>XXXXX, XX. (2013b).    ….....XXXXXXX.........</w:t>
      </w:r>
    </w:p>
    <w:p w:rsidR="008F5020" w:rsidRPr="0000545C" w:rsidRDefault="008F5020" w:rsidP="0000545C">
      <w:pPr>
        <w:pStyle w:val="eaae-paragraph"/>
        <w:spacing w:line="240" w:lineRule="auto"/>
        <w:ind w:left="425" w:hanging="425"/>
        <w:rPr>
          <w:sz w:val="18"/>
          <w:szCs w:val="18"/>
        </w:rPr>
      </w:pPr>
      <w:r w:rsidRPr="0000545C">
        <w:rPr>
          <w:sz w:val="18"/>
          <w:szCs w:val="18"/>
        </w:rPr>
        <w:t>XXXXX, XX.  (2015). .   ….....XXXXXXX.........</w:t>
      </w:r>
    </w:p>
    <w:commentRangeEnd w:id="2"/>
    <w:p w:rsidR="008F5020" w:rsidRPr="0000545C" w:rsidRDefault="008F5020" w:rsidP="0000545C">
      <w:pPr>
        <w:pStyle w:val="eaae-paragraph"/>
        <w:spacing w:line="240" w:lineRule="auto"/>
        <w:ind w:left="425" w:hanging="425"/>
        <w:rPr>
          <w:sz w:val="18"/>
          <w:szCs w:val="18"/>
          <w:lang w:val="it-IT"/>
        </w:rPr>
      </w:pPr>
      <w:r w:rsidRPr="0000545C">
        <w:rPr>
          <w:rStyle w:val="CommentReference"/>
          <w:sz w:val="18"/>
          <w:szCs w:val="18"/>
          <w:lang w:val="it-IT"/>
        </w:rPr>
        <w:commentReference w:id="2"/>
      </w:r>
      <w:r w:rsidRPr="0000545C">
        <w:rPr>
          <w:sz w:val="18"/>
          <w:szCs w:val="18"/>
        </w:rPr>
        <w:t>Hassink, J., Grin, J.</w:t>
      </w:r>
      <w:r w:rsidR="0000545C">
        <w:rPr>
          <w:sz w:val="18"/>
          <w:szCs w:val="18"/>
        </w:rPr>
        <w:t>,</w:t>
      </w:r>
      <w:r w:rsidRPr="0000545C">
        <w:rPr>
          <w:sz w:val="18"/>
          <w:szCs w:val="18"/>
        </w:rPr>
        <w:t xml:space="preserve"> </w:t>
      </w:r>
      <w:r w:rsidR="0000545C">
        <w:rPr>
          <w:sz w:val="18"/>
          <w:szCs w:val="18"/>
        </w:rPr>
        <w:t>&amp;</w:t>
      </w:r>
      <w:r w:rsidRPr="0000545C">
        <w:rPr>
          <w:sz w:val="18"/>
          <w:szCs w:val="18"/>
        </w:rPr>
        <w:t xml:space="preserve"> Hulsink, W. (2013). Multifunctional agriculture meets health care: applying the multi-level transition sciences perspective to care farming in the Netherlands. </w:t>
      </w:r>
      <w:r w:rsidRPr="0000545C">
        <w:rPr>
          <w:i/>
          <w:iCs/>
          <w:sz w:val="18"/>
          <w:szCs w:val="18"/>
          <w:lang w:val="it-IT"/>
        </w:rPr>
        <w:t xml:space="preserve">Sociologia Ruralis, </w:t>
      </w:r>
      <w:r w:rsidRPr="0000545C">
        <w:rPr>
          <w:i/>
          <w:sz w:val="18"/>
          <w:szCs w:val="18"/>
          <w:lang w:val="it-IT"/>
        </w:rPr>
        <w:t>53</w:t>
      </w:r>
      <w:r w:rsidRPr="0000545C">
        <w:rPr>
          <w:sz w:val="18"/>
          <w:szCs w:val="18"/>
          <w:lang w:val="it-IT"/>
        </w:rPr>
        <w:t>(2), 223-245.</w:t>
      </w:r>
    </w:p>
    <w:p w:rsidR="008F5020" w:rsidRPr="0000545C" w:rsidRDefault="008F5020" w:rsidP="0000545C">
      <w:pPr>
        <w:pStyle w:val="eaae-paragraph"/>
        <w:spacing w:line="240" w:lineRule="auto"/>
        <w:ind w:left="425" w:hanging="425"/>
        <w:rPr>
          <w:sz w:val="18"/>
          <w:szCs w:val="18"/>
        </w:rPr>
      </w:pPr>
      <w:r w:rsidRPr="0000545C">
        <w:rPr>
          <w:sz w:val="18"/>
          <w:szCs w:val="18"/>
          <w:lang w:val="it-IT"/>
        </w:rPr>
        <w:lastRenderedPageBreak/>
        <w:t xml:space="preserve">Henke, R. (2004). </w:t>
      </w:r>
      <w:r w:rsidRPr="0000545C">
        <w:rPr>
          <w:i/>
          <w:iCs/>
          <w:sz w:val="18"/>
          <w:szCs w:val="18"/>
          <w:lang w:val="it-IT"/>
        </w:rPr>
        <w:t xml:space="preserve">Verso il riconoscimento di un’agricoltura multifunzionale. Teorie, politiche e strumenti. </w:t>
      </w:r>
      <w:r w:rsidRPr="0000545C">
        <w:rPr>
          <w:sz w:val="18"/>
          <w:szCs w:val="18"/>
          <w:lang w:val="it-IT"/>
        </w:rPr>
        <w:t>Roma: Inea (Istituto Nazionale di Economia Agraria).</w:t>
      </w:r>
    </w:p>
    <w:p w:rsidR="008F5020" w:rsidRPr="0000545C" w:rsidRDefault="008F5020" w:rsidP="0000545C">
      <w:pPr>
        <w:pStyle w:val="eaae-paragraph"/>
        <w:spacing w:line="240" w:lineRule="auto"/>
        <w:ind w:left="425" w:hanging="425"/>
        <w:rPr>
          <w:sz w:val="18"/>
          <w:szCs w:val="18"/>
        </w:rPr>
      </w:pPr>
      <w:r w:rsidRPr="0000545C">
        <w:rPr>
          <w:sz w:val="18"/>
          <w:szCs w:val="18"/>
        </w:rPr>
        <w:t xml:space="preserve">Ilbery, B. (ed) (1998). </w:t>
      </w:r>
      <w:r w:rsidRPr="0000545C">
        <w:rPr>
          <w:i/>
          <w:iCs/>
          <w:sz w:val="18"/>
          <w:szCs w:val="18"/>
        </w:rPr>
        <w:t xml:space="preserve">The geography of rural change. </w:t>
      </w:r>
      <w:r w:rsidRPr="0000545C">
        <w:rPr>
          <w:sz w:val="18"/>
          <w:szCs w:val="18"/>
        </w:rPr>
        <w:t>Harlow: Pearson Education Limited.</w:t>
      </w:r>
    </w:p>
    <w:p w:rsidR="008F5020" w:rsidRPr="0000545C" w:rsidRDefault="008F5020" w:rsidP="0000545C">
      <w:pPr>
        <w:pStyle w:val="eaae-paragraph"/>
        <w:spacing w:line="240" w:lineRule="auto"/>
        <w:ind w:left="425" w:hanging="425"/>
        <w:rPr>
          <w:sz w:val="18"/>
          <w:szCs w:val="18"/>
        </w:rPr>
      </w:pPr>
      <w:r w:rsidRPr="0000545C">
        <w:rPr>
          <w:sz w:val="18"/>
          <w:szCs w:val="18"/>
        </w:rPr>
        <w:t>Kaski, S.</w:t>
      </w:r>
      <w:r w:rsidR="0000545C">
        <w:rPr>
          <w:sz w:val="18"/>
          <w:szCs w:val="18"/>
        </w:rPr>
        <w:t>,</w:t>
      </w:r>
      <w:r w:rsidRPr="0000545C">
        <w:rPr>
          <w:sz w:val="18"/>
          <w:szCs w:val="18"/>
        </w:rPr>
        <w:t xml:space="preserve"> &amp; Kohonen, T. (1996). Exploratory data analysis by the self-organizing map: structures of welfare and poverty in the world. In A.P. Refenes, A.M. Yaser &amp; A. Weigend (Eds), </w:t>
      </w:r>
      <w:r w:rsidRPr="0000545C">
        <w:rPr>
          <w:i/>
          <w:iCs/>
          <w:sz w:val="18"/>
          <w:szCs w:val="18"/>
        </w:rPr>
        <w:t>Proceedings of the third international conference on neural networks in the capital markets,</w:t>
      </w:r>
      <w:r w:rsidRPr="0000545C">
        <w:rPr>
          <w:sz w:val="18"/>
          <w:szCs w:val="18"/>
        </w:rPr>
        <w:t xml:space="preserve"> </w:t>
      </w:r>
      <w:r w:rsidRPr="0000545C">
        <w:rPr>
          <w:i/>
          <w:iCs/>
          <w:sz w:val="18"/>
          <w:szCs w:val="18"/>
        </w:rPr>
        <w:t>World Scientific,</w:t>
      </w:r>
      <w:r w:rsidRPr="0000545C">
        <w:rPr>
          <w:sz w:val="18"/>
          <w:szCs w:val="18"/>
        </w:rPr>
        <w:t xml:space="preserve"> (pp. 498-507). London, England.</w:t>
      </w:r>
    </w:p>
    <w:p w:rsidR="008F5020" w:rsidRPr="0000545C" w:rsidRDefault="008F5020" w:rsidP="0000545C">
      <w:pPr>
        <w:pStyle w:val="eaae-paragraph"/>
        <w:spacing w:line="240" w:lineRule="auto"/>
        <w:ind w:left="425" w:hanging="425"/>
        <w:rPr>
          <w:sz w:val="18"/>
          <w:szCs w:val="18"/>
        </w:rPr>
      </w:pPr>
      <w:r w:rsidRPr="0000545C">
        <w:rPr>
          <w:sz w:val="18"/>
          <w:szCs w:val="18"/>
        </w:rPr>
        <w:t xml:space="preserve">Kohonen, T. (1984). </w:t>
      </w:r>
      <w:r w:rsidR="0000545C">
        <w:rPr>
          <w:i/>
          <w:iCs/>
          <w:sz w:val="18"/>
          <w:szCs w:val="18"/>
        </w:rPr>
        <w:t>Organization and</w:t>
      </w:r>
      <w:r w:rsidRPr="0000545C">
        <w:rPr>
          <w:i/>
          <w:iCs/>
          <w:sz w:val="18"/>
          <w:szCs w:val="18"/>
        </w:rPr>
        <w:t xml:space="preserve"> associative memory</w:t>
      </w:r>
      <w:r w:rsidRPr="0000545C">
        <w:rPr>
          <w:sz w:val="18"/>
          <w:szCs w:val="18"/>
        </w:rPr>
        <w:t>. Berlin: Springer-Verlag.</w:t>
      </w:r>
    </w:p>
    <w:p w:rsidR="008F5020" w:rsidRPr="0000545C" w:rsidRDefault="008F5020" w:rsidP="0000545C">
      <w:pPr>
        <w:pStyle w:val="eaae-paragraph"/>
        <w:spacing w:line="240" w:lineRule="auto"/>
        <w:ind w:left="425" w:hanging="425"/>
        <w:rPr>
          <w:sz w:val="18"/>
          <w:szCs w:val="18"/>
        </w:rPr>
      </w:pPr>
      <w:r w:rsidRPr="0000545C">
        <w:rPr>
          <w:sz w:val="18"/>
          <w:szCs w:val="18"/>
        </w:rPr>
        <w:t xml:space="preserve">Kohonen, T. (2001). </w:t>
      </w:r>
      <w:r w:rsidR="0000545C">
        <w:rPr>
          <w:i/>
          <w:iCs/>
          <w:sz w:val="18"/>
          <w:szCs w:val="18"/>
        </w:rPr>
        <w:t>Self-Organizing Maps.</w:t>
      </w:r>
      <w:r w:rsidRPr="0000545C">
        <w:rPr>
          <w:i/>
          <w:iCs/>
          <w:sz w:val="18"/>
          <w:szCs w:val="18"/>
        </w:rPr>
        <w:t xml:space="preserve"> Third extended edition</w:t>
      </w:r>
      <w:r w:rsidRPr="0000545C">
        <w:rPr>
          <w:sz w:val="18"/>
          <w:szCs w:val="18"/>
        </w:rPr>
        <w:t xml:space="preserve">. Berlin Heidelberg: Springer-Verlag. </w:t>
      </w:r>
    </w:p>
    <w:p w:rsidR="008F5020" w:rsidRPr="0000545C" w:rsidRDefault="0000545C" w:rsidP="0000545C">
      <w:pPr>
        <w:pStyle w:val="eaae-paragraph"/>
        <w:spacing w:line="240" w:lineRule="auto"/>
        <w:ind w:left="425" w:hanging="425"/>
        <w:rPr>
          <w:sz w:val="18"/>
          <w:szCs w:val="18"/>
          <w:lang w:val="it-IT"/>
        </w:rPr>
      </w:pPr>
      <w:r>
        <w:rPr>
          <w:sz w:val="18"/>
          <w:szCs w:val="18"/>
        </w:rPr>
        <w:t xml:space="preserve">Kohonen, </w:t>
      </w:r>
      <w:r w:rsidR="008F5020" w:rsidRPr="0000545C">
        <w:rPr>
          <w:sz w:val="18"/>
          <w:szCs w:val="18"/>
        </w:rPr>
        <w:t>T. (1995).</w:t>
      </w:r>
      <w:r w:rsidR="008F5020" w:rsidRPr="0000545C">
        <w:rPr>
          <w:i/>
          <w:iCs/>
          <w:sz w:val="18"/>
          <w:szCs w:val="18"/>
        </w:rPr>
        <w:t xml:space="preserve"> Self-organizing maps</w:t>
      </w:r>
      <w:r w:rsidR="008F5020" w:rsidRPr="0000545C">
        <w:rPr>
          <w:sz w:val="18"/>
          <w:szCs w:val="18"/>
        </w:rPr>
        <w:t xml:space="preserve">. </w:t>
      </w:r>
      <w:r>
        <w:rPr>
          <w:sz w:val="18"/>
          <w:szCs w:val="18"/>
          <w:lang w:val="it-IT"/>
        </w:rPr>
        <w:t>Heidelberg: Springer Verlag.</w:t>
      </w:r>
    </w:p>
    <w:p w:rsidR="008F5020" w:rsidRPr="0000545C" w:rsidRDefault="008F5020" w:rsidP="0000545C">
      <w:pPr>
        <w:pStyle w:val="eaae-paragraph"/>
        <w:spacing w:line="240" w:lineRule="auto"/>
        <w:ind w:left="425" w:hanging="425"/>
        <w:rPr>
          <w:sz w:val="18"/>
          <w:szCs w:val="18"/>
        </w:rPr>
      </w:pPr>
      <w:r w:rsidRPr="0000545C">
        <w:rPr>
          <w:sz w:val="18"/>
          <w:szCs w:val="18"/>
          <w:lang w:val="it-IT"/>
        </w:rPr>
        <w:t xml:space="preserve">Lucchini, M. (2007). L’analisi dei gruppi. In de Lillo, A., Argentini, G., Lucchini, M., Sarti, S. &amp; Terranno, M. (Eds), </w:t>
      </w:r>
      <w:r w:rsidRPr="0000545C">
        <w:rPr>
          <w:i/>
          <w:iCs/>
          <w:sz w:val="18"/>
          <w:szCs w:val="18"/>
          <w:lang w:val="it-IT"/>
        </w:rPr>
        <w:t xml:space="preserve">Analisi multivariata per le scienze sociali, </w:t>
      </w:r>
      <w:r w:rsidRPr="0000545C">
        <w:rPr>
          <w:sz w:val="18"/>
          <w:szCs w:val="18"/>
          <w:lang w:val="it-IT"/>
        </w:rPr>
        <w:t xml:space="preserve">(pp. 197-245). </w:t>
      </w:r>
      <w:r w:rsidRPr="0000545C">
        <w:rPr>
          <w:sz w:val="18"/>
          <w:szCs w:val="18"/>
        </w:rPr>
        <w:t>Milano: Pearson Education Limited.</w:t>
      </w:r>
    </w:p>
    <w:p w:rsidR="008F5020" w:rsidRPr="0000545C" w:rsidRDefault="008F5020" w:rsidP="0000545C">
      <w:pPr>
        <w:pStyle w:val="eaae-paragraph"/>
        <w:spacing w:line="240" w:lineRule="auto"/>
        <w:ind w:left="425" w:hanging="425"/>
        <w:rPr>
          <w:sz w:val="18"/>
          <w:szCs w:val="18"/>
        </w:rPr>
      </w:pPr>
      <w:r w:rsidRPr="0000545C">
        <w:rPr>
          <w:sz w:val="18"/>
          <w:szCs w:val="18"/>
        </w:rPr>
        <w:t xml:space="preserve">Marsden, T. (1995). Beyond agriculture? Regulating the new rural space. </w:t>
      </w:r>
      <w:r w:rsidRPr="0000545C">
        <w:rPr>
          <w:i/>
          <w:iCs/>
          <w:sz w:val="18"/>
          <w:szCs w:val="18"/>
        </w:rPr>
        <w:t>Journal of rural studies</w:t>
      </w:r>
      <w:r w:rsidRPr="0000545C">
        <w:rPr>
          <w:sz w:val="18"/>
          <w:szCs w:val="18"/>
        </w:rPr>
        <w:t xml:space="preserve">, </w:t>
      </w:r>
      <w:r w:rsidRPr="0032449C">
        <w:rPr>
          <w:i/>
          <w:sz w:val="18"/>
          <w:szCs w:val="18"/>
        </w:rPr>
        <w:t>11</w:t>
      </w:r>
      <w:r w:rsidRPr="0000545C">
        <w:rPr>
          <w:sz w:val="18"/>
          <w:szCs w:val="18"/>
        </w:rPr>
        <w:t>, 285-296.</w:t>
      </w:r>
    </w:p>
    <w:p w:rsidR="008F5020" w:rsidRPr="0000545C" w:rsidRDefault="008F5020" w:rsidP="0000545C">
      <w:pPr>
        <w:pStyle w:val="eaae-paragraph"/>
        <w:spacing w:line="240" w:lineRule="auto"/>
        <w:ind w:left="425" w:hanging="425"/>
        <w:rPr>
          <w:sz w:val="18"/>
          <w:szCs w:val="18"/>
          <w:lang w:val="it-IT"/>
        </w:rPr>
      </w:pPr>
      <w:r w:rsidRPr="0000545C">
        <w:rPr>
          <w:sz w:val="18"/>
          <w:szCs w:val="18"/>
        </w:rPr>
        <w:t>Mehmood, Y., Abbas, M., Chen, X.,</w:t>
      </w:r>
      <w:r w:rsidR="0000545C">
        <w:rPr>
          <w:sz w:val="18"/>
          <w:szCs w:val="18"/>
        </w:rPr>
        <w:t xml:space="preserve"> &amp;</w:t>
      </w:r>
      <w:r w:rsidRPr="0000545C">
        <w:rPr>
          <w:sz w:val="18"/>
          <w:szCs w:val="18"/>
        </w:rPr>
        <w:t xml:space="preserve"> Honkela, T. (2011). Self-organizing maps of nutrition, lifestyle and health situation in the world. In Laaksonen, J. &amp; Honkela, T. (Eds), </w:t>
      </w:r>
      <w:r w:rsidRPr="0000545C">
        <w:rPr>
          <w:i/>
          <w:iCs/>
          <w:sz w:val="18"/>
          <w:szCs w:val="18"/>
        </w:rPr>
        <w:t>Advances in Self-Organizing Maps, 8th International Workshop WSOM 2011,</w:t>
      </w:r>
      <w:r w:rsidRPr="0000545C">
        <w:rPr>
          <w:sz w:val="18"/>
          <w:szCs w:val="18"/>
        </w:rPr>
        <w:t xml:space="preserve"> Espoo, Finland. </w:t>
      </w:r>
      <w:r w:rsidRPr="0000545C">
        <w:rPr>
          <w:sz w:val="18"/>
          <w:szCs w:val="18"/>
          <w:lang w:val="it-IT"/>
        </w:rPr>
        <w:t>Berlin Heidelberg: Sperling-Verlag.</w:t>
      </w:r>
    </w:p>
    <w:p w:rsidR="008F5020" w:rsidRPr="0000545C" w:rsidRDefault="008F5020" w:rsidP="0000545C">
      <w:pPr>
        <w:pStyle w:val="eaae-paragraph"/>
        <w:spacing w:line="240" w:lineRule="auto"/>
        <w:ind w:left="425" w:hanging="425"/>
        <w:rPr>
          <w:sz w:val="18"/>
          <w:szCs w:val="18"/>
          <w:lang w:val="it-IT"/>
        </w:rPr>
      </w:pPr>
      <w:r w:rsidRPr="0000545C">
        <w:rPr>
          <w:sz w:val="18"/>
          <w:szCs w:val="18"/>
          <w:lang w:val="it-IT"/>
        </w:rPr>
        <w:t xml:space="preserve">Meraviglia, C. (2001). </w:t>
      </w:r>
      <w:r w:rsidRPr="0000545C">
        <w:rPr>
          <w:i/>
          <w:iCs/>
          <w:sz w:val="18"/>
          <w:szCs w:val="18"/>
          <w:lang w:val="it-IT"/>
        </w:rPr>
        <w:t xml:space="preserve">Le reti neurali nella ricerca sociale. </w:t>
      </w:r>
      <w:r w:rsidRPr="0000545C">
        <w:rPr>
          <w:sz w:val="18"/>
          <w:szCs w:val="18"/>
          <w:lang w:val="it-IT"/>
        </w:rPr>
        <w:t>Milano: Francoangeli.</w:t>
      </w:r>
    </w:p>
    <w:p w:rsidR="008F5020" w:rsidRPr="0000545C" w:rsidRDefault="008F5020" w:rsidP="0000545C">
      <w:pPr>
        <w:pStyle w:val="eaae-paragraph"/>
        <w:spacing w:line="240" w:lineRule="auto"/>
        <w:ind w:left="425" w:hanging="425"/>
        <w:rPr>
          <w:sz w:val="18"/>
          <w:szCs w:val="18"/>
        </w:rPr>
      </w:pPr>
      <w:r w:rsidRPr="0000545C">
        <w:rPr>
          <w:sz w:val="18"/>
          <w:szCs w:val="18"/>
          <w:lang w:val="it-IT"/>
        </w:rPr>
        <w:t>Nguyen, T.L.T., Hermansen, J.E.</w:t>
      </w:r>
      <w:r w:rsidR="0000545C">
        <w:rPr>
          <w:sz w:val="18"/>
          <w:szCs w:val="18"/>
          <w:lang w:val="it-IT"/>
        </w:rPr>
        <w:t>,</w:t>
      </w:r>
      <w:r w:rsidRPr="0000545C">
        <w:rPr>
          <w:sz w:val="18"/>
          <w:szCs w:val="18"/>
          <w:lang w:val="it-IT"/>
        </w:rPr>
        <w:t xml:space="preserve"> &amp; Mogensen, L. (2010). </w:t>
      </w:r>
      <w:r w:rsidRPr="0000545C">
        <w:rPr>
          <w:sz w:val="18"/>
          <w:szCs w:val="18"/>
        </w:rPr>
        <w:t xml:space="preserve">Environmental consequences of different beef production systems in the EU. </w:t>
      </w:r>
      <w:r w:rsidRPr="0000545C">
        <w:rPr>
          <w:i/>
          <w:iCs/>
          <w:sz w:val="18"/>
          <w:szCs w:val="18"/>
        </w:rPr>
        <w:t>Journal of Cleaner Production,</w:t>
      </w:r>
      <w:r w:rsidRPr="0000545C">
        <w:rPr>
          <w:sz w:val="18"/>
          <w:szCs w:val="18"/>
        </w:rPr>
        <w:t xml:space="preserve"> </w:t>
      </w:r>
      <w:r w:rsidRPr="0032449C">
        <w:rPr>
          <w:i/>
          <w:sz w:val="18"/>
          <w:szCs w:val="18"/>
        </w:rPr>
        <w:t>18</w:t>
      </w:r>
      <w:r w:rsidRPr="0000545C">
        <w:rPr>
          <w:sz w:val="18"/>
          <w:szCs w:val="18"/>
        </w:rPr>
        <w:t>(8), 756-766.</w:t>
      </w:r>
    </w:p>
    <w:p w:rsidR="008F5020" w:rsidRPr="0000545C" w:rsidRDefault="008F5020" w:rsidP="0000545C">
      <w:pPr>
        <w:pStyle w:val="eaae-paragraph"/>
        <w:spacing w:line="240" w:lineRule="auto"/>
        <w:ind w:left="425" w:hanging="425"/>
        <w:rPr>
          <w:sz w:val="18"/>
          <w:szCs w:val="18"/>
        </w:rPr>
      </w:pPr>
      <w:r w:rsidRPr="0000545C">
        <w:rPr>
          <w:sz w:val="18"/>
          <w:szCs w:val="18"/>
        </w:rPr>
        <w:t xml:space="preserve">Olesen, J.E., </w:t>
      </w:r>
      <w:r w:rsidR="0000545C">
        <w:rPr>
          <w:sz w:val="18"/>
          <w:szCs w:val="18"/>
        </w:rPr>
        <w:t xml:space="preserve">&amp; </w:t>
      </w:r>
      <w:r w:rsidRPr="0000545C">
        <w:rPr>
          <w:sz w:val="18"/>
          <w:szCs w:val="18"/>
        </w:rPr>
        <w:t xml:space="preserve">Bindi, M. (2002). Consequences of climate change for European agricultural productivity, land use and policy. </w:t>
      </w:r>
      <w:r w:rsidRPr="0000545C">
        <w:rPr>
          <w:i/>
          <w:iCs/>
          <w:sz w:val="18"/>
          <w:szCs w:val="18"/>
        </w:rPr>
        <w:t xml:space="preserve">European Journal of Agronomy, </w:t>
      </w:r>
      <w:r w:rsidRPr="0032449C">
        <w:rPr>
          <w:i/>
          <w:sz w:val="18"/>
          <w:szCs w:val="18"/>
        </w:rPr>
        <w:t>16</w:t>
      </w:r>
      <w:r w:rsidRPr="0000545C">
        <w:rPr>
          <w:sz w:val="18"/>
          <w:szCs w:val="18"/>
        </w:rPr>
        <w:t>(4), 239-262.</w:t>
      </w:r>
    </w:p>
    <w:p w:rsidR="008F5020" w:rsidRPr="0000545C" w:rsidRDefault="008F5020" w:rsidP="0000545C">
      <w:pPr>
        <w:pStyle w:val="eaae-paragraph"/>
        <w:spacing w:line="240" w:lineRule="auto"/>
        <w:ind w:left="425" w:hanging="425"/>
        <w:rPr>
          <w:sz w:val="18"/>
          <w:szCs w:val="18"/>
        </w:rPr>
      </w:pPr>
      <w:r w:rsidRPr="0000545C">
        <w:rPr>
          <w:sz w:val="18"/>
          <w:szCs w:val="18"/>
        </w:rPr>
        <w:t xml:space="preserve">Shucksmith, M. (1993). Farm household behaviour and the transition to post-productivism. </w:t>
      </w:r>
      <w:r w:rsidRPr="0000545C">
        <w:rPr>
          <w:i/>
          <w:iCs/>
          <w:sz w:val="18"/>
          <w:szCs w:val="18"/>
        </w:rPr>
        <w:t xml:space="preserve">Journal of Agricultural Economics, </w:t>
      </w:r>
      <w:r w:rsidRPr="0032449C">
        <w:rPr>
          <w:i/>
          <w:sz w:val="18"/>
          <w:szCs w:val="18"/>
        </w:rPr>
        <w:t>44</w:t>
      </w:r>
      <w:r w:rsidRPr="0000545C">
        <w:rPr>
          <w:sz w:val="18"/>
          <w:szCs w:val="18"/>
        </w:rPr>
        <w:t>(3), 466-478.</w:t>
      </w:r>
    </w:p>
    <w:p w:rsidR="008F5020" w:rsidRPr="0000545C" w:rsidRDefault="008F5020" w:rsidP="0000545C">
      <w:pPr>
        <w:pStyle w:val="eaae-paragraph"/>
        <w:spacing w:line="240" w:lineRule="auto"/>
        <w:ind w:left="425" w:hanging="425"/>
        <w:rPr>
          <w:sz w:val="18"/>
          <w:szCs w:val="18"/>
          <w:lang w:val="es-ES"/>
        </w:rPr>
      </w:pPr>
      <w:r w:rsidRPr="0000545C">
        <w:rPr>
          <w:sz w:val="18"/>
          <w:szCs w:val="18"/>
        </w:rPr>
        <w:t>Van der Ploeg, J.D., Long, A.</w:t>
      </w:r>
      <w:r w:rsidR="0032449C">
        <w:rPr>
          <w:sz w:val="18"/>
          <w:szCs w:val="18"/>
        </w:rPr>
        <w:t>,</w:t>
      </w:r>
      <w:r w:rsidRPr="0000545C">
        <w:rPr>
          <w:sz w:val="18"/>
          <w:szCs w:val="18"/>
        </w:rPr>
        <w:t xml:space="preserve"> &amp; Banks, J.</w:t>
      </w:r>
      <w:r w:rsidR="0032449C">
        <w:rPr>
          <w:sz w:val="18"/>
          <w:szCs w:val="18"/>
        </w:rPr>
        <w:t xml:space="preserve"> </w:t>
      </w:r>
      <w:r w:rsidRPr="0000545C">
        <w:rPr>
          <w:sz w:val="18"/>
          <w:szCs w:val="18"/>
        </w:rPr>
        <w:t xml:space="preserve">(2002). </w:t>
      </w:r>
      <w:r w:rsidRPr="0000545C">
        <w:rPr>
          <w:i/>
          <w:iCs/>
          <w:sz w:val="18"/>
          <w:szCs w:val="18"/>
        </w:rPr>
        <w:t xml:space="preserve">Living Countrysides: Rural Development Processes in Europe: the State of the Art. </w:t>
      </w:r>
      <w:r w:rsidRPr="0000545C">
        <w:rPr>
          <w:sz w:val="18"/>
          <w:szCs w:val="18"/>
          <w:lang w:val="it-IT"/>
        </w:rPr>
        <w:t>Amsterdam: Elsevier, EBI.</w:t>
      </w:r>
    </w:p>
    <w:p w:rsidR="008F5020" w:rsidRPr="0000545C" w:rsidRDefault="008F5020" w:rsidP="0000545C">
      <w:pPr>
        <w:pStyle w:val="eaae-paragraph"/>
        <w:spacing w:line="240" w:lineRule="auto"/>
        <w:ind w:left="425" w:hanging="425"/>
        <w:rPr>
          <w:sz w:val="18"/>
          <w:szCs w:val="18"/>
        </w:rPr>
      </w:pPr>
      <w:r w:rsidRPr="0000545C">
        <w:rPr>
          <w:sz w:val="18"/>
          <w:szCs w:val="18"/>
          <w:lang w:val="es-ES"/>
        </w:rPr>
        <w:t xml:space="preserve">Van der Ploeg, J.D. (2006). </w:t>
      </w:r>
      <w:r w:rsidRPr="0000545C">
        <w:rPr>
          <w:i/>
          <w:iCs/>
          <w:sz w:val="18"/>
          <w:szCs w:val="18"/>
          <w:lang w:val="it-IT"/>
        </w:rPr>
        <w:t xml:space="preserve">Oltre la modernizzazione. Processi di sviluppo rurale in Europa. </w:t>
      </w:r>
      <w:r w:rsidRPr="0000545C">
        <w:rPr>
          <w:sz w:val="18"/>
          <w:szCs w:val="18"/>
        </w:rPr>
        <w:t>Soveria Mannelli: Rubettino.</w:t>
      </w:r>
    </w:p>
    <w:p w:rsidR="008F5020" w:rsidRPr="0000545C" w:rsidRDefault="008F5020" w:rsidP="0000545C">
      <w:pPr>
        <w:pStyle w:val="eaae-paragraph"/>
        <w:spacing w:line="240" w:lineRule="auto"/>
        <w:ind w:left="425" w:hanging="425"/>
        <w:rPr>
          <w:sz w:val="18"/>
          <w:szCs w:val="18"/>
          <w:lang w:val="it-IT"/>
        </w:rPr>
      </w:pPr>
      <w:r w:rsidRPr="0000545C">
        <w:rPr>
          <w:sz w:val="18"/>
          <w:szCs w:val="18"/>
        </w:rPr>
        <w:t xml:space="preserve">Van der Ploeg, J.D. (2009). </w:t>
      </w:r>
      <w:r w:rsidRPr="0000545C">
        <w:rPr>
          <w:i/>
          <w:iCs/>
          <w:sz w:val="18"/>
          <w:szCs w:val="18"/>
        </w:rPr>
        <w:t xml:space="preserve">The new peasantries. Struggles for autonomy and sustainability in an era of empire and globalization. </w:t>
      </w:r>
      <w:r w:rsidRPr="0000545C">
        <w:rPr>
          <w:sz w:val="18"/>
          <w:szCs w:val="18"/>
          <w:lang w:val="it-IT"/>
        </w:rPr>
        <w:t>London: Earthscan.</w:t>
      </w:r>
    </w:p>
    <w:p w:rsidR="008F5020" w:rsidRPr="0000545C" w:rsidRDefault="008F5020" w:rsidP="0000545C">
      <w:pPr>
        <w:pStyle w:val="eaae-paragraph"/>
        <w:spacing w:line="240" w:lineRule="auto"/>
        <w:ind w:left="425" w:hanging="425"/>
        <w:rPr>
          <w:sz w:val="18"/>
          <w:szCs w:val="18"/>
          <w:lang w:val="it-IT"/>
        </w:rPr>
      </w:pPr>
      <w:r w:rsidRPr="0000545C">
        <w:rPr>
          <w:sz w:val="18"/>
          <w:szCs w:val="18"/>
          <w:lang w:val="it-IT"/>
        </w:rPr>
        <w:t xml:space="preserve">Vieri, S. (1994). </w:t>
      </w:r>
      <w:r w:rsidRPr="0000545C">
        <w:rPr>
          <w:i/>
          <w:iCs/>
          <w:sz w:val="18"/>
          <w:szCs w:val="18"/>
          <w:lang w:val="it-IT"/>
        </w:rPr>
        <w:t>La politica agricola comune, dal Trattato di Roma alla riforma Mac Sharry</w:t>
      </w:r>
      <w:r w:rsidRPr="0000545C">
        <w:rPr>
          <w:sz w:val="18"/>
          <w:szCs w:val="18"/>
          <w:lang w:val="it-IT"/>
        </w:rPr>
        <w:t xml:space="preserve">. Bologna: Edagricole. </w:t>
      </w:r>
    </w:p>
    <w:p w:rsidR="008F5020" w:rsidRPr="0000545C" w:rsidRDefault="008F5020" w:rsidP="0000545C">
      <w:pPr>
        <w:pStyle w:val="eaae-paragraph"/>
        <w:spacing w:line="240" w:lineRule="auto"/>
        <w:ind w:left="425" w:hanging="425"/>
        <w:rPr>
          <w:sz w:val="18"/>
          <w:szCs w:val="18"/>
          <w:lang w:val="it-IT"/>
        </w:rPr>
      </w:pPr>
      <w:r w:rsidRPr="0000545C">
        <w:rPr>
          <w:sz w:val="18"/>
          <w:szCs w:val="18"/>
          <w:lang w:val="it-IT"/>
        </w:rPr>
        <w:t xml:space="preserve">Vieri, S. (2001). </w:t>
      </w:r>
      <w:r w:rsidRPr="0000545C">
        <w:rPr>
          <w:i/>
          <w:iCs/>
          <w:sz w:val="18"/>
          <w:szCs w:val="18"/>
          <w:lang w:val="it-IT"/>
        </w:rPr>
        <w:t>Politica agraria comunitaria, nazionale e regionale.</w:t>
      </w:r>
      <w:r w:rsidRPr="0000545C">
        <w:rPr>
          <w:sz w:val="18"/>
          <w:szCs w:val="18"/>
          <w:lang w:val="it-IT"/>
        </w:rPr>
        <w:t xml:space="preserve"> Bologna: Edagricole. </w:t>
      </w:r>
    </w:p>
    <w:p w:rsidR="008F5020" w:rsidRPr="0000545C" w:rsidRDefault="008F5020" w:rsidP="0000545C">
      <w:pPr>
        <w:pStyle w:val="eaae-paragraph"/>
        <w:spacing w:line="240" w:lineRule="auto"/>
        <w:ind w:left="425" w:hanging="425"/>
        <w:rPr>
          <w:sz w:val="18"/>
          <w:szCs w:val="18"/>
          <w:lang w:val="it-IT"/>
        </w:rPr>
      </w:pPr>
      <w:r w:rsidRPr="0000545C">
        <w:rPr>
          <w:sz w:val="18"/>
          <w:szCs w:val="18"/>
          <w:lang w:val="it-IT"/>
        </w:rPr>
        <w:t xml:space="preserve">Vieri, S. (2012). </w:t>
      </w:r>
      <w:r w:rsidRPr="0000545C">
        <w:rPr>
          <w:i/>
          <w:iCs/>
          <w:sz w:val="18"/>
          <w:szCs w:val="18"/>
          <w:lang w:val="it-IT"/>
        </w:rPr>
        <w:t>Agricoltura: settore multifunzionale allo sviluppo.</w:t>
      </w:r>
      <w:r w:rsidRPr="0000545C">
        <w:rPr>
          <w:sz w:val="18"/>
          <w:szCs w:val="18"/>
          <w:lang w:val="it-IT"/>
        </w:rPr>
        <w:t xml:space="preserve"> Mil</w:t>
      </w:r>
      <w:r w:rsidR="0032449C">
        <w:rPr>
          <w:sz w:val="18"/>
          <w:szCs w:val="18"/>
          <w:lang w:val="it-IT"/>
        </w:rPr>
        <w:t>ano: Edagricole-Il Sole 24 ore.</w:t>
      </w:r>
    </w:p>
    <w:p w:rsidR="00CD1299" w:rsidRPr="0032449C" w:rsidRDefault="00CD1299" w:rsidP="00CD1299">
      <w:pPr>
        <w:pStyle w:val="NoSpacing"/>
        <w:ind w:left="720" w:hanging="720"/>
        <w:jc w:val="both"/>
        <w:rPr>
          <w:rFonts w:ascii="Times New Roman" w:hAnsi="Times New Roman"/>
        </w:rPr>
      </w:pPr>
    </w:p>
    <w:p w:rsidR="000E0ACE" w:rsidRPr="0032449C" w:rsidRDefault="000E0ACE" w:rsidP="00831C98">
      <w:pPr>
        <w:widowControl w:val="0"/>
        <w:ind w:left="425" w:hanging="425"/>
        <w:jc w:val="both"/>
        <w:rPr>
          <w:rFonts w:eastAsia="AdvTimes"/>
          <w:sz w:val="22"/>
          <w:szCs w:val="22"/>
        </w:rPr>
      </w:pPr>
    </w:p>
    <w:p w:rsidR="000E0ACE" w:rsidRPr="0032449C" w:rsidRDefault="000E0ACE" w:rsidP="00831C98">
      <w:pPr>
        <w:widowControl w:val="0"/>
        <w:ind w:left="425" w:hanging="425"/>
        <w:jc w:val="both"/>
        <w:rPr>
          <w:rFonts w:eastAsia="AdvTimes"/>
          <w:sz w:val="22"/>
          <w:szCs w:val="22"/>
        </w:rPr>
      </w:pPr>
    </w:p>
    <w:p w:rsidR="000E0ACE" w:rsidRPr="0032449C" w:rsidRDefault="000E0ACE" w:rsidP="00831C98">
      <w:pPr>
        <w:widowControl w:val="0"/>
        <w:ind w:left="425" w:hanging="425"/>
        <w:jc w:val="both"/>
        <w:rPr>
          <w:sz w:val="22"/>
          <w:szCs w:val="22"/>
        </w:rPr>
      </w:pPr>
    </w:p>
    <w:p w:rsidR="005133AA" w:rsidRPr="00236836" w:rsidRDefault="005133AA" w:rsidP="005133AA">
      <w:pPr>
        <w:autoSpaceDE w:val="0"/>
        <w:autoSpaceDN w:val="0"/>
        <w:adjustRightInd w:val="0"/>
        <w:ind w:left="709" w:hanging="709"/>
        <w:jc w:val="right"/>
        <w:rPr>
          <w:sz w:val="18"/>
          <w:szCs w:val="18"/>
        </w:rPr>
      </w:pPr>
      <w:r w:rsidRPr="00236836">
        <w:rPr>
          <w:sz w:val="18"/>
          <w:szCs w:val="18"/>
        </w:rPr>
        <w:t xml:space="preserve">Received: </w:t>
      </w:r>
      <w:r w:rsidR="00236836" w:rsidRPr="00236836">
        <w:rPr>
          <w:sz w:val="18"/>
          <w:szCs w:val="18"/>
        </w:rPr>
        <w:t>February</w:t>
      </w:r>
      <w:r w:rsidRPr="00236836">
        <w:rPr>
          <w:sz w:val="18"/>
          <w:szCs w:val="18"/>
        </w:rPr>
        <w:t xml:space="preserve"> </w:t>
      </w:r>
      <w:r w:rsidR="00236836" w:rsidRPr="00236836">
        <w:rPr>
          <w:sz w:val="18"/>
          <w:szCs w:val="18"/>
        </w:rPr>
        <w:t>27</w:t>
      </w:r>
      <w:r w:rsidRPr="00236836">
        <w:rPr>
          <w:sz w:val="18"/>
          <w:szCs w:val="18"/>
        </w:rPr>
        <w:t>, 201</w:t>
      </w:r>
      <w:r w:rsidR="005365AD" w:rsidRPr="00236836">
        <w:rPr>
          <w:sz w:val="18"/>
          <w:szCs w:val="18"/>
        </w:rPr>
        <w:t>7</w:t>
      </w:r>
    </w:p>
    <w:p w:rsidR="005133AA" w:rsidRPr="007A4B8C" w:rsidRDefault="005133AA" w:rsidP="005133AA">
      <w:pPr>
        <w:autoSpaceDE w:val="0"/>
        <w:autoSpaceDN w:val="0"/>
        <w:adjustRightInd w:val="0"/>
        <w:ind w:left="709" w:hanging="709"/>
        <w:jc w:val="right"/>
        <w:rPr>
          <w:sz w:val="18"/>
          <w:szCs w:val="18"/>
        </w:rPr>
      </w:pPr>
      <w:r w:rsidRPr="00236836">
        <w:rPr>
          <w:sz w:val="18"/>
          <w:szCs w:val="18"/>
        </w:rPr>
        <w:t xml:space="preserve">Accepted: </w:t>
      </w:r>
      <w:r w:rsidR="00236836" w:rsidRPr="00236836">
        <w:rPr>
          <w:sz w:val="18"/>
          <w:szCs w:val="18"/>
        </w:rPr>
        <w:t>May</w:t>
      </w:r>
      <w:r w:rsidRPr="00236836">
        <w:rPr>
          <w:sz w:val="18"/>
          <w:szCs w:val="18"/>
        </w:rPr>
        <w:t xml:space="preserve"> </w:t>
      </w:r>
      <w:r w:rsidR="00236836" w:rsidRPr="00236836">
        <w:rPr>
          <w:sz w:val="18"/>
          <w:szCs w:val="18"/>
        </w:rPr>
        <w:t>17</w:t>
      </w:r>
      <w:r w:rsidRPr="00236836">
        <w:rPr>
          <w:sz w:val="18"/>
          <w:szCs w:val="18"/>
        </w:rPr>
        <w:t>, 2017</w:t>
      </w:r>
    </w:p>
    <w:p w:rsidR="0013693B" w:rsidRDefault="0013693B" w:rsidP="008D1668">
      <w:pPr>
        <w:rPr>
          <w:sz w:val="22"/>
          <w:szCs w:val="22"/>
        </w:rPr>
      </w:pPr>
    </w:p>
    <w:p w:rsidR="00D244A3" w:rsidRDefault="00D244A3" w:rsidP="008D1668">
      <w:pPr>
        <w:rPr>
          <w:sz w:val="22"/>
          <w:szCs w:val="22"/>
        </w:rPr>
      </w:pPr>
    </w:p>
    <w:p w:rsidR="00D244A3" w:rsidRDefault="00D244A3" w:rsidP="008D1668">
      <w:pPr>
        <w:rPr>
          <w:sz w:val="22"/>
          <w:szCs w:val="22"/>
        </w:rPr>
      </w:pPr>
    </w:p>
    <w:p w:rsidR="000A7942" w:rsidRDefault="000A7942" w:rsidP="008D1668">
      <w:pPr>
        <w:rPr>
          <w:sz w:val="22"/>
          <w:szCs w:val="22"/>
        </w:rPr>
      </w:pPr>
    </w:p>
    <w:p w:rsidR="000A7942" w:rsidRDefault="000A7942" w:rsidP="008D1668">
      <w:pPr>
        <w:rPr>
          <w:sz w:val="22"/>
          <w:szCs w:val="22"/>
        </w:rPr>
      </w:pPr>
    </w:p>
    <w:p w:rsidR="008F5020" w:rsidRPr="0032449C" w:rsidRDefault="008F5020" w:rsidP="0032449C">
      <w:pPr>
        <w:jc w:val="center"/>
        <w:rPr>
          <w:color w:val="222222"/>
          <w:sz w:val="22"/>
          <w:szCs w:val="22"/>
        </w:rPr>
      </w:pPr>
      <w:r w:rsidRPr="0032449C">
        <w:rPr>
          <w:color w:val="222222"/>
          <w:sz w:val="22"/>
          <w:szCs w:val="22"/>
          <w:highlight w:val="yellow"/>
        </w:rPr>
        <w:lastRenderedPageBreak/>
        <w:t xml:space="preserve">KVANTITATIVNI ODNOSI IZMEĐU ULAGANJA U GAZDINSTVA I UTICAJA NA ŽIVOTNU </w:t>
      </w:r>
      <w:r w:rsidR="00236836">
        <w:rPr>
          <w:color w:val="222222"/>
          <w:sz w:val="22"/>
          <w:szCs w:val="22"/>
          <w:highlight w:val="yellow"/>
        </w:rPr>
        <w:t>SREDINU</w:t>
      </w:r>
      <w:r w:rsidR="00236836" w:rsidRPr="0032449C">
        <w:rPr>
          <w:color w:val="222222"/>
          <w:sz w:val="22"/>
          <w:szCs w:val="22"/>
          <w:highlight w:val="yellow"/>
        </w:rPr>
        <w:t xml:space="preserve"> </w:t>
      </w:r>
      <w:r w:rsidRPr="0032449C">
        <w:rPr>
          <w:color w:val="222222"/>
          <w:sz w:val="22"/>
          <w:szCs w:val="22"/>
          <w:highlight w:val="yellow"/>
        </w:rPr>
        <w:t>U NEKIM EVROPSKIM ZEMLJAMA</w:t>
      </w:r>
    </w:p>
    <w:p w:rsidR="008F5020" w:rsidRPr="0032449C" w:rsidRDefault="008F5020" w:rsidP="0032449C">
      <w:pPr>
        <w:jc w:val="center"/>
        <w:rPr>
          <w:color w:val="222222"/>
          <w:sz w:val="22"/>
          <w:szCs w:val="22"/>
        </w:rPr>
      </w:pPr>
    </w:p>
    <w:p w:rsidR="008F5020" w:rsidRPr="0032449C" w:rsidRDefault="008F5020" w:rsidP="0032449C">
      <w:pPr>
        <w:pStyle w:val="eaae-authorinfo"/>
        <w:rPr>
          <w:b/>
          <w:szCs w:val="22"/>
        </w:rPr>
      </w:pPr>
      <w:r w:rsidRPr="0032449C">
        <w:rPr>
          <w:b/>
          <w:szCs w:val="22"/>
        </w:rPr>
        <w:t>Nicola Galluzzo</w:t>
      </w:r>
      <w:r w:rsidRPr="0032449C">
        <w:rPr>
          <w:rStyle w:val="FootnoteReference"/>
          <w:b/>
          <w:bCs/>
          <w:szCs w:val="22"/>
        </w:rPr>
        <w:footnoteReference w:customMarkFollows="1" w:id="3"/>
        <w:t>*</w:t>
      </w:r>
    </w:p>
    <w:p w:rsidR="008F5020" w:rsidRPr="0032449C" w:rsidRDefault="008F5020" w:rsidP="0032449C">
      <w:pPr>
        <w:pStyle w:val="eaae-authorinfo"/>
        <w:rPr>
          <w:szCs w:val="22"/>
        </w:rPr>
      </w:pPr>
    </w:p>
    <w:p w:rsidR="008F5020" w:rsidRPr="0032449C" w:rsidRDefault="008F5020" w:rsidP="0032449C">
      <w:pPr>
        <w:pStyle w:val="eaae-authorinfo"/>
        <w:rPr>
          <w:szCs w:val="22"/>
          <w:lang w:val="pl-PL"/>
        </w:rPr>
      </w:pPr>
      <w:r w:rsidRPr="0032449C">
        <w:rPr>
          <w:szCs w:val="22"/>
          <w:highlight w:val="yellow"/>
          <w:lang w:val="pl-PL"/>
        </w:rPr>
        <w:t>Asocijacija ekonomskih i geografskih studija ruralnih područja</w:t>
      </w:r>
      <w:r w:rsidRPr="0032449C">
        <w:rPr>
          <w:szCs w:val="22"/>
          <w:lang w:val="pl-PL"/>
        </w:rPr>
        <w:t xml:space="preserve"> (ASGEAR)</w:t>
      </w:r>
    </w:p>
    <w:p w:rsidR="008F5020" w:rsidRPr="0032449C" w:rsidRDefault="008F5020" w:rsidP="0032449C">
      <w:pPr>
        <w:jc w:val="center"/>
        <w:rPr>
          <w:sz w:val="22"/>
          <w:szCs w:val="22"/>
        </w:rPr>
      </w:pPr>
      <w:r w:rsidRPr="0032449C">
        <w:rPr>
          <w:sz w:val="22"/>
          <w:szCs w:val="22"/>
          <w:highlight w:val="yellow"/>
        </w:rPr>
        <w:t>Via Salaria per L’Aquila, 76 scala A</w:t>
      </w:r>
      <w:r w:rsidR="0032449C">
        <w:rPr>
          <w:sz w:val="22"/>
          <w:szCs w:val="22"/>
        </w:rPr>
        <w:t xml:space="preserve">, </w:t>
      </w:r>
      <w:r w:rsidRPr="0032449C">
        <w:rPr>
          <w:sz w:val="22"/>
          <w:szCs w:val="22"/>
        </w:rPr>
        <w:t>02100 Rieti, Italija</w:t>
      </w:r>
    </w:p>
    <w:p w:rsidR="008F5020" w:rsidRPr="0032449C" w:rsidRDefault="008F5020" w:rsidP="0032449C">
      <w:pPr>
        <w:jc w:val="center"/>
        <w:rPr>
          <w:sz w:val="22"/>
          <w:szCs w:val="22"/>
        </w:rPr>
      </w:pPr>
    </w:p>
    <w:p w:rsidR="00882582" w:rsidRPr="00F44E5F" w:rsidRDefault="00882582" w:rsidP="00F44E5F">
      <w:pPr>
        <w:jc w:val="center"/>
        <w:rPr>
          <w:sz w:val="22"/>
          <w:szCs w:val="22"/>
          <w:lang w:val="pl-PL"/>
        </w:rPr>
      </w:pPr>
      <w:r w:rsidRPr="00F44E5F">
        <w:rPr>
          <w:sz w:val="22"/>
          <w:szCs w:val="22"/>
          <w:lang w:val="pl-PL"/>
        </w:rPr>
        <w:t>R e z i m e</w:t>
      </w:r>
    </w:p>
    <w:p w:rsidR="005F7431" w:rsidRPr="002E0306" w:rsidRDefault="005F7431" w:rsidP="00F44E5F">
      <w:pPr>
        <w:jc w:val="center"/>
        <w:rPr>
          <w:sz w:val="16"/>
          <w:szCs w:val="16"/>
          <w:lang w:val="pl-PL"/>
        </w:rPr>
      </w:pPr>
    </w:p>
    <w:p w:rsidR="008F5020" w:rsidRPr="0032449C" w:rsidRDefault="008F5020" w:rsidP="0032449C">
      <w:pPr>
        <w:ind w:firstLine="426"/>
        <w:jc w:val="both"/>
        <w:rPr>
          <w:color w:val="222222"/>
          <w:sz w:val="22"/>
          <w:szCs w:val="22"/>
        </w:rPr>
      </w:pPr>
      <w:r w:rsidRPr="0032449C">
        <w:rPr>
          <w:color w:val="222222"/>
          <w:sz w:val="22"/>
          <w:szCs w:val="22"/>
        </w:rPr>
        <w:t xml:space="preserve">Od ranih sedamdesetih godina dvadesetog veka, u mnogim zemljama članicama Evropske unije, došlo je do značajnog poboljšanja njihovog poljoprivrednog ekonomskog rasta usled </w:t>
      </w:r>
      <w:r w:rsidRPr="0032449C">
        <w:rPr>
          <w:color w:val="222222"/>
          <w:sz w:val="22"/>
          <w:szCs w:val="22"/>
          <w:highlight w:val="yellow"/>
        </w:rPr>
        <w:t>Zajedničke poljoprivredne politike</w:t>
      </w:r>
      <w:r w:rsidRPr="0032449C">
        <w:rPr>
          <w:color w:val="222222"/>
          <w:sz w:val="22"/>
          <w:szCs w:val="22"/>
        </w:rPr>
        <w:t xml:space="preserve"> (engl. </w:t>
      </w:r>
      <w:r w:rsidRPr="0032449C">
        <w:rPr>
          <w:i/>
          <w:color w:val="222222"/>
          <w:sz w:val="22"/>
          <w:szCs w:val="22"/>
        </w:rPr>
        <w:t>Common Agricultural Policy</w:t>
      </w:r>
      <w:r w:rsidRPr="0032449C">
        <w:rPr>
          <w:color w:val="222222"/>
          <w:sz w:val="22"/>
          <w:szCs w:val="22"/>
        </w:rPr>
        <w:t xml:space="preserve">). Sve veća ulaganja u poljoprivredno zemljište i mehanizaciju bila su </w:t>
      </w:r>
      <w:r w:rsidRPr="0032449C">
        <w:rPr>
          <w:color w:val="222222"/>
          <w:sz w:val="22"/>
          <w:szCs w:val="22"/>
          <w:highlight w:val="yellow"/>
        </w:rPr>
        <w:t>ključni stubovi</w:t>
      </w:r>
      <w:r w:rsidRPr="0032449C">
        <w:rPr>
          <w:color w:val="222222"/>
          <w:sz w:val="22"/>
          <w:szCs w:val="22"/>
        </w:rPr>
        <w:t xml:space="preserve"> u nivoima poboljšanja </w:t>
      </w:r>
      <w:r w:rsidRPr="0032449C">
        <w:rPr>
          <w:color w:val="222222"/>
          <w:sz w:val="22"/>
          <w:szCs w:val="22"/>
          <w:highlight w:val="yellow"/>
        </w:rPr>
        <w:t>prehrambene samodovoljnosti</w:t>
      </w:r>
      <w:r w:rsidRPr="0032449C">
        <w:rPr>
          <w:color w:val="222222"/>
          <w:sz w:val="22"/>
          <w:szCs w:val="22"/>
        </w:rPr>
        <w:t xml:space="preserve">. Međutim, rast ulaganja povećao je emisiju zagađujućih supstanci u pogledu ugljen-dioksida, azotnih jedinjenja i pogoršanja životne sredine. Cilj ovog rada bio je da se ispita uticaj ulaganja na poljoprivredno i obradivo zemljište prema kvalitetu životne sredine. Kvantitativne metode su obuhvatale </w:t>
      </w:r>
      <w:r w:rsidRPr="0032449C">
        <w:rPr>
          <w:color w:val="222222"/>
          <w:sz w:val="22"/>
          <w:szCs w:val="22"/>
          <w:highlight w:val="yellow"/>
        </w:rPr>
        <w:t>analizu nervnih/neuronskih odnosa</w:t>
      </w:r>
      <w:r w:rsidRPr="0032449C">
        <w:rPr>
          <w:color w:val="222222"/>
          <w:sz w:val="22"/>
          <w:szCs w:val="22"/>
        </w:rPr>
        <w:t xml:space="preserve"> putem Kohonenovih mapa ili samoorganizujućih mapa (engl. </w:t>
      </w:r>
      <w:r w:rsidRPr="0032449C">
        <w:rPr>
          <w:i/>
          <w:color w:val="222222"/>
          <w:sz w:val="22"/>
          <w:szCs w:val="22"/>
        </w:rPr>
        <w:t>Kohonen’s maps / self-organizing maps</w:t>
      </w:r>
      <w:r w:rsidRPr="0032449C">
        <w:rPr>
          <w:color w:val="222222"/>
          <w:sz w:val="22"/>
          <w:szCs w:val="22"/>
        </w:rPr>
        <w:t xml:space="preserve"> – SOMs). Rezultati Kohonenovih mapa ukazali su na dobru sposobnost da se klasifikuju </w:t>
      </w:r>
      <w:r w:rsidRPr="0032449C">
        <w:rPr>
          <w:color w:val="222222"/>
          <w:sz w:val="22"/>
          <w:szCs w:val="22"/>
          <w:highlight w:val="yellow"/>
        </w:rPr>
        <w:t>podaci vremenskih serija</w:t>
      </w:r>
      <w:r w:rsidRPr="0032449C">
        <w:rPr>
          <w:color w:val="222222"/>
          <w:sz w:val="22"/>
          <w:szCs w:val="22"/>
        </w:rPr>
        <w:t xml:space="preserve"> i </w:t>
      </w:r>
      <w:r w:rsidRPr="0032449C">
        <w:rPr>
          <w:color w:val="222222"/>
          <w:sz w:val="22"/>
          <w:szCs w:val="22"/>
          <w:highlight w:val="yellow"/>
        </w:rPr>
        <w:t>prostorna evaluacija podataka</w:t>
      </w:r>
      <w:r w:rsidRPr="0032449C">
        <w:rPr>
          <w:color w:val="222222"/>
          <w:sz w:val="22"/>
          <w:szCs w:val="22"/>
        </w:rPr>
        <w:t xml:space="preserve"> tokom vremena; pored toga, ove mape su se pokazale korisnim u opisivanju uticaja ulaganja na specijalizaciju proizvodnje, nivoe zagađenja i prehrambenu samodovoljnost u evropskim zemljama. Da rezimiramo, poboljšanje nivoa prehrambene samodovoljnosti blisko je povezano sa povećanjem zagađenja u pogledu emisija ugljen-dioksida.</w:t>
      </w:r>
    </w:p>
    <w:p w:rsidR="008F5020" w:rsidRPr="0032449C" w:rsidRDefault="008F5020" w:rsidP="0032449C">
      <w:pPr>
        <w:ind w:firstLine="426"/>
        <w:jc w:val="both"/>
        <w:rPr>
          <w:sz w:val="22"/>
          <w:szCs w:val="22"/>
        </w:rPr>
      </w:pPr>
      <w:r w:rsidRPr="0032449C">
        <w:rPr>
          <w:b/>
          <w:bCs/>
          <w:color w:val="222222"/>
          <w:sz w:val="22"/>
          <w:szCs w:val="22"/>
        </w:rPr>
        <w:t>Ključne reči:</w:t>
      </w:r>
      <w:r w:rsidRPr="0032449C">
        <w:rPr>
          <w:color w:val="222222"/>
          <w:sz w:val="22"/>
          <w:szCs w:val="22"/>
        </w:rPr>
        <w:t xml:space="preserve"> </w:t>
      </w:r>
      <w:r w:rsidR="0032449C">
        <w:rPr>
          <w:color w:val="222222"/>
          <w:sz w:val="22"/>
          <w:szCs w:val="22"/>
        </w:rPr>
        <w:t>K</w:t>
      </w:r>
      <w:r w:rsidRPr="0032449C">
        <w:rPr>
          <w:color w:val="222222"/>
          <w:sz w:val="22"/>
          <w:szCs w:val="22"/>
        </w:rPr>
        <w:t xml:space="preserve">ohonenove mape, </w:t>
      </w:r>
      <w:r w:rsidR="0032449C">
        <w:rPr>
          <w:color w:val="222222"/>
          <w:sz w:val="22"/>
          <w:szCs w:val="22"/>
        </w:rPr>
        <w:t>Z</w:t>
      </w:r>
      <w:r w:rsidRPr="0032449C">
        <w:rPr>
          <w:color w:val="222222"/>
          <w:sz w:val="22"/>
          <w:szCs w:val="22"/>
        </w:rPr>
        <w:t>ajednička poljoprivredna politika, ruralni razvoj, ulaganja, proizvodna specijalizacija, multifunkcionalnost.</w:t>
      </w:r>
    </w:p>
    <w:p w:rsidR="008F5020" w:rsidRPr="0032449C" w:rsidRDefault="008F5020" w:rsidP="0032449C">
      <w:pPr>
        <w:pStyle w:val="eaae-authorinfo"/>
        <w:jc w:val="left"/>
        <w:rPr>
          <w:szCs w:val="22"/>
        </w:rPr>
      </w:pPr>
    </w:p>
    <w:p w:rsidR="00771B78" w:rsidRDefault="00771B78" w:rsidP="0032449C">
      <w:pPr>
        <w:jc w:val="both"/>
        <w:rPr>
          <w:sz w:val="22"/>
          <w:szCs w:val="22"/>
        </w:rPr>
      </w:pPr>
    </w:p>
    <w:p w:rsidR="0032449C" w:rsidRPr="0032449C" w:rsidRDefault="0032449C" w:rsidP="0032449C">
      <w:pPr>
        <w:jc w:val="both"/>
        <w:rPr>
          <w:sz w:val="22"/>
          <w:szCs w:val="22"/>
        </w:rPr>
      </w:pPr>
    </w:p>
    <w:p w:rsidR="00CD1299" w:rsidRPr="0032449C" w:rsidRDefault="00CD1299" w:rsidP="0032449C">
      <w:pPr>
        <w:pStyle w:val="NoSpacing"/>
        <w:ind w:left="0" w:right="0" w:firstLine="0"/>
        <w:jc w:val="both"/>
        <w:rPr>
          <w:rFonts w:ascii="Times New Roman" w:hAnsi="Times New Roman"/>
        </w:rPr>
      </w:pPr>
    </w:p>
    <w:p w:rsidR="005133AA" w:rsidRPr="004E08DE" w:rsidRDefault="005133AA" w:rsidP="005133AA">
      <w:pPr>
        <w:autoSpaceDE w:val="0"/>
        <w:autoSpaceDN w:val="0"/>
        <w:adjustRightInd w:val="0"/>
        <w:ind w:left="709" w:hanging="709"/>
        <w:jc w:val="right"/>
        <w:rPr>
          <w:sz w:val="18"/>
          <w:szCs w:val="18"/>
        </w:rPr>
      </w:pPr>
      <w:r w:rsidRPr="004E08DE">
        <w:rPr>
          <w:sz w:val="18"/>
          <w:szCs w:val="18"/>
        </w:rPr>
        <w:t xml:space="preserve">Primljeno: </w:t>
      </w:r>
      <w:r w:rsidR="00236836">
        <w:rPr>
          <w:sz w:val="18"/>
          <w:szCs w:val="18"/>
        </w:rPr>
        <w:t>27</w:t>
      </w:r>
      <w:r w:rsidRPr="004E08DE">
        <w:rPr>
          <w:sz w:val="18"/>
          <w:szCs w:val="18"/>
        </w:rPr>
        <w:t>.</w:t>
      </w:r>
      <w:r w:rsidR="00236836">
        <w:rPr>
          <w:sz w:val="18"/>
          <w:szCs w:val="18"/>
        </w:rPr>
        <w:t xml:space="preserve"> februara</w:t>
      </w:r>
      <w:r w:rsidRPr="004E08DE">
        <w:rPr>
          <w:sz w:val="18"/>
          <w:szCs w:val="18"/>
        </w:rPr>
        <w:t xml:space="preserve"> 201</w:t>
      </w:r>
      <w:r w:rsidR="005365AD">
        <w:rPr>
          <w:sz w:val="18"/>
          <w:szCs w:val="18"/>
        </w:rPr>
        <w:t>7</w:t>
      </w:r>
      <w:r w:rsidRPr="004E08DE">
        <w:rPr>
          <w:sz w:val="18"/>
          <w:szCs w:val="18"/>
        </w:rPr>
        <w:t>.</w:t>
      </w:r>
    </w:p>
    <w:p w:rsidR="005133AA" w:rsidRDefault="005133AA" w:rsidP="005133AA">
      <w:pPr>
        <w:autoSpaceDE w:val="0"/>
        <w:autoSpaceDN w:val="0"/>
        <w:adjustRightInd w:val="0"/>
        <w:ind w:left="709" w:hanging="709"/>
        <w:jc w:val="right"/>
        <w:rPr>
          <w:sz w:val="18"/>
          <w:szCs w:val="18"/>
        </w:rPr>
      </w:pPr>
      <w:r w:rsidRPr="004E08DE">
        <w:rPr>
          <w:sz w:val="18"/>
          <w:szCs w:val="18"/>
        </w:rPr>
        <w:t xml:space="preserve">Odobreno: </w:t>
      </w:r>
      <w:r w:rsidR="00236836">
        <w:rPr>
          <w:sz w:val="18"/>
          <w:szCs w:val="18"/>
        </w:rPr>
        <w:t>17</w:t>
      </w:r>
      <w:r w:rsidRPr="004E08DE">
        <w:rPr>
          <w:sz w:val="18"/>
          <w:szCs w:val="18"/>
        </w:rPr>
        <w:t xml:space="preserve">. </w:t>
      </w:r>
      <w:r w:rsidR="00236836">
        <w:rPr>
          <w:sz w:val="18"/>
          <w:szCs w:val="18"/>
        </w:rPr>
        <w:t>maja</w:t>
      </w:r>
      <w:r w:rsidRPr="004E08DE">
        <w:rPr>
          <w:sz w:val="18"/>
          <w:szCs w:val="18"/>
        </w:rPr>
        <w:t xml:space="preserve"> 2017.</w:t>
      </w:r>
    </w:p>
    <w:p w:rsidR="00B1268C" w:rsidRDefault="00B1268C" w:rsidP="005133AA">
      <w:pPr>
        <w:autoSpaceDE w:val="0"/>
        <w:autoSpaceDN w:val="0"/>
        <w:adjustRightInd w:val="0"/>
        <w:ind w:left="709" w:hanging="709"/>
        <w:jc w:val="right"/>
        <w:rPr>
          <w:sz w:val="18"/>
          <w:szCs w:val="18"/>
        </w:rPr>
      </w:pPr>
    </w:p>
    <w:p w:rsidR="00B1268C" w:rsidRDefault="00B1268C" w:rsidP="005133AA">
      <w:pPr>
        <w:autoSpaceDE w:val="0"/>
        <w:autoSpaceDN w:val="0"/>
        <w:adjustRightInd w:val="0"/>
        <w:ind w:left="709" w:hanging="709"/>
        <w:jc w:val="right"/>
        <w:rPr>
          <w:sz w:val="18"/>
          <w:szCs w:val="18"/>
        </w:rPr>
      </w:pPr>
    </w:p>
    <w:p w:rsidR="00B1268C" w:rsidRDefault="00B1268C" w:rsidP="005133AA">
      <w:pPr>
        <w:autoSpaceDE w:val="0"/>
        <w:autoSpaceDN w:val="0"/>
        <w:adjustRightInd w:val="0"/>
        <w:ind w:left="709" w:hanging="709"/>
        <w:jc w:val="right"/>
        <w:rPr>
          <w:sz w:val="18"/>
          <w:szCs w:val="18"/>
        </w:rPr>
      </w:pPr>
    </w:p>
    <w:p w:rsidR="00B1268C" w:rsidRDefault="00B1268C" w:rsidP="005133AA">
      <w:pPr>
        <w:autoSpaceDE w:val="0"/>
        <w:autoSpaceDN w:val="0"/>
        <w:adjustRightInd w:val="0"/>
        <w:ind w:left="709" w:hanging="709"/>
        <w:jc w:val="right"/>
        <w:rPr>
          <w:sz w:val="18"/>
          <w:szCs w:val="18"/>
        </w:rPr>
      </w:pPr>
    </w:p>
    <w:p w:rsidR="00B1268C" w:rsidRDefault="00B1268C" w:rsidP="005133AA">
      <w:pPr>
        <w:autoSpaceDE w:val="0"/>
        <w:autoSpaceDN w:val="0"/>
        <w:adjustRightInd w:val="0"/>
        <w:ind w:left="709" w:hanging="709"/>
        <w:jc w:val="right"/>
        <w:rPr>
          <w:sz w:val="18"/>
          <w:szCs w:val="18"/>
        </w:rPr>
      </w:pPr>
    </w:p>
    <w:p w:rsidR="00B1268C" w:rsidRDefault="00B1268C" w:rsidP="005133AA">
      <w:pPr>
        <w:autoSpaceDE w:val="0"/>
        <w:autoSpaceDN w:val="0"/>
        <w:adjustRightInd w:val="0"/>
        <w:ind w:left="709" w:hanging="709"/>
        <w:jc w:val="right"/>
        <w:rPr>
          <w:sz w:val="18"/>
          <w:szCs w:val="18"/>
        </w:rPr>
      </w:pPr>
    </w:p>
    <w:p w:rsidR="00B1268C" w:rsidRDefault="00B1268C" w:rsidP="005133AA">
      <w:pPr>
        <w:autoSpaceDE w:val="0"/>
        <w:autoSpaceDN w:val="0"/>
        <w:adjustRightInd w:val="0"/>
        <w:ind w:left="709" w:hanging="709"/>
        <w:jc w:val="right"/>
        <w:rPr>
          <w:sz w:val="18"/>
          <w:szCs w:val="18"/>
        </w:rPr>
      </w:pPr>
    </w:p>
    <w:sectPr w:rsidR="00B1268C" w:rsidSect="008E7B76">
      <w:headerReference w:type="even" r:id="rId26"/>
      <w:headerReference w:type="default" r:id="rId27"/>
      <w:headerReference w:type="first" r:id="rId28"/>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orisnik HP" w:date="2017-09-26T14:06:00Z" w:initials="PPF">
    <w:p w:rsidR="00B1268C" w:rsidRDefault="00B1268C">
      <w:pPr>
        <w:pStyle w:val="CommentText"/>
      </w:pPr>
      <w:r>
        <w:rPr>
          <w:rStyle w:val="CommentReference"/>
        </w:rPr>
        <w:annotationRef/>
      </w:r>
      <w:r>
        <w:t>???????</w:t>
      </w:r>
    </w:p>
  </w:comment>
  <w:comment w:id="1" w:author="Korisnik HP" w:date="2017-09-26T14:06:00Z" w:initials="PPF">
    <w:p w:rsidR="00B1268C" w:rsidRDefault="00B1268C">
      <w:pPr>
        <w:pStyle w:val="CommentText"/>
      </w:pPr>
      <w:r>
        <w:rPr>
          <w:rStyle w:val="CommentReference"/>
        </w:rPr>
        <w:annotationRef/>
      </w:r>
      <w:r>
        <w:t>????????</w:t>
      </w:r>
    </w:p>
  </w:comment>
  <w:comment w:id="2" w:author="SnO" w:date="2017-09-26T12:15:00Z" w:initials="S">
    <w:p w:rsidR="008F5020" w:rsidRDefault="008F5020" w:rsidP="008F5020">
      <w:pPr>
        <w:pStyle w:val="CommentText"/>
      </w:pPr>
      <w:r>
        <w:rPr>
          <w:rStyle w:val="CommentReference"/>
        </w:rPr>
        <w:annotationRef/>
      </w:r>
      <w:r>
        <w:t>Insert your references and also in the text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1CF" w:rsidRDefault="005B11CF">
      <w:r>
        <w:separator/>
      </w:r>
    </w:p>
  </w:endnote>
  <w:endnote w:type="continuationSeparator" w:id="1">
    <w:p w:rsidR="005B11CF" w:rsidRDefault="005B1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dvTimes">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1CF" w:rsidRDefault="005B11CF">
      <w:r>
        <w:separator/>
      </w:r>
    </w:p>
  </w:footnote>
  <w:footnote w:type="continuationSeparator" w:id="1">
    <w:p w:rsidR="005B11CF" w:rsidRDefault="005B11CF">
      <w:r>
        <w:continuationSeparator/>
      </w:r>
    </w:p>
  </w:footnote>
  <w:footnote w:id="2">
    <w:p w:rsidR="008F5020" w:rsidRPr="00CD1299" w:rsidRDefault="008F5020" w:rsidP="008F5020">
      <w:pPr>
        <w:pStyle w:val="FootnoteText"/>
        <w:jc w:val="both"/>
        <w:rPr>
          <w:sz w:val="18"/>
          <w:szCs w:val="18"/>
        </w:rPr>
      </w:pPr>
      <w:r w:rsidRPr="00CC7A58">
        <w:rPr>
          <w:rStyle w:val="FootnoteReference"/>
          <w:sz w:val="18"/>
          <w:szCs w:val="18"/>
        </w:rPr>
        <w:footnoteRef/>
      </w:r>
      <w:r w:rsidRPr="008F5020">
        <w:rPr>
          <w:bCs/>
          <w:sz w:val="18"/>
          <w:szCs w:val="18"/>
        </w:rPr>
        <w:t xml:space="preserve">Corresponding author: e-mail: </w:t>
      </w:r>
      <w:r w:rsidRPr="008F5020">
        <w:rPr>
          <w:sz w:val="18"/>
          <w:szCs w:val="18"/>
        </w:rPr>
        <w:t>asgear@libero.it</w:t>
      </w:r>
    </w:p>
  </w:footnote>
  <w:footnote w:id="3">
    <w:p w:rsidR="008F5020" w:rsidRPr="0032449C" w:rsidRDefault="008F5020" w:rsidP="008F5020">
      <w:pPr>
        <w:pStyle w:val="FootnoteText"/>
        <w:rPr>
          <w:sz w:val="18"/>
          <w:szCs w:val="18"/>
          <w:lang w:val="en-US"/>
        </w:rPr>
      </w:pPr>
      <w:r w:rsidRPr="0032449C">
        <w:rPr>
          <w:rStyle w:val="FootnoteReference"/>
          <w:sz w:val="18"/>
          <w:szCs w:val="18"/>
        </w:rPr>
        <w:t>*</w:t>
      </w:r>
      <w:r w:rsidRPr="0032449C">
        <w:rPr>
          <w:bCs/>
          <w:sz w:val="18"/>
          <w:szCs w:val="18"/>
        </w:rPr>
        <w:t>Autor za kontakt: e-mail:</w:t>
      </w:r>
      <w:r w:rsidRPr="0032449C">
        <w:rPr>
          <w:sz w:val="18"/>
          <w:szCs w:val="18"/>
        </w:rPr>
        <w:t xml:space="preserve"> asgear@libero.it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9DD" w:rsidRDefault="00231C17" w:rsidP="003E2BC8">
    <w:pPr>
      <w:pStyle w:val="Header"/>
      <w:framePr w:wrap="around" w:vAnchor="text" w:hAnchor="page" w:x="2264" w:y="24"/>
      <w:rPr>
        <w:rStyle w:val="PageNumber"/>
        <w:sz w:val="18"/>
      </w:rPr>
    </w:pPr>
    <w:r w:rsidRPr="004D3E6C">
      <w:rPr>
        <w:rStyle w:val="PageNumber"/>
        <w:sz w:val="18"/>
      </w:rPr>
      <w:fldChar w:fldCharType="begin"/>
    </w:r>
    <w:r w:rsidR="008879DD" w:rsidRPr="004D3E6C">
      <w:rPr>
        <w:rStyle w:val="PageNumber"/>
        <w:sz w:val="18"/>
      </w:rPr>
      <w:instrText xml:space="preserve">PAGE  </w:instrText>
    </w:r>
    <w:r w:rsidRPr="004D3E6C">
      <w:rPr>
        <w:rStyle w:val="PageNumber"/>
        <w:sz w:val="18"/>
      </w:rPr>
      <w:fldChar w:fldCharType="separate"/>
    </w:r>
    <w:r w:rsidR="00236836">
      <w:rPr>
        <w:rStyle w:val="PageNumber"/>
        <w:noProof/>
        <w:sz w:val="18"/>
      </w:rPr>
      <w:t>14</w:t>
    </w:r>
    <w:r w:rsidRPr="004D3E6C">
      <w:rPr>
        <w:rStyle w:val="PageNumber"/>
        <w:sz w:val="18"/>
      </w:rPr>
      <w:fldChar w:fldCharType="end"/>
    </w:r>
  </w:p>
  <w:p w:rsidR="008879DD" w:rsidRPr="008F5020" w:rsidRDefault="008F5020" w:rsidP="00231632">
    <w:pPr>
      <w:pStyle w:val="Header"/>
      <w:pBdr>
        <w:bottom w:val="single" w:sz="4" w:space="1" w:color="auto"/>
      </w:pBdr>
      <w:jc w:val="center"/>
      <w:rPr>
        <w:sz w:val="18"/>
        <w:szCs w:val="18"/>
        <w:lang w:val="en-US"/>
      </w:rPr>
    </w:pPr>
    <w:r w:rsidRPr="008F5020">
      <w:rPr>
        <w:sz w:val="18"/>
        <w:szCs w:val="18"/>
      </w:rPr>
      <w:t>Nicola Galluzzo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9DD" w:rsidRPr="009C09D1" w:rsidRDefault="00231C17">
    <w:pPr>
      <w:pStyle w:val="Header"/>
      <w:framePr w:wrap="around" w:vAnchor="text" w:hAnchor="margin" w:xAlign="outside" w:y="1"/>
      <w:rPr>
        <w:rStyle w:val="PageNumber"/>
        <w:color w:val="FF0000"/>
        <w:sz w:val="18"/>
      </w:rPr>
    </w:pPr>
    <w:r w:rsidRPr="004D3E6C">
      <w:rPr>
        <w:rStyle w:val="PageNumber"/>
        <w:sz w:val="18"/>
      </w:rPr>
      <w:fldChar w:fldCharType="begin"/>
    </w:r>
    <w:r w:rsidR="008879DD" w:rsidRPr="004D3E6C">
      <w:rPr>
        <w:rStyle w:val="PageNumber"/>
        <w:sz w:val="18"/>
      </w:rPr>
      <w:instrText xml:space="preserve">PAGE  </w:instrText>
    </w:r>
    <w:r w:rsidRPr="004D3E6C">
      <w:rPr>
        <w:rStyle w:val="PageNumber"/>
        <w:sz w:val="18"/>
      </w:rPr>
      <w:fldChar w:fldCharType="separate"/>
    </w:r>
    <w:r w:rsidR="00236836">
      <w:rPr>
        <w:rStyle w:val="PageNumber"/>
        <w:noProof/>
        <w:sz w:val="18"/>
      </w:rPr>
      <w:t>15</w:t>
    </w:r>
    <w:r w:rsidRPr="004D3E6C">
      <w:rPr>
        <w:rStyle w:val="PageNumber"/>
        <w:sz w:val="18"/>
      </w:rPr>
      <w:fldChar w:fldCharType="end"/>
    </w:r>
  </w:p>
  <w:p w:rsidR="008879DD" w:rsidRPr="008F5020" w:rsidRDefault="008F5020" w:rsidP="00231632">
    <w:pPr>
      <w:pStyle w:val="Header"/>
      <w:pBdr>
        <w:bottom w:val="single" w:sz="4" w:space="1" w:color="auto"/>
      </w:pBdr>
      <w:jc w:val="center"/>
      <w:rPr>
        <w:color w:val="FF0000"/>
        <w:sz w:val="18"/>
        <w:szCs w:val="18"/>
      </w:rPr>
    </w:pPr>
    <w:r w:rsidRPr="008F5020">
      <w:rPr>
        <w:color w:val="FF0000"/>
        <w:sz w:val="18"/>
        <w:szCs w:val="18"/>
      </w:rPr>
      <w:t>Quantitative relationships between investments in farms and environmental</w:t>
    </w:r>
    <w:r w:rsidR="00236836">
      <w:rPr>
        <w:color w:val="FF0000"/>
        <w:sz w:val="18"/>
        <w:szCs w:val="18"/>
      </w:rPr>
      <w:t xml:space="preserve"> effects in EU</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8879DD" w:rsidRPr="001320CA" w:rsidTr="00623218">
      <w:tc>
        <w:tcPr>
          <w:tcW w:w="3686" w:type="dxa"/>
        </w:tcPr>
        <w:p w:rsidR="008879DD" w:rsidRPr="004D3E6C" w:rsidRDefault="008879DD">
          <w:pPr>
            <w:rPr>
              <w:sz w:val="18"/>
              <w:szCs w:val="18"/>
              <w:lang w:val="en-US"/>
            </w:rPr>
          </w:pPr>
          <w:r w:rsidRPr="004D3E6C">
            <w:rPr>
              <w:sz w:val="18"/>
              <w:szCs w:val="18"/>
              <w:lang w:val="en-US"/>
            </w:rPr>
            <w:t>Journal of Agricultural Sciences</w:t>
          </w:r>
        </w:p>
        <w:p w:rsidR="008879DD" w:rsidRPr="004D3E6C" w:rsidRDefault="008879DD"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7</w:t>
          </w:r>
        </w:p>
        <w:p w:rsidR="008879DD" w:rsidRPr="00621E03" w:rsidRDefault="008879DD" w:rsidP="00CC7A58">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8879DD" w:rsidRPr="005561C6" w:rsidRDefault="008879DD" w:rsidP="005561C6">
          <w:pPr>
            <w:tabs>
              <w:tab w:val="right" w:leader="dot" w:pos="7371"/>
            </w:tabs>
            <w:jc w:val="right"/>
            <w:rPr>
              <w:sz w:val="18"/>
              <w:szCs w:val="18"/>
            </w:rPr>
          </w:pPr>
          <w:r w:rsidRPr="005561C6">
            <w:rPr>
              <w:sz w:val="18"/>
              <w:szCs w:val="18"/>
            </w:rPr>
            <w:t xml:space="preserve">DOI: </w:t>
          </w:r>
        </w:p>
        <w:p w:rsidR="008879DD" w:rsidRPr="005561C6" w:rsidRDefault="008879DD" w:rsidP="002135FE">
          <w:pPr>
            <w:pStyle w:val="BodyText"/>
            <w:tabs>
              <w:tab w:val="right" w:leader="dot" w:pos="7371"/>
            </w:tabs>
            <w:spacing w:after="0"/>
            <w:jc w:val="right"/>
            <w:rPr>
              <w:sz w:val="18"/>
              <w:szCs w:val="18"/>
              <w:lang w:val="sr-Latn-CS" w:eastAsia="en-GB"/>
            </w:rPr>
          </w:pPr>
          <w:r w:rsidRPr="005561C6">
            <w:rPr>
              <w:sz w:val="18"/>
              <w:szCs w:val="18"/>
              <w:lang w:val="en-US" w:eastAsia="en-GB"/>
            </w:rPr>
            <w:t>UDC:</w:t>
          </w:r>
          <w:r w:rsidRPr="005561C6">
            <w:rPr>
              <w:rFonts w:eastAsia="LiberationSerif"/>
              <w:sz w:val="18"/>
              <w:szCs w:val="18"/>
              <w:lang w:val="en-US" w:eastAsia="en-US"/>
            </w:rPr>
            <w:t xml:space="preserve"> </w:t>
          </w:r>
          <w:r w:rsidRPr="005561C6">
            <w:rPr>
              <w:sz w:val="18"/>
              <w:szCs w:val="18"/>
              <w:lang w:val="en-US" w:eastAsia="en-GB"/>
            </w:rPr>
            <w:t xml:space="preserve"> </w:t>
          </w:r>
        </w:p>
        <w:p w:rsidR="008879DD" w:rsidRPr="00502BDF" w:rsidRDefault="008879DD" w:rsidP="002C2784">
          <w:pPr>
            <w:jc w:val="right"/>
            <w:rPr>
              <w:sz w:val="18"/>
              <w:szCs w:val="18"/>
            </w:rPr>
          </w:pPr>
          <w:r w:rsidRPr="00502BDF">
            <w:rPr>
              <w:sz w:val="18"/>
              <w:szCs w:val="18"/>
              <w:lang w:val="en-US"/>
            </w:rPr>
            <w:t>Original scientific paper</w:t>
          </w:r>
        </w:p>
      </w:tc>
    </w:tr>
  </w:tbl>
  <w:p w:rsidR="008879DD" w:rsidRPr="00621E03" w:rsidRDefault="008879DD">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474F"/>
    <w:multiLevelType w:val="hybridMultilevel"/>
    <w:tmpl w:val="D938E70C"/>
    <w:lvl w:ilvl="0" w:tplc="FA622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B4DB1"/>
    <w:multiLevelType w:val="multilevel"/>
    <w:tmpl w:val="6B4821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70EF0"/>
    <w:multiLevelType w:val="hybridMultilevel"/>
    <w:tmpl w:val="6C068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A1CF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8">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9">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10">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12F870A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4340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3804D8"/>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9B189E"/>
    <w:multiLevelType w:val="multilevel"/>
    <w:tmpl w:val="540A6D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E107CDA"/>
    <w:multiLevelType w:val="hybridMultilevel"/>
    <w:tmpl w:val="ED74057A"/>
    <w:lvl w:ilvl="0" w:tplc="514C3EA2">
      <w:start w:val="14"/>
      <w:numFmt w:val="bullet"/>
      <w:lvlText w:val=""/>
      <w:lvlJc w:val="left"/>
      <w:pPr>
        <w:ind w:left="1080" w:hanging="360"/>
      </w:pPr>
      <w:rPr>
        <w:rFonts w:ascii="Symbol" w:eastAsia="Calibri" w:hAnsi="Symbol" w:cs="Times New Roman" w:hint="default"/>
        <w:vertAlign w:val="superscrip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E1385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033F72"/>
    <w:multiLevelType w:val="hybridMultilevel"/>
    <w:tmpl w:val="6A24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BF6887"/>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37408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AE7FDB"/>
    <w:multiLevelType w:val="hybridMultilevel"/>
    <w:tmpl w:val="BCCA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3BF7251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FC7CD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3C797F"/>
    <w:multiLevelType w:val="multilevel"/>
    <w:tmpl w:val="9C5868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CDF4D2B"/>
    <w:multiLevelType w:val="hybridMultilevel"/>
    <w:tmpl w:val="CD3C26B6"/>
    <w:lvl w:ilvl="0" w:tplc="05A29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1">
    <w:nsid w:val="4E585A4A"/>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C936CA"/>
    <w:multiLevelType w:val="multilevel"/>
    <w:tmpl w:val="6AA252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42C7539"/>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5">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36">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7">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8">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9">
    <w:nsid w:val="71866731"/>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3DC1FA0"/>
    <w:multiLevelType w:val="hybridMultilevel"/>
    <w:tmpl w:val="065A1140"/>
    <w:lvl w:ilvl="0" w:tplc="A2646BC6">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4">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34"/>
  </w:num>
  <w:num w:numId="3">
    <w:abstractNumId w:val="8"/>
  </w:num>
  <w:num w:numId="4">
    <w:abstractNumId w:val="7"/>
  </w:num>
  <w:num w:numId="5">
    <w:abstractNumId w:val="35"/>
  </w:num>
  <w:num w:numId="6">
    <w:abstractNumId w:val="42"/>
  </w:num>
  <w:num w:numId="7">
    <w:abstractNumId w:val="12"/>
  </w:num>
  <w:num w:numId="8">
    <w:abstractNumId w:val="5"/>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8"/>
  </w:num>
  <w:num w:numId="12">
    <w:abstractNumId w:val="44"/>
  </w:num>
  <w:num w:numId="13">
    <w:abstractNumId w:val="9"/>
  </w:num>
  <w:num w:numId="14">
    <w:abstractNumId w:val="40"/>
  </w:num>
  <w:num w:numId="15">
    <w:abstractNumId w:val="37"/>
  </w:num>
  <w:num w:numId="16">
    <w:abstractNumId w:val="25"/>
  </w:num>
  <w:num w:numId="17">
    <w:abstractNumId w:val="30"/>
  </w:num>
  <w:num w:numId="18">
    <w:abstractNumId w:val="10"/>
  </w:num>
  <w:num w:numId="19">
    <w:abstractNumId w:val="3"/>
  </w:num>
  <w:num w:numId="20">
    <w:abstractNumId w:val="45"/>
  </w:num>
  <w:num w:numId="21">
    <w:abstractNumId w:val="17"/>
  </w:num>
  <w:num w:numId="22">
    <w:abstractNumId w:val="2"/>
  </w:num>
  <w:num w:numId="23">
    <w:abstractNumId w:val="18"/>
  </w:num>
  <w:num w:numId="24">
    <w:abstractNumId w:val="29"/>
  </w:num>
  <w:num w:numId="25">
    <w:abstractNumId w:val="0"/>
  </w:num>
  <w:num w:numId="26">
    <w:abstractNumId w:val="13"/>
  </w:num>
  <w:num w:numId="27">
    <w:abstractNumId w:val="11"/>
  </w:num>
  <w:num w:numId="28">
    <w:abstractNumId w:val="19"/>
  </w:num>
  <w:num w:numId="29">
    <w:abstractNumId w:val="33"/>
  </w:num>
  <w:num w:numId="30">
    <w:abstractNumId w:val="6"/>
  </w:num>
  <w:num w:numId="31">
    <w:abstractNumId w:val="14"/>
  </w:num>
  <w:num w:numId="32">
    <w:abstractNumId w:val="21"/>
  </w:num>
  <w:num w:numId="33">
    <w:abstractNumId w:val="31"/>
  </w:num>
  <w:num w:numId="34">
    <w:abstractNumId w:val="39"/>
  </w:num>
  <w:num w:numId="35">
    <w:abstractNumId w:val="27"/>
  </w:num>
  <w:num w:numId="36">
    <w:abstractNumId w:val="26"/>
  </w:num>
  <w:num w:numId="37">
    <w:abstractNumId w:val="22"/>
  </w:num>
  <w:num w:numId="38">
    <w:abstractNumId w:val="20"/>
  </w:num>
  <w:num w:numId="39">
    <w:abstractNumId w:val="41"/>
  </w:num>
  <w:num w:numId="40">
    <w:abstractNumId w:val="32"/>
  </w:num>
  <w:num w:numId="41">
    <w:abstractNumId w:val="23"/>
  </w:num>
  <w:num w:numId="42">
    <w:abstractNumId w:val="15"/>
  </w:num>
  <w:num w:numId="43">
    <w:abstractNumId w:val="1"/>
  </w:num>
  <w:num w:numId="44">
    <w:abstractNumId w:val="28"/>
  </w:num>
  <w:num w:numId="45">
    <w:abstractNumId w:val="16"/>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425"/>
  <w:hyphenationZone w:val="425"/>
  <w:evenAndOddHeaders/>
  <w:drawingGridHorizontalSpacing w:val="100"/>
  <w:displayHorizontalDrawingGridEvery w:val="2"/>
  <w:characterSpacingControl w:val="doNotCompress"/>
  <w:hdrShapeDefaults>
    <o:shapedefaults v:ext="edit" spidmax="64514"/>
  </w:hdrShapeDefaults>
  <w:footnotePr>
    <w:numFmt w:val="chicago"/>
    <w:footnote w:id="0"/>
    <w:footnote w:id="1"/>
  </w:footnotePr>
  <w:endnotePr>
    <w:numFmt w:val="chicago"/>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4A51"/>
    <w:rsid w:val="00000392"/>
    <w:rsid w:val="00001280"/>
    <w:rsid w:val="0000183B"/>
    <w:rsid w:val="0000417E"/>
    <w:rsid w:val="0000545C"/>
    <w:rsid w:val="000058A0"/>
    <w:rsid w:val="00006BE4"/>
    <w:rsid w:val="00007AC9"/>
    <w:rsid w:val="00007C2C"/>
    <w:rsid w:val="00014355"/>
    <w:rsid w:val="00014B65"/>
    <w:rsid w:val="00016C42"/>
    <w:rsid w:val="0002046F"/>
    <w:rsid w:val="0002071D"/>
    <w:rsid w:val="00020E31"/>
    <w:rsid w:val="00021B32"/>
    <w:rsid w:val="00023D8E"/>
    <w:rsid w:val="00024A75"/>
    <w:rsid w:val="00025986"/>
    <w:rsid w:val="000259E9"/>
    <w:rsid w:val="000262DE"/>
    <w:rsid w:val="000309D7"/>
    <w:rsid w:val="0003458B"/>
    <w:rsid w:val="00035D82"/>
    <w:rsid w:val="00035EC8"/>
    <w:rsid w:val="00037094"/>
    <w:rsid w:val="000402F6"/>
    <w:rsid w:val="00040FA1"/>
    <w:rsid w:val="0004639B"/>
    <w:rsid w:val="00050B5D"/>
    <w:rsid w:val="00051095"/>
    <w:rsid w:val="00052689"/>
    <w:rsid w:val="000535F1"/>
    <w:rsid w:val="000536D8"/>
    <w:rsid w:val="00054A00"/>
    <w:rsid w:val="00060E84"/>
    <w:rsid w:val="0006179A"/>
    <w:rsid w:val="00065EDB"/>
    <w:rsid w:val="000668EF"/>
    <w:rsid w:val="00067337"/>
    <w:rsid w:val="0007089C"/>
    <w:rsid w:val="00071C67"/>
    <w:rsid w:val="000734D9"/>
    <w:rsid w:val="00077104"/>
    <w:rsid w:val="00077346"/>
    <w:rsid w:val="00084783"/>
    <w:rsid w:val="00086180"/>
    <w:rsid w:val="00087A3D"/>
    <w:rsid w:val="000908F4"/>
    <w:rsid w:val="0009186A"/>
    <w:rsid w:val="00092547"/>
    <w:rsid w:val="00093FEB"/>
    <w:rsid w:val="00094C83"/>
    <w:rsid w:val="00094CF6"/>
    <w:rsid w:val="000A7069"/>
    <w:rsid w:val="000A71D5"/>
    <w:rsid w:val="000A7942"/>
    <w:rsid w:val="000B1E22"/>
    <w:rsid w:val="000B2777"/>
    <w:rsid w:val="000B365F"/>
    <w:rsid w:val="000B4472"/>
    <w:rsid w:val="000B52C0"/>
    <w:rsid w:val="000B69DD"/>
    <w:rsid w:val="000C0423"/>
    <w:rsid w:val="000C2AD1"/>
    <w:rsid w:val="000C60B1"/>
    <w:rsid w:val="000C6E7A"/>
    <w:rsid w:val="000D1FFB"/>
    <w:rsid w:val="000D20CD"/>
    <w:rsid w:val="000D219A"/>
    <w:rsid w:val="000D35CB"/>
    <w:rsid w:val="000D5967"/>
    <w:rsid w:val="000D7789"/>
    <w:rsid w:val="000E0ACE"/>
    <w:rsid w:val="000E2F35"/>
    <w:rsid w:val="000E5E4E"/>
    <w:rsid w:val="000E62B7"/>
    <w:rsid w:val="000E734C"/>
    <w:rsid w:val="000F0A5C"/>
    <w:rsid w:val="000F1184"/>
    <w:rsid w:val="000F254A"/>
    <w:rsid w:val="000F430C"/>
    <w:rsid w:val="000F4FEB"/>
    <w:rsid w:val="000F54A1"/>
    <w:rsid w:val="000F54D7"/>
    <w:rsid w:val="000F5512"/>
    <w:rsid w:val="000F5631"/>
    <w:rsid w:val="0010112D"/>
    <w:rsid w:val="00101949"/>
    <w:rsid w:val="0010338D"/>
    <w:rsid w:val="001039D2"/>
    <w:rsid w:val="001070DF"/>
    <w:rsid w:val="00110411"/>
    <w:rsid w:val="00110D1C"/>
    <w:rsid w:val="00111D81"/>
    <w:rsid w:val="00112DCB"/>
    <w:rsid w:val="001148FD"/>
    <w:rsid w:val="001155C3"/>
    <w:rsid w:val="0011790C"/>
    <w:rsid w:val="00120B6C"/>
    <w:rsid w:val="00121B41"/>
    <w:rsid w:val="00123384"/>
    <w:rsid w:val="00125C4A"/>
    <w:rsid w:val="00125ED4"/>
    <w:rsid w:val="0012717F"/>
    <w:rsid w:val="001274EB"/>
    <w:rsid w:val="00127EA6"/>
    <w:rsid w:val="00130AB4"/>
    <w:rsid w:val="0013134B"/>
    <w:rsid w:val="001317FE"/>
    <w:rsid w:val="00131ADC"/>
    <w:rsid w:val="00131D44"/>
    <w:rsid w:val="001320CA"/>
    <w:rsid w:val="00134C75"/>
    <w:rsid w:val="001362C8"/>
    <w:rsid w:val="0013693B"/>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23F8"/>
    <w:rsid w:val="001546E9"/>
    <w:rsid w:val="001549E8"/>
    <w:rsid w:val="00154C08"/>
    <w:rsid w:val="00155C51"/>
    <w:rsid w:val="00155C7F"/>
    <w:rsid w:val="001566F5"/>
    <w:rsid w:val="0015685B"/>
    <w:rsid w:val="001572BD"/>
    <w:rsid w:val="001604C0"/>
    <w:rsid w:val="00160867"/>
    <w:rsid w:val="00164F54"/>
    <w:rsid w:val="001651CA"/>
    <w:rsid w:val="00165B4B"/>
    <w:rsid w:val="001703CB"/>
    <w:rsid w:val="00171A27"/>
    <w:rsid w:val="00174159"/>
    <w:rsid w:val="00175021"/>
    <w:rsid w:val="0017778B"/>
    <w:rsid w:val="00177B58"/>
    <w:rsid w:val="00180AB6"/>
    <w:rsid w:val="00180BE7"/>
    <w:rsid w:val="00181846"/>
    <w:rsid w:val="00183645"/>
    <w:rsid w:val="001858A7"/>
    <w:rsid w:val="00185C45"/>
    <w:rsid w:val="00187E8B"/>
    <w:rsid w:val="00191CF5"/>
    <w:rsid w:val="001923D4"/>
    <w:rsid w:val="0019272C"/>
    <w:rsid w:val="00195D68"/>
    <w:rsid w:val="0019645B"/>
    <w:rsid w:val="0019713E"/>
    <w:rsid w:val="00197F4A"/>
    <w:rsid w:val="001A1230"/>
    <w:rsid w:val="001A3703"/>
    <w:rsid w:val="001A5B51"/>
    <w:rsid w:val="001A5CDE"/>
    <w:rsid w:val="001A678F"/>
    <w:rsid w:val="001A6AA7"/>
    <w:rsid w:val="001A715D"/>
    <w:rsid w:val="001A72B6"/>
    <w:rsid w:val="001B1F31"/>
    <w:rsid w:val="001B20D5"/>
    <w:rsid w:val="001B4F0F"/>
    <w:rsid w:val="001B5731"/>
    <w:rsid w:val="001B6EAE"/>
    <w:rsid w:val="001C17C4"/>
    <w:rsid w:val="001C2948"/>
    <w:rsid w:val="001C2F84"/>
    <w:rsid w:val="001C3835"/>
    <w:rsid w:val="001C3E7F"/>
    <w:rsid w:val="001C4938"/>
    <w:rsid w:val="001C5C0A"/>
    <w:rsid w:val="001C6414"/>
    <w:rsid w:val="001C733F"/>
    <w:rsid w:val="001C7B7E"/>
    <w:rsid w:val="001D0468"/>
    <w:rsid w:val="001D72E6"/>
    <w:rsid w:val="001D742E"/>
    <w:rsid w:val="001E162B"/>
    <w:rsid w:val="001E2AF3"/>
    <w:rsid w:val="001E3638"/>
    <w:rsid w:val="001E5108"/>
    <w:rsid w:val="001E5401"/>
    <w:rsid w:val="001E5955"/>
    <w:rsid w:val="001E64D9"/>
    <w:rsid w:val="001E71EA"/>
    <w:rsid w:val="001E73D9"/>
    <w:rsid w:val="001F320C"/>
    <w:rsid w:val="001F66ED"/>
    <w:rsid w:val="00200718"/>
    <w:rsid w:val="00200962"/>
    <w:rsid w:val="00200E81"/>
    <w:rsid w:val="00202F7A"/>
    <w:rsid w:val="002050B2"/>
    <w:rsid w:val="0020699D"/>
    <w:rsid w:val="00206FBE"/>
    <w:rsid w:val="0020733E"/>
    <w:rsid w:val="00207635"/>
    <w:rsid w:val="0020776E"/>
    <w:rsid w:val="0021095B"/>
    <w:rsid w:val="002133A4"/>
    <w:rsid w:val="002135FE"/>
    <w:rsid w:val="002146D9"/>
    <w:rsid w:val="00214D74"/>
    <w:rsid w:val="00217B59"/>
    <w:rsid w:val="0022110B"/>
    <w:rsid w:val="00221494"/>
    <w:rsid w:val="002228CB"/>
    <w:rsid w:val="00223A2B"/>
    <w:rsid w:val="00224466"/>
    <w:rsid w:val="00224893"/>
    <w:rsid w:val="00224C1D"/>
    <w:rsid w:val="002254A6"/>
    <w:rsid w:val="002305A2"/>
    <w:rsid w:val="00230FDE"/>
    <w:rsid w:val="0023159D"/>
    <w:rsid w:val="00231632"/>
    <w:rsid w:val="00231C17"/>
    <w:rsid w:val="0023306B"/>
    <w:rsid w:val="00233596"/>
    <w:rsid w:val="002364FE"/>
    <w:rsid w:val="00236836"/>
    <w:rsid w:val="002377A8"/>
    <w:rsid w:val="00244D67"/>
    <w:rsid w:val="00245ED9"/>
    <w:rsid w:val="00247469"/>
    <w:rsid w:val="002477FE"/>
    <w:rsid w:val="00247C75"/>
    <w:rsid w:val="002515CC"/>
    <w:rsid w:val="0025409D"/>
    <w:rsid w:val="002543E7"/>
    <w:rsid w:val="00254AED"/>
    <w:rsid w:val="00254D3F"/>
    <w:rsid w:val="00256A44"/>
    <w:rsid w:val="002603D6"/>
    <w:rsid w:val="00262E4A"/>
    <w:rsid w:val="0026355A"/>
    <w:rsid w:val="00265709"/>
    <w:rsid w:val="00265AED"/>
    <w:rsid w:val="00266DE8"/>
    <w:rsid w:val="00267380"/>
    <w:rsid w:val="0026738F"/>
    <w:rsid w:val="0027098E"/>
    <w:rsid w:val="002726B5"/>
    <w:rsid w:val="0027405E"/>
    <w:rsid w:val="00275415"/>
    <w:rsid w:val="00277376"/>
    <w:rsid w:val="002800BF"/>
    <w:rsid w:val="002803E5"/>
    <w:rsid w:val="00281BAA"/>
    <w:rsid w:val="0028218B"/>
    <w:rsid w:val="0028466A"/>
    <w:rsid w:val="002848B6"/>
    <w:rsid w:val="00285196"/>
    <w:rsid w:val="00285245"/>
    <w:rsid w:val="002858EF"/>
    <w:rsid w:val="0029021E"/>
    <w:rsid w:val="002902EC"/>
    <w:rsid w:val="00290863"/>
    <w:rsid w:val="002909E5"/>
    <w:rsid w:val="002926FD"/>
    <w:rsid w:val="00293489"/>
    <w:rsid w:val="00293ABF"/>
    <w:rsid w:val="00293E95"/>
    <w:rsid w:val="002947C5"/>
    <w:rsid w:val="0029632B"/>
    <w:rsid w:val="00296AE9"/>
    <w:rsid w:val="00296D87"/>
    <w:rsid w:val="00297580"/>
    <w:rsid w:val="00297803"/>
    <w:rsid w:val="00297B33"/>
    <w:rsid w:val="00297EE6"/>
    <w:rsid w:val="002A2342"/>
    <w:rsid w:val="002A372D"/>
    <w:rsid w:val="002A715E"/>
    <w:rsid w:val="002B1184"/>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2DE6"/>
    <w:rsid w:val="002D41E8"/>
    <w:rsid w:val="002D69EF"/>
    <w:rsid w:val="002E0306"/>
    <w:rsid w:val="002E204F"/>
    <w:rsid w:val="002E2B30"/>
    <w:rsid w:val="002E2DA4"/>
    <w:rsid w:val="002E357B"/>
    <w:rsid w:val="002E3AE3"/>
    <w:rsid w:val="002E4BAE"/>
    <w:rsid w:val="002E5831"/>
    <w:rsid w:val="002E6660"/>
    <w:rsid w:val="002E746A"/>
    <w:rsid w:val="002F009F"/>
    <w:rsid w:val="002F1017"/>
    <w:rsid w:val="002F1527"/>
    <w:rsid w:val="002F18D9"/>
    <w:rsid w:val="002F39D2"/>
    <w:rsid w:val="002F6623"/>
    <w:rsid w:val="0030070D"/>
    <w:rsid w:val="00300E3E"/>
    <w:rsid w:val="0030448E"/>
    <w:rsid w:val="00306CCB"/>
    <w:rsid w:val="00307E19"/>
    <w:rsid w:val="00315827"/>
    <w:rsid w:val="003175DC"/>
    <w:rsid w:val="00320918"/>
    <w:rsid w:val="00323739"/>
    <w:rsid w:val="0032449C"/>
    <w:rsid w:val="0032520F"/>
    <w:rsid w:val="0032797E"/>
    <w:rsid w:val="00330389"/>
    <w:rsid w:val="00331A81"/>
    <w:rsid w:val="00332631"/>
    <w:rsid w:val="00334CD0"/>
    <w:rsid w:val="0033759B"/>
    <w:rsid w:val="00341C52"/>
    <w:rsid w:val="00343CA3"/>
    <w:rsid w:val="00344572"/>
    <w:rsid w:val="00345062"/>
    <w:rsid w:val="0034544F"/>
    <w:rsid w:val="00347495"/>
    <w:rsid w:val="00347C0A"/>
    <w:rsid w:val="00353031"/>
    <w:rsid w:val="0035388B"/>
    <w:rsid w:val="003543CF"/>
    <w:rsid w:val="00354809"/>
    <w:rsid w:val="003557B9"/>
    <w:rsid w:val="00356585"/>
    <w:rsid w:val="00357F92"/>
    <w:rsid w:val="003602BA"/>
    <w:rsid w:val="00360938"/>
    <w:rsid w:val="00361020"/>
    <w:rsid w:val="0036124B"/>
    <w:rsid w:val="00364F8E"/>
    <w:rsid w:val="003672C1"/>
    <w:rsid w:val="003714DF"/>
    <w:rsid w:val="003720F5"/>
    <w:rsid w:val="003729A7"/>
    <w:rsid w:val="00376847"/>
    <w:rsid w:val="0037750B"/>
    <w:rsid w:val="00377691"/>
    <w:rsid w:val="003826D6"/>
    <w:rsid w:val="00383608"/>
    <w:rsid w:val="00383B59"/>
    <w:rsid w:val="003849E8"/>
    <w:rsid w:val="00386298"/>
    <w:rsid w:val="00390EB7"/>
    <w:rsid w:val="00390FEC"/>
    <w:rsid w:val="00391156"/>
    <w:rsid w:val="0039348C"/>
    <w:rsid w:val="003936E8"/>
    <w:rsid w:val="0039631A"/>
    <w:rsid w:val="00396D64"/>
    <w:rsid w:val="003A1DCA"/>
    <w:rsid w:val="003A21E7"/>
    <w:rsid w:val="003A30DA"/>
    <w:rsid w:val="003A6E32"/>
    <w:rsid w:val="003A76D9"/>
    <w:rsid w:val="003A7767"/>
    <w:rsid w:val="003B03F3"/>
    <w:rsid w:val="003B2519"/>
    <w:rsid w:val="003B35FA"/>
    <w:rsid w:val="003B702E"/>
    <w:rsid w:val="003C0D55"/>
    <w:rsid w:val="003C1BE0"/>
    <w:rsid w:val="003C445B"/>
    <w:rsid w:val="003C62E4"/>
    <w:rsid w:val="003C734E"/>
    <w:rsid w:val="003D037F"/>
    <w:rsid w:val="003D06DF"/>
    <w:rsid w:val="003D1308"/>
    <w:rsid w:val="003D283D"/>
    <w:rsid w:val="003D3250"/>
    <w:rsid w:val="003D433E"/>
    <w:rsid w:val="003D5DBF"/>
    <w:rsid w:val="003D737D"/>
    <w:rsid w:val="003D780C"/>
    <w:rsid w:val="003E04B0"/>
    <w:rsid w:val="003E09D0"/>
    <w:rsid w:val="003E0DC9"/>
    <w:rsid w:val="003E2BC8"/>
    <w:rsid w:val="003E44B4"/>
    <w:rsid w:val="003E4707"/>
    <w:rsid w:val="003E4C1E"/>
    <w:rsid w:val="003E5ED0"/>
    <w:rsid w:val="003F0E1D"/>
    <w:rsid w:val="003F1CAF"/>
    <w:rsid w:val="003F3A06"/>
    <w:rsid w:val="003F4D00"/>
    <w:rsid w:val="0040230D"/>
    <w:rsid w:val="00402C5C"/>
    <w:rsid w:val="0040436E"/>
    <w:rsid w:val="004137CF"/>
    <w:rsid w:val="00414BE9"/>
    <w:rsid w:val="00417FC9"/>
    <w:rsid w:val="00422B06"/>
    <w:rsid w:val="00423DEC"/>
    <w:rsid w:val="00424819"/>
    <w:rsid w:val="004254B6"/>
    <w:rsid w:val="004271D0"/>
    <w:rsid w:val="004301F0"/>
    <w:rsid w:val="0043112D"/>
    <w:rsid w:val="00432A68"/>
    <w:rsid w:val="00432E5C"/>
    <w:rsid w:val="0043384B"/>
    <w:rsid w:val="00436406"/>
    <w:rsid w:val="0043669D"/>
    <w:rsid w:val="004414BB"/>
    <w:rsid w:val="00443BDD"/>
    <w:rsid w:val="00444D1C"/>
    <w:rsid w:val="00445C0F"/>
    <w:rsid w:val="00445E0B"/>
    <w:rsid w:val="004468AB"/>
    <w:rsid w:val="004474A8"/>
    <w:rsid w:val="004474FD"/>
    <w:rsid w:val="00450137"/>
    <w:rsid w:val="00450F2B"/>
    <w:rsid w:val="00451D1E"/>
    <w:rsid w:val="00452330"/>
    <w:rsid w:val="00452570"/>
    <w:rsid w:val="00453E8F"/>
    <w:rsid w:val="00454F7E"/>
    <w:rsid w:val="00455B69"/>
    <w:rsid w:val="00462CD6"/>
    <w:rsid w:val="00463915"/>
    <w:rsid w:val="00464F68"/>
    <w:rsid w:val="0046534D"/>
    <w:rsid w:val="00465B74"/>
    <w:rsid w:val="004662BB"/>
    <w:rsid w:val="00467F50"/>
    <w:rsid w:val="00471B41"/>
    <w:rsid w:val="00472923"/>
    <w:rsid w:val="0047401B"/>
    <w:rsid w:val="00475EFB"/>
    <w:rsid w:val="00477547"/>
    <w:rsid w:val="004779C9"/>
    <w:rsid w:val="0048091D"/>
    <w:rsid w:val="004810AC"/>
    <w:rsid w:val="004814CA"/>
    <w:rsid w:val="00482CCE"/>
    <w:rsid w:val="004845FE"/>
    <w:rsid w:val="004877D0"/>
    <w:rsid w:val="004878F2"/>
    <w:rsid w:val="00487C4F"/>
    <w:rsid w:val="00491130"/>
    <w:rsid w:val="004917BA"/>
    <w:rsid w:val="004919B2"/>
    <w:rsid w:val="00492E22"/>
    <w:rsid w:val="00495F7E"/>
    <w:rsid w:val="004A0319"/>
    <w:rsid w:val="004A127D"/>
    <w:rsid w:val="004A3AC5"/>
    <w:rsid w:val="004A4F37"/>
    <w:rsid w:val="004A73DA"/>
    <w:rsid w:val="004B149C"/>
    <w:rsid w:val="004B2694"/>
    <w:rsid w:val="004B6C6B"/>
    <w:rsid w:val="004C0B0D"/>
    <w:rsid w:val="004C1146"/>
    <w:rsid w:val="004C2D0D"/>
    <w:rsid w:val="004C6D10"/>
    <w:rsid w:val="004D16FA"/>
    <w:rsid w:val="004D1DE3"/>
    <w:rsid w:val="004D3E6C"/>
    <w:rsid w:val="004D49A0"/>
    <w:rsid w:val="004D5895"/>
    <w:rsid w:val="004D69D5"/>
    <w:rsid w:val="004E00BB"/>
    <w:rsid w:val="004E27AF"/>
    <w:rsid w:val="004E4729"/>
    <w:rsid w:val="004E7C02"/>
    <w:rsid w:val="004F0D80"/>
    <w:rsid w:val="004F4232"/>
    <w:rsid w:val="004F5382"/>
    <w:rsid w:val="004F7ACC"/>
    <w:rsid w:val="00500CFE"/>
    <w:rsid w:val="005012CC"/>
    <w:rsid w:val="00502BDF"/>
    <w:rsid w:val="005048B0"/>
    <w:rsid w:val="00504F0C"/>
    <w:rsid w:val="005070D7"/>
    <w:rsid w:val="005133AA"/>
    <w:rsid w:val="00514373"/>
    <w:rsid w:val="00515087"/>
    <w:rsid w:val="00516C2D"/>
    <w:rsid w:val="0052224A"/>
    <w:rsid w:val="005278ED"/>
    <w:rsid w:val="005279A8"/>
    <w:rsid w:val="00527AFA"/>
    <w:rsid w:val="00532C8D"/>
    <w:rsid w:val="00533506"/>
    <w:rsid w:val="00534D87"/>
    <w:rsid w:val="005365AD"/>
    <w:rsid w:val="00537985"/>
    <w:rsid w:val="00540672"/>
    <w:rsid w:val="0054077F"/>
    <w:rsid w:val="005408C3"/>
    <w:rsid w:val="0054273B"/>
    <w:rsid w:val="0054325E"/>
    <w:rsid w:val="00543705"/>
    <w:rsid w:val="00545825"/>
    <w:rsid w:val="00547315"/>
    <w:rsid w:val="00550A20"/>
    <w:rsid w:val="00550A75"/>
    <w:rsid w:val="00554A86"/>
    <w:rsid w:val="00555FC3"/>
    <w:rsid w:val="005561C6"/>
    <w:rsid w:val="005568B0"/>
    <w:rsid w:val="00560D9E"/>
    <w:rsid w:val="00564A31"/>
    <w:rsid w:val="00566BA3"/>
    <w:rsid w:val="00566E23"/>
    <w:rsid w:val="005701BF"/>
    <w:rsid w:val="00570C77"/>
    <w:rsid w:val="00570EEE"/>
    <w:rsid w:val="005718B8"/>
    <w:rsid w:val="00571DA7"/>
    <w:rsid w:val="005721ED"/>
    <w:rsid w:val="0057425E"/>
    <w:rsid w:val="005769F7"/>
    <w:rsid w:val="00580758"/>
    <w:rsid w:val="00581408"/>
    <w:rsid w:val="00582EB3"/>
    <w:rsid w:val="00586175"/>
    <w:rsid w:val="005878A4"/>
    <w:rsid w:val="005922DE"/>
    <w:rsid w:val="00595E90"/>
    <w:rsid w:val="005977CD"/>
    <w:rsid w:val="005977EA"/>
    <w:rsid w:val="00597BD3"/>
    <w:rsid w:val="00597CEC"/>
    <w:rsid w:val="005A2507"/>
    <w:rsid w:val="005A6D1D"/>
    <w:rsid w:val="005B0DA8"/>
    <w:rsid w:val="005B11CF"/>
    <w:rsid w:val="005B1332"/>
    <w:rsid w:val="005B32A1"/>
    <w:rsid w:val="005B5DA9"/>
    <w:rsid w:val="005B6D55"/>
    <w:rsid w:val="005C0CCD"/>
    <w:rsid w:val="005C3211"/>
    <w:rsid w:val="005C4877"/>
    <w:rsid w:val="005C6333"/>
    <w:rsid w:val="005C790A"/>
    <w:rsid w:val="005D155E"/>
    <w:rsid w:val="005D33B7"/>
    <w:rsid w:val="005D652A"/>
    <w:rsid w:val="005E09F2"/>
    <w:rsid w:val="005E37E5"/>
    <w:rsid w:val="005E6C1B"/>
    <w:rsid w:val="005E6D25"/>
    <w:rsid w:val="005F0C25"/>
    <w:rsid w:val="005F199C"/>
    <w:rsid w:val="005F208F"/>
    <w:rsid w:val="005F4FC8"/>
    <w:rsid w:val="005F5D22"/>
    <w:rsid w:val="005F64EC"/>
    <w:rsid w:val="005F7431"/>
    <w:rsid w:val="00604F07"/>
    <w:rsid w:val="00605F2F"/>
    <w:rsid w:val="00606666"/>
    <w:rsid w:val="00606C9A"/>
    <w:rsid w:val="006073C5"/>
    <w:rsid w:val="00607488"/>
    <w:rsid w:val="00611D95"/>
    <w:rsid w:val="00612461"/>
    <w:rsid w:val="00612B09"/>
    <w:rsid w:val="00613F7F"/>
    <w:rsid w:val="006173F5"/>
    <w:rsid w:val="00617497"/>
    <w:rsid w:val="00617E26"/>
    <w:rsid w:val="006211A0"/>
    <w:rsid w:val="0062191C"/>
    <w:rsid w:val="00621E03"/>
    <w:rsid w:val="00623218"/>
    <w:rsid w:val="006232A9"/>
    <w:rsid w:val="00625851"/>
    <w:rsid w:val="00630109"/>
    <w:rsid w:val="0063062C"/>
    <w:rsid w:val="00633B76"/>
    <w:rsid w:val="006340DC"/>
    <w:rsid w:val="0063462A"/>
    <w:rsid w:val="00634E04"/>
    <w:rsid w:val="00635399"/>
    <w:rsid w:val="006353FE"/>
    <w:rsid w:val="00636359"/>
    <w:rsid w:val="00636F1B"/>
    <w:rsid w:val="0063701B"/>
    <w:rsid w:val="00642B53"/>
    <w:rsid w:val="00643BB9"/>
    <w:rsid w:val="006451EA"/>
    <w:rsid w:val="006455D7"/>
    <w:rsid w:val="00651560"/>
    <w:rsid w:val="00652429"/>
    <w:rsid w:val="0065321F"/>
    <w:rsid w:val="00653BE0"/>
    <w:rsid w:val="0065457B"/>
    <w:rsid w:val="006551FB"/>
    <w:rsid w:val="00655780"/>
    <w:rsid w:val="00656F57"/>
    <w:rsid w:val="006571BF"/>
    <w:rsid w:val="00657F8C"/>
    <w:rsid w:val="00657FBA"/>
    <w:rsid w:val="006613EB"/>
    <w:rsid w:val="00661FD0"/>
    <w:rsid w:val="00663042"/>
    <w:rsid w:val="006633B8"/>
    <w:rsid w:val="006635DE"/>
    <w:rsid w:val="006638FB"/>
    <w:rsid w:val="0066394C"/>
    <w:rsid w:val="00665B12"/>
    <w:rsid w:val="00667131"/>
    <w:rsid w:val="00667C62"/>
    <w:rsid w:val="00667D63"/>
    <w:rsid w:val="00670569"/>
    <w:rsid w:val="00670B16"/>
    <w:rsid w:val="00670E61"/>
    <w:rsid w:val="006744E2"/>
    <w:rsid w:val="0067573A"/>
    <w:rsid w:val="00681447"/>
    <w:rsid w:val="0068162E"/>
    <w:rsid w:val="0068279C"/>
    <w:rsid w:val="00682935"/>
    <w:rsid w:val="00683D05"/>
    <w:rsid w:val="006843C0"/>
    <w:rsid w:val="00685E5F"/>
    <w:rsid w:val="00686BBB"/>
    <w:rsid w:val="006912AB"/>
    <w:rsid w:val="006913E4"/>
    <w:rsid w:val="006922D7"/>
    <w:rsid w:val="00692B1E"/>
    <w:rsid w:val="00692BA4"/>
    <w:rsid w:val="00692F35"/>
    <w:rsid w:val="00693BEE"/>
    <w:rsid w:val="0069469B"/>
    <w:rsid w:val="006950EE"/>
    <w:rsid w:val="0069544A"/>
    <w:rsid w:val="0069580B"/>
    <w:rsid w:val="006971F3"/>
    <w:rsid w:val="00697616"/>
    <w:rsid w:val="006A0DEE"/>
    <w:rsid w:val="006A1B85"/>
    <w:rsid w:val="006A2BFF"/>
    <w:rsid w:val="006A3692"/>
    <w:rsid w:val="006A4BB5"/>
    <w:rsid w:val="006A4EB6"/>
    <w:rsid w:val="006A515F"/>
    <w:rsid w:val="006A5F33"/>
    <w:rsid w:val="006A7DFF"/>
    <w:rsid w:val="006B18DD"/>
    <w:rsid w:val="006B7F8B"/>
    <w:rsid w:val="006C41C0"/>
    <w:rsid w:val="006C465E"/>
    <w:rsid w:val="006C4894"/>
    <w:rsid w:val="006C6477"/>
    <w:rsid w:val="006C7C5F"/>
    <w:rsid w:val="006D0126"/>
    <w:rsid w:val="006D0857"/>
    <w:rsid w:val="006D1AA9"/>
    <w:rsid w:val="006D2829"/>
    <w:rsid w:val="006D3F83"/>
    <w:rsid w:val="006D4B9F"/>
    <w:rsid w:val="006D5625"/>
    <w:rsid w:val="006D6E6D"/>
    <w:rsid w:val="006D7CB0"/>
    <w:rsid w:val="006E0349"/>
    <w:rsid w:val="006E242A"/>
    <w:rsid w:val="006E4720"/>
    <w:rsid w:val="006E519E"/>
    <w:rsid w:val="006E5657"/>
    <w:rsid w:val="006E6291"/>
    <w:rsid w:val="006E6B21"/>
    <w:rsid w:val="006E7389"/>
    <w:rsid w:val="006F16F7"/>
    <w:rsid w:val="006F24B9"/>
    <w:rsid w:val="006F4388"/>
    <w:rsid w:val="006F5D18"/>
    <w:rsid w:val="006F6BE1"/>
    <w:rsid w:val="00700CCA"/>
    <w:rsid w:val="00700E54"/>
    <w:rsid w:val="00702E5B"/>
    <w:rsid w:val="00705B01"/>
    <w:rsid w:val="00705FF4"/>
    <w:rsid w:val="00706C1B"/>
    <w:rsid w:val="00706F3E"/>
    <w:rsid w:val="007070FB"/>
    <w:rsid w:val="007102A9"/>
    <w:rsid w:val="00711578"/>
    <w:rsid w:val="00711C55"/>
    <w:rsid w:val="00712A9D"/>
    <w:rsid w:val="00713171"/>
    <w:rsid w:val="00714BE3"/>
    <w:rsid w:val="00715585"/>
    <w:rsid w:val="00715877"/>
    <w:rsid w:val="00716D56"/>
    <w:rsid w:val="00717A3A"/>
    <w:rsid w:val="00717D74"/>
    <w:rsid w:val="00720DFC"/>
    <w:rsid w:val="00720FE6"/>
    <w:rsid w:val="00721FF0"/>
    <w:rsid w:val="0072623C"/>
    <w:rsid w:val="0072664E"/>
    <w:rsid w:val="00733BAB"/>
    <w:rsid w:val="00734B61"/>
    <w:rsid w:val="007435BF"/>
    <w:rsid w:val="00753D32"/>
    <w:rsid w:val="007544F4"/>
    <w:rsid w:val="00756D80"/>
    <w:rsid w:val="00757720"/>
    <w:rsid w:val="00757D7A"/>
    <w:rsid w:val="007610A9"/>
    <w:rsid w:val="007640C6"/>
    <w:rsid w:val="0076468A"/>
    <w:rsid w:val="007648FB"/>
    <w:rsid w:val="0076533E"/>
    <w:rsid w:val="00767435"/>
    <w:rsid w:val="0077178E"/>
    <w:rsid w:val="00771B78"/>
    <w:rsid w:val="00771BE3"/>
    <w:rsid w:val="00772705"/>
    <w:rsid w:val="00772765"/>
    <w:rsid w:val="00773044"/>
    <w:rsid w:val="007739E3"/>
    <w:rsid w:val="007741FB"/>
    <w:rsid w:val="00774372"/>
    <w:rsid w:val="00774728"/>
    <w:rsid w:val="00774E90"/>
    <w:rsid w:val="00777796"/>
    <w:rsid w:val="0077798F"/>
    <w:rsid w:val="0078271A"/>
    <w:rsid w:val="00783406"/>
    <w:rsid w:val="00784AA9"/>
    <w:rsid w:val="007851A6"/>
    <w:rsid w:val="00785B16"/>
    <w:rsid w:val="007873B0"/>
    <w:rsid w:val="00787F61"/>
    <w:rsid w:val="00792385"/>
    <w:rsid w:val="00793BF6"/>
    <w:rsid w:val="007952AB"/>
    <w:rsid w:val="00795306"/>
    <w:rsid w:val="00795876"/>
    <w:rsid w:val="00795BDF"/>
    <w:rsid w:val="00797EE8"/>
    <w:rsid w:val="007A24B8"/>
    <w:rsid w:val="007A34A0"/>
    <w:rsid w:val="007A4B8C"/>
    <w:rsid w:val="007B0091"/>
    <w:rsid w:val="007B0164"/>
    <w:rsid w:val="007B02C0"/>
    <w:rsid w:val="007B0BFF"/>
    <w:rsid w:val="007B0FCC"/>
    <w:rsid w:val="007B60C4"/>
    <w:rsid w:val="007B722F"/>
    <w:rsid w:val="007B74B6"/>
    <w:rsid w:val="007C0719"/>
    <w:rsid w:val="007C0BF5"/>
    <w:rsid w:val="007C1953"/>
    <w:rsid w:val="007C28BD"/>
    <w:rsid w:val="007C39B9"/>
    <w:rsid w:val="007C57C9"/>
    <w:rsid w:val="007C5AD2"/>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125F4"/>
    <w:rsid w:val="00813FC7"/>
    <w:rsid w:val="0081634C"/>
    <w:rsid w:val="0082347E"/>
    <w:rsid w:val="00823AF6"/>
    <w:rsid w:val="0082566C"/>
    <w:rsid w:val="00831C98"/>
    <w:rsid w:val="00834380"/>
    <w:rsid w:val="00834AE3"/>
    <w:rsid w:val="008379C6"/>
    <w:rsid w:val="00837A24"/>
    <w:rsid w:val="00844730"/>
    <w:rsid w:val="00846243"/>
    <w:rsid w:val="008464B4"/>
    <w:rsid w:val="008473E3"/>
    <w:rsid w:val="00852E7F"/>
    <w:rsid w:val="00854799"/>
    <w:rsid w:val="008578F7"/>
    <w:rsid w:val="00857AF9"/>
    <w:rsid w:val="00860A64"/>
    <w:rsid w:val="00862BA4"/>
    <w:rsid w:val="00863E2C"/>
    <w:rsid w:val="00864A51"/>
    <w:rsid w:val="00865DF1"/>
    <w:rsid w:val="00867166"/>
    <w:rsid w:val="008677E9"/>
    <w:rsid w:val="008678B9"/>
    <w:rsid w:val="00870035"/>
    <w:rsid w:val="008709E1"/>
    <w:rsid w:val="00871BED"/>
    <w:rsid w:val="00872C71"/>
    <w:rsid w:val="008738E4"/>
    <w:rsid w:val="00873AC1"/>
    <w:rsid w:val="00875670"/>
    <w:rsid w:val="008803A2"/>
    <w:rsid w:val="00882582"/>
    <w:rsid w:val="00884FB9"/>
    <w:rsid w:val="00886F15"/>
    <w:rsid w:val="008879DD"/>
    <w:rsid w:val="0089166F"/>
    <w:rsid w:val="00892888"/>
    <w:rsid w:val="008929DF"/>
    <w:rsid w:val="00893E4F"/>
    <w:rsid w:val="00896017"/>
    <w:rsid w:val="00897FE3"/>
    <w:rsid w:val="008A0D57"/>
    <w:rsid w:val="008A123F"/>
    <w:rsid w:val="008A1D83"/>
    <w:rsid w:val="008A304F"/>
    <w:rsid w:val="008A37C1"/>
    <w:rsid w:val="008A40BD"/>
    <w:rsid w:val="008A7970"/>
    <w:rsid w:val="008B1258"/>
    <w:rsid w:val="008B1584"/>
    <w:rsid w:val="008B251A"/>
    <w:rsid w:val="008B566D"/>
    <w:rsid w:val="008C3672"/>
    <w:rsid w:val="008C3919"/>
    <w:rsid w:val="008C4ECF"/>
    <w:rsid w:val="008D12B7"/>
    <w:rsid w:val="008D1668"/>
    <w:rsid w:val="008D4381"/>
    <w:rsid w:val="008D54DB"/>
    <w:rsid w:val="008D5C5F"/>
    <w:rsid w:val="008E6EE1"/>
    <w:rsid w:val="008E768F"/>
    <w:rsid w:val="008E7B76"/>
    <w:rsid w:val="008F0342"/>
    <w:rsid w:val="008F07C5"/>
    <w:rsid w:val="008F3CE6"/>
    <w:rsid w:val="008F5020"/>
    <w:rsid w:val="008F5530"/>
    <w:rsid w:val="008F67B3"/>
    <w:rsid w:val="008F68F2"/>
    <w:rsid w:val="008F751C"/>
    <w:rsid w:val="008F7F36"/>
    <w:rsid w:val="0090027D"/>
    <w:rsid w:val="00900DD3"/>
    <w:rsid w:val="0090329C"/>
    <w:rsid w:val="009037F7"/>
    <w:rsid w:val="0090553D"/>
    <w:rsid w:val="00905A35"/>
    <w:rsid w:val="009078DE"/>
    <w:rsid w:val="00914EA6"/>
    <w:rsid w:val="00915C0B"/>
    <w:rsid w:val="00915CF9"/>
    <w:rsid w:val="009172DE"/>
    <w:rsid w:val="00917C8E"/>
    <w:rsid w:val="0092026F"/>
    <w:rsid w:val="00921859"/>
    <w:rsid w:val="00922274"/>
    <w:rsid w:val="00924CEF"/>
    <w:rsid w:val="0092541A"/>
    <w:rsid w:val="00926BAD"/>
    <w:rsid w:val="009276D2"/>
    <w:rsid w:val="00927EE1"/>
    <w:rsid w:val="0093135D"/>
    <w:rsid w:val="00934029"/>
    <w:rsid w:val="00934EEA"/>
    <w:rsid w:val="009355FB"/>
    <w:rsid w:val="009356E0"/>
    <w:rsid w:val="00942ED6"/>
    <w:rsid w:val="009447B8"/>
    <w:rsid w:val="0094532C"/>
    <w:rsid w:val="009469A8"/>
    <w:rsid w:val="00946F42"/>
    <w:rsid w:val="00950F9E"/>
    <w:rsid w:val="00951E47"/>
    <w:rsid w:val="00952EDD"/>
    <w:rsid w:val="00954586"/>
    <w:rsid w:val="00954DD6"/>
    <w:rsid w:val="009563A2"/>
    <w:rsid w:val="00961664"/>
    <w:rsid w:val="00961BAF"/>
    <w:rsid w:val="00964616"/>
    <w:rsid w:val="00967BAD"/>
    <w:rsid w:val="00974F86"/>
    <w:rsid w:val="00977327"/>
    <w:rsid w:val="00980234"/>
    <w:rsid w:val="00981C9A"/>
    <w:rsid w:val="00982DC7"/>
    <w:rsid w:val="00983320"/>
    <w:rsid w:val="00985653"/>
    <w:rsid w:val="00987177"/>
    <w:rsid w:val="00987597"/>
    <w:rsid w:val="00987C86"/>
    <w:rsid w:val="009911F2"/>
    <w:rsid w:val="009918FD"/>
    <w:rsid w:val="00991D17"/>
    <w:rsid w:val="00992EED"/>
    <w:rsid w:val="00997500"/>
    <w:rsid w:val="009978C0"/>
    <w:rsid w:val="00997B96"/>
    <w:rsid w:val="009A05D2"/>
    <w:rsid w:val="009A1132"/>
    <w:rsid w:val="009A1D34"/>
    <w:rsid w:val="009A3C70"/>
    <w:rsid w:val="009A5BFD"/>
    <w:rsid w:val="009A5CA7"/>
    <w:rsid w:val="009A61A5"/>
    <w:rsid w:val="009B00D6"/>
    <w:rsid w:val="009B06B5"/>
    <w:rsid w:val="009B1EFF"/>
    <w:rsid w:val="009B31B1"/>
    <w:rsid w:val="009B4963"/>
    <w:rsid w:val="009B512C"/>
    <w:rsid w:val="009B56C3"/>
    <w:rsid w:val="009B79F1"/>
    <w:rsid w:val="009C09D1"/>
    <w:rsid w:val="009C17C1"/>
    <w:rsid w:val="009C2C52"/>
    <w:rsid w:val="009C31C8"/>
    <w:rsid w:val="009C459C"/>
    <w:rsid w:val="009C5B6C"/>
    <w:rsid w:val="009C691F"/>
    <w:rsid w:val="009C748C"/>
    <w:rsid w:val="009D0393"/>
    <w:rsid w:val="009D28A7"/>
    <w:rsid w:val="009D4071"/>
    <w:rsid w:val="009E014D"/>
    <w:rsid w:val="009E0F74"/>
    <w:rsid w:val="009E59C8"/>
    <w:rsid w:val="009E6A46"/>
    <w:rsid w:val="009F1776"/>
    <w:rsid w:val="009F1B4D"/>
    <w:rsid w:val="009F2345"/>
    <w:rsid w:val="009F3E64"/>
    <w:rsid w:val="009F64D8"/>
    <w:rsid w:val="00A0090E"/>
    <w:rsid w:val="00A02B44"/>
    <w:rsid w:val="00A03DBC"/>
    <w:rsid w:val="00A04995"/>
    <w:rsid w:val="00A058EC"/>
    <w:rsid w:val="00A05CC6"/>
    <w:rsid w:val="00A062E2"/>
    <w:rsid w:val="00A10BD5"/>
    <w:rsid w:val="00A127DD"/>
    <w:rsid w:val="00A12CF5"/>
    <w:rsid w:val="00A158AE"/>
    <w:rsid w:val="00A15D57"/>
    <w:rsid w:val="00A167D4"/>
    <w:rsid w:val="00A2151B"/>
    <w:rsid w:val="00A219EB"/>
    <w:rsid w:val="00A21AA2"/>
    <w:rsid w:val="00A23616"/>
    <w:rsid w:val="00A23D8A"/>
    <w:rsid w:val="00A24693"/>
    <w:rsid w:val="00A25ADE"/>
    <w:rsid w:val="00A26053"/>
    <w:rsid w:val="00A30EAD"/>
    <w:rsid w:val="00A3172D"/>
    <w:rsid w:val="00A35FC9"/>
    <w:rsid w:val="00A363AB"/>
    <w:rsid w:val="00A37900"/>
    <w:rsid w:val="00A37F4C"/>
    <w:rsid w:val="00A41E96"/>
    <w:rsid w:val="00A4220A"/>
    <w:rsid w:val="00A43300"/>
    <w:rsid w:val="00A4394A"/>
    <w:rsid w:val="00A43A2D"/>
    <w:rsid w:val="00A469C0"/>
    <w:rsid w:val="00A47BAA"/>
    <w:rsid w:val="00A51EA7"/>
    <w:rsid w:val="00A524FE"/>
    <w:rsid w:val="00A54C9D"/>
    <w:rsid w:val="00A55273"/>
    <w:rsid w:val="00A558B4"/>
    <w:rsid w:val="00A6094C"/>
    <w:rsid w:val="00A609BA"/>
    <w:rsid w:val="00A61122"/>
    <w:rsid w:val="00A63B37"/>
    <w:rsid w:val="00A640E8"/>
    <w:rsid w:val="00A657C0"/>
    <w:rsid w:val="00A67B05"/>
    <w:rsid w:val="00A67E1E"/>
    <w:rsid w:val="00A70C9C"/>
    <w:rsid w:val="00A713CF"/>
    <w:rsid w:val="00A71699"/>
    <w:rsid w:val="00A7224B"/>
    <w:rsid w:val="00A7551D"/>
    <w:rsid w:val="00A76EA2"/>
    <w:rsid w:val="00A8196C"/>
    <w:rsid w:val="00A8230A"/>
    <w:rsid w:val="00A82DAA"/>
    <w:rsid w:val="00A85910"/>
    <w:rsid w:val="00A870B2"/>
    <w:rsid w:val="00A877A4"/>
    <w:rsid w:val="00A90C15"/>
    <w:rsid w:val="00A913A2"/>
    <w:rsid w:val="00A9248E"/>
    <w:rsid w:val="00A949EF"/>
    <w:rsid w:val="00A94BAD"/>
    <w:rsid w:val="00A94FA1"/>
    <w:rsid w:val="00A95353"/>
    <w:rsid w:val="00A95CEF"/>
    <w:rsid w:val="00A965A2"/>
    <w:rsid w:val="00AA0079"/>
    <w:rsid w:val="00AA1F4C"/>
    <w:rsid w:val="00AA4E61"/>
    <w:rsid w:val="00AA5638"/>
    <w:rsid w:val="00AA5CA5"/>
    <w:rsid w:val="00AA68ED"/>
    <w:rsid w:val="00AA6F64"/>
    <w:rsid w:val="00AB0BC7"/>
    <w:rsid w:val="00AB1791"/>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03E4"/>
    <w:rsid w:val="00AE2F13"/>
    <w:rsid w:val="00AE5181"/>
    <w:rsid w:val="00AE53B6"/>
    <w:rsid w:val="00AE7325"/>
    <w:rsid w:val="00AF0364"/>
    <w:rsid w:val="00AF084A"/>
    <w:rsid w:val="00AF0976"/>
    <w:rsid w:val="00AF1045"/>
    <w:rsid w:val="00AF1E3D"/>
    <w:rsid w:val="00AF2080"/>
    <w:rsid w:val="00AF24EF"/>
    <w:rsid w:val="00AF283F"/>
    <w:rsid w:val="00AF6A40"/>
    <w:rsid w:val="00B003F9"/>
    <w:rsid w:val="00B010C5"/>
    <w:rsid w:val="00B011CE"/>
    <w:rsid w:val="00B017CE"/>
    <w:rsid w:val="00B0710C"/>
    <w:rsid w:val="00B0763A"/>
    <w:rsid w:val="00B1002E"/>
    <w:rsid w:val="00B1025C"/>
    <w:rsid w:val="00B1268C"/>
    <w:rsid w:val="00B12DE4"/>
    <w:rsid w:val="00B13B7F"/>
    <w:rsid w:val="00B17A44"/>
    <w:rsid w:val="00B17E64"/>
    <w:rsid w:val="00B2084D"/>
    <w:rsid w:val="00B225AE"/>
    <w:rsid w:val="00B24B31"/>
    <w:rsid w:val="00B30468"/>
    <w:rsid w:val="00B320FF"/>
    <w:rsid w:val="00B3497D"/>
    <w:rsid w:val="00B34A31"/>
    <w:rsid w:val="00B372B7"/>
    <w:rsid w:val="00B37DC9"/>
    <w:rsid w:val="00B4018B"/>
    <w:rsid w:val="00B409E7"/>
    <w:rsid w:val="00B40EFB"/>
    <w:rsid w:val="00B458ED"/>
    <w:rsid w:val="00B45A52"/>
    <w:rsid w:val="00B45DB0"/>
    <w:rsid w:val="00B46690"/>
    <w:rsid w:val="00B51C0F"/>
    <w:rsid w:val="00B5219E"/>
    <w:rsid w:val="00B52E44"/>
    <w:rsid w:val="00B52E8D"/>
    <w:rsid w:val="00B5692D"/>
    <w:rsid w:val="00B57AA6"/>
    <w:rsid w:val="00B57B1A"/>
    <w:rsid w:val="00B57CEE"/>
    <w:rsid w:val="00B60611"/>
    <w:rsid w:val="00B60B83"/>
    <w:rsid w:val="00B60FB8"/>
    <w:rsid w:val="00B674A2"/>
    <w:rsid w:val="00B7107E"/>
    <w:rsid w:val="00B72EB5"/>
    <w:rsid w:val="00B73BF8"/>
    <w:rsid w:val="00B74975"/>
    <w:rsid w:val="00B76A11"/>
    <w:rsid w:val="00B77038"/>
    <w:rsid w:val="00B80DEE"/>
    <w:rsid w:val="00B83292"/>
    <w:rsid w:val="00B85907"/>
    <w:rsid w:val="00B91548"/>
    <w:rsid w:val="00B91A20"/>
    <w:rsid w:val="00B9507F"/>
    <w:rsid w:val="00BA1513"/>
    <w:rsid w:val="00BA45E7"/>
    <w:rsid w:val="00BA4F51"/>
    <w:rsid w:val="00BA547B"/>
    <w:rsid w:val="00BA621C"/>
    <w:rsid w:val="00BA75D6"/>
    <w:rsid w:val="00BB0065"/>
    <w:rsid w:val="00BB01CD"/>
    <w:rsid w:val="00BB0793"/>
    <w:rsid w:val="00BB0F00"/>
    <w:rsid w:val="00BB1401"/>
    <w:rsid w:val="00BB41BF"/>
    <w:rsid w:val="00BB6744"/>
    <w:rsid w:val="00BB6BF0"/>
    <w:rsid w:val="00BB6C99"/>
    <w:rsid w:val="00BC1E89"/>
    <w:rsid w:val="00BC2885"/>
    <w:rsid w:val="00BC374F"/>
    <w:rsid w:val="00BC4156"/>
    <w:rsid w:val="00BC53DC"/>
    <w:rsid w:val="00BC54A3"/>
    <w:rsid w:val="00BC64DA"/>
    <w:rsid w:val="00BC7589"/>
    <w:rsid w:val="00BD0172"/>
    <w:rsid w:val="00BD10E6"/>
    <w:rsid w:val="00BD3528"/>
    <w:rsid w:val="00BD36E7"/>
    <w:rsid w:val="00BD3A97"/>
    <w:rsid w:val="00BD68FD"/>
    <w:rsid w:val="00BE033D"/>
    <w:rsid w:val="00BE1B5B"/>
    <w:rsid w:val="00BE3464"/>
    <w:rsid w:val="00BE3D09"/>
    <w:rsid w:val="00BE3D8A"/>
    <w:rsid w:val="00BE48C5"/>
    <w:rsid w:val="00BE6588"/>
    <w:rsid w:val="00BF03D7"/>
    <w:rsid w:val="00BF1B57"/>
    <w:rsid w:val="00BF2242"/>
    <w:rsid w:val="00BF24F6"/>
    <w:rsid w:val="00BF36F0"/>
    <w:rsid w:val="00BF372B"/>
    <w:rsid w:val="00BF45C7"/>
    <w:rsid w:val="00BF4963"/>
    <w:rsid w:val="00BF5398"/>
    <w:rsid w:val="00BF6AF1"/>
    <w:rsid w:val="00C03B4C"/>
    <w:rsid w:val="00C0463C"/>
    <w:rsid w:val="00C054E6"/>
    <w:rsid w:val="00C0588D"/>
    <w:rsid w:val="00C10587"/>
    <w:rsid w:val="00C10AC0"/>
    <w:rsid w:val="00C114F2"/>
    <w:rsid w:val="00C11650"/>
    <w:rsid w:val="00C118BC"/>
    <w:rsid w:val="00C11EB3"/>
    <w:rsid w:val="00C2149B"/>
    <w:rsid w:val="00C21ABF"/>
    <w:rsid w:val="00C252DF"/>
    <w:rsid w:val="00C255C5"/>
    <w:rsid w:val="00C2665B"/>
    <w:rsid w:val="00C30EB3"/>
    <w:rsid w:val="00C31FBC"/>
    <w:rsid w:val="00C373E1"/>
    <w:rsid w:val="00C41300"/>
    <w:rsid w:val="00C41475"/>
    <w:rsid w:val="00C421C1"/>
    <w:rsid w:val="00C42917"/>
    <w:rsid w:val="00C47AF3"/>
    <w:rsid w:val="00C503AE"/>
    <w:rsid w:val="00C5046D"/>
    <w:rsid w:val="00C52B76"/>
    <w:rsid w:val="00C55C1E"/>
    <w:rsid w:val="00C5685E"/>
    <w:rsid w:val="00C56E4F"/>
    <w:rsid w:val="00C576B9"/>
    <w:rsid w:val="00C6010B"/>
    <w:rsid w:val="00C604B8"/>
    <w:rsid w:val="00C639B2"/>
    <w:rsid w:val="00C63AEF"/>
    <w:rsid w:val="00C662F8"/>
    <w:rsid w:val="00C66764"/>
    <w:rsid w:val="00C66C37"/>
    <w:rsid w:val="00C67305"/>
    <w:rsid w:val="00C67D12"/>
    <w:rsid w:val="00C7265C"/>
    <w:rsid w:val="00C7379B"/>
    <w:rsid w:val="00C73DDC"/>
    <w:rsid w:val="00C749D6"/>
    <w:rsid w:val="00C74BB7"/>
    <w:rsid w:val="00C7688F"/>
    <w:rsid w:val="00C80FF1"/>
    <w:rsid w:val="00C828AD"/>
    <w:rsid w:val="00C85591"/>
    <w:rsid w:val="00C91E64"/>
    <w:rsid w:val="00C949E3"/>
    <w:rsid w:val="00C96B26"/>
    <w:rsid w:val="00CA4429"/>
    <w:rsid w:val="00CA46BD"/>
    <w:rsid w:val="00CA5E03"/>
    <w:rsid w:val="00CB149D"/>
    <w:rsid w:val="00CB24A5"/>
    <w:rsid w:val="00CB31B6"/>
    <w:rsid w:val="00CB3971"/>
    <w:rsid w:val="00CB4974"/>
    <w:rsid w:val="00CB5069"/>
    <w:rsid w:val="00CB51E3"/>
    <w:rsid w:val="00CB56EC"/>
    <w:rsid w:val="00CB6242"/>
    <w:rsid w:val="00CB74FC"/>
    <w:rsid w:val="00CC26F0"/>
    <w:rsid w:val="00CC2B17"/>
    <w:rsid w:val="00CC2C31"/>
    <w:rsid w:val="00CC3AE7"/>
    <w:rsid w:val="00CC3BB5"/>
    <w:rsid w:val="00CC4187"/>
    <w:rsid w:val="00CC4704"/>
    <w:rsid w:val="00CC78FF"/>
    <w:rsid w:val="00CC7A58"/>
    <w:rsid w:val="00CD1299"/>
    <w:rsid w:val="00CD330D"/>
    <w:rsid w:val="00CD4FFE"/>
    <w:rsid w:val="00CD70E3"/>
    <w:rsid w:val="00CD7F42"/>
    <w:rsid w:val="00CE072A"/>
    <w:rsid w:val="00CE07DE"/>
    <w:rsid w:val="00CE0CFE"/>
    <w:rsid w:val="00CE1169"/>
    <w:rsid w:val="00CE4FEA"/>
    <w:rsid w:val="00CE7E73"/>
    <w:rsid w:val="00CE7FB5"/>
    <w:rsid w:val="00CF0C4A"/>
    <w:rsid w:val="00CF260B"/>
    <w:rsid w:val="00CF36FE"/>
    <w:rsid w:val="00CF3969"/>
    <w:rsid w:val="00CF7F6D"/>
    <w:rsid w:val="00D02C82"/>
    <w:rsid w:val="00D07876"/>
    <w:rsid w:val="00D132E4"/>
    <w:rsid w:val="00D1736D"/>
    <w:rsid w:val="00D201AE"/>
    <w:rsid w:val="00D21B13"/>
    <w:rsid w:val="00D2274D"/>
    <w:rsid w:val="00D22A6D"/>
    <w:rsid w:val="00D244A3"/>
    <w:rsid w:val="00D250B7"/>
    <w:rsid w:val="00D25345"/>
    <w:rsid w:val="00D2710B"/>
    <w:rsid w:val="00D30950"/>
    <w:rsid w:val="00D31CE6"/>
    <w:rsid w:val="00D361B4"/>
    <w:rsid w:val="00D37C5D"/>
    <w:rsid w:val="00D41687"/>
    <w:rsid w:val="00D4195B"/>
    <w:rsid w:val="00D442CC"/>
    <w:rsid w:val="00D444B7"/>
    <w:rsid w:val="00D46427"/>
    <w:rsid w:val="00D466C5"/>
    <w:rsid w:val="00D47BF4"/>
    <w:rsid w:val="00D51636"/>
    <w:rsid w:val="00D52BD7"/>
    <w:rsid w:val="00D540A1"/>
    <w:rsid w:val="00D544D2"/>
    <w:rsid w:val="00D56644"/>
    <w:rsid w:val="00D56A36"/>
    <w:rsid w:val="00D57C28"/>
    <w:rsid w:val="00D6013E"/>
    <w:rsid w:val="00D61146"/>
    <w:rsid w:val="00D63ADE"/>
    <w:rsid w:val="00D643DE"/>
    <w:rsid w:val="00D65A10"/>
    <w:rsid w:val="00D6723E"/>
    <w:rsid w:val="00D7088C"/>
    <w:rsid w:val="00D71432"/>
    <w:rsid w:val="00D7233E"/>
    <w:rsid w:val="00D72ADA"/>
    <w:rsid w:val="00D7318D"/>
    <w:rsid w:val="00D7515F"/>
    <w:rsid w:val="00D75E02"/>
    <w:rsid w:val="00D76EE9"/>
    <w:rsid w:val="00D77169"/>
    <w:rsid w:val="00D82336"/>
    <w:rsid w:val="00D82547"/>
    <w:rsid w:val="00D82E0B"/>
    <w:rsid w:val="00D837A8"/>
    <w:rsid w:val="00D83C3D"/>
    <w:rsid w:val="00D85C19"/>
    <w:rsid w:val="00D85E38"/>
    <w:rsid w:val="00D877C0"/>
    <w:rsid w:val="00D87948"/>
    <w:rsid w:val="00D912EF"/>
    <w:rsid w:val="00D96020"/>
    <w:rsid w:val="00D976DF"/>
    <w:rsid w:val="00DA093D"/>
    <w:rsid w:val="00DA4E53"/>
    <w:rsid w:val="00DA533D"/>
    <w:rsid w:val="00DA5511"/>
    <w:rsid w:val="00DA5BB3"/>
    <w:rsid w:val="00DA78F3"/>
    <w:rsid w:val="00DA7FDB"/>
    <w:rsid w:val="00DB1EC3"/>
    <w:rsid w:val="00DB21B1"/>
    <w:rsid w:val="00DB317C"/>
    <w:rsid w:val="00DB4D07"/>
    <w:rsid w:val="00DB5918"/>
    <w:rsid w:val="00DB643E"/>
    <w:rsid w:val="00DB6D99"/>
    <w:rsid w:val="00DB74C8"/>
    <w:rsid w:val="00DC0D53"/>
    <w:rsid w:val="00DC2E94"/>
    <w:rsid w:val="00DC36EF"/>
    <w:rsid w:val="00DC5541"/>
    <w:rsid w:val="00DC5715"/>
    <w:rsid w:val="00DC5E26"/>
    <w:rsid w:val="00DC73FC"/>
    <w:rsid w:val="00DD1F35"/>
    <w:rsid w:val="00DD24E1"/>
    <w:rsid w:val="00DD32DE"/>
    <w:rsid w:val="00DD362A"/>
    <w:rsid w:val="00DD39AC"/>
    <w:rsid w:val="00DD4027"/>
    <w:rsid w:val="00DD4D70"/>
    <w:rsid w:val="00DD5D23"/>
    <w:rsid w:val="00DD618C"/>
    <w:rsid w:val="00DD6572"/>
    <w:rsid w:val="00DD7FBC"/>
    <w:rsid w:val="00DE14F3"/>
    <w:rsid w:val="00DE66E2"/>
    <w:rsid w:val="00DE7796"/>
    <w:rsid w:val="00DF0116"/>
    <w:rsid w:val="00DF52EB"/>
    <w:rsid w:val="00DF5F81"/>
    <w:rsid w:val="00E0048F"/>
    <w:rsid w:val="00E05378"/>
    <w:rsid w:val="00E10641"/>
    <w:rsid w:val="00E10E7F"/>
    <w:rsid w:val="00E12322"/>
    <w:rsid w:val="00E13530"/>
    <w:rsid w:val="00E17013"/>
    <w:rsid w:val="00E216BB"/>
    <w:rsid w:val="00E2365E"/>
    <w:rsid w:val="00E24BF0"/>
    <w:rsid w:val="00E31EF1"/>
    <w:rsid w:val="00E32705"/>
    <w:rsid w:val="00E32DB8"/>
    <w:rsid w:val="00E33213"/>
    <w:rsid w:val="00E33331"/>
    <w:rsid w:val="00E3574C"/>
    <w:rsid w:val="00E3727D"/>
    <w:rsid w:val="00E40007"/>
    <w:rsid w:val="00E41751"/>
    <w:rsid w:val="00E429E5"/>
    <w:rsid w:val="00E45D1E"/>
    <w:rsid w:val="00E468FA"/>
    <w:rsid w:val="00E479C0"/>
    <w:rsid w:val="00E520B8"/>
    <w:rsid w:val="00E53426"/>
    <w:rsid w:val="00E53924"/>
    <w:rsid w:val="00E53ED2"/>
    <w:rsid w:val="00E561D5"/>
    <w:rsid w:val="00E608ED"/>
    <w:rsid w:val="00E612DD"/>
    <w:rsid w:val="00E643C1"/>
    <w:rsid w:val="00E67145"/>
    <w:rsid w:val="00E7011D"/>
    <w:rsid w:val="00E70B09"/>
    <w:rsid w:val="00E74001"/>
    <w:rsid w:val="00E74FA6"/>
    <w:rsid w:val="00E754A8"/>
    <w:rsid w:val="00E84050"/>
    <w:rsid w:val="00E8415F"/>
    <w:rsid w:val="00E846A0"/>
    <w:rsid w:val="00E84DB9"/>
    <w:rsid w:val="00E8527E"/>
    <w:rsid w:val="00E86297"/>
    <w:rsid w:val="00E863F0"/>
    <w:rsid w:val="00E86C96"/>
    <w:rsid w:val="00E91051"/>
    <w:rsid w:val="00E92FA5"/>
    <w:rsid w:val="00E93FB0"/>
    <w:rsid w:val="00E9469B"/>
    <w:rsid w:val="00E951D8"/>
    <w:rsid w:val="00E955DB"/>
    <w:rsid w:val="00E96DC2"/>
    <w:rsid w:val="00EA11C2"/>
    <w:rsid w:val="00EA141C"/>
    <w:rsid w:val="00EA23AD"/>
    <w:rsid w:val="00EA2BD8"/>
    <w:rsid w:val="00EA4E9B"/>
    <w:rsid w:val="00EA4F2B"/>
    <w:rsid w:val="00EA7B9E"/>
    <w:rsid w:val="00EB6F7B"/>
    <w:rsid w:val="00EB770E"/>
    <w:rsid w:val="00EC1B40"/>
    <w:rsid w:val="00EC5081"/>
    <w:rsid w:val="00EC6D29"/>
    <w:rsid w:val="00ED0F2A"/>
    <w:rsid w:val="00ED2A13"/>
    <w:rsid w:val="00ED3AC6"/>
    <w:rsid w:val="00ED5C5D"/>
    <w:rsid w:val="00EE28C9"/>
    <w:rsid w:val="00EE32E4"/>
    <w:rsid w:val="00EE4997"/>
    <w:rsid w:val="00EE4DF9"/>
    <w:rsid w:val="00EF47AD"/>
    <w:rsid w:val="00EF5FB1"/>
    <w:rsid w:val="00EF64EA"/>
    <w:rsid w:val="00EF669B"/>
    <w:rsid w:val="00F00303"/>
    <w:rsid w:val="00F03ECD"/>
    <w:rsid w:val="00F04679"/>
    <w:rsid w:val="00F05A5C"/>
    <w:rsid w:val="00F07861"/>
    <w:rsid w:val="00F1322A"/>
    <w:rsid w:val="00F149F7"/>
    <w:rsid w:val="00F15017"/>
    <w:rsid w:val="00F16C0E"/>
    <w:rsid w:val="00F171ED"/>
    <w:rsid w:val="00F217F8"/>
    <w:rsid w:val="00F2321F"/>
    <w:rsid w:val="00F26015"/>
    <w:rsid w:val="00F2638F"/>
    <w:rsid w:val="00F27164"/>
    <w:rsid w:val="00F33675"/>
    <w:rsid w:val="00F370C5"/>
    <w:rsid w:val="00F37CB0"/>
    <w:rsid w:val="00F37D3D"/>
    <w:rsid w:val="00F4019E"/>
    <w:rsid w:val="00F440A5"/>
    <w:rsid w:val="00F441F7"/>
    <w:rsid w:val="00F44E5F"/>
    <w:rsid w:val="00F47F2C"/>
    <w:rsid w:val="00F51A3A"/>
    <w:rsid w:val="00F51C2E"/>
    <w:rsid w:val="00F5212E"/>
    <w:rsid w:val="00F54A70"/>
    <w:rsid w:val="00F56C10"/>
    <w:rsid w:val="00F57F01"/>
    <w:rsid w:val="00F62F1B"/>
    <w:rsid w:val="00F62F8F"/>
    <w:rsid w:val="00F656E1"/>
    <w:rsid w:val="00F70A2F"/>
    <w:rsid w:val="00F71F16"/>
    <w:rsid w:val="00F72132"/>
    <w:rsid w:val="00F73F51"/>
    <w:rsid w:val="00F80D9B"/>
    <w:rsid w:val="00F83EE0"/>
    <w:rsid w:val="00F8479B"/>
    <w:rsid w:val="00F879DE"/>
    <w:rsid w:val="00F913BA"/>
    <w:rsid w:val="00F91C95"/>
    <w:rsid w:val="00F93E41"/>
    <w:rsid w:val="00F942F1"/>
    <w:rsid w:val="00F97E69"/>
    <w:rsid w:val="00FA10B6"/>
    <w:rsid w:val="00FA3E3E"/>
    <w:rsid w:val="00FA4A04"/>
    <w:rsid w:val="00FA5B67"/>
    <w:rsid w:val="00FA6DD6"/>
    <w:rsid w:val="00FA798E"/>
    <w:rsid w:val="00FB4015"/>
    <w:rsid w:val="00FB62B6"/>
    <w:rsid w:val="00FB647B"/>
    <w:rsid w:val="00FB6AAD"/>
    <w:rsid w:val="00FC2B82"/>
    <w:rsid w:val="00FC3DF3"/>
    <w:rsid w:val="00FC475D"/>
    <w:rsid w:val="00FC538E"/>
    <w:rsid w:val="00FC73F4"/>
    <w:rsid w:val="00FD0D9C"/>
    <w:rsid w:val="00FD2775"/>
    <w:rsid w:val="00FD3E32"/>
    <w:rsid w:val="00FD6067"/>
    <w:rsid w:val="00FD683A"/>
    <w:rsid w:val="00FE139C"/>
    <w:rsid w:val="00FE1D23"/>
    <w:rsid w:val="00FE41C8"/>
    <w:rsid w:val="00FE4621"/>
    <w:rsid w:val="00FE4A3C"/>
    <w:rsid w:val="00FE4BC0"/>
    <w:rsid w:val="00FE63DC"/>
    <w:rsid w:val="00FE7065"/>
    <w:rsid w:val="00FF3D2F"/>
    <w:rsid w:val="00FF42B3"/>
    <w:rsid w:val="00FF527D"/>
    <w:rsid w:val="00FF67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lang/>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lang/>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lang/>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lang/>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lang/>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lang/>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lang/>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lang/>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lang/>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lang/>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 w:type="character" w:customStyle="1" w:styleId="gt-baf-back">
    <w:name w:val="gt-baf-back"/>
    <w:basedOn w:val="DefaultParagraphFont"/>
    <w:rsid w:val="000F5631"/>
  </w:style>
  <w:style w:type="character" w:customStyle="1" w:styleId="cit-source">
    <w:name w:val="cit-source"/>
    <w:rsid w:val="00A94FA1"/>
  </w:style>
  <w:style w:type="character" w:styleId="HTMLCite">
    <w:name w:val="HTML Cite"/>
    <w:uiPriority w:val="99"/>
    <w:semiHidden/>
    <w:unhideWhenUsed/>
    <w:rsid w:val="00A94FA1"/>
    <w:rPr>
      <w:i/>
      <w:iCs/>
    </w:rPr>
  </w:style>
  <w:style w:type="character" w:customStyle="1" w:styleId="NoSpacingChar">
    <w:name w:val="No Spacing Char"/>
    <w:link w:val="NoSpacing"/>
    <w:uiPriority w:val="1"/>
    <w:locked/>
    <w:rsid w:val="00711C55"/>
    <w:rPr>
      <w:rFonts w:ascii="Calibri" w:eastAsia="Calibri" w:hAnsi="Calibri"/>
      <w:sz w:val="22"/>
      <w:szCs w:val="22"/>
      <w:lang w:bidi="fa-IR"/>
    </w:rPr>
  </w:style>
  <w:style w:type="paragraph" w:customStyle="1" w:styleId="Body">
    <w:name w:val="Body"/>
    <w:basedOn w:val="Normal"/>
    <w:rsid w:val="00CD1299"/>
    <w:pPr>
      <w:spacing w:after="240"/>
      <w:jc w:val="both"/>
    </w:pPr>
    <w:rPr>
      <w:rFonts w:ascii="Helvetica" w:hAnsi="Helvetica"/>
      <w:lang w:val="en-US" w:eastAsia="en-US"/>
    </w:rPr>
  </w:style>
  <w:style w:type="character" w:customStyle="1" w:styleId="Date1">
    <w:name w:val="Date1"/>
    <w:basedOn w:val="DefaultParagraphFont"/>
    <w:rsid w:val="00771B78"/>
  </w:style>
  <w:style w:type="paragraph" w:customStyle="1" w:styleId="eaae-authorinfo">
    <w:name w:val="eaae- authorinfo"/>
    <w:rsid w:val="008F5020"/>
    <w:pPr>
      <w:suppressAutoHyphens/>
      <w:jc w:val="center"/>
    </w:pPr>
    <w:rPr>
      <w:rFonts w:eastAsia="Batang"/>
      <w:sz w:val="22"/>
      <w:szCs w:val="18"/>
      <w:lang w:val="en-GB" w:eastAsia="ar-SA"/>
    </w:rPr>
  </w:style>
  <w:style w:type="character" w:customStyle="1" w:styleId="hpsalt-edited">
    <w:name w:val="hps alt-edited"/>
    <w:basedOn w:val="DefaultParagraphFont"/>
    <w:rsid w:val="008F5020"/>
  </w:style>
  <w:style w:type="paragraph" w:customStyle="1" w:styleId="NormaleWeb1">
    <w:name w:val="Normale (Web)1"/>
    <w:basedOn w:val="Normal"/>
    <w:rsid w:val="008F5020"/>
    <w:pPr>
      <w:suppressAutoHyphens/>
      <w:spacing w:before="280" w:after="280"/>
    </w:pPr>
    <w:rPr>
      <w:sz w:val="24"/>
      <w:szCs w:val="24"/>
      <w:lang w:val="it-IT" w:eastAsia="ar-SA"/>
    </w:rPr>
  </w:style>
  <w:style w:type="paragraph" w:customStyle="1" w:styleId="eaae-paragraph">
    <w:name w:val="eaae - paragraph"/>
    <w:basedOn w:val="Normal"/>
    <w:rsid w:val="008F5020"/>
    <w:pPr>
      <w:suppressAutoHyphens/>
      <w:spacing w:line="300" w:lineRule="auto"/>
      <w:ind w:firstLine="567"/>
      <w:jc w:val="both"/>
    </w:pPr>
    <w:rPr>
      <w:sz w:val="22"/>
      <w:szCs w:val="22"/>
      <w:lang w:eastAsia="ar-SA"/>
    </w:rPr>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hyperlink" Target="http://faostat3.fao.org/faostat-gateway/go/to/home/E" TargetMode="External"/><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ostat3.fao.org/faostat-gateway/go/to/home/E" TargetMode="Externa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BB277-BBB5-4FFD-8C0E-61FC1C97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15</Pages>
  <Words>4329</Words>
  <Characters>24679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28951</CharactersWithSpaces>
  <SharedDoc>false</SharedDoc>
  <HLinks>
    <vt:vector size="12" baseType="variant">
      <vt:variant>
        <vt:i4>6422535</vt:i4>
      </vt:variant>
      <vt:variant>
        <vt:i4>3</vt:i4>
      </vt:variant>
      <vt:variant>
        <vt:i4>0</vt:i4>
      </vt:variant>
      <vt:variant>
        <vt:i4>5</vt:i4>
      </vt:variant>
      <vt:variant>
        <vt:lpwstr>mailto:felixtakim@yahoo.co.uk</vt:lpwstr>
      </vt:variant>
      <vt:variant>
        <vt:lpwstr/>
      </vt:variant>
      <vt:variant>
        <vt:i4>6422535</vt:i4>
      </vt:variant>
      <vt:variant>
        <vt:i4>0</vt:i4>
      </vt:variant>
      <vt:variant>
        <vt:i4>0</vt:i4>
      </vt:variant>
      <vt:variant>
        <vt:i4>5</vt:i4>
      </vt:variant>
      <vt:variant>
        <vt:lpwstr>mailto:felixtakim@yahoo.co.uk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SnO</cp:lastModifiedBy>
  <cp:revision>45</cp:revision>
  <cp:lastPrinted>2017-09-26T12:00:00Z</cp:lastPrinted>
  <dcterms:created xsi:type="dcterms:W3CDTF">2017-03-21T13:16:00Z</dcterms:created>
  <dcterms:modified xsi:type="dcterms:W3CDTF">2017-09-28T17:05:00Z</dcterms:modified>
</cp:coreProperties>
</file>