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987177" w:rsidRDefault="00A47BAA" w:rsidP="00987177">
      <w:pPr>
        <w:jc w:val="center"/>
        <w:rPr>
          <w:sz w:val="22"/>
          <w:szCs w:val="22"/>
        </w:rPr>
      </w:pPr>
    </w:p>
    <w:p w:rsidR="00A47BAA" w:rsidRPr="00987177" w:rsidRDefault="00A47BAA" w:rsidP="00987177">
      <w:pPr>
        <w:jc w:val="center"/>
        <w:rPr>
          <w:sz w:val="22"/>
          <w:szCs w:val="22"/>
        </w:rPr>
      </w:pPr>
    </w:p>
    <w:p w:rsidR="00A47BAA" w:rsidRPr="00987177" w:rsidRDefault="00A47BAA" w:rsidP="00987177">
      <w:pPr>
        <w:jc w:val="center"/>
        <w:rPr>
          <w:sz w:val="22"/>
          <w:szCs w:val="22"/>
        </w:rPr>
      </w:pPr>
    </w:p>
    <w:p w:rsidR="00BC2885" w:rsidRDefault="00F70A2F" w:rsidP="00F70A2F">
      <w:pPr>
        <w:tabs>
          <w:tab w:val="right" w:pos="9360"/>
        </w:tabs>
        <w:jc w:val="center"/>
        <w:rPr>
          <w:bCs/>
          <w:sz w:val="22"/>
          <w:szCs w:val="22"/>
        </w:rPr>
      </w:pPr>
      <w:r w:rsidRPr="00CF0C4A">
        <w:rPr>
          <w:bCs/>
          <w:sz w:val="22"/>
          <w:szCs w:val="22"/>
        </w:rPr>
        <w:t xml:space="preserve">RESPONSE OF MAIZE TO FOLIAR APPLICATION OF ZINC AND </w:t>
      </w:r>
      <w:r w:rsidRPr="00CF0C4A">
        <w:rPr>
          <w:bCs/>
          <w:i/>
          <w:iCs/>
          <w:sz w:val="22"/>
          <w:szCs w:val="22"/>
        </w:rPr>
        <w:t>AZOTOBACTER</w:t>
      </w:r>
      <w:r w:rsidRPr="00CF0C4A">
        <w:rPr>
          <w:bCs/>
          <w:sz w:val="22"/>
          <w:szCs w:val="22"/>
        </w:rPr>
        <w:t xml:space="preserve"> INOCULATION UNDER DIFFERENT LEVELS </w:t>
      </w:r>
    </w:p>
    <w:p w:rsidR="00F70A2F" w:rsidRPr="00CF0C4A" w:rsidRDefault="00F70A2F" w:rsidP="00F70A2F">
      <w:pPr>
        <w:tabs>
          <w:tab w:val="right" w:pos="9360"/>
        </w:tabs>
        <w:jc w:val="center"/>
        <w:rPr>
          <w:bCs/>
          <w:sz w:val="22"/>
          <w:szCs w:val="22"/>
        </w:rPr>
      </w:pPr>
      <w:r w:rsidRPr="00CF0C4A">
        <w:rPr>
          <w:bCs/>
          <w:sz w:val="22"/>
          <w:szCs w:val="22"/>
        </w:rPr>
        <w:t xml:space="preserve">OF UREA FERTILIZER </w:t>
      </w:r>
    </w:p>
    <w:p w:rsidR="00F70A2F" w:rsidRPr="00F70A2F" w:rsidRDefault="00F70A2F" w:rsidP="00F70A2F">
      <w:pPr>
        <w:tabs>
          <w:tab w:val="right" w:pos="9360"/>
        </w:tabs>
        <w:jc w:val="center"/>
        <w:rPr>
          <w:b/>
          <w:bCs/>
          <w:sz w:val="22"/>
          <w:szCs w:val="22"/>
        </w:rPr>
      </w:pPr>
    </w:p>
    <w:p w:rsidR="00F70A2F" w:rsidRPr="00CF0C4A" w:rsidRDefault="00F70A2F" w:rsidP="00F70A2F">
      <w:pPr>
        <w:tabs>
          <w:tab w:val="right" w:pos="9360"/>
        </w:tabs>
        <w:jc w:val="center"/>
        <w:rPr>
          <w:b/>
          <w:sz w:val="22"/>
          <w:szCs w:val="22"/>
        </w:rPr>
      </w:pPr>
      <w:r w:rsidRPr="00CF0C4A">
        <w:rPr>
          <w:b/>
          <w:sz w:val="22"/>
          <w:szCs w:val="22"/>
        </w:rPr>
        <w:t>Mohammadali Esmaeili</w:t>
      </w:r>
      <w:r w:rsidRPr="00CF0C4A">
        <w:rPr>
          <w:rStyle w:val="FootnoteReference"/>
          <w:b/>
          <w:sz w:val="22"/>
          <w:szCs w:val="22"/>
        </w:rPr>
        <w:footnoteReference w:id="2"/>
      </w:r>
      <w:r w:rsidRPr="00CF0C4A">
        <w:rPr>
          <w:b/>
          <w:sz w:val="22"/>
          <w:szCs w:val="22"/>
        </w:rPr>
        <w:t>, Ayoub Heidarzade and Mounes Gholipour</w:t>
      </w:r>
    </w:p>
    <w:p w:rsidR="00F70A2F" w:rsidRPr="00F70A2F" w:rsidRDefault="00F70A2F" w:rsidP="00F70A2F">
      <w:pPr>
        <w:tabs>
          <w:tab w:val="right" w:pos="9360"/>
        </w:tabs>
        <w:jc w:val="center"/>
        <w:rPr>
          <w:sz w:val="22"/>
          <w:szCs w:val="22"/>
        </w:rPr>
      </w:pPr>
    </w:p>
    <w:p w:rsidR="00F70A2F" w:rsidRDefault="00F70A2F" w:rsidP="00F70A2F">
      <w:pPr>
        <w:autoSpaceDE w:val="0"/>
        <w:autoSpaceDN w:val="0"/>
        <w:adjustRightInd w:val="0"/>
        <w:jc w:val="center"/>
        <w:rPr>
          <w:sz w:val="22"/>
          <w:szCs w:val="22"/>
        </w:rPr>
      </w:pPr>
      <w:r w:rsidRPr="00F70A2F">
        <w:rPr>
          <w:sz w:val="22"/>
          <w:szCs w:val="22"/>
        </w:rPr>
        <w:t xml:space="preserve">Department of Agronomy, Sari Agricultural Sciences and </w:t>
      </w:r>
    </w:p>
    <w:p w:rsidR="00F70A2F" w:rsidRPr="00F70A2F" w:rsidRDefault="00F70A2F" w:rsidP="00F70A2F">
      <w:pPr>
        <w:autoSpaceDE w:val="0"/>
        <w:autoSpaceDN w:val="0"/>
        <w:adjustRightInd w:val="0"/>
        <w:jc w:val="center"/>
        <w:rPr>
          <w:sz w:val="22"/>
          <w:szCs w:val="22"/>
        </w:rPr>
      </w:pPr>
      <w:r w:rsidRPr="00F70A2F">
        <w:rPr>
          <w:sz w:val="22"/>
          <w:szCs w:val="22"/>
        </w:rPr>
        <w:t>Natural Resources University, Sari, Iran</w:t>
      </w:r>
    </w:p>
    <w:p w:rsidR="001E5955" w:rsidRPr="00F70A2F" w:rsidRDefault="001E5955" w:rsidP="00987177">
      <w:pPr>
        <w:jc w:val="center"/>
        <w:rPr>
          <w:b/>
          <w:sz w:val="22"/>
          <w:szCs w:val="22"/>
        </w:rPr>
      </w:pPr>
    </w:p>
    <w:p w:rsidR="00F338DA" w:rsidRPr="00F70A2F" w:rsidRDefault="00F338DA" w:rsidP="00F338DA">
      <w:pPr>
        <w:ind w:firstLine="426"/>
        <w:jc w:val="both"/>
        <w:rPr>
          <w:sz w:val="22"/>
          <w:szCs w:val="22"/>
        </w:rPr>
      </w:pPr>
      <w:r w:rsidRPr="00987177">
        <w:rPr>
          <w:b/>
          <w:sz w:val="22"/>
          <w:szCs w:val="22"/>
        </w:rPr>
        <w:t xml:space="preserve">Abstract: </w:t>
      </w:r>
      <w:r w:rsidRPr="00F70A2F">
        <w:rPr>
          <w:sz w:val="22"/>
          <w:szCs w:val="22"/>
        </w:rPr>
        <w:t xml:space="preserve">In order to investigate the effects of zinc and </w:t>
      </w:r>
      <w:r w:rsidRPr="00F70A2F">
        <w:rPr>
          <w:i/>
          <w:iCs/>
          <w:sz w:val="22"/>
          <w:szCs w:val="22"/>
        </w:rPr>
        <w:t>Azotobacter</w:t>
      </w:r>
      <w:r>
        <w:rPr>
          <w:i/>
          <w:iCs/>
          <w:sz w:val="22"/>
          <w:szCs w:val="22"/>
        </w:rPr>
        <w:t xml:space="preserve"> </w:t>
      </w:r>
      <w:r w:rsidRPr="00F70A2F">
        <w:rPr>
          <w:sz w:val="22"/>
          <w:szCs w:val="22"/>
        </w:rPr>
        <w:t>on maize production properties under different regime of urea as mineral fertilizer, an experiment was conducted at research field of Sari Agricultural Sciences and Natural Resources University during the cropping season of 2014. The nitrogen mineral fertilizer in 100, 200 and 300 amounts of kg urea ha</w:t>
      </w:r>
      <w:r w:rsidRPr="00F70A2F">
        <w:rPr>
          <w:sz w:val="22"/>
          <w:szCs w:val="22"/>
          <w:vertAlign w:val="superscript"/>
        </w:rPr>
        <w:t>-1</w:t>
      </w:r>
      <w:r w:rsidRPr="00F70A2F">
        <w:rPr>
          <w:sz w:val="22"/>
          <w:szCs w:val="22"/>
        </w:rPr>
        <w:t xml:space="preserve">, </w:t>
      </w:r>
      <w:r w:rsidRPr="00F70A2F">
        <w:rPr>
          <w:i/>
          <w:iCs/>
          <w:sz w:val="22"/>
          <w:szCs w:val="22"/>
        </w:rPr>
        <w:t>Azotobacter</w:t>
      </w:r>
      <w:r w:rsidRPr="00F70A2F">
        <w:rPr>
          <w:sz w:val="22"/>
          <w:szCs w:val="22"/>
        </w:rPr>
        <w:t xml:space="preserve"> (inoculation and non-inoculation) and </w:t>
      </w:r>
      <w:r>
        <w:rPr>
          <w:sz w:val="22"/>
          <w:szCs w:val="22"/>
        </w:rPr>
        <w:t xml:space="preserve">foliar application of </w:t>
      </w:r>
      <w:r w:rsidRPr="00F70A2F">
        <w:rPr>
          <w:sz w:val="22"/>
          <w:szCs w:val="22"/>
        </w:rPr>
        <w:t>zinc (</w:t>
      </w:r>
      <w:r w:rsidRPr="00EE1588">
        <w:rPr>
          <w:sz w:val="22"/>
          <w:szCs w:val="22"/>
        </w:rPr>
        <w:t>Zn1= 1000 mg l</w:t>
      </w:r>
      <w:r w:rsidRPr="00EE1588">
        <w:rPr>
          <w:sz w:val="22"/>
          <w:szCs w:val="22"/>
          <w:vertAlign w:val="superscript"/>
        </w:rPr>
        <w:t>-1</w:t>
      </w:r>
      <w:r w:rsidRPr="00EE1588">
        <w:rPr>
          <w:sz w:val="22"/>
          <w:szCs w:val="22"/>
        </w:rPr>
        <w:t xml:space="preserve"> zinc sulfate, Zn2</w:t>
      </w:r>
      <w:r>
        <w:rPr>
          <w:sz w:val="22"/>
          <w:szCs w:val="22"/>
        </w:rPr>
        <w:t xml:space="preserve"> </w:t>
      </w:r>
      <w:r w:rsidRPr="00EE1588">
        <w:rPr>
          <w:sz w:val="22"/>
          <w:szCs w:val="22"/>
        </w:rPr>
        <w:t>= 500 mg l</w:t>
      </w:r>
      <w:r w:rsidRPr="00EE1588">
        <w:rPr>
          <w:sz w:val="22"/>
          <w:szCs w:val="22"/>
          <w:vertAlign w:val="superscript"/>
        </w:rPr>
        <w:t>-1</w:t>
      </w:r>
      <w:r w:rsidRPr="00EE1588">
        <w:rPr>
          <w:sz w:val="22"/>
          <w:szCs w:val="22"/>
        </w:rPr>
        <w:t xml:space="preserve"> zinc sulfate and Zn3</w:t>
      </w:r>
      <w:r>
        <w:rPr>
          <w:sz w:val="22"/>
          <w:szCs w:val="22"/>
        </w:rPr>
        <w:t xml:space="preserve"> </w:t>
      </w:r>
      <w:r w:rsidRPr="00EE1588">
        <w:rPr>
          <w:sz w:val="22"/>
          <w:szCs w:val="22"/>
        </w:rPr>
        <w:t>= 0 mg l</w:t>
      </w:r>
      <w:r w:rsidRPr="00EE1588">
        <w:rPr>
          <w:sz w:val="22"/>
          <w:szCs w:val="22"/>
          <w:vertAlign w:val="superscript"/>
        </w:rPr>
        <w:t>-1</w:t>
      </w:r>
      <w:r w:rsidRPr="00F70A2F">
        <w:rPr>
          <w:sz w:val="22"/>
          <w:szCs w:val="22"/>
        </w:rPr>
        <w:t xml:space="preserve">) were considered as the applied treatments. </w:t>
      </w:r>
      <w:r w:rsidRPr="00F70A2F">
        <w:rPr>
          <w:rStyle w:val="Style1Char"/>
          <w:rFonts w:ascii="Times New Roman" w:hAnsi="Times New Roman"/>
          <w:sz w:val="22"/>
          <w:szCs w:val="22"/>
        </w:rPr>
        <w:t xml:space="preserve">Grain yield, biological yield (dry matter), and total protein content of each treatment were assessed. </w:t>
      </w:r>
      <w:r w:rsidRPr="00F70A2F">
        <w:rPr>
          <w:sz w:val="22"/>
          <w:szCs w:val="22"/>
        </w:rPr>
        <w:t>Results indicated that foliar application</w:t>
      </w:r>
      <w:r>
        <w:rPr>
          <w:sz w:val="22"/>
          <w:szCs w:val="22"/>
        </w:rPr>
        <w:t>s</w:t>
      </w:r>
      <w:r w:rsidRPr="00F70A2F">
        <w:rPr>
          <w:sz w:val="22"/>
          <w:szCs w:val="22"/>
        </w:rPr>
        <w:t xml:space="preserve"> of Zn had a significant effect on all studied traits. The highest grain yield was related to Zn</w:t>
      </w:r>
      <w:r>
        <w:rPr>
          <w:sz w:val="22"/>
          <w:szCs w:val="22"/>
        </w:rPr>
        <w:t xml:space="preserve">1treatment </w:t>
      </w:r>
      <w:r w:rsidRPr="00F70A2F">
        <w:rPr>
          <w:sz w:val="22"/>
          <w:szCs w:val="22"/>
        </w:rPr>
        <w:t>in each urea application and also between biological fertilizer treatments the highest yield was observed in inoculation treatment. Between all studied treatments the maximum grain yield (with 10.23 ton ha</w:t>
      </w:r>
      <w:r w:rsidRPr="00F70A2F">
        <w:rPr>
          <w:sz w:val="22"/>
          <w:szCs w:val="22"/>
          <w:vertAlign w:val="superscript"/>
        </w:rPr>
        <w:t>-1</w:t>
      </w:r>
      <w:r w:rsidRPr="00F70A2F">
        <w:rPr>
          <w:sz w:val="22"/>
          <w:szCs w:val="22"/>
        </w:rPr>
        <w:t>) was obtained through non-inoculation treatment × Zn1 for urea 300 kg ha</w:t>
      </w:r>
      <w:r w:rsidRPr="00F70A2F">
        <w:rPr>
          <w:sz w:val="22"/>
          <w:szCs w:val="22"/>
          <w:vertAlign w:val="superscript"/>
        </w:rPr>
        <w:t>-1</w:t>
      </w:r>
      <w:r w:rsidRPr="00F70A2F">
        <w:rPr>
          <w:sz w:val="22"/>
          <w:szCs w:val="22"/>
        </w:rPr>
        <w:t>. The highest biological yield was observed in Zn1+ inoculation treatment</w:t>
      </w:r>
      <w:r w:rsidRPr="00F70A2F">
        <w:rPr>
          <w:rStyle w:val="Style1Char"/>
          <w:rFonts w:ascii="Times New Roman" w:hAnsi="Times New Roman"/>
          <w:sz w:val="22"/>
          <w:szCs w:val="22"/>
        </w:rPr>
        <w:t xml:space="preserve">. </w:t>
      </w:r>
      <w:r w:rsidRPr="00F70A2F">
        <w:rPr>
          <w:sz w:val="22"/>
          <w:szCs w:val="22"/>
        </w:rPr>
        <w:t xml:space="preserve">There were no significant differences between </w:t>
      </w:r>
      <w:r w:rsidRPr="00F70A2F">
        <w:rPr>
          <w:i/>
          <w:iCs/>
          <w:sz w:val="22"/>
          <w:szCs w:val="22"/>
        </w:rPr>
        <w:t>Azotobacter</w:t>
      </w:r>
      <w:r w:rsidRPr="00F70A2F">
        <w:rPr>
          <w:sz w:val="22"/>
          <w:szCs w:val="22"/>
        </w:rPr>
        <w:t xml:space="preserve"> inoculation and non-inoculation for each level of zinc applications in 300 kg urea ha</w:t>
      </w:r>
      <w:r w:rsidRPr="00F70A2F">
        <w:rPr>
          <w:sz w:val="22"/>
          <w:szCs w:val="22"/>
          <w:vertAlign w:val="superscript"/>
        </w:rPr>
        <w:t>-1</w:t>
      </w:r>
      <w:r w:rsidRPr="00F70A2F">
        <w:rPr>
          <w:sz w:val="22"/>
          <w:szCs w:val="22"/>
        </w:rPr>
        <w:t xml:space="preserve"> treatment. Finally, it might be concluded that using of mineral fertilizer could be reduced by combining some management strategies in maize production.</w:t>
      </w:r>
    </w:p>
    <w:p w:rsidR="001E5955" w:rsidRPr="00F70A2F" w:rsidRDefault="001E5955" w:rsidP="00F70A2F">
      <w:pPr>
        <w:ind w:firstLine="426"/>
        <w:jc w:val="both"/>
        <w:rPr>
          <w:sz w:val="22"/>
          <w:szCs w:val="22"/>
        </w:rPr>
      </w:pPr>
      <w:r w:rsidRPr="00F70A2F">
        <w:rPr>
          <w:b/>
          <w:sz w:val="22"/>
          <w:szCs w:val="22"/>
        </w:rPr>
        <w:t>Key</w:t>
      </w:r>
      <w:r w:rsidR="00612B09" w:rsidRPr="00F70A2F">
        <w:rPr>
          <w:b/>
          <w:sz w:val="22"/>
          <w:szCs w:val="22"/>
        </w:rPr>
        <w:t xml:space="preserve"> </w:t>
      </w:r>
      <w:r w:rsidRPr="00F70A2F">
        <w:rPr>
          <w:b/>
          <w:sz w:val="22"/>
          <w:szCs w:val="22"/>
        </w:rPr>
        <w:t>words:</w:t>
      </w:r>
      <w:r w:rsidRPr="00F70A2F">
        <w:rPr>
          <w:sz w:val="22"/>
          <w:szCs w:val="22"/>
        </w:rPr>
        <w:t xml:space="preserve"> </w:t>
      </w:r>
      <w:r w:rsidR="00F70A2F" w:rsidRPr="00F70A2F">
        <w:rPr>
          <w:sz w:val="22"/>
          <w:szCs w:val="22"/>
        </w:rPr>
        <w:t>biofertilizer, dry matter, grain yield, protein content</w:t>
      </w:r>
      <w:r w:rsidR="00F70A2F" w:rsidRPr="00F70A2F">
        <w:rPr>
          <w:rStyle w:val="Style1Char"/>
          <w:rFonts w:ascii="Times New Roman" w:hAnsi="Times New Roman"/>
          <w:sz w:val="22"/>
          <w:szCs w:val="22"/>
        </w:rPr>
        <w:t>.</w:t>
      </w:r>
    </w:p>
    <w:p w:rsidR="00F338DA" w:rsidRDefault="00F338DA" w:rsidP="00987177">
      <w:pPr>
        <w:jc w:val="center"/>
        <w:rPr>
          <w:b/>
          <w:bCs/>
          <w:i/>
          <w:iCs/>
          <w:sz w:val="22"/>
          <w:szCs w:val="22"/>
        </w:rPr>
      </w:pPr>
    </w:p>
    <w:p w:rsidR="001E5955" w:rsidRDefault="001E5955" w:rsidP="00987177">
      <w:pPr>
        <w:jc w:val="center"/>
        <w:rPr>
          <w:b/>
          <w:sz w:val="22"/>
          <w:szCs w:val="22"/>
        </w:rPr>
      </w:pPr>
      <w:r w:rsidRPr="00987177">
        <w:rPr>
          <w:b/>
          <w:sz w:val="22"/>
          <w:szCs w:val="22"/>
        </w:rPr>
        <w:t>Introduction</w:t>
      </w:r>
    </w:p>
    <w:p w:rsidR="00987177" w:rsidRPr="00F70A2F" w:rsidRDefault="00987177" w:rsidP="00F70A2F">
      <w:pPr>
        <w:ind w:firstLine="426"/>
        <w:jc w:val="center"/>
        <w:rPr>
          <w:sz w:val="22"/>
          <w:szCs w:val="22"/>
        </w:rPr>
      </w:pPr>
    </w:p>
    <w:p w:rsidR="00F70A2F" w:rsidRPr="00F70A2F" w:rsidRDefault="00F70A2F" w:rsidP="00F70A2F">
      <w:pPr>
        <w:ind w:firstLine="426"/>
        <w:jc w:val="both"/>
        <w:rPr>
          <w:rStyle w:val="hps"/>
          <w:sz w:val="22"/>
          <w:szCs w:val="22"/>
        </w:rPr>
      </w:pPr>
      <w:r w:rsidRPr="00F70A2F">
        <w:rPr>
          <w:rStyle w:val="hps"/>
          <w:sz w:val="22"/>
          <w:szCs w:val="22"/>
        </w:rPr>
        <w:t>Maize (</w:t>
      </w:r>
      <w:r w:rsidRPr="00F70A2F">
        <w:rPr>
          <w:rStyle w:val="hps"/>
          <w:i/>
          <w:iCs/>
          <w:sz w:val="22"/>
          <w:szCs w:val="22"/>
        </w:rPr>
        <w:t>Zea mays</w:t>
      </w:r>
      <w:r w:rsidRPr="00F70A2F">
        <w:rPr>
          <w:rStyle w:val="hps"/>
          <w:sz w:val="22"/>
          <w:szCs w:val="22"/>
        </w:rPr>
        <w:t xml:space="preserve"> L.) is the third most important cereal grain worldwide after wheat and rice. It is referred to as the cereal of the future for its valuable nutritional facts in human diet (</w:t>
      </w:r>
      <w:r w:rsidRPr="00F70A2F">
        <w:rPr>
          <w:sz w:val="22"/>
          <w:szCs w:val="22"/>
        </w:rPr>
        <w:t>Enyisi</w:t>
      </w:r>
      <w:r w:rsidRPr="00F70A2F">
        <w:rPr>
          <w:rStyle w:val="hps"/>
          <w:sz w:val="22"/>
          <w:szCs w:val="22"/>
        </w:rPr>
        <w:t xml:space="preserve"> et al., 2014). Annual production of cereals in 2014 </w:t>
      </w:r>
      <w:r w:rsidRPr="00F70A2F">
        <w:rPr>
          <w:sz w:val="22"/>
          <w:szCs w:val="22"/>
        </w:rPr>
        <w:t xml:space="preserve">was </w:t>
      </w:r>
      <w:r w:rsidRPr="00F70A2F">
        <w:rPr>
          <w:rStyle w:val="hps"/>
          <w:sz w:val="22"/>
          <w:szCs w:val="22"/>
        </w:rPr>
        <w:t xml:space="preserve">more than 2.4 billion tons. The 872 million tons of </w:t>
      </w:r>
      <w:r w:rsidRPr="00F70A2F">
        <w:rPr>
          <w:sz w:val="22"/>
          <w:szCs w:val="22"/>
        </w:rPr>
        <w:t xml:space="preserve">cereal production was </w:t>
      </w:r>
      <w:r w:rsidRPr="00F70A2F">
        <w:rPr>
          <w:rStyle w:val="hps"/>
          <w:sz w:val="22"/>
          <w:szCs w:val="22"/>
        </w:rPr>
        <w:t xml:space="preserve">maize </w:t>
      </w:r>
      <w:r w:rsidRPr="00F70A2F">
        <w:rPr>
          <w:sz w:val="22"/>
          <w:szCs w:val="22"/>
        </w:rPr>
        <w:t xml:space="preserve">production. According to the reports, Iran’s </w:t>
      </w:r>
      <w:r w:rsidRPr="00F70A2F">
        <w:rPr>
          <w:rStyle w:val="hps"/>
          <w:sz w:val="22"/>
          <w:szCs w:val="22"/>
        </w:rPr>
        <w:t>share of</w:t>
      </w:r>
      <w:r w:rsidRPr="00F70A2F">
        <w:rPr>
          <w:sz w:val="22"/>
          <w:szCs w:val="22"/>
        </w:rPr>
        <w:t xml:space="preserve"> world maize production </w:t>
      </w:r>
      <w:r w:rsidRPr="00F70A2F">
        <w:rPr>
          <w:rStyle w:val="hps"/>
          <w:sz w:val="22"/>
          <w:szCs w:val="22"/>
        </w:rPr>
        <w:t xml:space="preserve">is </w:t>
      </w:r>
      <w:r w:rsidRPr="00F70A2F">
        <w:rPr>
          <w:rStyle w:val="hps"/>
          <w:sz w:val="22"/>
          <w:szCs w:val="22"/>
        </w:rPr>
        <w:lastRenderedPageBreak/>
        <w:t>only1</w:t>
      </w:r>
      <w:r w:rsidRPr="00F70A2F">
        <w:rPr>
          <w:sz w:val="22"/>
          <w:szCs w:val="22"/>
        </w:rPr>
        <w:t xml:space="preserve">.250 </w:t>
      </w:r>
      <w:r w:rsidRPr="00F70A2F">
        <w:rPr>
          <w:rStyle w:val="hps"/>
          <w:sz w:val="22"/>
          <w:szCs w:val="22"/>
        </w:rPr>
        <w:t>million tons (FAO, 2014). Increasing</w:t>
      </w:r>
      <w:r w:rsidRPr="00F70A2F">
        <w:rPr>
          <w:sz w:val="22"/>
          <w:szCs w:val="22"/>
        </w:rPr>
        <w:t xml:space="preserve"> the </w:t>
      </w:r>
      <w:r w:rsidRPr="00F70A2F">
        <w:rPr>
          <w:rStyle w:val="hps"/>
          <w:sz w:val="22"/>
          <w:szCs w:val="22"/>
        </w:rPr>
        <w:t xml:space="preserve">global demand for food with limited arable land for agriculture will be a major challenge for researchers. </w:t>
      </w:r>
    </w:p>
    <w:p w:rsidR="00F70A2F" w:rsidRPr="00F70A2F" w:rsidRDefault="00F70A2F" w:rsidP="00F70A2F">
      <w:pPr>
        <w:ind w:firstLine="426"/>
        <w:jc w:val="both"/>
        <w:rPr>
          <w:sz w:val="22"/>
          <w:szCs w:val="22"/>
        </w:rPr>
      </w:pPr>
      <w:r w:rsidRPr="00F70A2F">
        <w:rPr>
          <w:rStyle w:val="hps"/>
          <w:sz w:val="22"/>
          <w:szCs w:val="22"/>
        </w:rPr>
        <w:t>Accordingly, when the actual development of agriculture is not possible, consequently the farmers will compensate for increasing their production by taking more types of inputs</w:t>
      </w:r>
      <w:r w:rsidRPr="00F70A2F">
        <w:rPr>
          <w:sz w:val="22"/>
          <w:szCs w:val="22"/>
        </w:rPr>
        <w:t xml:space="preserve">, especially </w:t>
      </w:r>
      <w:r w:rsidRPr="00F70A2F">
        <w:rPr>
          <w:rStyle w:val="hps"/>
          <w:sz w:val="22"/>
          <w:szCs w:val="22"/>
        </w:rPr>
        <w:t>mineral fertilizers</w:t>
      </w:r>
      <w:r w:rsidRPr="00F70A2F">
        <w:rPr>
          <w:sz w:val="22"/>
          <w:szCs w:val="22"/>
        </w:rPr>
        <w:t xml:space="preserve">, which is neither environmentally acceptable nor agriculturally sustainable. For example, nitrogen fertilizer is one of the main applied nutrients in agricultural production for its key role in the formation of proteins and nucleic acids in plants. Thus, one of the basically alternative methods is the use of environmentally friendly biological fertilizers such as plant growth promoting </w:t>
      </w:r>
      <w:r w:rsidRPr="00F70A2F">
        <w:rPr>
          <w:i/>
          <w:iCs/>
          <w:sz w:val="22"/>
          <w:szCs w:val="22"/>
        </w:rPr>
        <w:t>rhizobacteria</w:t>
      </w:r>
      <w:r w:rsidRPr="00F70A2F">
        <w:rPr>
          <w:sz w:val="22"/>
          <w:szCs w:val="22"/>
        </w:rPr>
        <w:t xml:space="preserve">. Biofertilizers include mainly the nitrogen fixing and plant growth promoting microorganisms. These promoting biofertilizers consist of </w:t>
      </w:r>
      <w:r w:rsidRPr="00F70A2F">
        <w:rPr>
          <w:i/>
          <w:iCs/>
          <w:sz w:val="22"/>
          <w:szCs w:val="22"/>
        </w:rPr>
        <w:t>Azotobacter</w:t>
      </w:r>
      <w:r w:rsidRPr="00F70A2F">
        <w:rPr>
          <w:sz w:val="22"/>
          <w:szCs w:val="22"/>
        </w:rPr>
        <w:t xml:space="preserve">, </w:t>
      </w:r>
      <w:r w:rsidRPr="00F70A2F">
        <w:rPr>
          <w:i/>
          <w:iCs/>
          <w:sz w:val="22"/>
          <w:szCs w:val="22"/>
        </w:rPr>
        <w:t>Azospirillum</w:t>
      </w:r>
      <w:r w:rsidRPr="00F70A2F">
        <w:rPr>
          <w:sz w:val="22"/>
          <w:szCs w:val="22"/>
        </w:rPr>
        <w:t xml:space="preserve">, </w:t>
      </w:r>
      <w:r w:rsidRPr="003E54C7">
        <w:rPr>
          <w:iCs/>
          <w:sz w:val="22"/>
          <w:szCs w:val="22"/>
        </w:rPr>
        <w:t>blue green algae</w:t>
      </w:r>
      <w:r w:rsidRPr="003E54C7">
        <w:rPr>
          <w:sz w:val="22"/>
          <w:szCs w:val="22"/>
        </w:rPr>
        <w:t>,</w:t>
      </w:r>
      <w:r w:rsidRPr="00F70A2F">
        <w:rPr>
          <w:sz w:val="22"/>
          <w:szCs w:val="22"/>
        </w:rPr>
        <w:t xml:space="preserve"> </w:t>
      </w:r>
      <w:r w:rsidRPr="00F70A2F">
        <w:rPr>
          <w:i/>
          <w:iCs/>
          <w:sz w:val="22"/>
          <w:szCs w:val="22"/>
        </w:rPr>
        <w:t>Azolla, P-solubilizing microorganisms</w:t>
      </w:r>
      <w:r w:rsidRPr="00F70A2F">
        <w:rPr>
          <w:sz w:val="22"/>
          <w:szCs w:val="22"/>
        </w:rPr>
        <w:t xml:space="preserve">, </w:t>
      </w:r>
      <w:r w:rsidRPr="00F70A2F">
        <w:rPr>
          <w:i/>
          <w:iCs/>
          <w:sz w:val="22"/>
          <w:szCs w:val="22"/>
        </w:rPr>
        <w:t xml:space="preserve">Mycorrhizae </w:t>
      </w:r>
      <w:r w:rsidRPr="00F70A2F">
        <w:rPr>
          <w:sz w:val="22"/>
          <w:szCs w:val="22"/>
        </w:rPr>
        <w:t xml:space="preserve">and </w:t>
      </w:r>
      <w:r w:rsidRPr="00F70A2F">
        <w:rPr>
          <w:i/>
          <w:iCs/>
          <w:sz w:val="22"/>
          <w:szCs w:val="22"/>
        </w:rPr>
        <w:t xml:space="preserve">Sinorhizobium </w:t>
      </w:r>
      <w:r w:rsidRPr="00F70A2F">
        <w:rPr>
          <w:sz w:val="22"/>
          <w:szCs w:val="22"/>
        </w:rPr>
        <w:t xml:space="preserve">(Selvakumar et al., 2009). Amongst them, </w:t>
      </w:r>
      <w:r w:rsidRPr="00F70A2F">
        <w:rPr>
          <w:i/>
          <w:iCs/>
          <w:sz w:val="22"/>
          <w:szCs w:val="22"/>
        </w:rPr>
        <w:t xml:space="preserve">Azotobacter </w:t>
      </w:r>
      <w:r w:rsidRPr="00F70A2F">
        <w:rPr>
          <w:sz w:val="22"/>
          <w:szCs w:val="22"/>
        </w:rPr>
        <w:t xml:space="preserve">is capable of fixing an average of 20 kg nitrogen per hectare during the cropping season (Kizilkaya, 2009). </w:t>
      </w:r>
      <w:r w:rsidRPr="00F70A2F">
        <w:rPr>
          <w:i/>
          <w:iCs/>
          <w:sz w:val="22"/>
          <w:szCs w:val="22"/>
        </w:rPr>
        <w:t xml:space="preserve">Azotobacter </w:t>
      </w:r>
      <w:r w:rsidRPr="00F70A2F">
        <w:rPr>
          <w:sz w:val="22"/>
          <w:szCs w:val="22"/>
        </w:rPr>
        <w:t xml:space="preserve">can also produce thiamin, riboflavin, indole acetic acid and gibberellins. When </w:t>
      </w:r>
      <w:r w:rsidRPr="00F70A2F">
        <w:rPr>
          <w:i/>
          <w:iCs/>
          <w:sz w:val="22"/>
          <w:szCs w:val="22"/>
        </w:rPr>
        <w:t xml:space="preserve">Azotobacter </w:t>
      </w:r>
      <w:r w:rsidRPr="00F70A2F">
        <w:rPr>
          <w:sz w:val="22"/>
          <w:szCs w:val="22"/>
        </w:rPr>
        <w:t xml:space="preserve">is used as a seed inoculant, the related properties of seed germination are enhanced. The exact mode of action by which </w:t>
      </w:r>
      <w:r w:rsidRPr="00F70A2F">
        <w:rPr>
          <w:i/>
          <w:iCs/>
          <w:sz w:val="22"/>
          <w:szCs w:val="22"/>
        </w:rPr>
        <w:t xml:space="preserve">Azotobacteria </w:t>
      </w:r>
      <w:r w:rsidRPr="00F70A2F">
        <w:rPr>
          <w:sz w:val="22"/>
          <w:szCs w:val="22"/>
        </w:rPr>
        <w:t>promote plant growth is not yet fully understood. But, the main possible proposed mechanism is N</w:t>
      </w:r>
      <w:r w:rsidRPr="00F70A2F">
        <w:rPr>
          <w:sz w:val="22"/>
          <w:szCs w:val="22"/>
          <w:vertAlign w:val="subscript"/>
        </w:rPr>
        <w:t>2</w:t>
      </w:r>
      <w:r w:rsidRPr="00F70A2F">
        <w:rPr>
          <w:sz w:val="22"/>
          <w:szCs w:val="22"/>
        </w:rPr>
        <w:t xml:space="preserve"> fixation as well as producing of some phytohormones to alternate plant growth (Mrkovacki and Milic, 2001).</w:t>
      </w:r>
    </w:p>
    <w:p w:rsidR="00F70A2F" w:rsidRPr="00F70A2F" w:rsidRDefault="00F70A2F" w:rsidP="00F70A2F">
      <w:pPr>
        <w:autoSpaceDE w:val="0"/>
        <w:autoSpaceDN w:val="0"/>
        <w:adjustRightInd w:val="0"/>
        <w:ind w:firstLine="426"/>
        <w:jc w:val="both"/>
        <w:rPr>
          <w:sz w:val="22"/>
          <w:szCs w:val="22"/>
        </w:rPr>
      </w:pPr>
      <w:r w:rsidRPr="00F70A2F">
        <w:rPr>
          <w:sz w:val="22"/>
          <w:szCs w:val="22"/>
        </w:rPr>
        <w:t xml:space="preserve">Meanwhile, the essential micronutrients required by the plant should not be overlooked. The role of micronutrients such as zinc involved from very simple to very complex reactions. Zn plays a very important role in plant metabolism by influencing the activities of hydrogenase and carbonic anhydrase and stabilization of ribosomal </w:t>
      </w:r>
      <w:r w:rsidR="003E54C7">
        <w:rPr>
          <w:sz w:val="22"/>
          <w:szCs w:val="22"/>
        </w:rPr>
        <w:t>proteins</w:t>
      </w:r>
      <w:r w:rsidR="003E54C7" w:rsidRPr="00F70A2F">
        <w:rPr>
          <w:sz w:val="22"/>
          <w:szCs w:val="22"/>
        </w:rPr>
        <w:t xml:space="preserve"> </w:t>
      </w:r>
      <w:r w:rsidRPr="00F70A2F">
        <w:rPr>
          <w:sz w:val="22"/>
          <w:szCs w:val="22"/>
        </w:rPr>
        <w:t>(Tisdale, 1984). Zinc activates the plant enzymes by carbohydrate metabolism</w:t>
      </w:r>
      <w:r w:rsidRPr="00F70A2F">
        <w:rPr>
          <w:sz w:val="22"/>
          <w:szCs w:val="22"/>
          <w:rtl/>
        </w:rPr>
        <w:t>,</w:t>
      </w:r>
      <w:r w:rsidRPr="00F70A2F">
        <w:rPr>
          <w:sz w:val="22"/>
          <w:szCs w:val="22"/>
        </w:rPr>
        <w:t xml:space="preserve"> maintaining the integrity of cellular membranes, protein synthesis and regulation of auxin synthesis (Marschner, 1995). Also, Zn is required for regulation and maintenance of the gene expression to induce tolerance of environmental stresses in plants (Cakmak, 2000). </w:t>
      </w:r>
    </w:p>
    <w:p w:rsidR="00F70A2F" w:rsidRPr="00F70A2F" w:rsidRDefault="00F70A2F" w:rsidP="00F70A2F">
      <w:pPr>
        <w:autoSpaceDE w:val="0"/>
        <w:autoSpaceDN w:val="0"/>
        <w:adjustRightInd w:val="0"/>
        <w:ind w:firstLine="426"/>
        <w:jc w:val="both"/>
        <w:rPr>
          <w:sz w:val="22"/>
          <w:szCs w:val="22"/>
        </w:rPr>
      </w:pPr>
      <w:r w:rsidRPr="00F70A2F">
        <w:rPr>
          <w:sz w:val="22"/>
          <w:szCs w:val="22"/>
        </w:rPr>
        <w:t>Amongst crops, maize shows the high sensitivity to Zn deficiency for its physiol</w:t>
      </w:r>
      <w:r w:rsidR="003E54C7">
        <w:rPr>
          <w:sz w:val="22"/>
          <w:szCs w:val="22"/>
        </w:rPr>
        <w:t xml:space="preserve">ogical requirements (Marschner, </w:t>
      </w:r>
      <w:r w:rsidRPr="00F70A2F">
        <w:rPr>
          <w:sz w:val="22"/>
          <w:szCs w:val="22"/>
        </w:rPr>
        <w:t>1995). By application of nitrogen fertilizers, zinc deficiency can be increased in maize. Also, nitrogen integrated with zinc improved plant height and yield in maize (Xia et al., 2004). Alloway (2004) reported that wheat grown on N-deficient soil with adequate levels of all nutrients except N and Zn, did not respond to Zn application in the absence of NH</w:t>
      </w:r>
      <w:r w:rsidRPr="00F70A2F">
        <w:rPr>
          <w:sz w:val="22"/>
          <w:szCs w:val="22"/>
          <w:vertAlign w:val="subscript"/>
        </w:rPr>
        <w:t>4</w:t>
      </w:r>
      <w:r w:rsidRPr="00F70A2F">
        <w:rPr>
          <w:sz w:val="22"/>
          <w:szCs w:val="22"/>
        </w:rPr>
        <w:t>NO</w:t>
      </w:r>
      <w:r w:rsidRPr="00F70A2F">
        <w:rPr>
          <w:sz w:val="22"/>
          <w:szCs w:val="22"/>
          <w:vertAlign w:val="subscript"/>
        </w:rPr>
        <w:t>3</w:t>
      </w:r>
      <w:r w:rsidRPr="00F70A2F">
        <w:rPr>
          <w:sz w:val="22"/>
          <w:szCs w:val="22"/>
        </w:rPr>
        <w:t xml:space="preserve"> fertilizer, however, a strong response to Zn application was observed in the presence of N fertilizer.</w:t>
      </w:r>
    </w:p>
    <w:p w:rsidR="00F70A2F" w:rsidRPr="00F70A2F" w:rsidRDefault="00F70A2F" w:rsidP="00F70A2F">
      <w:pPr>
        <w:autoSpaceDE w:val="0"/>
        <w:autoSpaceDN w:val="0"/>
        <w:adjustRightInd w:val="0"/>
        <w:ind w:firstLine="426"/>
        <w:jc w:val="both"/>
        <w:rPr>
          <w:sz w:val="22"/>
          <w:szCs w:val="22"/>
        </w:rPr>
      </w:pPr>
      <w:r w:rsidRPr="00F70A2F">
        <w:rPr>
          <w:sz w:val="22"/>
          <w:szCs w:val="22"/>
        </w:rPr>
        <w:t xml:space="preserve">Therefore, the objective of this study was to evaluate the interaction effects of </w:t>
      </w:r>
      <w:r w:rsidRPr="00F70A2F">
        <w:rPr>
          <w:i/>
          <w:iCs/>
          <w:sz w:val="22"/>
          <w:szCs w:val="22"/>
        </w:rPr>
        <w:t xml:space="preserve">Azotobacter </w:t>
      </w:r>
      <w:r w:rsidRPr="00F70A2F">
        <w:rPr>
          <w:sz w:val="22"/>
          <w:szCs w:val="22"/>
        </w:rPr>
        <w:t>inoculation and foliar application of zinc on grain yield, dry matter and protein content of maize under field conditions.</w:t>
      </w:r>
    </w:p>
    <w:p w:rsidR="001E5955" w:rsidRPr="00987177" w:rsidRDefault="00987177" w:rsidP="00987177">
      <w:pPr>
        <w:jc w:val="center"/>
        <w:rPr>
          <w:b/>
          <w:sz w:val="22"/>
          <w:szCs w:val="22"/>
        </w:rPr>
      </w:pPr>
      <w:r>
        <w:rPr>
          <w:b/>
          <w:sz w:val="22"/>
          <w:szCs w:val="22"/>
        </w:rPr>
        <w:lastRenderedPageBreak/>
        <w:t>Material</w:t>
      </w:r>
      <w:r w:rsidRPr="00987177">
        <w:rPr>
          <w:b/>
          <w:sz w:val="22"/>
          <w:szCs w:val="22"/>
        </w:rPr>
        <w:t xml:space="preserve"> and Methods</w:t>
      </w:r>
    </w:p>
    <w:p w:rsidR="00987177" w:rsidRPr="00F70A2F" w:rsidRDefault="00987177" w:rsidP="00F70A2F">
      <w:pPr>
        <w:ind w:firstLine="426"/>
        <w:jc w:val="both"/>
        <w:rPr>
          <w:b/>
          <w:sz w:val="22"/>
          <w:szCs w:val="22"/>
        </w:rPr>
      </w:pPr>
    </w:p>
    <w:p w:rsidR="00F70A2F" w:rsidRDefault="00F70A2F" w:rsidP="00F70A2F">
      <w:pPr>
        <w:ind w:firstLine="426"/>
        <w:jc w:val="both"/>
        <w:rPr>
          <w:bCs/>
          <w:iCs/>
          <w:sz w:val="22"/>
          <w:szCs w:val="22"/>
        </w:rPr>
      </w:pPr>
      <w:r w:rsidRPr="00F70A2F">
        <w:rPr>
          <w:bCs/>
          <w:iCs/>
          <w:sz w:val="22"/>
          <w:szCs w:val="22"/>
        </w:rPr>
        <w:t>Study area and experimental setup</w:t>
      </w:r>
    </w:p>
    <w:p w:rsidR="00F70A2F" w:rsidRPr="00F70A2F" w:rsidRDefault="00F70A2F" w:rsidP="00F70A2F">
      <w:pPr>
        <w:ind w:firstLine="426"/>
        <w:jc w:val="both"/>
        <w:rPr>
          <w:bCs/>
          <w:iCs/>
          <w:sz w:val="22"/>
          <w:szCs w:val="22"/>
        </w:rPr>
      </w:pPr>
    </w:p>
    <w:p w:rsidR="00F70A2F" w:rsidRPr="00F70A2F" w:rsidRDefault="00F70A2F" w:rsidP="00F70A2F">
      <w:pPr>
        <w:ind w:firstLine="426"/>
        <w:jc w:val="both"/>
        <w:rPr>
          <w:sz w:val="22"/>
          <w:szCs w:val="22"/>
        </w:rPr>
      </w:pPr>
      <w:r w:rsidRPr="00F70A2F">
        <w:rPr>
          <w:sz w:val="22"/>
          <w:szCs w:val="22"/>
        </w:rPr>
        <w:t xml:space="preserve">In order to evaluate the effects of zinc micronutrient spray and </w:t>
      </w:r>
      <w:r w:rsidRPr="00F70A2F">
        <w:rPr>
          <w:i/>
          <w:iCs/>
          <w:sz w:val="22"/>
          <w:szCs w:val="22"/>
        </w:rPr>
        <w:t>Azotobacter</w:t>
      </w:r>
      <w:r w:rsidRPr="00F70A2F">
        <w:rPr>
          <w:sz w:val="22"/>
          <w:szCs w:val="22"/>
        </w:rPr>
        <w:t xml:space="preserve"> inoculation on maize (SC 704 hybrid) production parameters and seed protein content under different levels of nitrogen (urea) fertilizer, an experiment was conducted at the research farm of Sari Agricultural Sciences and Natural Resources University, Iran, during the cropping season of 2014. The field area was 600m</w:t>
      </w:r>
      <w:r w:rsidRPr="00F70A2F">
        <w:rPr>
          <w:sz w:val="22"/>
          <w:szCs w:val="22"/>
          <w:vertAlign w:val="superscript"/>
        </w:rPr>
        <w:t xml:space="preserve">2 </w:t>
      </w:r>
      <w:r w:rsidRPr="00F70A2F">
        <w:rPr>
          <w:sz w:val="22"/>
          <w:szCs w:val="22"/>
        </w:rPr>
        <w:t>and was not cultivated during the previous year. The plots were irrigated using the tape irrigation method and the applied water amounts were controlled by water meters and the following equation [based on field capacity according to evapotranspiration (ET) losses during the silking stage (R1)]:</w:t>
      </w:r>
    </w:p>
    <w:p w:rsidR="00F70A2F" w:rsidRPr="00F70A2F" w:rsidRDefault="00F70A2F" w:rsidP="00F70A2F">
      <w:pPr>
        <w:ind w:firstLine="426"/>
        <w:jc w:val="both"/>
        <w:rPr>
          <w:sz w:val="22"/>
          <w:szCs w:val="22"/>
        </w:rPr>
      </w:pPr>
      <w:r w:rsidRPr="00F70A2F">
        <w:rPr>
          <w:sz w:val="22"/>
          <w:szCs w:val="22"/>
        </w:rPr>
        <w:t xml:space="preserve">Equation 1: </w:t>
      </w:r>
      <w:r w:rsidRPr="00F70A2F">
        <w:rPr>
          <w:i/>
          <w:sz w:val="22"/>
          <w:szCs w:val="22"/>
        </w:rPr>
        <w:t>d</w:t>
      </w:r>
      <w:r w:rsidRPr="00F70A2F">
        <w:rPr>
          <w:sz w:val="22"/>
          <w:szCs w:val="22"/>
        </w:rPr>
        <w:t xml:space="preserve"> = (</w:t>
      </w:r>
      <w:r w:rsidRPr="00F70A2F">
        <w:rPr>
          <w:i/>
          <w:sz w:val="22"/>
          <w:szCs w:val="22"/>
        </w:rPr>
        <w:t>FC-0</w:t>
      </w:r>
      <w:r w:rsidRPr="00F70A2F">
        <w:rPr>
          <w:sz w:val="22"/>
          <w:szCs w:val="22"/>
        </w:rPr>
        <w:t xml:space="preserve">) </w:t>
      </w:r>
      <w:r w:rsidRPr="00F70A2F">
        <w:rPr>
          <w:i/>
          <w:sz w:val="22"/>
          <w:szCs w:val="22"/>
        </w:rPr>
        <w:t>D</w:t>
      </w:r>
      <w:r w:rsidRPr="00F70A2F">
        <w:rPr>
          <w:sz w:val="22"/>
          <w:szCs w:val="22"/>
        </w:rPr>
        <w:t>/100</w:t>
      </w:r>
    </w:p>
    <w:p w:rsidR="00F70A2F" w:rsidRPr="00F70A2F" w:rsidRDefault="00F70A2F" w:rsidP="00F70A2F">
      <w:pPr>
        <w:ind w:firstLine="426"/>
        <w:jc w:val="both"/>
        <w:rPr>
          <w:sz w:val="22"/>
          <w:szCs w:val="22"/>
        </w:rPr>
      </w:pPr>
      <w:r w:rsidRPr="00F70A2F">
        <w:rPr>
          <w:sz w:val="22"/>
          <w:szCs w:val="22"/>
        </w:rPr>
        <w:t>where, FC% = field capacity; θ% = soil moisture content; D</w:t>
      </w:r>
      <w:r w:rsidRPr="00F70A2F">
        <w:rPr>
          <w:sz w:val="22"/>
          <w:szCs w:val="22"/>
          <w:vertAlign w:val="subscript"/>
        </w:rPr>
        <w:t>cm</w:t>
      </w:r>
      <w:r w:rsidRPr="00F70A2F">
        <w:rPr>
          <w:sz w:val="22"/>
          <w:szCs w:val="22"/>
        </w:rPr>
        <w:t xml:space="preserve"> = soil depth; d</w:t>
      </w:r>
      <w:r w:rsidRPr="00F70A2F">
        <w:rPr>
          <w:sz w:val="22"/>
          <w:szCs w:val="22"/>
          <w:vertAlign w:val="subscript"/>
        </w:rPr>
        <w:t xml:space="preserve">cm </w:t>
      </w:r>
      <w:r w:rsidRPr="00F70A2F">
        <w:rPr>
          <w:sz w:val="22"/>
          <w:szCs w:val="22"/>
        </w:rPr>
        <w:t xml:space="preserve">= irrigation water depth. </w:t>
      </w:r>
    </w:p>
    <w:p w:rsidR="00F70A2F" w:rsidRDefault="00F70A2F" w:rsidP="00F70A2F">
      <w:pPr>
        <w:ind w:firstLine="426"/>
        <w:jc w:val="both"/>
        <w:rPr>
          <w:sz w:val="22"/>
          <w:szCs w:val="22"/>
        </w:rPr>
      </w:pPr>
      <w:r w:rsidRPr="00F70A2F">
        <w:rPr>
          <w:sz w:val="22"/>
          <w:szCs w:val="22"/>
        </w:rPr>
        <w:t>Soil samples were collected and its physicochemical properties were analyzed by the method described by Blakemore et al. (1987).</w:t>
      </w:r>
    </w:p>
    <w:p w:rsidR="00CF0C4A" w:rsidRDefault="00CF0C4A" w:rsidP="00CF0C4A">
      <w:pPr>
        <w:jc w:val="both"/>
        <w:rPr>
          <w:sz w:val="22"/>
          <w:szCs w:val="22"/>
        </w:rPr>
      </w:pPr>
    </w:p>
    <w:p w:rsidR="00F70A2F" w:rsidRDefault="00F70A2F" w:rsidP="00CF0C4A">
      <w:pPr>
        <w:jc w:val="both"/>
        <w:rPr>
          <w:sz w:val="22"/>
          <w:szCs w:val="22"/>
        </w:rPr>
      </w:pPr>
      <w:r w:rsidRPr="00F70A2F">
        <w:rPr>
          <w:sz w:val="22"/>
          <w:szCs w:val="22"/>
        </w:rPr>
        <w:t>Table 1. Physical and mechanical properties of soil.</w:t>
      </w:r>
    </w:p>
    <w:p w:rsidR="00F70A2F" w:rsidRPr="00F70A2F" w:rsidRDefault="00F70A2F" w:rsidP="00F70A2F">
      <w:pPr>
        <w:ind w:firstLine="426"/>
        <w:jc w:val="both"/>
        <w:rPr>
          <w:sz w:val="22"/>
          <w:szCs w:val="22"/>
        </w:rPr>
      </w:pPr>
    </w:p>
    <w:tbl>
      <w:tblPr>
        <w:tblW w:w="7371" w:type="dxa"/>
        <w:jc w:val="center"/>
        <w:tblLayout w:type="fixed"/>
        <w:tblCellMar>
          <w:left w:w="28" w:type="dxa"/>
          <w:right w:w="28" w:type="dxa"/>
        </w:tblCellMar>
        <w:tblLook w:val="04A0"/>
      </w:tblPr>
      <w:tblGrid>
        <w:gridCol w:w="917"/>
        <w:gridCol w:w="918"/>
        <w:gridCol w:w="920"/>
        <w:gridCol w:w="610"/>
        <w:gridCol w:w="849"/>
        <w:gridCol w:w="600"/>
        <w:gridCol w:w="859"/>
        <w:gridCol w:w="849"/>
        <w:gridCol w:w="849"/>
      </w:tblGrid>
      <w:tr w:rsidR="00F70A2F" w:rsidRPr="00F70A2F" w:rsidTr="00CB149D">
        <w:trPr>
          <w:trHeight w:val="454"/>
          <w:jc w:val="center"/>
        </w:trPr>
        <w:tc>
          <w:tcPr>
            <w:tcW w:w="1074" w:type="dxa"/>
            <w:tcBorders>
              <w:top w:val="single" w:sz="4" w:space="0" w:color="auto"/>
              <w:bottom w:val="single" w:sz="4" w:space="0" w:color="auto"/>
            </w:tcBorders>
            <w:shd w:val="clear" w:color="auto" w:fill="auto"/>
            <w:vAlign w:val="center"/>
          </w:tcPr>
          <w:p w:rsidR="00F70A2F" w:rsidRPr="00F70A2F" w:rsidRDefault="00F70A2F" w:rsidP="00CB149D">
            <w:pPr>
              <w:jc w:val="center"/>
              <w:rPr>
                <w:sz w:val="18"/>
                <w:szCs w:val="18"/>
                <w:rtl/>
              </w:rPr>
            </w:pPr>
            <w:r w:rsidRPr="00F70A2F">
              <w:rPr>
                <w:sz w:val="18"/>
                <w:szCs w:val="18"/>
              </w:rPr>
              <w:t>Depth</w:t>
            </w:r>
          </w:p>
        </w:tc>
        <w:tc>
          <w:tcPr>
            <w:tcW w:w="1075" w:type="dxa"/>
            <w:tcBorders>
              <w:top w:val="single" w:sz="4" w:space="0" w:color="auto"/>
              <w:bottom w:val="single" w:sz="4" w:space="0" w:color="auto"/>
            </w:tcBorders>
            <w:shd w:val="clear" w:color="auto" w:fill="auto"/>
            <w:vAlign w:val="center"/>
          </w:tcPr>
          <w:p w:rsidR="00F70A2F" w:rsidRPr="00F70A2F" w:rsidRDefault="00F70A2F" w:rsidP="00CB149D">
            <w:pPr>
              <w:jc w:val="center"/>
              <w:rPr>
                <w:sz w:val="18"/>
                <w:szCs w:val="18"/>
              </w:rPr>
            </w:pPr>
            <w:r w:rsidRPr="00F70A2F">
              <w:rPr>
                <w:sz w:val="18"/>
                <w:szCs w:val="18"/>
              </w:rPr>
              <w:t>Texture</w:t>
            </w:r>
          </w:p>
        </w:tc>
        <w:tc>
          <w:tcPr>
            <w:tcW w:w="1078" w:type="dxa"/>
            <w:tcBorders>
              <w:top w:val="single" w:sz="4" w:space="0" w:color="auto"/>
              <w:bottom w:val="single" w:sz="4" w:space="0" w:color="auto"/>
            </w:tcBorders>
            <w:shd w:val="clear" w:color="auto" w:fill="auto"/>
            <w:vAlign w:val="center"/>
          </w:tcPr>
          <w:p w:rsidR="00F70A2F" w:rsidRPr="00F70A2F" w:rsidRDefault="00F70A2F" w:rsidP="00F70A2F">
            <w:pPr>
              <w:ind w:hanging="20"/>
              <w:jc w:val="center"/>
              <w:rPr>
                <w:sz w:val="18"/>
                <w:szCs w:val="18"/>
              </w:rPr>
            </w:pPr>
            <w:r w:rsidRPr="00F70A2F">
              <w:rPr>
                <w:sz w:val="18"/>
                <w:szCs w:val="18"/>
              </w:rPr>
              <w:t>EC</w:t>
            </w:r>
          </w:p>
          <w:p w:rsidR="00F70A2F" w:rsidRPr="00F70A2F" w:rsidRDefault="00F70A2F" w:rsidP="00F70A2F">
            <w:pPr>
              <w:ind w:hanging="20"/>
              <w:jc w:val="center"/>
              <w:rPr>
                <w:sz w:val="18"/>
                <w:szCs w:val="18"/>
                <w:rtl/>
              </w:rPr>
            </w:pPr>
            <w:r w:rsidRPr="00F70A2F">
              <w:rPr>
                <w:sz w:val="18"/>
                <w:szCs w:val="18"/>
              </w:rPr>
              <w:t>(</w:t>
            </w:r>
            <w:r w:rsidRPr="00F70A2F">
              <w:rPr>
                <w:sz w:val="18"/>
                <w:szCs w:val="18"/>
                <w:vertAlign w:val="subscript"/>
              </w:rPr>
              <w:t>dSm</w:t>
            </w:r>
            <w:r w:rsidRPr="00F70A2F">
              <w:rPr>
                <w:sz w:val="18"/>
                <w:szCs w:val="18"/>
                <w:vertAlign w:val="superscript"/>
              </w:rPr>
              <w:t>-1</w:t>
            </w:r>
            <w:r w:rsidRPr="00F70A2F">
              <w:rPr>
                <w:sz w:val="18"/>
                <w:szCs w:val="18"/>
              </w:rPr>
              <w:t>)</w:t>
            </w:r>
          </w:p>
        </w:tc>
        <w:tc>
          <w:tcPr>
            <w:tcW w:w="709" w:type="dxa"/>
            <w:tcBorders>
              <w:top w:val="single" w:sz="4" w:space="0" w:color="auto"/>
              <w:bottom w:val="single" w:sz="4" w:space="0" w:color="auto"/>
            </w:tcBorders>
            <w:shd w:val="clear" w:color="auto" w:fill="auto"/>
            <w:vAlign w:val="center"/>
          </w:tcPr>
          <w:p w:rsidR="00F70A2F" w:rsidRPr="00F70A2F" w:rsidRDefault="00F70A2F" w:rsidP="00CB149D">
            <w:pPr>
              <w:jc w:val="center"/>
              <w:rPr>
                <w:sz w:val="18"/>
                <w:szCs w:val="18"/>
                <w:rtl/>
              </w:rPr>
            </w:pPr>
            <w:r w:rsidRPr="00F70A2F">
              <w:rPr>
                <w:sz w:val="18"/>
                <w:szCs w:val="18"/>
              </w:rPr>
              <w:t>pH</w:t>
            </w:r>
          </w:p>
        </w:tc>
        <w:tc>
          <w:tcPr>
            <w:tcW w:w="992" w:type="dxa"/>
            <w:tcBorders>
              <w:top w:val="single" w:sz="4" w:space="0" w:color="auto"/>
              <w:bottom w:val="single" w:sz="4" w:space="0" w:color="auto"/>
            </w:tcBorders>
            <w:shd w:val="clear" w:color="auto" w:fill="auto"/>
            <w:vAlign w:val="center"/>
          </w:tcPr>
          <w:p w:rsidR="00F70A2F" w:rsidRPr="00F70A2F" w:rsidRDefault="00F70A2F" w:rsidP="00CB149D">
            <w:pPr>
              <w:ind w:firstLine="9"/>
              <w:jc w:val="center"/>
              <w:rPr>
                <w:sz w:val="18"/>
                <w:szCs w:val="18"/>
              </w:rPr>
            </w:pPr>
            <w:r w:rsidRPr="00F70A2F">
              <w:rPr>
                <w:sz w:val="18"/>
                <w:szCs w:val="18"/>
              </w:rPr>
              <w:t>T.N.V</w:t>
            </w:r>
          </w:p>
          <w:p w:rsidR="00F70A2F" w:rsidRPr="00F70A2F" w:rsidRDefault="00F70A2F" w:rsidP="00CB149D">
            <w:pPr>
              <w:ind w:firstLine="9"/>
              <w:jc w:val="center"/>
              <w:rPr>
                <w:sz w:val="18"/>
                <w:szCs w:val="18"/>
                <w:rtl/>
              </w:rPr>
            </w:pPr>
            <w:r w:rsidRPr="00F70A2F">
              <w:rPr>
                <w:sz w:val="18"/>
                <w:szCs w:val="18"/>
              </w:rPr>
              <w:t>(%)</w:t>
            </w:r>
          </w:p>
        </w:tc>
        <w:tc>
          <w:tcPr>
            <w:tcW w:w="697" w:type="dxa"/>
            <w:tcBorders>
              <w:top w:val="single" w:sz="4" w:space="0" w:color="auto"/>
              <w:bottom w:val="single" w:sz="4" w:space="0" w:color="auto"/>
            </w:tcBorders>
            <w:shd w:val="clear" w:color="auto" w:fill="auto"/>
            <w:vAlign w:val="center"/>
          </w:tcPr>
          <w:p w:rsidR="00F70A2F" w:rsidRPr="00F70A2F" w:rsidRDefault="00F70A2F" w:rsidP="00CB149D">
            <w:pPr>
              <w:jc w:val="center"/>
              <w:rPr>
                <w:sz w:val="18"/>
                <w:szCs w:val="18"/>
                <w:rtl/>
              </w:rPr>
            </w:pPr>
            <w:r w:rsidRPr="00F70A2F">
              <w:rPr>
                <w:sz w:val="18"/>
                <w:szCs w:val="18"/>
              </w:rPr>
              <w:t>O.C%</w:t>
            </w:r>
          </w:p>
        </w:tc>
        <w:tc>
          <w:tcPr>
            <w:tcW w:w="1004" w:type="dxa"/>
            <w:tcBorders>
              <w:top w:val="single" w:sz="4" w:space="0" w:color="auto"/>
              <w:bottom w:val="single" w:sz="4" w:space="0" w:color="auto"/>
            </w:tcBorders>
            <w:shd w:val="clear" w:color="auto" w:fill="auto"/>
            <w:vAlign w:val="center"/>
          </w:tcPr>
          <w:p w:rsidR="00F70A2F" w:rsidRPr="00F70A2F" w:rsidRDefault="00F70A2F" w:rsidP="00CB149D">
            <w:pPr>
              <w:jc w:val="center"/>
              <w:rPr>
                <w:sz w:val="18"/>
                <w:szCs w:val="18"/>
              </w:rPr>
            </w:pPr>
            <w:r w:rsidRPr="00F70A2F">
              <w:rPr>
                <w:sz w:val="18"/>
                <w:szCs w:val="18"/>
              </w:rPr>
              <w:t>P</w:t>
            </w:r>
          </w:p>
          <w:p w:rsidR="00F70A2F" w:rsidRPr="00F70A2F" w:rsidRDefault="00F70A2F" w:rsidP="00CB149D">
            <w:pPr>
              <w:jc w:val="center"/>
              <w:rPr>
                <w:sz w:val="18"/>
                <w:szCs w:val="18"/>
                <w:vertAlign w:val="superscript"/>
                <w:rtl/>
              </w:rPr>
            </w:pPr>
            <w:r w:rsidRPr="00F70A2F">
              <w:rPr>
                <w:sz w:val="18"/>
                <w:szCs w:val="18"/>
              </w:rPr>
              <w:t>(mg l</w:t>
            </w:r>
            <w:r w:rsidRPr="00F70A2F">
              <w:rPr>
                <w:sz w:val="18"/>
                <w:szCs w:val="18"/>
                <w:vertAlign w:val="superscript"/>
              </w:rPr>
              <w:t>-1</w:t>
            </w:r>
            <w:r w:rsidRPr="00CB149D">
              <w:rPr>
                <w:sz w:val="18"/>
                <w:szCs w:val="18"/>
              </w:rPr>
              <w:t>)</w:t>
            </w:r>
          </w:p>
        </w:tc>
        <w:tc>
          <w:tcPr>
            <w:tcW w:w="992" w:type="dxa"/>
            <w:tcBorders>
              <w:top w:val="single" w:sz="4" w:space="0" w:color="auto"/>
              <w:bottom w:val="single" w:sz="4" w:space="0" w:color="auto"/>
            </w:tcBorders>
            <w:shd w:val="clear" w:color="auto" w:fill="auto"/>
            <w:vAlign w:val="center"/>
          </w:tcPr>
          <w:p w:rsidR="00F70A2F" w:rsidRPr="00F70A2F" w:rsidRDefault="00F70A2F" w:rsidP="00CB149D">
            <w:pPr>
              <w:jc w:val="center"/>
              <w:rPr>
                <w:sz w:val="18"/>
                <w:szCs w:val="18"/>
              </w:rPr>
            </w:pPr>
            <w:r w:rsidRPr="00F70A2F">
              <w:rPr>
                <w:sz w:val="18"/>
                <w:szCs w:val="18"/>
              </w:rPr>
              <w:t>K</w:t>
            </w:r>
          </w:p>
          <w:p w:rsidR="00F70A2F" w:rsidRPr="00F70A2F" w:rsidRDefault="00F70A2F" w:rsidP="00CB149D">
            <w:pPr>
              <w:jc w:val="center"/>
              <w:rPr>
                <w:sz w:val="18"/>
                <w:szCs w:val="18"/>
                <w:rtl/>
              </w:rPr>
            </w:pPr>
            <w:r w:rsidRPr="00F70A2F">
              <w:rPr>
                <w:sz w:val="18"/>
                <w:szCs w:val="18"/>
              </w:rPr>
              <w:t>(mg l</w:t>
            </w:r>
            <w:r w:rsidRPr="00F70A2F">
              <w:rPr>
                <w:sz w:val="18"/>
                <w:szCs w:val="18"/>
                <w:vertAlign w:val="superscript"/>
              </w:rPr>
              <w:t>-1</w:t>
            </w:r>
            <w:r w:rsidRPr="00F70A2F">
              <w:rPr>
                <w:sz w:val="18"/>
                <w:szCs w:val="18"/>
              </w:rPr>
              <w:t>)</w:t>
            </w:r>
          </w:p>
        </w:tc>
        <w:tc>
          <w:tcPr>
            <w:tcW w:w="992" w:type="dxa"/>
            <w:tcBorders>
              <w:top w:val="single" w:sz="4" w:space="0" w:color="auto"/>
              <w:bottom w:val="single" w:sz="4" w:space="0" w:color="auto"/>
            </w:tcBorders>
            <w:shd w:val="clear" w:color="auto" w:fill="auto"/>
            <w:vAlign w:val="center"/>
          </w:tcPr>
          <w:p w:rsidR="00F70A2F" w:rsidRPr="00F70A2F" w:rsidRDefault="00F70A2F" w:rsidP="00CB149D">
            <w:pPr>
              <w:jc w:val="center"/>
              <w:rPr>
                <w:sz w:val="18"/>
                <w:szCs w:val="18"/>
              </w:rPr>
            </w:pPr>
            <w:r w:rsidRPr="00F70A2F">
              <w:rPr>
                <w:sz w:val="18"/>
                <w:szCs w:val="18"/>
              </w:rPr>
              <w:t>Zn</w:t>
            </w:r>
          </w:p>
          <w:p w:rsidR="00F70A2F" w:rsidRPr="00F70A2F" w:rsidRDefault="00F70A2F" w:rsidP="00CB149D">
            <w:pPr>
              <w:jc w:val="center"/>
              <w:rPr>
                <w:sz w:val="18"/>
                <w:szCs w:val="18"/>
                <w:rtl/>
              </w:rPr>
            </w:pPr>
            <w:r w:rsidRPr="00F70A2F">
              <w:rPr>
                <w:sz w:val="18"/>
                <w:szCs w:val="18"/>
              </w:rPr>
              <w:t>(mg l</w:t>
            </w:r>
            <w:r w:rsidRPr="00F70A2F">
              <w:rPr>
                <w:sz w:val="18"/>
                <w:szCs w:val="18"/>
                <w:vertAlign w:val="superscript"/>
              </w:rPr>
              <w:t>-1</w:t>
            </w:r>
            <w:r w:rsidRPr="00F70A2F">
              <w:rPr>
                <w:sz w:val="18"/>
                <w:szCs w:val="18"/>
              </w:rPr>
              <w:t>)</w:t>
            </w:r>
          </w:p>
        </w:tc>
      </w:tr>
      <w:tr w:rsidR="00F70A2F" w:rsidRPr="00F70A2F" w:rsidTr="00CB149D">
        <w:trPr>
          <w:trHeight w:val="283"/>
          <w:jc w:val="center"/>
        </w:trPr>
        <w:tc>
          <w:tcPr>
            <w:tcW w:w="1074" w:type="dxa"/>
            <w:tcBorders>
              <w:top w:val="single" w:sz="4" w:space="0" w:color="auto"/>
              <w:bottom w:val="single" w:sz="4" w:space="0" w:color="auto"/>
            </w:tcBorders>
            <w:shd w:val="clear" w:color="auto" w:fill="auto"/>
            <w:vAlign w:val="center"/>
          </w:tcPr>
          <w:p w:rsidR="00F70A2F" w:rsidRPr="00F70A2F" w:rsidRDefault="00F70A2F" w:rsidP="00CB149D">
            <w:pPr>
              <w:jc w:val="center"/>
              <w:rPr>
                <w:sz w:val="18"/>
                <w:szCs w:val="18"/>
              </w:rPr>
            </w:pPr>
            <w:r w:rsidRPr="00F70A2F">
              <w:rPr>
                <w:sz w:val="18"/>
                <w:szCs w:val="18"/>
              </w:rPr>
              <w:t>0–30cm</w:t>
            </w:r>
          </w:p>
        </w:tc>
        <w:tc>
          <w:tcPr>
            <w:tcW w:w="1075" w:type="dxa"/>
            <w:tcBorders>
              <w:top w:val="single" w:sz="4" w:space="0" w:color="auto"/>
              <w:bottom w:val="single" w:sz="4" w:space="0" w:color="auto"/>
            </w:tcBorders>
            <w:shd w:val="clear" w:color="auto" w:fill="auto"/>
            <w:vAlign w:val="center"/>
          </w:tcPr>
          <w:p w:rsidR="00F70A2F" w:rsidRPr="00F70A2F" w:rsidRDefault="00F70A2F" w:rsidP="00CB149D">
            <w:pPr>
              <w:jc w:val="center"/>
              <w:rPr>
                <w:sz w:val="18"/>
                <w:szCs w:val="18"/>
                <w:rtl/>
              </w:rPr>
            </w:pPr>
            <w:r w:rsidRPr="00F70A2F">
              <w:rPr>
                <w:sz w:val="18"/>
                <w:szCs w:val="18"/>
              </w:rPr>
              <w:t>Clay silt</w:t>
            </w:r>
          </w:p>
        </w:tc>
        <w:tc>
          <w:tcPr>
            <w:tcW w:w="1078" w:type="dxa"/>
            <w:tcBorders>
              <w:top w:val="single" w:sz="4" w:space="0" w:color="auto"/>
              <w:bottom w:val="single" w:sz="4" w:space="0" w:color="auto"/>
            </w:tcBorders>
            <w:shd w:val="clear" w:color="auto" w:fill="auto"/>
            <w:vAlign w:val="center"/>
          </w:tcPr>
          <w:p w:rsidR="00F70A2F" w:rsidRPr="00F70A2F" w:rsidRDefault="00F70A2F" w:rsidP="00CB149D">
            <w:pPr>
              <w:jc w:val="center"/>
              <w:rPr>
                <w:sz w:val="18"/>
                <w:szCs w:val="18"/>
                <w:rtl/>
              </w:rPr>
            </w:pPr>
            <w:r w:rsidRPr="00F70A2F">
              <w:rPr>
                <w:sz w:val="18"/>
                <w:szCs w:val="18"/>
              </w:rPr>
              <w:t>1.4</w:t>
            </w:r>
          </w:p>
        </w:tc>
        <w:tc>
          <w:tcPr>
            <w:tcW w:w="709" w:type="dxa"/>
            <w:tcBorders>
              <w:top w:val="single" w:sz="4" w:space="0" w:color="auto"/>
              <w:bottom w:val="single" w:sz="4" w:space="0" w:color="auto"/>
            </w:tcBorders>
            <w:shd w:val="clear" w:color="auto" w:fill="auto"/>
            <w:vAlign w:val="center"/>
          </w:tcPr>
          <w:p w:rsidR="00F70A2F" w:rsidRPr="00F70A2F" w:rsidRDefault="00F70A2F" w:rsidP="00CB149D">
            <w:pPr>
              <w:jc w:val="center"/>
              <w:rPr>
                <w:sz w:val="18"/>
                <w:szCs w:val="18"/>
                <w:rtl/>
              </w:rPr>
            </w:pPr>
            <w:r w:rsidRPr="00F70A2F">
              <w:rPr>
                <w:sz w:val="18"/>
                <w:szCs w:val="18"/>
              </w:rPr>
              <w:t>7.5</w:t>
            </w:r>
          </w:p>
        </w:tc>
        <w:tc>
          <w:tcPr>
            <w:tcW w:w="992" w:type="dxa"/>
            <w:tcBorders>
              <w:top w:val="single" w:sz="4" w:space="0" w:color="auto"/>
              <w:bottom w:val="single" w:sz="4" w:space="0" w:color="auto"/>
            </w:tcBorders>
            <w:shd w:val="clear" w:color="auto" w:fill="auto"/>
            <w:vAlign w:val="center"/>
          </w:tcPr>
          <w:p w:rsidR="00F70A2F" w:rsidRPr="00F70A2F" w:rsidRDefault="00F70A2F" w:rsidP="00CB149D">
            <w:pPr>
              <w:jc w:val="center"/>
              <w:rPr>
                <w:sz w:val="18"/>
                <w:szCs w:val="18"/>
                <w:rtl/>
              </w:rPr>
            </w:pPr>
            <w:r w:rsidRPr="00F70A2F">
              <w:rPr>
                <w:sz w:val="18"/>
                <w:szCs w:val="18"/>
              </w:rPr>
              <w:t>19.3</w:t>
            </w:r>
          </w:p>
        </w:tc>
        <w:tc>
          <w:tcPr>
            <w:tcW w:w="697" w:type="dxa"/>
            <w:tcBorders>
              <w:top w:val="single" w:sz="4" w:space="0" w:color="auto"/>
              <w:bottom w:val="single" w:sz="4" w:space="0" w:color="auto"/>
            </w:tcBorders>
            <w:shd w:val="clear" w:color="auto" w:fill="auto"/>
            <w:vAlign w:val="center"/>
          </w:tcPr>
          <w:p w:rsidR="00F70A2F" w:rsidRPr="00F70A2F" w:rsidRDefault="00F70A2F" w:rsidP="00CB149D">
            <w:pPr>
              <w:jc w:val="center"/>
              <w:rPr>
                <w:sz w:val="18"/>
                <w:szCs w:val="18"/>
                <w:rtl/>
              </w:rPr>
            </w:pPr>
            <w:r w:rsidRPr="00F70A2F">
              <w:rPr>
                <w:sz w:val="18"/>
                <w:szCs w:val="18"/>
              </w:rPr>
              <w:t>3.48</w:t>
            </w:r>
          </w:p>
        </w:tc>
        <w:tc>
          <w:tcPr>
            <w:tcW w:w="1004" w:type="dxa"/>
            <w:tcBorders>
              <w:top w:val="single" w:sz="4" w:space="0" w:color="auto"/>
              <w:bottom w:val="single" w:sz="4" w:space="0" w:color="auto"/>
            </w:tcBorders>
            <w:shd w:val="clear" w:color="auto" w:fill="auto"/>
            <w:vAlign w:val="center"/>
          </w:tcPr>
          <w:p w:rsidR="00F70A2F" w:rsidRPr="00F70A2F" w:rsidRDefault="00F70A2F" w:rsidP="00CB149D">
            <w:pPr>
              <w:jc w:val="center"/>
              <w:rPr>
                <w:sz w:val="18"/>
                <w:szCs w:val="18"/>
                <w:rtl/>
              </w:rPr>
            </w:pPr>
            <w:r w:rsidRPr="00F70A2F">
              <w:rPr>
                <w:sz w:val="18"/>
                <w:szCs w:val="18"/>
              </w:rPr>
              <w:t>12.3</w:t>
            </w:r>
          </w:p>
        </w:tc>
        <w:tc>
          <w:tcPr>
            <w:tcW w:w="992" w:type="dxa"/>
            <w:tcBorders>
              <w:top w:val="single" w:sz="4" w:space="0" w:color="auto"/>
              <w:bottom w:val="single" w:sz="4" w:space="0" w:color="auto"/>
            </w:tcBorders>
            <w:shd w:val="clear" w:color="auto" w:fill="auto"/>
            <w:vAlign w:val="center"/>
          </w:tcPr>
          <w:p w:rsidR="00F70A2F" w:rsidRPr="00F70A2F" w:rsidRDefault="00F70A2F" w:rsidP="00CB149D">
            <w:pPr>
              <w:jc w:val="center"/>
              <w:rPr>
                <w:sz w:val="18"/>
                <w:szCs w:val="18"/>
                <w:rtl/>
              </w:rPr>
            </w:pPr>
            <w:r w:rsidRPr="00F70A2F">
              <w:rPr>
                <w:sz w:val="18"/>
                <w:szCs w:val="18"/>
              </w:rPr>
              <w:t>367.3</w:t>
            </w:r>
          </w:p>
        </w:tc>
        <w:tc>
          <w:tcPr>
            <w:tcW w:w="992" w:type="dxa"/>
            <w:tcBorders>
              <w:top w:val="single" w:sz="4" w:space="0" w:color="auto"/>
              <w:bottom w:val="single" w:sz="4" w:space="0" w:color="auto"/>
            </w:tcBorders>
            <w:shd w:val="clear" w:color="auto" w:fill="auto"/>
            <w:vAlign w:val="center"/>
          </w:tcPr>
          <w:p w:rsidR="00F70A2F" w:rsidRPr="00F70A2F" w:rsidRDefault="00F70A2F" w:rsidP="00CB149D">
            <w:pPr>
              <w:jc w:val="center"/>
              <w:rPr>
                <w:sz w:val="18"/>
                <w:szCs w:val="18"/>
                <w:rtl/>
              </w:rPr>
            </w:pPr>
            <w:r w:rsidRPr="00F70A2F">
              <w:rPr>
                <w:sz w:val="18"/>
                <w:szCs w:val="18"/>
              </w:rPr>
              <w:t>1.12</w:t>
            </w:r>
          </w:p>
        </w:tc>
      </w:tr>
    </w:tbl>
    <w:p w:rsidR="00F70A2F" w:rsidRPr="00F70A2F" w:rsidRDefault="00F70A2F" w:rsidP="00F70A2F">
      <w:pPr>
        <w:autoSpaceDE w:val="0"/>
        <w:autoSpaceDN w:val="0"/>
        <w:adjustRightInd w:val="0"/>
        <w:ind w:firstLine="426"/>
        <w:jc w:val="both"/>
        <w:rPr>
          <w:sz w:val="22"/>
          <w:szCs w:val="22"/>
        </w:rPr>
      </w:pPr>
    </w:p>
    <w:p w:rsidR="00F70A2F" w:rsidRPr="00F70A2F" w:rsidRDefault="00F70A2F" w:rsidP="00F70A2F">
      <w:pPr>
        <w:autoSpaceDE w:val="0"/>
        <w:autoSpaceDN w:val="0"/>
        <w:adjustRightInd w:val="0"/>
        <w:ind w:firstLine="426"/>
        <w:jc w:val="both"/>
        <w:rPr>
          <w:sz w:val="22"/>
          <w:szCs w:val="22"/>
        </w:rPr>
      </w:pPr>
      <w:r w:rsidRPr="00F70A2F">
        <w:rPr>
          <w:sz w:val="22"/>
          <w:szCs w:val="22"/>
        </w:rPr>
        <w:t>Uniform maize seeds of single cross 704 hybrid were purchased from Agricultural and Natural Resources Center, deputy of Mazandaran. Selected intact seeds were manually planted in early June 2014 within 75-cm rows and 12.5-cm distance between them in row. The experiment was laid out in a split factorial arrangement based on a complete block design with three replications. The nitrogen mineral fertilizer was used as the main treatment (100, 200 and 300 kg urea ha</w:t>
      </w:r>
      <w:r w:rsidRPr="00F70A2F">
        <w:rPr>
          <w:sz w:val="22"/>
          <w:szCs w:val="22"/>
          <w:vertAlign w:val="superscript"/>
        </w:rPr>
        <w:t>-1</w:t>
      </w:r>
      <w:r w:rsidRPr="00F70A2F">
        <w:rPr>
          <w:sz w:val="22"/>
          <w:szCs w:val="22"/>
        </w:rPr>
        <w:t xml:space="preserve">), </w:t>
      </w:r>
      <w:r w:rsidRPr="00F70A2F">
        <w:rPr>
          <w:i/>
          <w:iCs/>
          <w:sz w:val="22"/>
          <w:szCs w:val="22"/>
        </w:rPr>
        <w:t xml:space="preserve">Azotobacter </w:t>
      </w:r>
      <w:r w:rsidRPr="00F70A2F">
        <w:rPr>
          <w:sz w:val="22"/>
          <w:szCs w:val="22"/>
        </w:rPr>
        <w:t>(inoculation and non-inoculation) and zinc sulfate (0, 500, 1000 mg l</w:t>
      </w:r>
      <w:r w:rsidRPr="00F70A2F">
        <w:rPr>
          <w:sz w:val="22"/>
          <w:szCs w:val="22"/>
          <w:vertAlign w:val="superscript"/>
        </w:rPr>
        <w:t>-1</w:t>
      </w:r>
      <w:r w:rsidRPr="00F70A2F">
        <w:rPr>
          <w:sz w:val="22"/>
          <w:szCs w:val="22"/>
        </w:rPr>
        <w:t xml:space="preserve"> as foliar application) were considered as the second and third factors in the factorial arrangement, respectively. Seed inoculation with the </w:t>
      </w:r>
      <w:r w:rsidRPr="00F70A2F">
        <w:rPr>
          <w:i/>
          <w:iCs/>
          <w:sz w:val="22"/>
          <w:szCs w:val="22"/>
        </w:rPr>
        <w:t xml:space="preserve">Azotobacter chroococcum </w:t>
      </w:r>
      <w:r w:rsidRPr="00F70A2F">
        <w:rPr>
          <w:sz w:val="22"/>
          <w:szCs w:val="22"/>
        </w:rPr>
        <w:t>spp. was carried out by using 10% sugar solution carrier. Maize seeds were soaked in the inoculum solution for 4 h. These seeds were kept in shade before sowing. The inoculation was done just few hours before seed sowing. Zinc micronutrient solution was prepared in 0, 500 and 1000 mg l</w:t>
      </w:r>
      <w:r w:rsidRPr="00F70A2F">
        <w:rPr>
          <w:sz w:val="22"/>
          <w:szCs w:val="22"/>
          <w:vertAlign w:val="superscript"/>
        </w:rPr>
        <w:t>-1</w:t>
      </w:r>
      <w:r w:rsidRPr="00F70A2F">
        <w:rPr>
          <w:sz w:val="22"/>
          <w:szCs w:val="22"/>
        </w:rPr>
        <w:t xml:space="preserve">concentrations and applied foliarly three times based on morpho-physiological characterization of maize, in ear and tassel initiations (V6), tassel emergence (VT) and silking (R1) stages, respectively. The urea fertilizer was applied as the topdressing method at </w:t>
      </w:r>
      <w:r w:rsidRPr="00F70A2F">
        <w:rPr>
          <w:sz w:val="22"/>
          <w:szCs w:val="22"/>
        </w:rPr>
        <w:lastRenderedPageBreak/>
        <w:t>three growing stages (1/3 of amount after planting, 1/3 during the V9 stage and the final third was applied during the silking stage).</w:t>
      </w:r>
    </w:p>
    <w:p w:rsidR="00F70A2F" w:rsidRPr="00CB149D" w:rsidRDefault="00F70A2F" w:rsidP="00F70A2F">
      <w:pPr>
        <w:autoSpaceDE w:val="0"/>
        <w:autoSpaceDN w:val="0"/>
        <w:adjustRightInd w:val="0"/>
        <w:ind w:firstLine="426"/>
        <w:jc w:val="both"/>
        <w:rPr>
          <w:bCs/>
          <w:iCs/>
          <w:sz w:val="22"/>
          <w:szCs w:val="22"/>
        </w:rPr>
      </w:pPr>
      <w:r w:rsidRPr="00F70A2F">
        <w:rPr>
          <w:sz w:val="22"/>
          <w:szCs w:val="22"/>
        </w:rPr>
        <w:t>Plants were harvested from September 5 to September 15 at the physiological maturity stage. Grain yield, dry matter and seed protein content were determined after removing the border rows, two middle rows of each plot were harvested and weighed for further analysis.</w:t>
      </w:r>
    </w:p>
    <w:p w:rsidR="00F70A2F" w:rsidRPr="00CB149D" w:rsidRDefault="00F70A2F" w:rsidP="00F70A2F">
      <w:pPr>
        <w:autoSpaceDE w:val="0"/>
        <w:autoSpaceDN w:val="0"/>
        <w:adjustRightInd w:val="0"/>
        <w:ind w:firstLine="426"/>
        <w:jc w:val="both"/>
        <w:rPr>
          <w:bCs/>
          <w:iCs/>
          <w:sz w:val="22"/>
          <w:szCs w:val="22"/>
        </w:rPr>
      </w:pPr>
    </w:p>
    <w:p w:rsidR="00F70A2F" w:rsidRDefault="00F70A2F" w:rsidP="00F70A2F">
      <w:pPr>
        <w:autoSpaceDE w:val="0"/>
        <w:autoSpaceDN w:val="0"/>
        <w:adjustRightInd w:val="0"/>
        <w:ind w:firstLine="426"/>
        <w:jc w:val="both"/>
        <w:rPr>
          <w:bCs/>
          <w:iCs/>
          <w:sz w:val="22"/>
          <w:szCs w:val="22"/>
        </w:rPr>
      </w:pPr>
      <w:r w:rsidRPr="00CB149D">
        <w:rPr>
          <w:bCs/>
          <w:iCs/>
          <w:sz w:val="22"/>
          <w:szCs w:val="22"/>
        </w:rPr>
        <w:t>Total protein determination</w:t>
      </w:r>
    </w:p>
    <w:p w:rsidR="00CB149D" w:rsidRPr="00CB149D" w:rsidRDefault="00CB149D" w:rsidP="00F70A2F">
      <w:pPr>
        <w:autoSpaceDE w:val="0"/>
        <w:autoSpaceDN w:val="0"/>
        <w:adjustRightInd w:val="0"/>
        <w:ind w:firstLine="426"/>
        <w:jc w:val="both"/>
        <w:rPr>
          <w:bCs/>
          <w:iCs/>
          <w:sz w:val="22"/>
          <w:szCs w:val="22"/>
        </w:rPr>
      </w:pPr>
    </w:p>
    <w:p w:rsidR="00F70A2F" w:rsidRPr="00F70A2F" w:rsidRDefault="00F70A2F" w:rsidP="00F70A2F">
      <w:pPr>
        <w:autoSpaceDE w:val="0"/>
        <w:autoSpaceDN w:val="0"/>
        <w:adjustRightInd w:val="0"/>
        <w:ind w:firstLine="426"/>
        <w:jc w:val="both"/>
        <w:rPr>
          <w:sz w:val="22"/>
          <w:szCs w:val="22"/>
        </w:rPr>
      </w:pPr>
      <w:r w:rsidRPr="00F70A2F">
        <w:rPr>
          <w:sz w:val="22"/>
          <w:szCs w:val="22"/>
        </w:rPr>
        <w:t>Estimation of total protein content was conducted using the Kjeldahl method as mentioned by Isaac and Johnson (1976) (Kjeltec Auto1030 Analyzer, Foss Tecator AB, Hoganas, Sweden). For nitrogen determination, the grain was dried (Fan AzmaGostar, 24060, Iran) for 72 h in an oven. Total nitrogen was determined by using a micro Kjeldahl procedure with sulfuric acid, digestion catalyst and conversion of organic nitrogen to ammonium form according to the Total Kjeldahl Nitrogen (TKN) method. The protein content was determined by the calculation: N content × convert factor (6.25) (King-Brink andSebranek, 1993).</w:t>
      </w:r>
    </w:p>
    <w:p w:rsidR="00F70A2F" w:rsidRPr="00CB149D" w:rsidRDefault="00F70A2F" w:rsidP="00F70A2F">
      <w:pPr>
        <w:autoSpaceDE w:val="0"/>
        <w:autoSpaceDN w:val="0"/>
        <w:adjustRightInd w:val="0"/>
        <w:ind w:firstLine="426"/>
        <w:jc w:val="both"/>
        <w:rPr>
          <w:bCs/>
          <w:iCs/>
          <w:sz w:val="22"/>
          <w:szCs w:val="22"/>
        </w:rPr>
      </w:pPr>
    </w:p>
    <w:p w:rsidR="00F70A2F" w:rsidRDefault="00F70A2F" w:rsidP="00F70A2F">
      <w:pPr>
        <w:autoSpaceDE w:val="0"/>
        <w:autoSpaceDN w:val="0"/>
        <w:adjustRightInd w:val="0"/>
        <w:ind w:firstLine="426"/>
        <w:jc w:val="both"/>
        <w:rPr>
          <w:bCs/>
          <w:iCs/>
          <w:sz w:val="22"/>
          <w:szCs w:val="22"/>
        </w:rPr>
      </w:pPr>
      <w:r w:rsidRPr="00CB149D">
        <w:rPr>
          <w:bCs/>
          <w:iCs/>
          <w:sz w:val="22"/>
          <w:szCs w:val="22"/>
        </w:rPr>
        <w:t>Statistical analysis</w:t>
      </w:r>
    </w:p>
    <w:p w:rsidR="00CB149D" w:rsidRPr="00CB149D" w:rsidRDefault="00CB149D" w:rsidP="00F70A2F">
      <w:pPr>
        <w:autoSpaceDE w:val="0"/>
        <w:autoSpaceDN w:val="0"/>
        <w:adjustRightInd w:val="0"/>
        <w:ind w:firstLine="426"/>
        <w:jc w:val="both"/>
        <w:rPr>
          <w:bCs/>
          <w:iCs/>
          <w:sz w:val="22"/>
          <w:szCs w:val="22"/>
        </w:rPr>
      </w:pPr>
    </w:p>
    <w:p w:rsidR="00F70A2F" w:rsidRPr="00F70A2F" w:rsidRDefault="00F70A2F" w:rsidP="00F70A2F">
      <w:pPr>
        <w:autoSpaceDE w:val="0"/>
        <w:autoSpaceDN w:val="0"/>
        <w:adjustRightInd w:val="0"/>
        <w:ind w:firstLine="426"/>
        <w:jc w:val="both"/>
        <w:rPr>
          <w:sz w:val="22"/>
          <w:szCs w:val="22"/>
        </w:rPr>
      </w:pPr>
      <w:r w:rsidRPr="00F70A2F">
        <w:rPr>
          <w:sz w:val="22"/>
          <w:szCs w:val="22"/>
        </w:rPr>
        <w:t>Analysis of variance was performed for studied traits by using the general linear model (PROC GLM) procedure in Statistical Analysis System (SAS) and the mean comparisons were evaluated based on the Least</w:t>
      </w:r>
      <w:r w:rsidR="00CB149D">
        <w:rPr>
          <w:sz w:val="22"/>
          <w:szCs w:val="22"/>
        </w:rPr>
        <w:t xml:space="preserve"> Significant Differences (LSD).</w:t>
      </w:r>
    </w:p>
    <w:p w:rsidR="00987177" w:rsidRPr="00987177" w:rsidRDefault="00987177" w:rsidP="00987177">
      <w:pPr>
        <w:ind w:firstLine="426"/>
        <w:jc w:val="both"/>
        <w:rPr>
          <w:sz w:val="22"/>
          <w:szCs w:val="22"/>
        </w:rPr>
      </w:pPr>
    </w:p>
    <w:p w:rsidR="001E5955" w:rsidRPr="00987177" w:rsidRDefault="00987177" w:rsidP="00987177">
      <w:pPr>
        <w:jc w:val="center"/>
        <w:rPr>
          <w:b/>
          <w:sz w:val="22"/>
          <w:szCs w:val="22"/>
        </w:rPr>
      </w:pPr>
      <w:r w:rsidRPr="00987177">
        <w:rPr>
          <w:b/>
          <w:sz w:val="22"/>
          <w:szCs w:val="22"/>
        </w:rPr>
        <w:t>Results and Discussion</w:t>
      </w:r>
    </w:p>
    <w:p w:rsidR="001E5955" w:rsidRPr="00987177" w:rsidRDefault="001E5955" w:rsidP="001E5955">
      <w:pPr>
        <w:jc w:val="both"/>
        <w:rPr>
          <w:sz w:val="22"/>
          <w:szCs w:val="22"/>
        </w:rPr>
      </w:pPr>
    </w:p>
    <w:p w:rsidR="00CB149D" w:rsidRDefault="00CB149D" w:rsidP="00CB149D">
      <w:pPr>
        <w:autoSpaceDE w:val="0"/>
        <w:autoSpaceDN w:val="0"/>
        <w:adjustRightInd w:val="0"/>
        <w:ind w:firstLine="426"/>
        <w:jc w:val="both"/>
        <w:rPr>
          <w:sz w:val="22"/>
          <w:szCs w:val="22"/>
        </w:rPr>
      </w:pPr>
      <w:r w:rsidRPr="00CB149D">
        <w:rPr>
          <w:sz w:val="22"/>
          <w:szCs w:val="22"/>
        </w:rPr>
        <w:t>Foliar application of Zn had a significant effect on all studied traits (Table 2). Different levels of urea application also showed a significant effect on grain and biological yields. The biological fertilizer also had significant effects on biolog</w:t>
      </w:r>
      <w:r>
        <w:rPr>
          <w:sz w:val="22"/>
          <w:szCs w:val="22"/>
        </w:rPr>
        <w:t>ical yield and protein content.</w:t>
      </w:r>
    </w:p>
    <w:p w:rsidR="00CB149D" w:rsidRPr="00CB149D" w:rsidRDefault="00CB149D" w:rsidP="00CB149D">
      <w:pPr>
        <w:autoSpaceDE w:val="0"/>
        <w:autoSpaceDN w:val="0"/>
        <w:adjustRightInd w:val="0"/>
        <w:ind w:firstLine="426"/>
        <w:jc w:val="both"/>
        <w:rPr>
          <w:sz w:val="22"/>
          <w:szCs w:val="22"/>
        </w:rPr>
      </w:pPr>
    </w:p>
    <w:p w:rsidR="00CB149D" w:rsidRDefault="00CB149D" w:rsidP="00CB149D">
      <w:pPr>
        <w:autoSpaceDE w:val="0"/>
        <w:autoSpaceDN w:val="0"/>
        <w:adjustRightInd w:val="0"/>
        <w:jc w:val="both"/>
        <w:rPr>
          <w:rFonts w:eastAsia="ArialMT"/>
          <w:sz w:val="22"/>
          <w:szCs w:val="22"/>
        </w:rPr>
      </w:pPr>
      <w:r w:rsidRPr="00CB149D">
        <w:rPr>
          <w:sz w:val="22"/>
          <w:szCs w:val="22"/>
        </w:rPr>
        <w:t xml:space="preserve">Table 2. Mean squares of each </w:t>
      </w:r>
      <w:r w:rsidRPr="00CB149D">
        <w:rPr>
          <w:rFonts w:eastAsia="ArialMT"/>
          <w:sz w:val="22"/>
          <w:szCs w:val="22"/>
        </w:rPr>
        <w:t>treatment among studied traits (ANOVA table for a split-factorial design).</w:t>
      </w:r>
    </w:p>
    <w:p w:rsidR="00CB149D" w:rsidRPr="00CB149D" w:rsidRDefault="00CB149D" w:rsidP="00CB149D">
      <w:pPr>
        <w:autoSpaceDE w:val="0"/>
        <w:autoSpaceDN w:val="0"/>
        <w:adjustRightInd w:val="0"/>
        <w:jc w:val="both"/>
        <w:rPr>
          <w:sz w:val="22"/>
          <w:szCs w:val="22"/>
        </w:rPr>
      </w:pPr>
    </w:p>
    <w:tbl>
      <w:tblPr>
        <w:tblW w:w="7306" w:type="dxa"/>
        <w:jc w:val="center"/>
        <w:tblLayout w:type="fixed"/>
        <w:tblCellMar>
          <w:left w:w="28" w:type="dxa"/>
          <w:right w:w="28" w:type="dxa"/>
        </w:tblCellMar>
        <w:tblLook w:val="04A0"/>
      </w:tblPr>
      <w:tblGrid>
        <w:gridCol w:w="1701"/>
        <w:gridCol w:w="750"/>
        <w:gridCol w:w="1321"/>
        <w:gridCol w:w="1950"/>
        <w:gridCol w:w="1584"/>
      </w:tblGrid>
      <w:tr w:rsidR="00CB149D" w:rsidRPr="00CB149D" w:rsidTr="00CB149D">
        <w:trPr>
          <w:trHeight w:val="227"/>
          <w:jc w:val="center"/>
        </w:trPr>
        <w:tc>
          <w:tcPr>
            <w:tcW w:w="1701" w:type="dxa"/>
            <w:tcBorders>
              <w:bottom w:val="single" w:sz="4" w:space="0" w:color="auto"/>
            </w:tcBorders>
            <w:shd w:val="clear" w:color="auto" w:fill="auto"/>
            <w:vAlign w:val="center"/>
          </w:tcPr>
          <w:p w:rsidR="00CB149D" w:rsidRPr="00CB149D" w:rsidRDefault="00CB149D" w:rsidP="00CB149D">
            <w:pPr>
              <w:ind w:left="114"/>
              <w:rPr>
                <w:sz w:val="18"/>
                <w:szCs w:val="18"/>
              </w:rPr>
            </w:pPr>
            <w:r w:rsidRPr="00CB149D">
              <w:rPr>
                <w:sz w:val="18"/>
                <w:szCs w:val="18"/>
              </w:rPr>
              <w:t>S.O.V</w:t>
            </w:r>
          </w:p>
        </w:tc>
        <w:tc>
          <w:tcPr>
            <w:tcW w:w="750" w:type="dxa"/>
            <w:tcBorders>
              <w:bottom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df</w:t>
            </w:r>
          </w:p>
        </w:tc>
        <w:tc>
          <w:tcPr>
            <w:tcW w:w="1321" w:type="dxa"/>
            <w:tcBorders>
              <w:bottom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Grain yield</w:t>
            </w:r>
          </w:p>
        </w:tc>
        <w:tc>
          <w:tcPr>
            <w:tcW w:w="1950" w:type="dxa"/>
            <w:tcBorders>
              <w:bottom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Biological yield</w:t>
            </w:r>
          </w:p>
        </w:tc>
        <w:tc>
          <w:tcPr>
            <w:tcW w:w="1584" w:type="dxa"/>
            <w:tcBorders>
              <w:bottom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Protein content</w:t>
            </w:r>
          </w:p>
        </w:tc>
      </w:tr>
      <w:tr w:rsidR="00CB149D" w:rsidRPr="00CB149D" w:rsidTr="00CB149D">
        <w:trPr>
          <w:trHeight w:val="227"/>
          <w:jc w:val="center"/>
        </w:trPr>
        <w:tc>
          <w:tcPr>
            <w:tcW w:w="1701" w:type="dxa"/>
            <w:tcBorders>
              <w:top w:val="single" w:sz="4" w:space="0" w:color="auto"/>
            </w:tcBorders>
            <w:shd w:val="clear" w:color="auto" w:fill="auto"/>
            <w:vAlign w:val="center"/>
          </w:tcPr>
          <w:p w:rsidR="00CB149D" w:rsidRPr="00CB149D" w:rsidRDefault="00CB149D" w:rsidP="00CB149D">
            <w:pPr>
              <w:ind w:left="114"/>
              <w:rPr>
                <w:sz w:val="18"/>
                <w:szCs w:val="18"/>
              </w:rPr>
            </w:pPr>
            <w:r w:rsidRPr="00CB149D">
              <w:rPr>
                <w:sz w:val="18"/>
                <w:szCs w:val="18"/>
              </w:rPr>
              <w:t>Block</w:t>
            </w:r>
          </w:p>
        </w:tc>
        <w:tc>
          <w:tcPr>
            <w:tcW w:w="750" w:type="dxa"/>
            <w:tcBorders>
              <w:top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2</w:t>
            </w:r>
          </w:p>
        </w:tc>
        <w:tc>
          <w:tcPr>
            <w:tcW w:w="1321" w:type="dxa"/>
            <w:tcBorders>
              <w:top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0.525</w:t>
            </w:r>
          </w:p>
        </w:tc>
        <w:tc>
          <w:tcPr>
            <w:tcW w:w="1950" w:type="dxa"/>
            <w:tcBorders>
              <w:top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0.754</w:t>
            </w:r>
          </w:p>
        </w:tc>
        <w:tc>
          <w:tcPr>
            <w:tcW w:w="1584" w:type="dxa"/>
            <w:tcBorders>
              <w:top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0.328</w:t>
            </w:r>
          </w:p>
        </w:tc>
      </w:tr>
      <w:tr w:rsidR="00CB149D" w:rsidRPr="00CB149D" w:rsidTr="00CB149D">
        <w:trPr>
          <w:trHeight w:val="227"/>
          <w:jc w:val="center"/>
        </w:trPr>
        <w:tc>
          <w:tcPr>
            <w:tcW w:w="1701" w:type="dxa"/>
            <w:shd w:val="clear" w:color="auto" w:fill="auto"/>
            <w:vAlign w:val="center"/>
          </w:tcPr>
          <w:p w:rsidR="00CB149D" w:rsidRPr="00CB149D" w:rsidRDefault="00CB149D" w:rsidP="00CB149D">
            <w:pPr>
              <w:ind w:left="114"/>
              <w:rPr>
                <w:sz w:val="18"/>
                <w:szCs w:val="18"/>
              </w:rPr>
            </w:pPr>
            <w:r w:rsidRPr="00CB149D">
              <w:rPr>
                <w:sz w:val="18"/>
                <w:szCs w:val="18"/>
              </w:rPr>
              <w:t>Urea (a)</w:t>
            </w:r>
          </w:p>
        </w:tc>
        <w:tc>
          <w:tcPr>
            <w:tcW w:w="750" w:type="dxa"/>
            <w:shd w:val="clear" w:color="auto" w:fill="auto"/>
            <w:vAlign w:val="center"/>
          </w:tcPr>
          <w:p w:rsidR="00CB149D" w:rsidRPr="00CB149D" w:rsidRDefault="00CB149D" w:rsidP="00CB149D">
            <w:pPr>
              <w:jc w:val="center"/>
              <w:rPr>
                <w:sz w:val="18"/>
                <w:szCs w:val="18"/>
              </w:rPr>
            </w:pPr>
            <w:r w:rsidRPr="00CB149D">
              <w:rPr>
                <w:sz w:val="18"/>
                <w:szCs w:val="18"/>
              </w:rPr>
              <w:t>2</w:t>
            </w:r>
          </w:p>
        </w:tc>
        <w:tc>
          <w:tcPr>
            <w:tcW w:w="1321" w:type="dxa"/>
            <w:shd w:val="clear" w:color="auto" w:fill="auto"/>
            <w:vAlign w:val="center"/>
          </w:tcPr>
          <w:p w:rsidR="00CB149D" w:rsidRPr="00CB149D" w:rsidRDefault="00CB149D" w:rsidP="00CB149D">
            <w:pPr>
              <w:jc w:val="center"/>
              <w:rPr>
                <w:sz w:val="18"/>
                <w:szCs w:val="18"/>
              </w:rPr>
            </w:pPr>
            <w:r w:rsidRPr="00CB149D">
              <w:rPr>
                <w:sz w:val="18"/>
                <w:szCs w:val="18"/>
              </w:rPr>
              <w:t>25.599**</w:t>
            </w:r>
          </w:p>
        </w:tc>
        <w:tc>
          <w:tcPr>
            <w:tcW w:w="1950" w:type="dxa"/>
            <w:shd w:val="clear" w:color="auto" w:fill="auto"/>
            <w:vAlign w:val="center"/>
          </w:tcPr>
          <w:p w:rsidR="00CB149D" w:rsidRPr="00CB149D" w:rsidRDefault="00CB149D" w:rsidP="00CB149D">
            <w:pPr>
              <w:jc w:val="center"/>
              <w:rPr>
                <w:sz w:val="18"/>
                <w:szCs w:val="18"/>
              </w:rPr>
            </w:pPr>
            <w:r w:rsidRPr="00CB149D">
              <w:rPr>
                <w:sz w:val="18"/>
                <w:szCs w:val="18"/>
              </w:rPr>
              <w:t>34.30**</w:t>
            </w:r>
          </w:p>
        </w:tc>
        <w:tc>
          <w:tcPr>
            <w:tcW w:w="1584" w:type="dxa"/>
            <w:shd w:val="clear" w:color="auto" w:fill="auto"/>
            <w:vAlign w:val="center"/>
          </w:tcPr>
          <w:p w:rsidR="00CB149D" w:rsidRPr="00CB149D" w:rsidRDefault="00CB149D" w:rsidP="00CB149D">
            <w:pPr>
              <w:jc w:val="center"/>
              <w:rPr>
                <w:sz w:val="18"/>
                <w:szCs w:val="18"/>
              </w:rPr>
            </w:pPr>
            <w:r w:rsidRPr="00CB149D">
              <w:rPr>
                <w:sz w:val="18"/>
                <w:szCs w:val="18"/>
              </w:rPr>
              <w:t>2.430ns</w:t>
            </w:r>
          </w:p>
        </w:tc>
      </w:tr>
      <w:tr w:rsidR="00CB149D" w:rsidRPr="00CB149D" w:rsidTr="00CB149D">
        <w:trPr>
          <w:trHeight w:val="227"/>
          <w:jc w:val="center"/>
        </w:trPr>
        <w:tc>
          <w:tcPr>
            <w:tcW w:w="1701" w:type="dxa"/>
            <w:tcBorders>
              <w:bottom w:val="single" w:sz="4" w:space="0" w:color="auto"/>
            </w:tcBorders>
            <w:shd w:val="clear" w:color="auto" w:fill="auto"/>
            <w:vAlign w:val="center"/>
          </w:tcPr>
          <w:p w:rsidR="00CB149D" w:rsidRPr="00CB149D" w:rsidRDefault="00CB149D" w:rsidP="00CB149D">
            <w:pPr>
              <w:ind w:left="114"/>
              <w:rPr>
                <w:sz w:val="18"/>
                <w:szCs w:val="18"/>
              </w:rPr>
            </w:pPr>
            <w:r w:rsidRPr="00CB149D">
              <w:rPr>
                <w:sz w:val="18"/>
                <w:szCs w:val="18"/>
              </w:rPr>
              <w:t>Error a</w:t>
            </w:r>
          </w:p>
        </w:tc>
        <w:tc>
          <w:tcPr>
            <w:tcW w:w="750" w:type="dxa"/>
            <w:tcBorders>
              <w:bottom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4</w:t>
            </w:r>
          </w:p>
        </w:tc>
        <w:tc>
          <w:tcPr>
            <w:tcW w:w="1321" w:type="dxa"/>
            <w:tcBorders>
              <w:bottom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0.271</w:t>
            </w:r>
          </w:p>
        </w:tc>
        <w:tc>
          <w:tcPr>
            <w:tcW w:w="1950" w:type="dxa"/>
            <w:tcBorders>
              <w:bottom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0.508</w:t>
            </w:r>
          </w:p>
        </w:tc>
        <w:tc>
          <w:tcPr>
            <w:tcW w:w="1584" w:type="dxa"/>
            <w:tcBorders>
              <w:bottom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2.411</w:t>
            </w:r>
          </w:p>
        </w:tc>
      </w:tr>
      <w:tr w:rsidR="00CB149D" w:rsidRPr="00CB149D" w:rsidTr="00CB149D">
        <w:trPr>
          <w:trHeight w:val="227"/>
          <w:jc w:val="center"/>
        </w:trPr>
        <w:tc>
          <w:tcPr>
            <w:tcW w:w="1701" w:type="dxa"/>
            <w:tcBorders>
              <w:top w:val="single" w:sz="4" w:space="0" w:color="auto"/>
            </w:tcBorders>
            <w:shd w:val="clear" w:color="auto" w:fill="auto"/>
            <w:vAlign w:val="center"/>
          </w:tcPr>
          <w:p w:rsidR="00CB149D" w:rsidRPr="00CB149D" w:rsidRDefault="00CB149D" w:rsidP="00CB149D">
            <w:pPr>
              <w:ind w:left="114"/>
              <w:rPr>
                <w:sz w:val="18"/>
                <w:szCs w:val="18"/>
              </w:rPr>
            </w:pPr>
            <w:r w:rsidRPr="00CB149D">
              <w:rPr>
                <w:sz w:val="18"/>
                <w:szCs w:val="18"/>
              </w:rPr>
              <w:t>Zn (b</w:t>
            </w:r>
            <w:r w:rsidRPr="00CB149D">
              <w:rPr>
                <w:sz w:val="18"/>
                <w:szCs w:val="18"/>
                <w:rtl/>
              </w:rPr>
              <w:t>(</w:t>
            </w:r>
          </w:p>
        </w:tc>
        <w:tc>
          <w:tcPr>
            <w:tcW w:w="750" w:type="dxa"/>
            <w:tcBorders>
              <w:top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2</w:t>
            </w:r>
          </w:p>
        </w:tc>
        <w:tc>
          <w:tcPr>
            <w:tcW w:w="1321" w:type="dxa"/>
            <w:tcBorders>
              <w:top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22.80**</w:t>
            </w:r>
          </w:p>
        </w:tc>
        <w:tc>
          <w:tcPr>
            <w:tcW w:w="1950" w:type="dxa"/>
            <w:tcBorders>
              <w:top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142.75**</w:t>
            </w:r>
          </w:p>
        </w:tc>
        <w:tc>
          <w:tcPr>
            <w:tcW w:w="1584" w:type="dxa"/>
            <w:tcBorders>
              <w:top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3.699*</w:t>
            </w:r>
          </w:p>
        </w:tc>
      </w:tr>
      <w:tr w:rsidR="00CB149D" w:rsidRPr="00CB149D" w:rsidTr="00CB149D">
        <w:trPr>
          <w:trHeight w:val="227"/>
          <w:jc w:val="center"/>
        </w:trPr>
        <w:tc>
          <w:tcPr>
            <w:tcW w:w="1701" w:type="dxa"/>
            <w:shd w:val="clear" w:color="auto" w:fill="auto"/>
            <w:vAlign w:val="center"/>
          </w:tcPr>
          <w:p w:rsidR="00CB149D" w:rsidRPr="00CB149D" w:rsidRDefault="00CB149D" w:rsidP="00CB149D">
            <w:pPr>
              <w:ind w:left="114"/>
              <w:rPr>
                <w:sz w:val="18"/>
                <w:szCs w:val="18"/>
                <w:rtl/>
              </w:rPr>
            </w:pPr>
            <w:r w:rsidRPr="00CB149D">
              <w:rPr>
                <w:i/>
                <w:iCs/>
                <w:sz w:val="18"/>
                <w:szCs w:val="18"/>
              </w:rPr>
              <w:t>Azotobacter</w:t>
            </w:r>
            <w:r w:rsidRPr="00CB149D">
              <w:rPr>
                <w:sz w:val="18"/>
                <w:szCs w:val="18"/>
              </w:rPr>
              <w:t xml:space="preserve"> (c</w:t>
            </w:r>
            <w:r w:rsidRPr="00CB149D">
              <w:rPr>
                <w:sz w:val="18"/>
                <w:szCs w:val="18"/>
                <w:rtl/>
              </w:rPr>
              <w:t>(</w:t>
            </w:r>
          </w:p>
        </w:tc>
        <w:tc>
          <w:tcPr>
            <w:tcW w:w="750" w:type="dxa"/>
            <w:shd w:val="clear" w:color="auto" w:fill="auto"/>
            <w:vAlign w:val="center"/>
          </w:tcPr>
          <w:p w:rsidR="00CB149D" w:rsidRPr="00CB149D" w:rsidRDefault="00CB149D" w:rsidP="00CB149D">
            <w:pPr>
              <w:jc w:val="center"/>
              <w:rPr>
                <w:sz w:val="18"/>
                <w:szCs w:val="18"/>
              </w:rPr>
            </w:pPr>
            <w:r w:rsidRPr="00CB149D">
              <w:rPr>
                <w:sz w:val="18"/>
                <w:szCs w:val="18"/>
              </w:rPr>
              <w:t>1</w:t>
            </w:r>
          </w:p>
        </w:tc>
        <w:tc>
          <w:tcPr>
            <w:tcW w:w="1321" w:type="dxa"/>
            <w:shd w:val="clear" w:color="auto" w:fill="auto"/>
            <w:vAlign w:val="center"/>
          </w:tcPr>
          <w:p w:rsidR="00CB149D" w:rsidRPr="00CB149D" w:rsidRDefault="00CB149D" w:rsidP="00CB149D">
            <w:pPr>
              <w:jc w:val="center"/>
              <w:rPr>
                <w:sz w:val="18"/>
                <w:szCs w:val="18"/>
              </w:rPr>
            </w:pPr>
            <w:r w:rsidRPr="00CB149D">
              <w:rPr>
                <w:sz w:val="18"/>
                <w:szCs w:val="18"/>
              </w:rPr>
              <w:t>0.0021ns</w:t>
            </w:r>
          </w:p>
        </w:tc>
        <w:tc>
          <w:tcPr>
            <w:tcW w:w="1950" w:type="dxa"/>
            <w:shd w:val="clear" w:color="auto" w:fill="auto"/>
            <w:vAlign w:val="center"/>
          </w:tcPr>
          <w:p w:rsidR="00CB149D" w:rsidRPr="00CB149D" w:rsidRDefault="00CB149D" w:rsidP="00CB149D">
            <w:pPr>
              <w:jc w:val="center"/>
              <w:rPr>
                <w:sz w:val="18"/>
                <w:szCs w:val="18"/>
              </w:rPr>
            </w:pPr>
            <w:r w:rsidRPr="00CB149D">
              <w:rPr>
                <w:sz w:val="18"/>
                <w:szCs w:val="18"/>
              </w:rPr>
              <w:t>2.436*</w:t>
            </w:r>
          </w:p>
        </w:tc>
        <w:tc>
          <w:tcPr>
            <w:tcW w:w="1584" w:type="dxa"/>
            <w:shd w:val="clear" w:color="auto" w:fill="auto"/>
            <w:vAlign w:val="center"/>
          </w:tcPr>
          <w:p w:rsidR="00CB149D" w:rsidRPr="00CB149D" w:rsidRDefault="00CB149D" w:rsidP="00CB149D">
            <w:pPr>
              <w:jc w:val="center"/>
              <w:rPr>
                <w:sz w:val="18"/>
                <w:szCs w:val="18"/>
              </w:rPr>
            </w:pPr>
            <w:r w:rsidRPr="00CB149D">
              <w:rPr>
                <w:sz w:val="18"/>
                <w:szCs w:val="18"/>
              </w:rPr>
              <w:t>20.384**</w:t>
            </w:r>
          </w:p>
        </w:tc>
      </w:tr>
      <w:tr w:rsidR="00CB149D" w:rsidRPr="00CB149D" w:rsidTr="00CB149D">
        <w:trPr>
          <w:trHeight w:val="227"/>
          <w:jc w:val="center"/>
        </w:trPr>
        <w:tc>
          <w:tcPr>
            <w:tcW w:w="1701" w:type="dxa"/>
            <w:shd w:val="clear" w:color="auto" w:fill="auto"/>
            <w:vAlign w:val="center"/>
          </w:tcPr>
          <w:p w:rsidR="00CB149D" w:rsidRPr="00CB149D" w:rsidRDefault="00CB149D" w:rsidP="00CB149D">
            <w:pPr>
              <w:ind w:left="114"/>
              <w:rPr>
                <w:sz w:val="18"/>
                <w:szCs w:val="18"/>
              </w:rPr>
            </w:pPr>
            <w:r w:rsidRPr="00CB149D">
              <w:rPr>
                <w:sz w:val="18"/>
                <w:szCs w:val="18"/>
              </w:rPr>
              <w:t>a*b</w:t>
            </w:r>
          </w:p>
        </w:tc>
        <w:tc>
          <w:tcPr>
            <w:tcW w:w="750" w:type="dxa"/>
            <w:shd w:val="clear" w:color="auto" w:fill="auto"/>
            <w:vAlign w:val="center"/>
          </w:tcPr>
          <w:p w:rsidR="00CB149D" w:rsidRPr="00CB149D" w:rsidRDefault="00CB149D" w:rsidP="00CB149D">
            <w:pPr>
              <w:jc w:val="center"/>
              <w:rPr>
                <w:sz w:val="18"/>
                <w:szCs w:val="18"/>
              </w:rPr>
            </w:pPr>
            <w:r w:rsidRPr="00CB149D">
              <w:rPr>
                <w:sz w:val="18"/>
                <w:szCs w:val="18"/>
              </w:rPr>
              <w:t>4</w:t>
            </w:r>
          </w:p>
        </w:tc>
        <w:tc>
          <w:tcPr>
            <w:tcW w:w="1321" w:type="dxa"/>
            <w:shd w:val="clear" w:color="auto" w:fill="auto"/>
            <w:vAlign w:val="center"/>
          </w:tcPr>
          <w:p w:rsidR="00CB149D" w:rsidRPr="00CB149D" w:rsidRDefault="00CB149D" w:rsidP="00CB149D">
            <w:pPr>
              <w:jc w:val="center"/>
              <w:rPr>
                <w:sz w:val="18"/>
                <w:szCs w:val="18"/>
              </w:rPr>
            </w:pPr>
            <w:r w:rsidRPr="00CB149D">
              <w:rPr>
                <w:sz w:val="18"/>
                <w:szCs w:val="18"/>
              </w:rPr>
              <w:t>1.416**</w:t>
            </w:r>
          </w:p>
        </w:tc>
        <w:tc>
          <w:tcPr>
            <w:tcW w:w="1950" w:type="dxa"/>
            <w:shd w:val="clear" w:color="auto" w:fill="auto"/>
            <w:vAlign w:val="center"/>
          </w:tcPr>
          <w:p w:rsidR="00CB149D" w:rsidRPr="00CB149D" w:rsidRDefault="00CB149D" w:rsidP="00CB149D">
            <w:pPr>
              <w:jc w:val="center"/>
              <w:rPr>
                <w:sz w:val="18"/>
                <w:szCs w:val="18"/>
              </w:rPr>
            </w:pPr>
            <w:r w:rsidRPr="00CB149D">
              <w:rPr>
                <w:sz w:val="18"/>
                <w:szCs w:val="18"/>
              </w:rPr>
              <w:t>0.387ns</w:t>
            </w:r>
          </w:p>
        </w:tc>
        <w:tc>
          <w:tcPr>
            <w:tcW w:w="1584" w:type="dxa"/>
            <w:shd w:val="clear" w:color="auto" w:fill="auto"/>
            <w:vAlign w:val="center"/>
          </w:tcPr>
          <w:p w:rsidR="00CB149D" w:rsidRPr="00CB149D" w:rsidRDefault="00CB149D" w:rsidP="00CB149D">
            <w:pPr>
              <w:jc w:val="center"/>
              <w:rPr>
                <w:sz w:val="18"/>
                <w:szCs w:val="18"/>
              </w:rPr>
            </w:pPr>
            <w:r w:rsidRPr="00CB149D">
              <w:rPr>
                <w:sz w:val="18"/>
                <w:szCs w:val="18"/>
              </w:rPr>
              <w:t>12.906**</w:t>
            </w:r>
          </w:p>
        </w:tc>
      </w:tr>
      <w:tr w:rsidR="00CB149D" w:rsidRPr="00CB149D" w:rsidTr="00CB149D">
        <w:trPr>
          <w:trHeight w:val="227"/>
          <w:jc w:val="center"/>
        </w:trPr>
        <w:tc>
          <w:tcPr>
            <w:tcW w:w="1701" w:type="dxa"/>
            <w:shd w:val="clear" w:color="auto" w:fill="auto"/>
            <w:vAlign w:val="center"/>
          </w:tcPr>
          <w:p w:rsidR="00CB149D" w:rsidRPr="00CB149D" w:rsidRDefault="00CB149D" w:rsidP="00CB149D">
            <w:pPr>
              <w:ind w:left="114"/>
              <w:rPr>
                <w:sz w:val="18"/>
                <w:szCs w:val="18"/>
              </w:rPr>
            </w:pPr>
            <w:r w:rsidRPr="00CB149D">
              <w:rPr>
                <w:sz w:val="18"/>
                <w:szCs w:val="18"/>
              </w:rPr>
              <w:lastRenderedPageBreak/>
              <w:t>a*c</w:t>
            </w:r>
          </w:p>
        </w:tc>
        <w:tc>
          <w:tcPr>
            <w:tcW w:w="750" w:type="dxa"/>
            <w:shd w:val="clear" w:color="auto" w:fill="auto"/>
            <w:vAlign w:val="center"/>
          </w:tcPr>
          <w:p w:rsidR="00CB149D" w:rsidRPr="00CB149D" w:rsidRDefault="00CB149D" w:rsidP="00CB149D">
            <w:pPr>
              <w:jc w:val="center"/>
              <w:rPr>
                <w:sz w:val="18"/>
                <w:szCs w:val="18"/>
              </w:rPr>
            </w:pPr>
            <w:r w:rsidRPr="00CB149D">
              <w:rPr>
                <w:sz w:val="18"/>
                <w:szCs w:val="18"/>
              </w:rPr>
              <w:t>2</w:t>
            </w:r>
          </w:p>
        </w:tc>
        <w:tc>
          <w:tcPr>
            <w:tcW w:w="1321" w:type="dxa"/>
            <w:shd w:val="clear" w:color="auto" w:fill="auto"/>
            <w:vAlign w:val="center"/>
          </w:tcPr>
          <w:p w:rsidR="00CB149D" w:rsidRPr="00CB149D" w:rsidRDefault="00CB149D" w:rsidP="00CB149D">
            <w:pPr>
              <w:jc w:val="center"/>
              <w:rPr>
                <w:sz w:val="18"/>
                <w:szCs w:val="18"/>
              </w:rPr>
            </w:pPr>
            <w:r w:rsidRPr="00CB149D">
              <w:rPr>
                <w:sz w:val="18"/>
                <w:szCs w:val="18"/>
              </w:rPr>
              <w:t>0.056ns</w:t>
            </w:r>
          </w:p>
        </w:tc>
        <w:tc>
          <w:tcPr>
            <w:tcW w:w="1950" w:type="dxa"/>
            <w:shd w:val="clear" w:color="auto" w:fill="auto"/>
            <w:vAlign w:val="center"/>
          </w:tcPr>
          <w:p w:rsidR="00CB149D" w:rsidRPr="00CB149D" w:rsidRDefault="00CB149D" w:rsidP="00CB149D">
            <w:pPr>
              <w:jc w:val="center"/>
              <w:rPr>
                <w:sz w:val="18"/>
                <w:szCs w:val="18"/>
              </w:rPr>
            </w:pPr>
            <w:r w:rsidRPr="00CB149D">
              <w:rPr>
                <w:sz w:val="18"/>
                <w:szCs w:val="18"/>
              </w:rPr>
              <w:t>38.74**</w:t>
            </w:r>
          </w:p>
        </w:tc>
        <w:tc>
          <w:tcPr>
            <w:tcW w:w="1584" w:type="dxa"/>
            <w:shd w:val="clear" w:color="auto" w:fill="auto"/>
            <w:vAlign w:val="center"/>
          </w:tcPr>
          <w:p w:rsidR="00CB149D" w:rsidRPr="00CB149D" w:rsidRDefault="00CB149D" w:rsidP="00CB149D">
            <w:pPr>
              <w:jc w:val="center"/>
              <w:rPr>
                <w:sz w:val="18"/>
                <w:szCs w:val="18"/>
              </w:rPr>
            </w:pPr>
            <w:r w:rsidRPr="00CB149D">
              <w:rPr>
                <w:sz w:val="18"/>
                <w:szCs w:val="18"/>
              </w:rPr>
              <w:t>9.158**</w:t>
            </w:r>
          </w:p>
        </w:tc>
      </w:tr>
      <w:tr w:rsidR="00CB149D" w:rsidRPr="00CB149D" w:rsidTr="00CB149D">
        <w:trPr>
          <w:trHeight w:val="227"/>
          <w:jc w:val="center"/>
        </w:trPr>
        <w:tc>
          <w:tcPr>
            <w:tcW w:w="1701" w:type="dxa"/>
            <w:shd w:val="clear" w:color="auto" w:fill="auto"/>
            <w:vAlign w:val="center"/>
          </w:tcPr>
          <w:p w:rsidR="00CB149D" w:rsidRPr="00CB149D" w:rsidRDefault="00CB149D" w:rsidP="00CB149D">
            <w:pPr>
              <w:ind w:left="114"/>
              <w:rPr>
                <w:sz w:val="18"/>
                <w:szCs w:val="18"/>
              </w:rPr>
            </w:pPr>
            <w:r w:rsidRPr="00CB149D">
              <w:rPr>
                <w:sz w:val="18"/>
                <w:szCs w:val="18"/>
              </w:rPr>
              <w:t>b*c</w:t>
            </w:r>
          </w:p>
        </w:tc>
        <w:tc>
          <w:tcPr>
            <w:tcW w:w="750" w:type="dxa"/>
            <w:shd w:val="clear" w:color="auto" w:fill="auto"/>
            <w:vAlign w:val="center"/>
          </w:tcPr>
          <w:p w:rsidR="00CB149D" w:rsidRPr="00CB149D" w:rsidRDefault="00CB149D" w:rsidP="00CB149D">
            <w:pPr>
              <w:jc w:val="center"/>
              <w:rPr>
                <w:sz w:val="18"/>
                <w:szCs w:val="18"/>
              </w:rPr>
            </w:pPr>
            <w:r w:rsidRPr="00CB149D">
              <w:rPr>
                <w:sz w:val="18"/>
                <w:szCs w:val="18"/>
              </w:rPr>
              <w:t>2</w:t>
            </w:r>
          </w:p>
        </w:tc>
        <w:tc>
          <w:tcPr>
            <w:tcW w:w="1321" w:type="dxa"/>
            <w:shd w:val="clear" w:color="auto" w:fill="auto"/>
            <w:vAlign w:val="center"/>
          </w:tcPr>
          <w:p w:rsidR="00CB149D" w:rsidRPr="00CB149D" w:rsidRDefault="00CB149D" w:rsidP="00CB149D">
            <w:pPr>
              <w:jc w:val="center"/>
              <w:rPr>
                <w:sz w:val="18"/>
                <w:szCs w:val="18"/>
              </w:rPr>
            </w:pPr>
            <w:r w:rsidRPr="00CB149D">
              <w:rPr>
                <w:sz w:val="18"/>
                <w:szCs w:val="18"/>
              </w:rPr>
              <w:t>1.323**</w:t>
            </w:r>
          </w:p>
        </w:tc>
        <w:tc>
          <w:tcPr>
            <w:tcW w:w="1950" w:type="dxa"/>
            <w:shd w:val="clear" w:color="auto" w:fill="auto"/>
            <w:vAlign w:val="center"/>
          </w:tcPr>
          <w:p w:rsidR="00CB149D" w:rsidRPr="00CB149D" w:rsidRDefault="00CB149D" w:rsidP="00CB149D">
            <w:pPr>
              <w:jc w:val="center"/>
              <w:rPr>
                <w:sz w:val="18"/>
                <w:szCs w:val="18"/>
              </w:rPr>
            </w:pPr>
            <w:r w:rsidRPr="00CB149D">
              <w:rPr>
                <w:sz w:val="18"/>
                <w:szCs w:val="18"/>
              </w:rPr>
              <w:t>1.656*</w:t>
            </w:r>
          </w:p>
        </w:tc>
        <w:tc>
          <w:tcPr>
            <w:tcW w:w="1584" w:type="dxa"/>
            <w:shd w:val="clear" w:color="auto" w:fill="auto"/>
            <w:vAlign w:val="center"/>
          </w:tcPr>
          <w:p w:rsidR="00CB149D" w:rsidRPr="00CB149D" w:rsidRDefault="00CB149D" w:rsidP="00CB149D">
            <w:pPr>
              <w:jc w:val="center"/>
              <w:rPr>
                <w:sz w:val="18"/>
                <w:szCs w:val="18"/>
              </w:rPr>
            </w:pPr>
            <w:r w:rsidRPr="00CB149D">
              <w:rPr>
                <w:sz w:val="18"/>
                <w:szCs w:val="18"/>
              </w:rPr>
              <w:t>2.83ns</w:t>
            </w:r>
          </w:p>
        </w:tc>
      </w:tr>
      <w:tr w:rsidR="00CB149D" w:rsidRPr="00CB149D" w:rsidTr="00CB149D">
        <w:trPr>
          <w:trHeight w:val="227"/>
          <w:jc w:val="center"/>
        </w:trPr>
        <w:tc>
          <w:tcPr>
            <w:tcW w:w="1701" w:type="dxa"/>
            <w:shd w:val="clear" w:color="auto" w:fill="auto"/>
            <w:vAlign w:val="center"/>
          </w:tcPr>
          <w:p w:rsidR="00CB149D" w:rsidRPr="00CB149D" w:rsidRDefault="00CB149D" w:rsidP="00CB149D">
            <w:pPr>
              <w:ind w:left="114"/>
              <w:rPr>
                <w:sz w:val="18"/>
                <w:szCs w:val="18"/>
              </w:rPr>
            </w:pPr>
            <w:r w:rsidRPr="00CB149D">
              <w:rPr>
                <w:sz w:val="18"/>
                <w:szCs w:val="18"/>
              </w:rPr>
              <w:t>a*b*c</w:t>
            </w:r>
          </w:p>
        </w:tc>
        <w:tc>
          <w:tcPr>
            <w:tcW w:w="750" w:type="dxa"/>
            <w:shd w:val="clear" w:color="auto" w:fill="auto"/>
            <w:vAlign w:val="center"/>
          </w:tcPr>
          <w:p w:rsidR="00CB149D" w:rsidRPr="00CB149D" w:rsidRDefault="00CB149D" w:rsidP="00CB149D">
            <w:pPr>
              <w:jc w:val="center"/>
              <w:rPr>
                <w:sz w:val="18"/>
                <w:szCs w:val="18"/>
              </w:rPr>
            </w:pPr>
            <w:r w:rsidRPr="00CB149D">
              <w:rPr>
                <w:sz w:val="18"/>
                <w:szCs w:val="18"/>
              </w:rPr>
              <w:t>4</w:t>
            </w:r>
          </w:p>
        </w:tc>
        <w:tc>
          <w:tcPr>
            <w:tcW w:w="1321" w:type="dxa"/>
            <w:shd w:val="clear" w:color="auto" w:fill="auto"/>
            <w:vAlign w:val="center"/>
          </w:tcPr>
          <w:p w:rsidR="00CB149D" w:rsidRPr="00CB149D" w:rsidRDefault="00CB149D" w:rsidP="00CB149D">
            <w:pPr>
              <w:jc w:val="center"/>
              <w:rPr>
                <w:sz w:val="18"/>
                <w:szCs w:val="18"/>
              </w:rPr>
            </w:pPr>
            <w:r w:rsidRPr="00CB149D">
              <w:rPr>
                <w:sz w:val="18"/>
                <w:szCs w:val="18"/>
              </w:rPr>
              <w:t>2.974**</w:t>
            </w:r>
          </w:p>
        </w:tc>
        <w:tc>
          <w:tcPr>
            <w:tcW w:w="1950" w:type="dxa"/>
            <w:shd w:val="clear" w:color="auto" w:fill="auto"/>
            <w:vAlign w:val="center"/>
          </w:tcPr>
          <w:p w:rsidR="00CB149D" w:rsidRPr="00CB149D" w:rsidRDefault="00CB149D" w:rsidP="00CB149D">
            <w:pPr>
              <w:jc w:val="center"/>
              <w:rPr>
                <w:sz w:val="18"/>
                <w:szCs w:val="18"/>
              </w:rPr>
            </w:pPr>
            <w:r w:rsidRPr="00CB149D">
              <w:rPr>
                <w:sz w:val="18"/>
                <w:szCs w:val="18"/>
              </w:rPr>
              <w:t>31.812**</w:t>
            </w:r>
          </w:p>
        </w:tc>
        <w:tc>
          <w:tcPr>
            <w:tcW w:w="1584" w:type="dxa"/>
            <w:shd w:val="clear" w:color="auto" w:fill="auto"/>
            <w:vAlign w:val="center"/>
          </w:tcPr>
          <w:p w:rsidR="00CB149D" w:rsidRPr="00CB149D" w:rsidRDefault="00CB149D" w:rsidP="00CB149D">
            <w:pPr>
              <w:jc w:val="center"/>
              <w:rPr>
                <w:sz w:val="18"/>
                <w:szCs w:val="18"/>
              </w:rPr>
            </w:pPr>
            <w:r w:rsidRPr="00CB149D">
              <w:rPr>
                <w:sz w:val="18"/>
                <w:szCs w:val="18"/>
              </w:rPr>
              <w:t>18.002**</w:t>
            </w:r>
          </w:p>
        </w:tc>
      </w:tr>
      <w:tr w:rsidR="00CB149D" w:rsidRPr="00CB149D" w:rsidTr="00CB149D">
        <w:trPr>
          <w:trHeight w:val="227"/>
          <w:jc w:val="center"/>
        </w:trPr>
        <w:tc>
          <w:tcPr>
            <w:tcW w:w="1701" w:type="dxa"/>
            <w:tcBorders>
              <w:bottom w:val="single" w:sz="4" w:space="0" w:color="auto"/>
            </w:tcBorders>
            <w:shd w:val="clear" w:color="auto" w:fill="auto"/>
            <w:vAlign w:val="center"/>
          </w:tcPr>
          <w:p w:rsidR="00CB149D" w:rsidRPr="00CB149D" w:rsidRDefault="00CB149D" w:rsidP="00CB149D">
            <w:pPr>
              <w:ind w:left="114"/>
              <w:rPr>
                <w:sz w:val="18"/>
                <w:szCs w:val="18"/>
                <w:rtl/>
              </w:rPr>
            </w:pPr>
            <w:r w:rsidRPr="00CB149D">
              <w:rPr>
                <w:sz w:val="18"/>
                <w:szCs w:val="18"/>
              </w:rPr>
              <w:t>Error</w:t>
            </w:r>
          </w:p>
        </w:tc>
        <w:tc>
          <w:tcPr>
            <w:tcW w:w="750" w:type="dxa"/>
            <w:tcBorders>
              <w:bottom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30</w:t>
            </w:r>
          </w:p>
        </w:tc>
        <w:tc>
          <w:tcPr>
            <w:tcW w:w="1321" w:type="dxa"/>
            <w:tcBorders>
              <w:bottom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0.17</w:t>
            </w:r>
          </w:p>
        </w:tc>
        <w:tc>
          <w:tcPr>
            <w:tcW w:w="1950" w:type="dxa"/>
            <w:tcBorders>
              <w:bottom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0.430</w:t>
            </w:r>
          </w:p>
        </w:tc>
        <w:tc>
          <w:tcPr>
            <w:tcW w:w="1584" w:type="dxa"/>
            <w:tcBorders>
              <w:bottom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0.827</w:t>
            </w:r>
          </w:p>
        </w:tc>
      </w:tr>
      <w:tr w:rsidR="00CB149D" w:rsidRPr="00CB149D" w:rsidTr="00CB149D">
        <w:trPr>
          <w:trHeight w:val="227"/>
          <w:jc w:val="center"/>
        </w:trPr>
        <w:tc>
          <w:tcPr>
            <w:tcW w:w="1701" w:type="dxa"/>
            <w:tcBorders>
              <w:top w:val="single" w:sz="4" w:space="0" w:color="auto"/>
              <w:bottom w:val="single" w:sz="4" w:space="0" w:color="auto"/>
            </w:tcBorders>
            <w:shd w:val="clear" w:color="auto" w:fill="auto"/>
            <w:vAlign w:val="center"/>
          </w:tcPr>
          <w:p w:rsidR="00CB149D" w:rsidRPr="00CB149D" w:rsidRDefault="00CB149D" w:rsidP="00CB149D">
            <w:pPr>
              <w:ind w:left="114"/>
              <w:rPr>
                <w:sz w:val="18"/>
                <w:szCs w:val="18"/>
              </w:rPr>
            </w:pPr>
            <w:r w:rsidRPr="00CB149D">
              <w:rPr>
                <w:sz w:val="18"/>
                <w:szCs w:val="18"/>
              </w:rPr>
              <w:t>CV %</w:t>
            </w:r>
          </w:p>
        </w:tc>
        <w:tc>
          <w:tcPr>
            <w:tcW w:w="750" w:type="dxa"/>
            <w:tcBorders>
              <w:top w:val="single" w:sz="4" w:space="0" w:color="auto"/>
              <w:bottom w:val="single" w:sz="4" w:space="0" w:color="auto"/>
            </w:tcBorders>
            <w:shd w:val="clear" w:color="auto" w:fill="auto"/>
            <w:vAlign w:val="center"/>
          </w:tcPr>
          <w:p w:rsidR="00CB149D" w:rsidRPr="00CB149D" w:rsidRDefault="00CB149D" w:rsidP="00CB149D">
            <w:pPr>
              <w:jc w:val="center"/>
              <w:rPr>
                <w:sz w:val="18"/>
                <w:szCs w:val="18"/>
              </w:rPr>
            </w:pPr>
          </w:p>
        </w:tc>
        <w:tc>
          <w:tcPr>
            <w:tcW w:w="1321" w:type="dxa"/>
            <w:tcBorders>
              <w:top w:val="single" w:sz="4" w:space="0" w:color="auto"/>
              <w:bottom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5.57</w:t>
            </w:r>
          </w:p>
        </w:tc>
        <w:tc>
          <w:tcPr>
            <w:tcW w:w="1950" w:type="dxa"/>
            <w:tcBorders>
              <w:top w:val="single" w:sz="4" w:space="0" w:color="auto"/>
              <w:bottom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5.41</w:t>
            </w:r>
          </w:p>
        </w:tc>
        <w:tc>
          <w:tcPr>
            <w:tcW w:w="1584" w:type="dxa"/>
            <w:tcBorders>
              <w:top w:val="single" w:sz="4" w:space="0" w:color="auto"/>
              <w:bottom w:val="single" w:sz="4" w:space="0" w:color="auto"/>
            </w:tcBorders>
            <w:shd w:val="clear" w:color="auto" w:fill="auto"/>
            <w:vAlign w:val="center"/>
          </w:tcPr>
          <w:p w:rsidR="00CB149D" w:rsidRPr="00CB149D" w:rsidRDefault="00CB149D" w:rsidP="00CB149D">
            <w:pPr>
              <w:jc w:val="center"/>
              <w:rPr>
                <w:sz w:val="18"/>
                <w:szCs w:val="18"/>
              </w:rPr>
            </w:pPr>
            <w:r w:rsidRPr="00CB149D">
              <w:rPr>
                <w:sz w:val="18"/>
                <w:szCs w:val="18"/>
              </w:rPr>
              <w:t>10.068</w:t>
            </w:r>
          </w:p>
        </w:tc>
      </w:tr>
    </w:tbl>
    <w:p w:rsidR="00CB149D" w:rsidRDefault="00CB149D" w:rsidP="00CB149D">
      <w:pPr>
        <w:jc w:val="both"/>
        <w:rPr>
          <w:sz w:val="18"/>
          <w:szCs w:val="18"/>
        </w:rPr>
      </w:pPr>
      <w:r w:rsidRPr="00CB149D">
        <w:rPr>
          <w:sz w:val="18"/>
          <w:szCs w:val="18"/>
        </w:rPr>
        <w:t>ns, *, and ** indicate: not significant, significant at the 5% and 1% probability levels, respectively.</w:t>
      </w:r>
    </w:p>
    <w:p w:rsidR="00CB149D" w:rsidRPr="00CB149D" w:rsidRDefault="00CB149D" w:rsidP="00CB149D">
      <w:pPr>
        <w:jc w:val="both"/>
        <w:rPr>
          <w:sz w:val="22"/>
          <w:szCs w:val="22"/>
        </w:rPr>
      </w:pPr>
    </w:p>
    <w:p w:rsidR="00CB149D" w:rsidRDefault="00CB149D" w:rsidP="00CB149D">
      <w:pPr>
        <w:jc w:val="both"/>
        <w:rPr>
          <w:bCs/>
          <w:iCs/>
          <w:sz w:val="22"/>
          <w:szCs w:val="22"/>
        </w:rPr>
      </w:pPr>
      <w:r w:rsidRPr="00CB149D">
        <w:rPr>
          <w:bCs/>
          <w:iCs/>
          <w:sz w:val="22"/>
          <w:szCs w:val="22"/>
        </w:rPr>
        <w:t>Grain yield</w:t>
      </w:r>
    </w:p>
    <w:p w:rsidR="00CB149D" w:rsidRPr="00CB149D" w:rsidRDefault="00CB149D" w:rsidP="00CB149D">
      <w:pPr>
        <w:jc w:val="both"/>
        <w:rPr>
          <w:bCs/>
          <w:iCs/>
          <w:sz w:val="22"/>
          <w:szCs w:val="22"/>
        </w:rPr>
      </w:pPr>
    </w:p>
    <w:p w:rsidR="00CB149D" w:rsidRPr="00CB149D" w:rsidRDefault="00CB149D" w:rsidP="00CF0C4A">
      <w:pPr>
        <w:ind w:firstLine="426"/>
        <w:jc w:val="both"/>
        <w:rPr>
          <w:sz w:val="22"/>
          <w:szCs w:val="22"/>
        </w:rPr>
      </w:pPr>
      <w:r w:rsidRPr="00CB149D">
        <w:rPr>
          <w:sz w:val="22"/>
          <w:szCs w:val="22"/>
        </w:rPr>
        <w:t>According to the results (Figure 1), the highest grain yield was related to Zn1 treatment in each urea application, and also between biological treatments the highest yield was observed in inoculation treatment. The maximum grain yield (with 10.23 ton ha</w:t>
      </w:r>
      <w:r w:rsidRPr="00CB149D">
        <w:rPr>
          <w:sz w:val="22"/>
          <w:szCs w:val="22"/>
          <w:vertAlign w:val="superscript"/>
        </w:rPr>
        <w:t>-1</w:t>
      </w:r>
      <w:r w:rsidRPr="00CB149D">
        <w:rPr>
          <w:sz w:val="22"/>
          <w:szCs w:val="22"/>
        </w:rPr>
        <w:t>) was obtained through non-inoculation treatment × Zn1in urea 300 kg ha</w:t>
      </w:r>
      <w:r w:rsidRPr="00CB149D">
        <w:rPr>
          <w:sz w:val="22"/>
          <w:szCs w:val="22"/>
          <w:vertAlign w:val="superscript"/>
        </w:rPr>
        <w:t>-1</w:t>
      </w:r>
      <w:r w:rsidRPr="00CB149D">
        <w:rPr>
          <w:sz w:val="22"/>
          <w:szCs w:val="22"/>
        </w:rPr>
        <w:t>. According to the report of Mahmodi and Yarnia (2012), foliar application of zinc can increase maize grain yield up to 40% compared to control. Grzebisz et al. (2008) indicated that foliar treatment of zinc in the early stage of maize produced significantly higher yields. Grain yield is a final product of many yield-contributing components, from physiological processes to morphological development which take place in plants during growth and development stages. Both N and Zn applications increased the grain yield significantly. Therefore, the maximum grain yield was obtained when a foliar spray of Zn was applied at urea 300 kg ha</w:t>
      </w:r>
      <w:r w:rsidRPr="00CB149D">
        <w:rPr>
          <w:sz w:val="22"/>
          <w:szCs w:val="22"/>
          <w:vertAlign w:val="superscript"/>
        </w:rPr>
        <w:t>-1</w:t>
      </w:r>
      <w:r w:rsidRPr="00CB149D">
        <w:rPr>
          <w:sz w:val="22"/>
          <w:szCs w:val="22"/>
        </w:rPr>
        <w:t xml:space="preserve"> treatment. Zinc is an important micronutrient needed by the maize plant and its deficiency reduces the grain yield, especially during the grain filling stage (Peck and McDonald, 2010). The results are in agreement with the findings of Dang et al. (2010), who reported that foliar application of ZnSO</w:t>
      </w:r>
      <w:r w:rsidRPr="00CB149D">
        <w:rPr>
          <w:sz w:val="22"/>
          <w:szCs w:val="22"/>
          <w:vertAlign w:val="subscript"/>
        </w:rPr>
        <w:t>4</w:t>
      </w:r>
      <w:r w:rsidRPr="00CB149D">
        <w:rPr>
          <w:sz w:val="22"/>
          <w:szCs w:val="22"/>
        </w:rPr>
        <w:t xml:space="preserve"> significantly increased the grain yield of hybrid maize. These results are also in agreement with those obtained by Grzebisz et al. (2008), who showed that foliar application of ZnSO</w:t>
      </w:r>
      <w:r w:rsidRPr="00CB149D">
        <w:rPr>
          <w:sz w:val="22"/>
          <w:szCs w:val="22"/>
          <w:vertAlign w:val="subscript"/>
        </w:rPr>
        <w:t>4</w:t>
      </w:r>
      <w:r w:rsidRPr="00CB149D">
        <w:rPr>
          <w:sz w:val="22"/>
          <w:szCs w:val="22"/>
        </w:rPr>
        <w:t xml:space="preserve"> increased the biomass of maize hybrids. Our results show that Azotobacter inoculant increased the yield in Zn1 under 100 and 200 amounts of kg urea ha</w:t>
      </w:r>
      <w:r w:rsidRPr="00CB149D">
        <w:rPr>
          <w:sz w:val="22"/>
          <w:szCs w:val="22"/>
          <w:vertAlign w:val="superscript"/>
        </w:rPr>
        <w:t xml:space="preserve">-1 </w:t>
      </w:r>
      <w:r w:rsidRPr="00CB149D">
        <w:rPr>
          <w:sz w:val="22"/>
          <w:szCs w:val="22"/>
        </w:rPr>
        <w:t>applications, but not in all treatments.</w:t>
      </w:r>
    </w:p>
    <w:p w:rsidR="00CB149D" w:rsidRDefault="00CB149D" w:rsidP="00CF0C4A">
      <w:pPr>
        <w:ind w:firstLine="426"/>
        <w:jc w:val="both"/>
        <w:rPr>
          <w:sz w:val="22"/>
          <w:szCs w:val="22"/>
        </w:rPr>
      </w:pPr>
      <w:r w:rsidRPr="00CB149D">
        <w:rPr>
          <w:sz w:val="22"/>
          <w:szCs w:val="22"/>
        </w:rPr>
        <w:t xml:space="preserve">On the other hand, nitrogen as the most frequently used macro element has the key role in increasing yield and utilization of potassium, phosphorus and other micro and macro elements in plants. A positive response of nitrogen fertilizers has been well documented by many authors </w:t>
      </w:r>
      <w:r w:rsidRPr="00CB149D">
        <w:rPr>
          <w:color w:val="000000"/>
          <w:sz w:val="22"/>
          <w:szCs w:val="22"/>
        </w:rPr>
        <w:t xml:space="preserve">(El Amin, 2003; </w:t>
      </w:r>
      <w:hyperlink r:id="rId8" w:anchor="b0005" w:history="1">
        <w:r w:rsidRPr="002A0C59">
          <w:rPr>
            <w:rStyle w:val="Hyperlink"/>
            <w:color w:val="000000"/>
            <w:sz w:val="22"/>
            <w:szCs w:val="22"/>
            <w:u w:val="none"/>
          </w:rPr>
          <w:t>Abdelgader, 2007</w:t>
        </w:r>
      </w:hyperlink>
      <w:r w:rsidRPr="002A0C59">
        <w:rPr>
          <w:color w:val="000000"/>
          <w:sz w:val="22"/>
          <w:szCs w:val="22"/>
        </w:rPr>
        <w:t xml:space="preserve">; </w:t>
      </w:r>
      <w:r w:rsidRPr="00CB149D">
        <w:rPr>
          <w:sz w:val="22"/>
          <w:szCs w:val="22"/>
        </w:rPr>
        <w:t xml:space="preserve">Nemati and Seyedsharifi, 2012; Kisetu et al., 2014). In our study, by increasing levels of urea fertilizer from </w:t>
      </w:r>
      <w:r w:rsidRPr="00CB149D">
        <w:rPr>
          <w:noProof/>
          <w:sz w:val="22"/>
          <w:szCs w:val="22"/>
        </w:rPr>
        <w:t>100 kg ha</w:t>
      </w:r>
      <w:r w:rsidRPr="00CB149D">
        <w:rPr>
          <w:sz w:val="22"/>
          <w:szCs w:val="22"/>
          <w:vertAlign w:val="superscript"/>
        </w:rPr>
        <w:t>-1</w:t>
      </w:r>
      <w:r w:rsidRPr="00CB149D">
        <w:rPr>
          <w:sz w:val="22"/>
          <w:szCs w:val="22"/>
        </w:rPr>
        <w:t xml:space="preserve"> to </w:t>
      </w:r>
      <w:r w:rsidRPr="00CB149D">
        <w:rPr>
          <w:noProof/>
          <w:sz w:val="22"/>
          <w:szCs w:val="22"/>
        </w:rPr>
        <w:t>300 kg ha</w:t>
      </w:r>
      <w:r w:rsidRPr="00CB149D">
        <w:rPr>
          <w:noProof/>
          <w:sz w:val="22"/>
          <w:szCs w:val="22"/>
          <w:vertAlign w:val="superscript"/>
        </w:rPr>
        <w:t>-1</w:t>
      </w:r>
      <w:r w:rsidRPr="00CB149D">
        <w:rPr>
          <w:noProof/>
          <w:sz w:val="22"/>
          <w:szCs w:val="22"/>
        </w:rPr>
        <w:t>,</w:t>
      </w:r>
      <w:r w:rsidRPr="00CB149D">
        <w:rPr>
          <w:sz w:val="22"/>
          <w:szCs w:val="22"/>
        </w:rPr>
        <w:t xml:space="preserve"> the grain yield was positively affected and increased (Figure 1). It suggests that C4 photosynthesis path way allows a very efficient conversion of CO</w:t>
      </w:r>
      <w:r w:rsidRPr="00CB149D">
        <w:rPr>
          <w:sz w:val="22"/>
          <w:szCs w:val="22"/>
          <w:vertAlign w:val="subscript"/>
        </w:rPr>
        <w:t>2</w:t>
      </w:r>
      <w:r w:rsidRPr="00CB149D">
        <w:rPr>
          <w:sz w:val="22"/>
          <w:szCs w:val="22"/>
        </w:rPr>
        <w:t xml:space="preserve"> into carbohydrates and final grain yield, especially under high nitrogen input systems and also it is well known that plants require the highest amounts of nitrogen (Ghannoum et al., 2011).</w:t>
      </w:r>
    </w:p>
    <w:p w:rsidR="00CB149D" w:rsidRPr="00CB149D" w:rsidRDefault="00CB149D" w:rsidP="00CB149D">
      <w:pPr>
        <w:ind w:firstLine="720"/>
        <w:jc w:val="both"/>
        <w:rPr>
          <w:sz w:val="22"/>
          <w:szCs w:val="22"/>
        </w:rPr>
      </w:pPr>
    </w:p>
    <w:p w:rsidR="00CB149D" w:rsidRDefault="00495F7E" w:rsidP="00495F7E">
      <w:pPr>
        <w:jc w:val="center"/>
        <w:rPr>
          <w:sz w:val="22"/>
          <w:szCs w:val="22"/>
        </w:rPr>
      </w:pPr>
      <w:r>
        <w:rPr>
          <w:noProof/>
          <w:lang w:val="en-US" w:eastAsia="en-US"/>
        </w:rPr>
        <w:lastRenderedPageBreak/>
        <w:drawing>
          <wp:inline distT="0" distB="0" distL="0" distR="0">
            <wp:extent cx="2196000" cy="2163170"/>
            <wp:effectExtent l="0" t="0" r="0" b="0"/>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495F7E">
        <w:rPr>
          <w:noProof/>
          <w:sz w:val="22"/>
          <w:szCs w:val="22"/>
          <w:lang w:val="en-US" w:eastAsia="en-US"/>
        </w:rPr>
        <w:drawing>
          <wp:inline distT="0" distB="0" distL="0" distR="0">
            <wp:extent cx="2161739" cy="2160000"/>
            <wp:effectExtent l="0" t="0" r="0" b="0"/>
            <wp:docPr id="21"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B149D" w:rsidRDefault="00495F7E" w:rsidP="00CB149D">
      <w:pPr>
        <w:ind w:firstLine="426"/>
        <w:jc w:val="center"/>
        <w:rPr>
          <w:sz w:val="22"/>
          <w:szCs w:val="22"/>
        </w:rPr>
      </w:pPr>
      <w:r>
        <w:rPr>
          <w:noProof/>
          <w:lang w:val="en-US" w:eastAsia="en-US"/>
        </w:rPr>
        <w:drawing>
          <wp:inline distT="0" distB="0" distL="0" distR="0">
            <wp:extent cx="2196000" cy="2183642"/>
            <wp:effectExtent l="0" t="0" r="0" b="0"/>
            <wp:docPr id="20"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5F7E" w:rsidRPr="00CF0C4A" w:rsidRDefault="00495F7E" w:rsidP="00CB149D">
      <w:pPr>
        <w:ind w:firstLine="426"/>
        <w:jc w:val="center"/>
        <w:rPr>
          <w:sz w:val="16"/>
          <w:szCs w:val="16"/>
        </w:rPr>
      </w:pPr>
    </w:p>
    <w:p w:rsidR="00CB149D" w:rsidRDefault="00CB149D" w:rsidP="00CB149D">
      <w:pPr>
        <w:ind w:firstLine="426"/>
        <w:jc w:val="center"/>
        <w:rPr>
          <w:noProof/>
          <w:sz w:val="22"/>
          <w:szCs w:val="22"/>
        </w:rPr>
      </w:pPr>
      <w:r w:rsidRPr="00CB149D">
        <w:rPr>
          <w:sz w:val="22"/>
          <w:szCs w:val="22"/>
        </w:rPr>
        <w:t xml:space="preserve">Figure 1. The interaction effect of </w:t>
      </w:r>
      <w:r w:rsidRPr="00CB149D">
        <w:rPr>
          <w:noProof/>
          <w:sz w:val="22"/>
          <w:szCs w:val="22"/>
        </w:rPr>
        <w:t xml:space="preserve">zinc and </w:t>
      </w:r>
      <w:r w:rsidRPr="00CB149D">
        <w:rPr>
          <w:i/>
          <w:iCs/>
          <w:noProof/>
          <w:sz w:val="22"/>
          <w:szCs w:val="22"/>
        </w:rPr>
        <w:t>Azotobacter</w:t>
      </w:r>
      <w:r w:rsidRPr="00CB149D">
        <w:rPr>
          <w:noProof/>
          <w:sz w:val="22"/>
          <w:szCs w:val="22"/>
        </w:rPr>
        <w:t xml:space="preserve"> treatments between different urea levels on grain yield (A = Urea 100 kg/ha; B = </w:t>
      </w:r>
    </w:p>
    <w:p w:rsidR="00CB149D" w:rsidRDefault="00CB149D" w:rsidP="00CB149D">
      <w:pPr>
        <w:ind w:firstLine="426"/>
        <w:jc w:val="center"/>
        <w:rPr>
          <w:noProof/>
          <w:sz w:val="22"/>
          <w:szCs w:val="22"/>
        </w:rPr>
      </w:pPr>
      <w:r w:rsidRPr="00CB149D">
        <w:rPr>
          <w:noProof/>
          <w:sz w:val="22"/>
          <w:szCs w:val="22"/>
        </w:rPr>
        <w:t>Urea 200 kg/ha; C = Urea 300 kg/ha).</w:t>
      </w:r>
    </w:p>
    <w:p w:rsidR="00CF0C4A" w:rsidRPr="00CF0C4A" w:rsidRDefault="00CF0C4A" w:rsidP="00CB149D">
      <w:pPr>
        <w:ind w:firstLine="426"/>
        <w:jc w:val="center"/>
        <w:rPr>
          <w:bCs/>
          <w:iCs/>
          <w:sz w:val="18"/>
          <w:szCs w:val="18"/>
        </w:rPr>
      </w:pPr>
    </w:p>
    <w:p w:rsidR="00CB149D" w:rsidRDefault="00CB149D" w:rsidP="00CB149D">
      <w:pPr>
        <w:ind w:firstLine="426"/>
        <w:jc w:val="both"/>
        <w:rPr>
          <w:bCs/>
          <w:iCs/>
          <w:sz w:val="22"/>
          <w:szCs w:val="22"/>
        </w:rPr>
      </w:pPr>
      <w:r w:rsidRPr="00CB149D">
        <w:rPr>
          <w:bCs/>
          <w:iCs/>
          <w:sz w:val="22"/>
          <w:szCs w:val="22"/>
        </w:rPr>
        <w:t xml:space="preserve">Dry matter </w:t>
      </w:r>
    </w:p>
    <w:p w:rsidR="00CB149D" w:rsidRPr="00CF0C4A" w:rsidRDefault="00CB149D" w:rsidP="00CB149D">
      <w:pPr>
        <w:ind w:firstLine="426"/>
        <w:jc w:val="both"/>
        <w:rPr>
          <w:bCs/>
          <w:iCs/>
          <w:sz w:val="16"/>
          <w:szCs w:val="16"/>
        </w:rPr>
      </w:pPr>
    </w:p>
    <w:p w:rsidR="00CB149D" w:rsidRDefault="00CB149D" w:rsidP="00CB149D">
      <w:pPr>
        <w:ind w:firstLine="426"/>
        <w:jc w:val="both"/>
        <w:rPr>
          <w:sz w:val="22"/>
          <w:szCs w:val="22"/>
        </w:rPr>
      </w:pPr>
      <w:r w:rsidRPr="00CB149D">
        <w:rPr>
          <w:sz w:val="22"/>
          <w:szCs w:val="22"/>
        </w:rPr>
        <w:t>The crop dry matter yield strongly correlated with the grain yield under optimal conditions (Abdalla et al., 2015). The various significant differences were observed between inoculant treatments and different levels of zinc in urea 200 kg ha</w:t>
      </w:r>
      <w:r w:rsidRPr="00CB149D">
        <w:rPr>
          <w:sz w:val="22"/>
          <w:szCs w:val="22"/>
          <w:vertAlign w:val="superscript"/>
        </w:rPr>
        <w:t>-1</w:t>
      </w:r>
      <w:r w:rsidRPr="00CB149D">
        <w:rPr>
          <w:sz w:val="22"/>
          <w:szCs w:val="22"/>
        </w:rPr>
        <w:t xml:space="preserve"> treatment for dry matter (Figure 2). So that, the highest dry matter was related to Zn1+ inoculation treatment (19.36 ton ha</w:t>
      </w:r>
      <w:r w:rsidRPr="00CB149D">
        <w:rPr>
          <w:sz w:val="22"/>
          <w:szCs w:val="22"/>
          <w:vertAlign w:val="superscript"/>
        </w:rPr>
        <w:t>-1</w:t>
      </w:r>
      <w:r w:rsidRPr="00CB149D">
        <w:rPr>
          <w:sz w:val="22"/>
          <w:szCs w:val="22"/>
        </w:rPr>
        <w:t xml:space="preserve">). There was no effect of </w:t>
      </w:r>
      <w:r w:rsidRPr="00CB149D">
        <w:rPr>
          <w:i/>
          <w:iCs/>
          <w:sz w:val="22"/>
          <w:szCs w:val="22"/>
        </w:rPr>
        <w:t>Azotobacter</w:t>
      </w:r>
      <w:r w:rsidRPr="00CB149D">
        <w:rPr>
          <w:sz w:val="22"/>
          <w:szCs w:val="22"/>
        </w:rPr>
        <w:t xml:space="preserve"> inoculation on biological yield for each level of zinc applied in the urea 300 kg ha</w:t>
      </w:r>
      <w:r w:rsidRPr="00CB149D">
        <w:rPr>
          <w:sz w:val="22"/>
          <w:szCs w:val="22"/>
          <w:vertAlign w:val="superscript"/>
        </w:rPr>
        <w:t>-1</w:t>
      </w:r>
      <w:r w:rsidRPr="00CB149D">
        <w:rPr>
          <w:sz w:val="22"/>
          <w:szCs w:val="22"/>
        </w:rPr>
        <w:t xml:space="preserve"> treatment. Alloway (2004) summarized that zinc external supply is a primary factor accelerating plant root growth and in turn increasing zinc uptake. Our results are in </w:t>
      </w:r>
      <w:r w:rsidRPr="00CB149D">
        <w:rPr>
          <w:sz w:val="22"/>
          <w:szCs w:val="22"/>
        </w:rPr>
        <w:lastRenderedPageBreak/>
        <w:t xml:space="preserve">line with the findings of Malavolta (2006), who also reported that foliar application of micronutrients was a more efficient method compared with ground fertilization, and zinc should be applied as foliar application to the maize plant grown especially in zinc-deficient soils. Moreover, it has been reported that the maize biomass increased through the seed inoculation with </w:t>
      </w:r>
      <w:r w:rsidRPr="00CB149D">
        <w:rPr>
          <w:i/>
          <w:iCs/>
          <w:sz w:val="22"/>
          <w:szCs w:val="22"/>
        </w:rPr>
        <w:t xml:space="preserve">Azotobacter chroococcum </w:t>
      </w:r>
      <w:r w:rsidRPr="00CB149D">
        <w:rPr>
          <w:sz w:val="22"/>
          <w:szCs w:val="22"/>
        </w:rPr>
        <w:t xml:space="preserve">(Adjanohoun et al., 2011). Shaharoona et al. (2006) observed the biomass improved up to 68.4% in maize when the seeds were inoculated by </w:t>
      </w:r>
      <w:r w:rsidRPr="00CB149D">
        <w:rPr>
          <w:i/>
          <w:iCs/>
          <w:sz w:val="22"/>
          <w:szCs w:val="22"/>
        </w:rPr>
        <w:t xml:space="preserve">Azotobacter </w:t>
      </w:r>
      <w:r w:rsidRPr="00CB149D">
        <w:rPr>
          <w:sz w:val="22"/>
          <w:szCs w:val="22"/>
        </w:rPr>
        <w:t>compared to control. Vegetative growth and consequently biological yield are highly dependent on consumption of micro and macro chemical elements by the maize plant (Ehsanullah et al., 2015), so application of fertilizers that contain those elements leads to an increase in biological yield of maize.</w:t>
      </w:r>
    </w:p>
    <w:p w:rsidR="00495F7E" w:rsidRPr="00495F7E" w:rsidRDefault="00495F7E" w:rsidP="00CB149D">
      <w:pPr>
        <w:ind w:firstLine="426"/>
        <w:jc w:val="both"/>
        <w:rPr>
          <w:sz w:val="10"/>
          <w:szCs w:val="10"/>
        </w:rPr>
      </w:pPr>
    </w:p>
    <w:p w:rsidR="00495F7E" w:rsidRDefault="00495F7E" w:rsidP="00495F7E">
      <w:pPr>
        <w:ind w:firstLine="142"/>
        <w:jc w:val="both"/>
        <w:rPr>
          <w:sz w:val="22"/>
          <w:szCs w:val="22"/>
        </w:rPr>
      </w:pPr>
      <w:r>
        <w:rPr>
          <w:noProof/>
          <w:lang w:val="en-US" w:eastAsia="en-US"/>
        </w:rPr>
        <w:drawing>
          <wp:inline distT="0" distB="0" distL="0" distR="0">
            <wp:extent cx="2163170" cy="2160000"/>
            <wp:effectExtent l="0" t="0" r="0" b="0"/>
            <wp:docPr id="22"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lang w:val="en-US" w:eastAsia="en-US"/>
        </w:rPr>
        <w:drawing>
          <wp:inline distT="0" distB="0" distL="0" distR="0">
            <wp:extent cx="2163171" cy="2160000"/>
            <wp:effectExtent l="0" t="0" r="0" b="0"/>
            <wp:docPr id="23"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5F7E" w:rsidRPr="00495F7E" w:rsidRDefault="00495F7E" w:rsidP="00CB149D">
      <w:pPr>
        <w:ind w:firstLine="426"/>
        <w:jc w:val="both"/>
        <w:rPr>
          <w:sz w:val="10"/>
          <w:szCs w:val="10"/>
        </w:rPr>
      </w:pPr>
    </w:p>
    <w:p w:rsidR="00495F7E" w:rsidRDefault="00495F7E" w:rsidP="00495F7E">
      <w:pPr>
        <w:ind w:firstLine="426"/>
        <w:jc w:val="center"/>
        <w:rPr>
          <w:sz w:val="22"/>
          <w:szCs w:val="22"/>
        </w:rPr>
      </w:pPr>
      <w:r>
        <w:rPr>
          <w:noProof/>
          <w:lang w:val="en-US" w:eastAsia="en-US"/>
        </w:rPr>
        <w:drawing>
          <wp:inline distT="0" distB="0" distL="0" distR="0">
            <wp:extent cx="2163171" cy="2026692"/>
            <wp:effectExtent l="0" t="0" r="0" b="0"/>
            <wp:docPr id="24"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95F7E" w:rsidRPr="00495F7E" w:rsidRDefault="00495F7E" w:rsidP="00495F7E">
      <w:pPr>
        <w:ind w:firstLine="426"/>
        <w:jc w:val="center"/>
        <w:rPr>
          <w:sz w:val="10"/>
          <w:szCs w:val="10"/>
        </w:rPr>
      </w:pPr>
    </w:p>
    <w:p w:rsidR="00495F7E" w:rsidRDefault="00495F7E" w:rsidP="00495F7E">
      <w:pPr>
        <w:ind w:firstLine="426"/>
        <w:jc w:val="center"/>
        <w:rPr>
          <w:noProof/>
          <w:sz w:val="22"/>
          <w:szCs w:val="22"/>
        </w:rPr>
      </w:pPr>
      <w:r w:rsidRPr="00CB149D">
        <w:rPr>
          <w:sz w:val="22"/>
          <w:szCs w:val="22"/>
        </w:rPr>
        <w:t xml:space="preserve">Figure 2. The interaction effect of </w:t>
      </w:r>
      <w:r w:rsidRPr="00CB149D">
        <w:rPr>
          <w:noProof/>
          <w:sz w:val="22"/>
          <w:szCs w:val="22"/>
        </w:rPr>
        <w:t xml:space="preserve">zinc and </w:t>
      </w:r>
      <w:r w:rsidRPr="00CB149D">
        <w:rPr>
          <w:i/>
          <w:iCs/>
          <w:noProof/>
          <w:sz w:val="22"/>
          <w:szCs w:val="22"/>
        </w:rPr>
        <w:t>Azotobacter</w:t>
      </w:r>
      <w:r w:rsidRPr="00CB149D">
        <w:rPr>
          <w:noProof/>
          <w:sz w:val="22"/>
          <w:szCs w:val="22"/>
        </w:rPr>
        <w:t xml:space="preserve"> treatments between different urea levels on dry matter (A = Urea 100 kg ha</w:t>
      </w:r>
      <w:r w:rsidRPr="00CB149D">
        <w:rPr>
          <w:noProof/>
          <w:sz w:val="22"/>
          <w:szCs w:val="22"/>
          <w:vertAlign w:val="superscript"/>
        </w:rPr>
        <w:t>-1</w:t>
      </w:r>
      <w:r w:rsidRPr="00CB149D">
        <w:rPr>
          <w:noProof/>
          <w:sz w:val="22"/>
          <w:szCs w:val="22"/>
        </w:rPr>
        <w:t xml:space="preserve">; B = </w:t>
      </w:r>
    </w:p>
    <w:p w:rsidR="00495F7E" w:rsidRDefault="00495F7E" w:rsidP="00495F7E">
      <w:pPr>
        <w:ind w:firstLine="426"/>
        <w:jc w:val="center"/>
        <w:rPr>
          <w:noProof/>
          <w:sz w:val="22"/>
          <w:szCs w:val="22"/>
        </w:rPr>
      </w:pPr>
      <w:r w:rsidRPr="00CB149D">
        <w:rPr>
          <w:noProof/>
          <w:sz w:val="22"/>
          <w:szCs w:val="22"/>
        </w:rPr>
        <w:t>Urea 200 kg ha</w:t>
      </w:r>
      <w:r w:rsidRPr="00CB149D">
        <w:rPr>
          <w:noProof/>
          <w:sz w:val="22"/>
          <w:szCs w:val="22"/>
          <w:vertAlign w:val="superscript"/>
        </w:rPr>
        <w:t>-1</w:t>
      </w:r>
      <w:r w:rsidRPr="00CB149D">
        <w:rPr>
          <w:noProof/>
          <w:sz w:val="22"/>
          <w:szCs w:val="22"/>
        </w:rPr>
        <w:t>; C = Urea 300kg ha</w:t>
      </w:r>
      <w:r w:rsidRPr="00CB149D">
        <w:rPr>
          <w:noProof/>
          <w:sz w:val="22"/>
          <w:szCs w:val="22"/>
          <w:vertAlign w:val="superscript"/>
        </w:rPr>
        <w:t>-1</w:t>
      </w:r>
      <w:r w:rsidRPr="00CB149D">
        <w:rPr>
          <w:noProof/>
          <w:sz w:val="22"/>
          <w:szCs w:val="22"/>
        </w:rPr>
        <w:t>)</w:t>
      </w:r>
      <w:r>
        <w:rPr>
          <w:noProof/>
          <w:sz w:val="22"/>
          <w:szCs w:val="22"/>
        </w:rPr>
        <w:t>.</w:t>
      </w:r>
    </w:p>
    <w:p w:rsidR="00CF0C4A" w:rsidRDefault="00CF0C4A" w:rsidP="00CF0C4A">
      <w:pPr>
        <w:ind w:firstLine="426"/>
        <w:jc w:val="both"/>
        <w:rPr>
          <w:bCs/>
          <w:iCs/>
          <w:sz w:val="22"/>
          <w:szCs w:val="22"/>
        </w:rPr>
      </w:pPr>
      <w:r w:rsidRPr="00CB149D">
        <w:rPr>
          <w:bCs/>
          <w:iCs/>
          <w:sz w:val="22"/>
          <w:szCs w:val="22"/>
        </w:rPr>
        <w:lastRenderedPageBreak/>
        <w:t>Protein content (%)</w:t>
      </w:r>
    </w:p>
    <w:p w:rsidR="00CF0C4A" w:rsidRPr="00CF0C4A" w:rsidRDefault="00CF0C4A" w:rsidP="00CF0C4A">
      <w:pPr>
        <w:ind w:firstLine="426"/>
        <w:jc w:val="both"/>
        <w:rPr>
          <w:bCs/>
          <w:iCs/>
          <w:sz w:val="18"/>
          <w:szCs w:val="18"/>
        </w:rPr>
      </w:pPr>
    </w:p>
    <w:p w:rsidR="00CF0C4A" w:rsidRDefault="00CF0C4A" w:rsidP="00CF0C4A">
      <w:pPr>
        <w:autoSpaceDE w:val="0"/>
        <w:autoSpaceDN w:val="0"/>
        <w:adjustRightInd w:val="0"/>
        <w:ind w:firstLine="426"/>
        <w:jc w:val="both"/>
        <w:rPr>
          <w:sz w:val="22"/>
          <w:szCs w:val="22"/>
        </w:rPr>
      </w:pPr>
      <w:r w:rsidRPr="00CB149D">
        <w:rPr>
          <w:sz w:val="22"/>
          <w:szCs w:val="22"/>
        </w:rPr>
        <w:t xml:space="preserve">The grain protein content has a very important role in nutritional value of the cereals (Shewry and Halford, 2002). Thus, based on the results amongst different levels of N treatment (urea) the highest protein content was attributed to urea </w:t>
      </w:r>
      <w:r>
        <w:rPr>
          <w:sz w:val="22"/>
          <w:szCs w:val="22"/>
        </w:rPr>
        <w:br/>
      </w:r>
      <w:r w:rsidRPr="00CB149D">
        <w:rPr>
          <w:sz w:val="22"/>
          <w:szCs w:val="22"/>
        </w:rPr>
        <w:t>300 kg ha</w:t>
      </w:r>
      <w:r w:rsidRPr="00CB149D">
        <w:rPr>
          <w:sz w:val="22"/>
          <w:szCs w:val="22"/>
          <w:vertAlign w:val="superscript"/>
        </w:rPr>
        <w:t>-1</w:t>
      </w:r>
      <w:r w:rsidRPr="00CB149D">
        <w:rPr>
          <w:sz w:val="22"/>
          <w:szCs w:val="22"/>
        </w:rPr>
        <w:t xml:space="preserve"> (with the average of 9.43%), but the maximum protein content </w:t>
      </w:r>
      <w:r>
        <w:rPr>
          <w:sz w:val="22"/>
          <w:szCs w:val="22"/>
        </w:rPr>
        <w:br/>
      </w:r>
      <w:r w:rsidRPr="00CB149D">
        <w:rPr>
          <w:sz w:val="22"/>
          <w:szCs w:val="22"/>
        </w:rPr>
        <w:t>was observed in Zn1+ Inoculation (with 15.22%) in urea 100 kg ha</w:t>
      </w:r>
      <w:r w:rsidRPr="00CB149D">
        <w:rPr>
          <w:sz w:val="22"/>
          <w:szCs w:val="22"/>
          <w:vertAlign w:val="superscript"/>
        </w:rPr>
        <w:t>-1</w:t>
      </w:r>
      <w:r w:rsidRPr="00CB149D">
        <w:rPr>
          <w:sz w:val="22"/>
          <w:szCs w:val="22"/>
        </w:rPr>
        <w:t xml:space="preserve"> treatment (Figure 3).</w:t>
      </w:r>
    </w:p>
    <w:p w:rsidR="00495F7E" w:rsidRDefault="00495F7E" w:rsidP="00495F7E">
      <w:pPr>
        <w:jc w:val="center"/>
        <w:rPr>
          <w:sz w:val="22"/>
          <w:szCs w:val="22"/>
        </w:rPr>
      </w:pPr>
      <w:r>
        <w:rPr>
          <w:noProof/>
          <w:lang w:val="en-US" w:eastAsia="en-US"/>
        </w:rPr>
        <w:drawing>
          <wp:inline distT="0" distB="0" distL="0" distR="0">
            <wp:extent cx="2163170" cy="2160000"/>
            <wp:effectExtent l="19050" t="0" r="8530" b="0"/>
            <wp:docPr id="14"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lang w:val="en-US" w:eastAsia="en-US"/>
        </w:rPr>
        <w:drawing>
          <wp:inline distT="0" distB="0" distL="0" distR="0">
            <wp:extent cx="2163170" cy="2160000"/>
            <wp:effectExtent l="0" t="0" r="0" b="0"/>
            <wp:docPr id="1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95F7E" w:rsidRPr="00495F7E" w:rsidRDefault="00495F7E" w:rsidP="00CB149D">
      <w:pPr>
        <w:ind w:firstLine="426"/>
        <w:jc w:val="both"/>
        <w:rPr>
          <w:sz w:val="4"/>
          <w:szCs w:val="4"/>
        </w:rPr>
      </w:pPr>
    </w:p>
    <w:p w:rsidR="00495F7E" w:rsidRDefault="00495F7E" w:rsidP="00495F7E">
      <w:pPr>
        <w:ind w:firstLine="142"/>
        <w:jc w:val="center"/>
        <w:rPr>
          <w:sz w:val="22"/>
          <w:szCs w:val="22"/>
        </w:rPr>
      </w:pPr>
      <w:r>
        <w:rPr>
          <w:noProof/>
          <w:lang w:val="en-US" w:eastAsia="en-US"/>
        </w:rPr>
        <w:drawing>
          <wp:inline distT="0" distB="0" distL="0" distR="0">
            <wp:extent cx="2163170" cy="2160000"/>
            <wp:effectExtent l="0" t="0" r="0" b="0"/>
            <wp:docPr id="16"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F0C4A" w:rsidRDefault="00CF0C4A" w:rsidP="00CF0C4A">
      <w:pPr>
        <w:ind w:firstLine="426"/>
        <w:jc w:val="center"/>
        <w:rPr>
          <w:noProof/>
          <w:sz w:val="22"/>
          <w:szCs w:val="22"/>
        </w:rPr>
      </w:pPr>
      <w:r w:rsidRPr="00CF0C4A">
        <w:rPr>
          <w:sz w:val="22"/>
          <w:szCs w:val="22"/>
        </w:rPr>
        <w:t xml:space="preserve">Figure 3. The interaction effect of </w:t>
      </w:r>
      <w:r w:rsidRPr="00CF0C4A">
        <w:rPr>
          <w:noProof/>
          <w:sz w:val="22"/>
          <w:szCs w:val="22"/>
        </w:rPr>
        <w:t xml:space="preserve">zinc and </w:t>
      </w:r>
      <w:r w:rsidRPr="00CF0C4A">
        <w:rPr>
          <w:i/>
          <w:iCs/>
          <w:noProof/>
          <w:sz w:val="22"/>
          <w:szCs w:val="22"/>
        </w:rPr>
        <w:t>Azotobacter</w:t>
      </w:r>
      <w:r w:rsidRPr="00CF0C4A">
        <w:rPr>
          <w:noProof/>
          <w:sz w:val="22"/>
          <w:szCs w:val="22"/>
        </w:rPr>
        <w:t xml:space="preserve"> treatments between different urea levels on protein content (A = Urea 100 kg ha</w:t>
      </w:r>
      <w:r w:rsidRPr="00CF0C4A">
        <w:rPr>
          <w:noProof/>
          <w:sz w:val="22"/>
          <w:szCs w:val="22"/>
          <w:vertAlign w:val="superscript"/>
        </w:rPr>
        <w:t>-1</w:t>
      </w:r>
      <w:r w:rsidRPr="00CF0C4A">
        <w:rPr>
          <w:noProof/>
          <w:sz w:val="22"/>
          <w:szCs w:val="22"/>
        </w:rPr>
        <w:t xml:space="preserve">; B = </w:t>
      </w:r>
    </w:p>
    <w:p w:rsidR="00495F7E" w:rsidRDefault="00CF0C4A" w:rsidP="00CF0C4A">
      <w:pPr>
        <w:ind w:firstLine="426"/>
        <w:jc w:val="center"/>
        <w:rPr>
          <w:noProof/>
          <w:sz w:val="22"/>
          <w:szCs w:val="22"/>
        </w:rPr>
      </w:pPr>
      <w:r w:rsidRPr="00CF0C4A">
        <w:rPr>
          <w:noProof/>
          <w:sz w:val="22"/>
          <w:szCs w:val="22"/>
        </w:rPr>
        <w:t>Urea 200 kg ha</w:t>
      </w:r>
      <w:r w:rsidRPr="00CF0C4A">
        <w:rPr>
          <w:noProof/>
          <w:sz w:val="22"/>
          <w:szCs w:val="22"/>
          <w:vertAlign w:val="superscript"/>
        </w:rPr>
        <w:t>-1</w:t>
      </w:r>
      <w:r w:rsidRPr="00CF0C4A">
        <w:rPr>
          <w:noProof/>
          <w:sz w:val="22"/>
          <w:szCs w:val="22"/>
        </w:rPr>
        <w:t>; C = Urea 300 kg ha</w:t>
      </w:r>
      <w:r w:rsidRPr="00CF0C4A">
        <w:rPr>
          <w:noProof/>
          <w:sz w:val="22"/>
          <w:szCs w:val="22"/>
          <w:vertAlign w:val="superscript"/>
        </w:rPr>
        <w:t>-1</w:t>
      </w:r>
      <w:r w:rsidRPr="00CF0C4A">
        <w:rPr>
          <w:noProof/>
          <w:sz w:val="22"/>
          <w:szCs w:val="22"/>
        </w:rPr>
        <w:t>)</w:t>
      </w:r>
      <w:r>
        <w:rPr>
          <w:noProof/>
          <w:sz w:val="22"/>
          <w:szCs w:val="22"/>
        </w:rPr>
        <w:t>.</w:t>
      </w:r>
    </w:p>
    <w:p w:rsidR="00CF0C4A" w:rsidRDefault="00CF0C4A" w:rsidP="00CF0C4A">
      <w:pPr>
        <w:ind w:firstLine="426"/>
        <w:jc w:val="center"/>
        <w:rPr>
          <w:noProof/>
          <w:sz w:val="22"/>
          <w:szCs w:val="22"/>
        </w:rPr>
      </w:pPr>
    </w:p>
    <w:p w:rsidR="00CF0C4A" w:rsidRPr="00CB149D" w:rsidRDefault="00CF0C4A" w:rsidP="00CF0C4A">
      <w:pPr>
        <w:autoSpaceDE w:val="0"/>
        <w:autoSpaceDN w:val="0"/>
        <w:adjustRightInd w:val="0"/>
        <w:ind w:firstLine="426"/>
        <w:jc w:val="both"/>
        <w:rPr>
          <w:sz w:val="22"/>
          <w:szCs w:val="22"/>
        </w:rPr>
      </w:pPr>
      <w:r w:rsidRPr="00CB149D">
        <w:rPr>
          <w:sz w:val="22"/>
          <w:szCs w:val="22"/>
        </w:rPr>
        <w:t xml:space="preserve">Palmgren et al. (2008) found that nitrogen efficiency was more essential for Zn absorption and uptake in cereals especially in the maize plant. Since zinc has a direct effect on the increase of protein in grains, the deficiency of this element in </w:t>
      </w:r>
      <w:r w:rsidRPr="00CB149D">
        <w:rPr>
          <w:sz w:val="22"/>
          <w:szCs w:val="22"/>
        </w:rPr>
        <w:lastRenderedPageBreak/>
        <w:t>crops will reduce the grain protein and thus amino acids could not be accumulated. Morshedi and Naghibi (2004) showed that zinc when applied foliarly increased the protein content of rapeseed. The increase of total nitrogen uptake induced by zinc application confirms the thesis of its primary effect on main physiological processes related to nutrients uptake (Potarzycki and Grzebisz, 2009). Changes in nitrogen supply levels affect the biosynthesis of all other nitrogen-containing compounds such as amino acids, proteins and hormones, especially in C</w:t>
      </w:r>
      <w:r w:rsidRPr="00CB149D">
        <w:rPr>
          <w:sz w:val="22"/>
          <w:szCs w:val="22"/>
          <w:vertAlign w:val="subscript"/>
        </w:rPr>
        <w:t xml:space="preserve">4 </w:t>
      </w:r>
      <w:r w:rsidRPr="00CB149D">
        <w:rPr>
          <w:sz w:val="22"/>
          <w:szCs w:val="22"/>
        </w:rPr>
        <w:t>plants. In the maize plant, the availability of nitrogen can affect the chlorophyll content of the leaves which is positively correlated with leaf nitrogen content and its allocations into grains (Schlüter et al., 2012).</w:t>
      </w:r>
    </w:p>
    <w:p w:rsidR="00CF0C4A" w:rsidRPr="00CF0C4A" w:rsidRDefault="00CF0C4A" w:rsidP="00CF0C4A">
      <w:pPr>
        <w:jc w:val="center"/>
        <w:rPr>
          <w:sz w:val="22"/>
          <w:szCs w:val="22"/>
        </w:rPr>
      </w:pPr>
    </w:p>
    <w:p w:rsidR="00CB149D" w:rsidRDefault="00CB149D" w:rsidP="00CB149D">
      <w:pPr>
        <w:tabs>
          <w:tab w:val="right" w:pos="9360"/>
        </w:tabs>
        <w:jc w:val="center"/>
        <w:rPr>
          <w:b/>
          <w:bCs/>
          <w:sz w:val="22"/>
          <w:szCs w:val="22"/>
        </w:rPr>
      </w:pPr>
      <w:r w:rsidRPr="00CB149D">
        <w:rPr>
          <w:b/>
          <w:bCs/>
          <w:sz w:val="22"/>
          <w:szCs w:val="22"/>
        </w:rPr>
        <w:t>Conclusion</w:t>
      </w:r>
    </w:p>
    <w:p w:rsidR="00CB149D" w:rsidRPr="00CB149D" w:rsidRDefault="00CB149D" w:rsidP="00CB149D">
      <w:pPr>
        <w:tabs>
          <w:tab w:val="right" w:pos="9360"/>
        </w:tabs>
        <w:jc w:val="center"/>
        <w:rPr>
          <w:b/>
          <w:bCs/>
          <w:sz w:val="22"/>
          <w:szCs w:val="22"/>
        </w:rPr>
      </w:pPr>
    </w:p>
    <w:p w:rsidR="00CB149D" w:rsidRPr="00CB149D" w:rsidRDefault="00CB149D" w:rsidP="00CB149D">
      <w:pPr>
        <w:ind w:firstLine="426"/>
        <w:jc w:val="both"/>
        <w:rPr>
          <w:sz w:val="22"/>
          <w:szCs w:val="22"/>
        </w:rPr>
      </w:pPr>
      <w:r w:rsidRPr="00CB149D">
        <w:rPr>
          <w:sz w:val="22"/>
          <w:szCs w:val="22"/>
        </w:rPr>
        <w:t>According to the results, it was found that the biofertilizer and foliar application of zinc could partially reduce the mineral N fertilizer inputs. Nevertheless, it may be impossible to reach maximum production by only using the biological fertilizers or plant micro elements, because it has been well proven that application of macro nutrient increases yield, growth, and quality of crops. Also, the results of our study showed that by combining some management strategies in maize production, the application of mineral fertilizers (the main causes of environmental and groundwater resources pollution) could be reduced. From the sustainability point of view, the importance of Integrated Nutrient Management (INM) has extended in recent years. This strategy covers the application of essential trace elements and biofertilizers, with the minimum use of chemical fertilizers to produce optimum crop yields. Consequently, the demand for biofertilizers can be expected to rise in the near future.</w:t>
      </w:r>
    </w:p>
    <w:p w:rsidR="00CB149D" w:rsidRPr="00CB149D" w:rsidRDefault="00CB149D" w:rsidP="00CB149D">
      <w:pPr>
        <w:ind w:firstLine="426"/>
        <w:jc w:val="both"/>
        <w:rPr>
          <w:sz w:val="22"/>
          <w:szCs w:val="22"/>
        </w:rPr>
      </w:pPr>
    </w:p>
    <w:p w:rsidR="000D7789" w:rsidRPr="00D41687" w:rsidRDefault="000D7789" w:rsidP="00D41687">
      <w:pPr>
        <w:jc w:val="center"/>
        <w:rPr>
          <w:b/>
          <w:sz w:val="22"/>
          <w:szCs w:val="22"/>
        </w:rPr>
      </w:pPr>
    </w:p>
    <w:p w:rsidR="000D7789" w:rsidRDefault="000D7789" w:rsidP="00D41687">
      <w:pPr>
        <w:jc w:val="center"/>
        <w:rPr>
          <w:b/>
          <w:sz w:val="24"/>
          <w:szCs w:val="24"/>
        </w:rPr>
      </w:pPr>
      <w:r w:rsidRPr="004B7A95">
        <w:rPr>
          <w:b/>
          <w:sz w:val="24"/>
          <w:szCs w:val="24"/>
        </w:rPr>
        <w:t>References</w:t>
      </w:r>
    </w:p>
    <w:p w:rsidR="00D41687" w:rsidRPr="00CF0C4A" w:rsidRDefault="00D41687" w:rsidP="00CF0C4A">
      <w:pPr>
        <w:ind w:left="425" w:hanging="425"/>
        <w:jc w:val="center"/>
        <w:rPr>
          <w:b/>
          <w:sz w:val="18"/>
          <w:szCs w:val="18"/>
        </w:rPr>
      </w:pPr>
    </w:p>
    <w:p w:rsidR="004166FB" w:rsidRPr="00986178" w:rsidRDefault="004166FB" w:rsidP="004166FB">
      <w:pPr>
        <w:ind w:left="480" w:hanging="480"/>
        <w:jc w:val="both"/>
        <w:rPr>
          <w:sz w:val="18"/>
          <w:szCs w:val="18"/>
        </w:rPr>
      </w:pPr>
      <w:r w:rsidRPr="00986178">
        <w:rPr>
          <w:sz w:val="18"/>
          <w:szCs w:val="18"/>
        </w:rPr>
        <w:t>Abdalla, A.A., El Naim</w:t>
      </w:r>
      <w:r>
        <w:rPr>
          <w:sz w:val="18"/>
          <w:szCs w:val="18"/>
        </w:rPr>
        <w:t>,</w:t>
      </w:r>
      <w:r w:rsidRPr="00986178">
        <w:rPr>
          <w:sz w:val="18"/>
          <w:szCs w:val="18"/>
        </w:rPr>
        <w:t xml:space="preserve"> A.M., Ahmed, M.F.</w:t>
      </w:r>
      <w:r w:rsidR="009407E0">
        <w:rPr>
          <w:sz w:val="18"/>
          <w:szCs w:val="18"/>
        </w:rPr>
        <w:t xml:space="preserve"> </w:t>
      </w:r>
      <w:r>
        <w:rPr>
          <w:sz w:val="18"/>
          <w:szCs w:val="18"/>
        </w:rPr>
        <w:t>&amp;</w:t>
      </w:r>
      <w:r w:rsidRPr="00986178">
        <w:rPr>
          <w:sz w:val="18"/>
          <w:szCs w:val="18"/>
        </w:rPr>
        <w:t>Taha</w:t>
      </w:r>
      <w:r>
        <w:rPr>
          <w:sz w:val="18"/>
          <w:szCs w:val="18"/>
        </w:rPr>
        <w:t>,</w:t>
      </w:r>
      <w:r w:rsidRPr="00986178">
        <w:rPr>
          <w:sz w:val="18"/>
          <w:szCs w:val="18"/>
        </w:rPr>
        <w:t xml:space="preserve"> M.B. (2015).Biological Yield and Harvest Index of Faba Bean (Viciafaba L.) as Affected by Different Agro-ecological Environments.</w:t>
      </w:r>
      <w:r w:rsidR="009407E0">
        <w:rPr>
          <w:sz w:val="18"/>
          <w:szCs w:val="18"/>
        </w:rPr>
        <w:t xml:space="preserve"> </w:t>
      </w:r>
      <w:r w:rsidRPr="00074D38">
        <w:rPr>
          <w:i/>
          <w:iCs/>
          <w:sz w:val="18"/>
          <w:szCs w:val="18"/>
        </w:rPr>
        <w:t>World Journal of Agricultural Research</w:t>
      </w:r>
      <w:r w:rsidRPr="00160817">
        <w:rPr>
          <w:i/>
          <w:iCs/>
          <w:sz w:val="18"/>
          <w:szCs w:val="18"/>
        </w:rPr>
        <w:t>, 3(2),</w:t>
      </w:r>
      <w:r w:rsidRPr="00986178">
        <w:rPr>
          <w:sz w:val="18"/>
          <w:szCs w:val="18"/>
        </w:rPr>
        <w:t xml:space="preserve"> 78-82.</w:t>
      </w:r>
    </w:p>
    <w:p w:rsidR="004166FB" w:rsidRPr="00986178" w:rsidRDefault="004166FB" w:rsidP="004166FB">
      <w:pPr>
        <w:ind w:left="480" w:hanging="480"/>
        <w:jc w:val="both"/>
        <w:rPr>
          <w:sz w:val="18"/>
          <w:szCs w:val="18"/>
        </w:rPr>
      </w:pPr>
      <w:r w:rsidRPr="00986178">
        <w:rPr>
          <w:sz w:val="18"/>
          <w:szCs w:val="18"/>
        </w:rPr>
        <w:t xml:space="preserve">Abdelgader, E.O. (2007). </w:t>
      </w:r>
      <w:r w:rsidRPr="00074D38">
        <w:rPr>
          <w:i/>
          <w:iCs/>
          <w:sz w:val="18"/>
          <w:szCs w:val="18"/>
        </w:rPr>
        <w:t>Effect of different nitrogen sources on growth a</w:t>
      </w:r>
      <w:r>
        <w:rPr>
          <w:i/>
          <w:iCs/>
          <w:sz w:val="18"/>
          <w:szCs w:val="18"/>
        </w:rPr>
        <w:t>nd yield of maize (Zea mays L.).</w:t>
      </w:r>
      <w:r w:rsidRPr="00986178">
        <w:rPr>
          <w:sz w:val="18"/>
          <w:szCs w:val="18"/>
        </w:rPr>
        <w:t xml:space="preserve"> Omdurman Islamic University, Faculty of Agriculture (in Arabic).</w:t>
      </w:r>
    </w:p>
    <w:p w:rsidR="004166FB" w:rsidRPr="00986178" w:rsidRDefault="004166FB" w:rsidP="004166FB">
      <w:pPr>
        <w:ind w:left="480" w:hanging="480"/>
        <w:jc w:val="both"/>
        <w:rPr>
          <w:sz w:val="18"/>
          <w:szCs w:val="18"/>
        </w:rPr>
      </w:pPr>
      <w:r w:rsidRPr="00986178">
        <w:rPr>
          <w:sz w:val="18"/>
          <w:szCs w:val="18"/>
        </w:rPr>
        <w:t>Adjanohoun, A., Allagbe, M., Noumavo, P</w:t>
      </w:r>
      <w:r>
        <w:rPr>
          <w:sz w:val="18"/>
          <w:szCs w:val="18"/>
        </w:rPr>
        <w:t xml:space="preserve">. </w:t>
      </w:r>
      <w:r w:rsidRPr="00986178">
        <w:rPr>
          <w:sz w:val="18"/>
          <w:szCs w:val="18"/>
        </w:rPr>
        <w:t>A., Gotoechan-Hodonou, H., Sikirou, R., Dossa, K.K., GleleKakai, R., Kotchoni, S.O.</w:t>
      </w:r>
      <w:r w:rsidR="009407E0">
        <w:rPr>
          <w:sz w:val="18"/>
          <w:szCs w:val="18"/>
        </w:rPr>
        <w:t xml:space="preserve"> </w:t>
      </w:r>
      <w:r>
        <w:rPr>
          <w:sz w:val="18"/>
          <w:szCs w:val="18"/>
        </w:rPr>
        <w:t>&amp;</w:t>
      </w:r>
      <w:r w:rsidRPr="00986178">
        <w:rPr>
          <w:sz w:val="18"/>
          <w:szCs w:val="18"/>
        </w:rPr>
        <w:t xml:space="preserve"> Baba-Moussa L. (2011). Effects of plant growth promoting rhizobacteria on field grown maize. </w:t>
      </w:r>
      <w:r w:rsidRPr="00160817">
        <w:rPr>
          <w:i/>
          <w:iCs/>
          <w:sz w:val="18"/>
          <w:szCs w:val="18"/>
        </w:rPr>
        <w:t>Journal of Animal and Plant Sciences, 11(3)</w:t>
      </w:r>
      <w:r>
        <w:rPr>
          <w:i/>
          <w:iCs/>
          <w:sz w:val="18"/>
          <w:szCs w:val="18"/>
        </w:rPr>
        <w:t>,</w:t>
      </w:r>
      <w:r w:rsidRPr="00986178">
        <w:rPr>
          <w:sz w:val="18"/>
          <w:szCs w:val="18"/>
        </w:rPr>
        <w:t xml:space="preserve"> 1457-1465.</w:t>
      </w:r>
    </w:p>
    <w:p w:rsidR="004166FB" w:rsidRPr="005676D2" w:rsidRDefault="004166FB" w:rsidP="004166FB">
      <w:pPr>
        <w:ind w:left="480" w:hanging="480"/>
        <w:jc w:val="both"/>
        <w:rPr>
          <w:sz w:val="18"/>
          <w:szCs w:val="18"/>
        </w:rPr>
      </w:pPr>
      <w:r w:rsidRPr="00986178">
        <w:rPr>
          <w:sz w:val="18"/>
          <w:szCs w:val="18"/>
        </w:rPr>
        <w:t>Alloway</w:t>
      </w:r>
      <w:r>
        <w:rPr>
          <w:sz w:val="18"/>
          <w:szCs w:val="18"/>
        </w:rPr>
        <w:t>,</w:t>
      </w:r>
      <w:r w:rsidRPr="00986178">
        <w:rPr>
          <w:sz w:val="18"/>
          <w:szCs w:val="18"/>
        </w:rPr>
        <w:t xml:space="preserve"> B.J. (2004). </w:t>
      </w:r>
      <w:r w:rsidRPr="00160817">
        <w:rPr>
          <w:i/>
          <w:iCs/>
          <w:sz w:val="18"/>
          <w:szCs w:val="18"/>
        </w:rPr>
        <w:t xml:space="preserve">Zinc in soils and crop nutrition. </w:t>
      </w:r>
      <w:r w:rsidRPr="005676D2">
        <w:rPr>
          <w:i/>
          <w:iCs/>
          <w:sz w:val="18"/>
          <w:szCs w:val="18"/>
        </w:rPr>
        <w:t>International Zinc Association</w:t>
      </w:r>
      <w:r w:rsidR="009407E0">
        <w:rPr>
          <w:i/>
          <w:iCs/>
          <w:sz w:val="18"/>
          <w:szCs w:val="18"/>
        </w:rPr>
        <w:t xml:space="preserve"> </w:t>
      </w:r>
      <w:r w:rsidRPr="005676D2">
        <w:rPr>
          <w:i/>
          <w:iCs/>
          <w:sz w:val="18"/>
          <w:szCs w:val="18"/>
        </w:rPr>
        <w:t>Communications.</w:t>
      </w:r>
      <w:r w:rsidR="009407E0">
        <w:rPr>
          <w:i/>
          <w:iCs/>
          <w:sz w:val="18"/>
          <w:szCs w:val="18"/>
        </w:rPr>
        <w:t xml:space="preserve"> </w:t>
      </w:r>
      <w:r w:rsidRPr="005676D2">
        <w:rPr>
          <w:sz w:val="18"/>
          <w:szCs w:val="18"/>
        </w:rPr>
        <w:t>Brussel:</w:t>
      </w:r>
      <w:r w:rsidR="009407E0">
        <w:rPr>
          <w:sz w:val="18"/>
          <w:szCs w:val="18"/>
        </w:rPr>
        <w:t xml:space="preserve"> </w:t>
      </w:r>
      <w:r w:rsidRPr="005676D2">
        <w:rPr>
          <w:sz w:val="18"/>
          <w:szCs w:val="18"/>
        </w:rPr>
        <w:t xml:space="preserve">IZA </w:t>
      </w:r>
      <w:r>
        <w:rPr>
          <w:sz w:val="18"/>
          <w:szCs w:val="18"/>
        </w:rPr>
        <w:t>Publications</w:t>
      </w:r>
      <w:r w:rsidRPr="005676D2">
        <w:rPr>
          <w:sz w:val="18"/>
          <w:szCs w:val="18"/>
        </w:rPr>
        <w:t>.</w:t>
      </w:r>
    </w:p>
    <w:p w:rsidR="004166FB" w:rsidRPr="00986178" w:rsidRDefault="004166FB" w:rsidP="004166FB">
      <w:pPr>
        <w:ind w:left="480" w:hanging="480"/>
        <w:jc w:val="both"/>
        <w:rPr>
          <w:sz w:val="18"/>
          <w:szCs w:val="18"/>
        </w:rPr>
      </w:pPr>
      <w:r w:rsidRPr="00986178">
        <w:rPr>
          <w:sz w:val="18"/>
          <w:szCs w:val="18"/>
        </w:rPr>
        <w:t>Blakemore</w:t>
      </w:r>
      <w:r>
        <w:rPr>
          <w:sz w:val="18"/>
          <w:szCs w:val="18"/>
        </w:rPr>
        <w:t>,</w:t>
      </w:r>
      <w:r w:rsidRPr="00986178">
        <w:rPr>
          <w:sz w:val="18"/>
          <w:szCs w:val="18"/>
        </w:rPr>
        <w:t xml:space="preserve"> L.C., Searle, P.L. </w:t>
      </w:r>
      <w:r>
        <w:rPr>
          <w:sz w:val="18"/>
          <w:szCs w:val="18"/>
        </w:rPr>
        <w:t>&amp;</w:t>
      </w:r>
      <w:r w:rsidRPr="00986178">
        <w:rPr>
          <w:sz w:val="18"/>
          <w:szCs w:val="18"/>
        </w:rPr>
        <w:t xml:space="preserve"> Daly, B.K. (1987).</w:t>
      </w:r>
      <w:r w:rsidR="009407E0">
        <w:rPr>
          <w:sz w:val="18"/>
          <w:szCs w:val="18"/>
        </w:rPr>
        <w:t xml:space="preserve"> </w:t>
      </w:r>
      <w:r w:rsidRPr="00160817">
        <w:rPr>
          <w:i/>
          <w:iCs/>
          <w:sz w:val="18"/>
          <w:szCs w:val="18"/>
        </w:rPr>
        <w:t>Methods for chemical analysis of soils</w:t>
      </w:r>
      <w:r w:rsidR="009407E0">
        <w:rPr>
          <w:i/>
          <w:iCs/>
          <w:sz w:val="18"/>
          <w:szCs w:val="18"/>
        </w:rPr>
        <w:t xml:space="preserve">. </w:t>
      </w:r>
      <w:r w:rsidRPr="00986178">
        <w:rPr>
          <w:sz w:val="18"/>
          <w:szCs w:val="18"/>
        </w:rPr>
        <w:t>New Zealand</w:t>
      </w:r>
      <w:r>
        <w:rPr>
          <w:sz w:val="18"/>
          <w:szCs w:val="18"/>
        </w:rPr>
        <w:t xml:space="preserve"> Soil Bureau Scientific Report.</w:t>
      </w:r>
    </w:p>
    <w:p w:rsidR="004166FB" w:rsidRPr="00986178" w:rsidRDefault="004166FB" w:rsidP="004166FB">
      <w:pPr>
        <w:ind w:left="480" w:hanging="480"/>
        <w:jc w:val="both"/>
        <w:rPr>
          <w:sz w:val="18"/>
          <w:szCs w:val="18"/>
        </w:rPr>
      </w:pPr>
      <w:r w:rsidRPr="00986178">
        <w:rPr>
          <w:sz w:val="18"/>
          <w:szCs w:val="18"/>
        </w:rPr>
        <w:t>Cakmak, I. (2000). Possible roles of zinc in protecting plant cells from damage by reactive oxygen species.</w:t>
      </w:r>
      <w:r w:rsidR="009407E0">
        <w:rPr>
          <w:sz w:val="18"/>
          <w:szCs w:val="18"/>
        </w:rPr>
        <w:t xml:space="preserve"> </w:t>
      </w:r>
      <w:r w:rsidRPr="00D641A9">
        <w:rPr>
          <w:i/>
          <w:iCs/>
          <w:sz w:val="18"/>
          <w:szCs w:val="18"/>
        </w:rPr>
        <w:t>New Phytologist</w:t>
      </w:r>
      <w:r>
        <w:rPr>
          <w:sz w:val="18"/>
          <w:szCs w:val="18"/>
        </w:rPr>
        <w:t xml:space="preserve">, 146, </w:t>
      </w:r>
      <w:r w:rsidRPr="00986178">
        <w:rPr>
          <w:sz w:val="18"/>
          <w:szCs w:val="18"/>
        </w:rPr>
        <w:t>185-205. DOI: 10.1046/j.1469-8137.2000.00630.x</w:t>
      </w:r>
    </w:p>
    <w:p w:rsidR="004166FB" w:rsidRPr="00986178" w:rsidRDefault="004166FB" w:rsidP="004166FB">
      <w:pPr>
        <w:ind w:left="480" w:hanging="480"/>
        <w:jc w:val="both"/>
        <w:rPr>
          <w:sz w:val="18"/>
          <w:szCs w:val="18"/>
        </w:rPr>
      </w:pPr>
      <w:r w:rsidRPr="00986178">
        <w:rPr>
          <w:sz w:val="18"/>
          <w:szCs w:val="18"/>
        </w:rPr>
        <w:lastRenderedPageBreak/>
        <w:t>Dang, H.K., Li, R.Q., Sun, Y.H., Zhang, X.W.</w:t>
      </w:r>
      <w:r w:rsidR="009407E0">
        <w:rPr>
          <w:sz w:val="18"/>
          <w:szCs w:val="18"/>
        </w:rPr>
        <w:t xml:space="preserve"> </w:t>
      </w:r>
      <w:r>
        <w:rPr>
          <w:sz w:val="18"/>
          <w:szCs w:val="18"/>
        </w:rPr>
        <w:t>&amp;</w:t>
      </w:r>
      <w:r w:rsidR="009407E0">
        <w:rPr>
          <w:sz w:val="18"/>
          <w:szCs w:val="18"/>
        </w:rPr>
        <w:t xml:space="preserve"> </w:t>
      </w:r>
      <w:r w:rsidRPr="00986178">
        <w:rPr>
          <w:sz w:val="18"/>
          <w:szCs w:val="18"/>
        </w:rPr>
        <w:t>Li, Y.M. (2010). Absorption, accumulation and distribution of zinc in highly-yielding winter wheat.</w:t>
      </w:r>
      <w:r w:rsidR="009407E0">
        <w:rPr>
          <w:sz w:val="18"/>
          <w:szCs w:val="18"/>
        </w:rPr>
        <w:t xml:space="preserve"> </w:t>
      </w:r>
      <w:r w:rsidRPr="00160817">
        <w:rPr>
          <w:i/>
          <w:iCs/>
          <w:sz w:val="18"/>
          <w:szCs w:val="18"/>
        </w:rPr>
        <w:t>Agricultural Sciences in China</w:t>
      </w:r>
      <w:r>
        <w:rPr>
          <w:sz w:val="18"/>
          <w:szCs w:val="18"/>
        </w:rPr>
        <w:t>,</w:t>
      </w:r>
      <w:r w:rsidRPr="00986178">
        <w:rPr>
          <w:sz w:val="18"/>
          <w:szCs w:val="18"/>
        </w:rPr>
        <w:t xml:space="preserve"> 9(7)</w:t>
      </w:r>
      <w:r>
        <w:rPr>
          <w:sz w:val="18"/>
          <w:szCs w:val="18"/>
        </w:rPr>
        <w:t>,</w:t>
      </w:r>
      <w:r w:rsidRPr="00986178">
        <w:rPr>
          <w:sz w:val="18"/>
          <w:szCs w:val="18"/>
        </w:rPr>
        <w:t xml:space="preserve"> 965-973. DOI.org/10.1016/S1671-2927(09)60178-4</w:t>
      </w:r>
    </w:p>
    <w:p w:rsidR="004166FB" w:rsidRPr="00986178" w:rsidRDefault="004166FB" w:rsidP="004166FB">
      <w:pPr>
        <w:ind w:left="480" w:hanging="480"/>
        <w:jc w:val="both"/>
        <w:rPr>
          <w:sz w:val="18"/>
          <w:szCs w:val="18"/>
        </w:rPr>
      </w:pPr>
      <w:r w:rsidRPr="00986178">
        <w:rPr>
          <w:sz w:val="18"/>
          <w:szCs w:val="18"/>
        </w:rPr>
        <w:t>Ehsanullah, T</w:t>
      </w:r>
      <w:r>
        <w:rPr>
          <w:sz w:val="18"/>
          <w:szCs w:val="18"/>
        </w:rPr>
        <w:t>.</w:t>
      </w:r>
      <w:r w:rsidRPr="00986178">
        <w:rPr>
          <w:sz w:val="18"/>
          <w:szCs w:val="18"/>
        </w:rPr>
        <w:t xml:space="preserve"> A., Randhawa, M.A., Anjum, S.</w:t>
      </w:r>
      <w:r w:rsidR="009407E0">
        <w:rPr>
          <w:sz w:val="18"/>
          <w:szCs w:val="18"/>
        </w:rPr>
        <w:t xml:space="preserve"> A., Nadeem, M.</w:t>
      </w:r>
      <w:r>
        <w:rPr>
          <w:sz w:val="18"/>
          <w:szCs w:val="18"/>
        </w:rPr>
        <w:t xml:space="preserve"> &amp;</w:t>
      </w:r>
      <w:r w:rsidR="009407E0">
        <w:rPr>
          <w:sz w:val="18"/>
          <w:szCs w:val="18"/>
        </w:rPr>
        <w:t xml:space="preserve"> </w:t>
      </w:r>
      <w:r w:rsidRPr="00986178">
        <w:rPr>
          <w:sz w:val="18"/>
          <w:szCs w:val="18"/>
        </w:rPr>
        <w:t>Naeem, M. (2015).</w:t>
      </w:r>
      <w:r w:rsidR="009407E0">
        <w:rPr>
          <w:sz w:val="18"/>
          <w:szCs w:val="18"/>
        </w:rPr>
        <w:t xml:space="preserve"> </w:t>
      </w:r>
      <w:r w:rsidRPr="00986178">
        <w:rPr>
          <w:sz w:val="18"/>
          <w:szCs w:val="18"/>
        </w:rPr>
        <w:t xml:space="preserve">Exploring the </w:t>
      </w:r>
      <w:r w:rsidR="009407E0">
        <w:rPr>
          <w:sz w:val="18"/>
          <w:szCs w:val="18"/>
        </w:rPr>
        <w:t>r</w:t>
      </w:r>
      <w:r w:rsidRPr="00986178">
        <w:rPr>
          <w:sz w:val="18"/>
          <w:szCs w:val="18"/>
        </w:rPr>
        <w:t xml:space="preserve">ole of </w:t>
      </w:r>
      <w:r w:rsidR="009407E0">
        <w:rPr>
          <w:sz w:val="18"/>
          <w:szCs w:val="18"/>
        </w:rPr>
        <w:t>z</w:t>
      </w:r>
      <w:r w:rsidRPr="00986178">
        <w:rPr>
          <w:sz w:val="18"/>
          <w:szCs w:val="18"/>
        </w:rPr>
        <w:t xml:space="preserve">inc in </w:t>
      </w:r>
      <w:r w:rsidR="009407E0">
        <w:rPr>
          <w:sz w:val="18"/>
          <w:szCs w:val="18"/>
        </w:rPr>
        <w:t>m</w:t>
      </w:r>
      <w:r w:rsidRPr="00986178">
        <w:rPr>
          <w:sz w:val="18"/>
          <w:szCs w:val="18"/>
        </w:rPr>
        <w:t>aize (</w:t>
      </w:r>
      <w:r w:rsidRPr="009407E0">
        <w:rPr>
          <w:i/>
          <w:sz w:val="18"/>
          <w:szCs w:val="18"/>
        </w:rPr>
        <w:t xml:space="preserve">Zea </w:t>
      </w:r>
      <w:r w:rsidR="009407E0" w:rsidRPr="009407E0">
        <w:rPr>
          <w:i/>
          <w:sz w:val="18"/>
          <w:szCs w:val="18"/>
        </w:rPr>
        <w:t>m</w:t>
      </w:r>
      <w:r w:rsidRPr="009407E0">
        <w:rPr>
          <w:i/>
          <w:sz w:val="18"/>
          <w:szCs w:val="18"/>
        </w:rPr>
        <w:t>ays</w:t>
      </w:r>
      <w:r w:rsidRPr="00986178">
        <w:rPr>
          <w:sz w:val="18"/>
          <w:szCs w:val="18"/>
        </w:rPr>
        <w:t xml:space="preserve"> L.) thro</w:t>
      </w:r>
      <w:r>
        <w:rPr>
          <w:sz w:val="18"/>
          <w:szCs w:val="18"/>
        </w:rPr>
        <w:t xml:space="preserve">ugh </w:t>
      </w:r>
      <w:r w:rsidR="009407E0">
        <w:rPr>
          <w:sz w:val="18"/>
          <w:szCs w:val="18"/>
        </w:rPr>
        <w:t>s</w:t>
      </w:r>
      <w:r>
        <w:rPr>
          <w:sz w:val="18"/>
          <w:szCs w:val="18"/>
        </w:rPr>
        <w:t xml:space="preserve">oil and </w:t>
      </w:r>
      <w:r w:rsidR="009407E0">
        <w:rPr>
          <w:sz w:val="18"/>
          <w:szCs w:val="18"/>
        </w:rPr>
        <w:t>f</w:t>
      </w:r>
      <w:r>
        <w:rPr>
          <w:sz w:val="18"/>
          <w:szCs w:val="18"/>
        </w:rPr>
        <w:t xml:space="preserve">oliar </w:t>
      </w:r>
      <w:r w:rsidR="009407E0">
        <w:rPr>
          <w:sz w:val="18"/>
          <w:szCs w:val="18"/>
        </w:rPr>
        <w:t>a</w:t>
      </w:r>
      <w:r>
        <w:rPr>
          <w:sz w:val="18"/>
          <w:szCs w:val="18"/>
        </w:rPr>
        <w:t>pplication.</w:t>
      </w:r>
      <w:r w:rsidR="009407E0">
        <w:rPr>
          <w:sz w:val="18"/>
          <w:szCs w:val="18"/>
        </w:rPr>
        <w:t xml:space="preserve"> </w:t>
      </w:r>
      <w:r w:rsidRPr="00160817">
        <w:rPr>
          <w:i/>
          <w:iCs/>
          <w:sz w:val="18"/>
          <w:szCs w:val="18"/>
        </w:rPr>
        <w:t>Universal Journal of Agricultural Research</w:t>
      </w:r>
      <w:r w:rsidRPr="00986178">
        <w:rPr>
          <w:sz w:val="18"/>
          <w:szCs w:val="18"/>
        </w:rPr>
        <w:t>, 3(3)</w:t>
      </w:r>
      <w:r>
        <w:rPr>
          <w:sz w:val="18"/>
          <w:szCs w:val="18"/>
        </w:rPr>
        <w:t>, 69-75.</w:t>
      </w:r>
      <w:r w:rsidRPr="00986178">
        <w:rPr>
          <w:sz w:val="18"/>
          <w:szCs w:val="18"/>
        </w:rPr>
        <w:t xml:space="preserve"> DOI: 10.13189/ujar.2015.030301</w:t>
      </w:r>
    </w:p>
    <w:p w:rsidR="004166FB" w:rsidRPr="00986178" w:rsidRDefault="004166FB" w:rsidP="004166FB">
      <w:pPr>
        <w:ind w:left="480" w:hanging="480"/>
        <w:jc w:val="both"/>
        <w:rPr>
          <w:sz w:val="18"/>
          <w:szCs w:val="18"/>
        </w:rPr>
      </w:pPr>
      <w:r w:rsidRPr="00986178">
        <w:rPr>
          <w:sz w:val="18"/>
          <w:szCs w:val="18"/>
        </w:rPr>
        <w:t xml:space="preserve">El Amin, L.S.A. (2003). </w:t>
      </w:r>
      <w:r w:rsidRPr="00160817">
        <w:rPr>
          <w:i/>
          <w:iCs/>
          <w:sz w:val="18"/>
          <w:szCs w:val="18"/>
        </w:rPr>
        <w:t>Effect of nitrogen and phosphorus of fertilization on growth and yield of fodder maize (Zea mays L.).</w:t>
      </w:r>
      <w:r w:rsidRPr="00986178">
        <w:rPr>
          <w:sz w:val="18"/>
          <w:szCs w:val="18"/>
        </w:rPr>
        <w:t>Omdurman Islamic Univ</w:t>
      </w:r>
      <w:r>
        <w:rPr>
          <w:sz w:val="18"/>
          <w:szCs w:val="18"/>
        </w:rPr>
        <w:t>ersity</w:t>
      </w:r>
      <w:r w:rsidRPr="00986178">
        <w:rPr>
          <w:sz w:val="18"/>
          <w:szCs w:val="18"/>
        </w:rPr>
        <w:t>. (in Arabic).</w:t>
      </w:r>
    </w:p>
    <w:p w:rsidR="004166FB" w:rsidRPr="00986178" w:rsidRDefault="004166FB" w:rsidP="004166FB">
      <w:pPr>
        <w:ind w:left="480" w:hanging="480"/>
        <w:jc w:val="both"/>
        <w:rPr>
          <w:sz w:val="18"/>
          <w:szCs w:val="18"/>
        </w:rPr>
      </w:pPr>
      <w:r w:rsidRPr="00986178">
        <w:rPr>
          <w:sz w:val="18"/>
          <w:szCs w:val="18"/>
        </w:rPr>
        <w:t>Enyisi, I.S., Umoh, V.J., Whong, C.M.Z., Abdullahi, I.O.</w:t>
      </w:r>
      <w:r>
        <w:rPr>
          <w:sz w:val="18"/>
          <w:szCs w:val="18"/>
        </w:rPr>
        <w:t xml:space="preserve"> &amp;</w:t>
      </w:r>
      <w:r w:rsidR="009407E0">
        <w:rPr>
          <w:sz w:val="18"/>
          <w:szCs w:val="18"/>
        </w:rPr>
        <w:t xml:space="preserve"> Alabi, O. </w:t>
      </w:r>
      <w:r w:rsidRPr="00986178">
        <w:rPr>
          <w:sz w:val="18"/>
          <w:szCs w:val="18"/>
        </w:rPr>
        <w:t xml:space="preserve">(2014). Chemical and nutritional value of maize and maize products obtained from selected markets in Kaduna State, Nigeria. </w:t>
      </w:r>
      <w:r w:rsidRPr="00160817">
        <w:rPr>
          <w:i/>
          <w:iCs/>
          <w:sz w:val="18"/>
          <w:szCs w:val="18"/>
        </w:rPr>
        <w:t>African Journal of Food Science and Technology</w:t>
      </w:r>
      <w:r>
        <w:rPr>
          <w:sz w:val="18"/>
          <w:szCs w:val="18"/>
        </w:rPr>
        <w:t>,</w:t>
      </w:r>
      <w:r w:rsidRPr="00986178">
        <w:rPr>
          <w:sz w:val="18"/>
          <w:szCs w:val="18"/>
        </w:rPr>
        <w:t xml:space="preserve"> 5(4)</w:t>
      </w:r>
      <w:r>
        <w:rPr>
          <w:sz w:val="18"/>
          <w:szCs w:val="18"/>
        </w:rPr>
        <w:t xml:space="preserve">, </w:t>
      </w:r>
      <w:r w:rsidRPr="00986178">
        <w:rPr>
          <w:sz w:val="18"/>
          <w:szCs w:val="18"/>
        </w:rPr>
        <w:t>100-104. DOI:http:/dx.doi.org/10.14303/ajfst.2014.029</w:t>
      </w:r>
    </w:p>
    <w:p w:rsidR="004166FB" w:rsidRPr="00986178" w:rsidRDefault="004166FB" w:rsidP="004166FB">
      <w:pPr>
        <w:ind w:left="480" w:hanging="480"/>
        <w:jc w:val="both"/>
        <w:rPr>
          <w:sz w:val="18"/>
          <w:szCs w:val="18"/>
        </w:rPr>
      </w:pPr>
      <w:r w:rsidRPr="00986178">
        <w:rPr>
          <w:sz w:val="18"/>
          <w:szCs w:val="18"/>
        </w:rPr>
        <w:t>Food and Agriculture Organization (2014). Statistics, (http://www.fao.org/statistics)</w:t>
      </w:r>
    </w:p>
    <w:p w:rsidR="004166FB" w:rsidRPr="00986178" w:rsidRDefault="004166FB" w:rsidP="004166FB">
      <w:pPr>
        <w:ind w:left="480" w:hanging="480"/>
        <w:jc w:val="both"/>
        <w:rPr>
          <w:sz w:val="18"/>
          <w:szCs w:val="18"/>
        </w:rPr>
      </w:pPr>
      <w:r w:rsidRPr="00986178">
        <w:rPr>
          <w:sz w:val="18"/>
          <w:szCs w:val="18"/>
        </w:rPr>
        <w:t>Ghannoum O., Evans, J.</w:t>
      </w:r>
      <w:r>
        <w:rPr>
          <w:sz w:val="18"/>
          <w:szCs w:val="18"/>
        </w:rPr>
        <w:t xml:space="preserve"> R., &amp;</w:t>
      </w:r>
      <w:r w:rsidR="009407E0">
        <w:rPr>
          <w:sz w:val="18"/>
          <w:szCs w:val="18"/>
        </w:rPr>
        <w:t xml:space="preserve"> </w:t>
      </w:r>
      <w:r w:rsidRPr="00986178">
        <w:rPr>
          <w:sz w:val="18"/>
          <w:szCs w:val="18"/>
        </w:rPr>
        <w:t>Caemmerer, S.V. (2011). Nitrogen and water use efficiency of C4 plants. In A</w:t>
      </w:r>
      <w:r>
        <w:rPr>
          <w:sz w:val="18"/>
          <w:szCs w:val="18"/>
        </w:rPr>
        <w:t xml:space="preserve">. </w:t>
      </w:r>
      <w:r w:rsidRPr="00986178">
        <w:rPr>
          <w:sz w:val="18"/>
          <w:szCs w:val="18"/>
        </w:rPr>
        <w:t>S</w:t>
      </w:r>
      <w:r>
        <w:rPr>
          <w:sz w:val="18"/>
          <w:szCs w:val="18"/>
        </w:rPr>
        <w:t>. Raghavendra</w:t>
      </w:r>
      <w:r w:rsidR="009407E0">
        <w:rPr>
          <w:sz w:val="18"/>
          <w:szCs w:val="18"/>
        </w:rPr>
        <w:t xml:space="preserve"> </w:t>
      </w:r>
      <w:r>
        <w:rPr>
          <w:sz w:val="18"/>
          <w:szCs w:val="18"/>
        </w:rPr>
        <w:t>&amp;</w:t>
      </w:r>
      <w:r w:rsidRPr="00986178">
        <w:rPr>
          <w:sz w:val="18"/>
          <w:szCs w:val="18"/>
        </w:rPr>
        <w:t xml:space="preserve"> R</w:t>
      </w:r>
      <w:r>
        <w:rPr>
          <w:sz w:val="18"/>
          <w:szCs w:val="18"/>
        </w:rPr>
        <w:t xml:space="preserve">. </w:t>
      </w:r>
      <w:r w:rsidRPr="00986178">
        <w:rPr>
          <w:sz w:val="18"/>
          <w:szCs w:val="18"/>
        </w:rPr>
        <w:t>F</w:t>
      </w:r>
      <w:r>
        <w:rPr>
          <w:sz w:val="18"/>
          <w:szCs w:val="18"/>
        </w:rPr>
        <w:t>. Sage (E</w:t>
      </w:r>
      <w:r w:rsidRPr="00986178">
        <w:rPr>
          <w:sz w:val="18"/>
          <w:szCs w:val="18"/>
        </w:rPr>
        <w:t>ds</w:t>
      </w:r>
      <w:r>
        <w:rPr>
          <w:sz w:val="18"/>
          <w:szCs w:val="18"/>
        </w:rPr>
        <w:t>.)</w:t>
      </w:r>
      <w:r w:rsidRPr="00986178">
        <w:rPr>
          <w:sz w:val="18"/>
          <w:szCs w:val="18"/>
        </w:rPr>
        <w:t xml:space="preserve">, </w:t>
      </w:r>
      <w:r w:rsidRPr="00D113E5">
        <w:rPr>
          <w:i/>
          <w:iCs/>
          <w:sz w:val="18"/>
          <w:szCs w:val="18"/>
        </w:rPr>
        <w:t>C4 Photosynthesis and Related CO2 Concentration Mechanisms.</w:t>
      </w:r>
      <w:r>
        <w:rPr>
          <w:sz w:val="18"/>
          <w:szCs w:val="18"/>
        </w:rPr>
        <w:t>(</w:t>
      </w:r>
      <w:r w:rsidRPr="00986178">
        <w:rPr>
          <w:sz w:val="18"/>
          <w:szCs w:val="18"/>
        </w:rPr>
        <w:t>pp</w:t>
      </w:r>
      <w:r>
        <w:rPr>
          <w:sz w:val="18"/>
          <w:szCs w:val="18"/>
        </w:rPr>
        <w:t>.</w:t>
      </w:r>
      <w:r w:rsidRPr="00986178">
        <w:rPr>
          <w:sz w:val="18"/>
          <w:szCs w:val="18"/>
        </w:rPr>
        <w:t xml:space="preserve"> 129-146</w:t>
      </w:r>
      <w:r>
        <w:rPr>
          <w:sz w:val="18"/>
          <w:szCs w:val="18"/>
        </w:rPr>
        <w:t xml:space="preserve">). </w:t>
      </w:r>
      <w:r w:rsidRPr="00986178">
        <w:rPr>
          <w:sz w:val="18"/>
          <w:szCs w:val="18"/>
        </w:rPr>
        <w:t>Netherlands</w:t>
      </w:r>
      <w:r>
        <w:rPr>
          <w:sz w:val="18"/>
          <w:szCs w:val="18"/>
        </w:rPr>
        <w:t>:</w:t>
      </w:r>
      <w:r w:rsidR="009407E0">
        <w:rPr>
          <w:sz w:val="18"/>
          <w:szCs w:val="18"/>
        </w:rPr>
        <w:t xml:space="preserve"> </w:t>
      </w:r>
      <w:r w:rsidRPr="00986178">
        <w:rPr>
          <w:sz w:val="18"/>
          <w:szCs w:val="18"/>
        </w:rPr>
        <w:t>Springer Science and Busin</w:t>
      </w:r>
      <w:r>
        <w:rPr>
          <w:sz w:val="18"/>
          <w:szCs w:val="18"/>
        </w:rPr>
        <w:t xml:space="preserve">ess Media. </w:t>
      </w:r>
    </w:p>
    <w:p w:rsidR="004166FB" w:rsidRPr="00986178" w:rsidRDefault="004166FB" w:rsidP="004166FB">
      <w:pPr>
        <w:ind w:left="480" w:hanging="480"/>
        <w:jc w:val="both"/>
        <w:rPr>
          <w:sz w:val="18"/>
          <w:szCs w:val="18"/>
        </w:rPr>
      </w:pPr>
      <w:r w:rsidRPr="00986178">
        <w:rPr>
          <w:sz w:val="18"/>
          <w:szCs w:val="18"/>
        </w:rPr>
        <w:t>Grzebisz, W., Wrońska, M., Diatta, J.B.</w:t>
      </w:r>
      <w:r w:rsidR="009407E0">
        <w:rPr>
          <w:sz w:val="18"/>
          <w:szCs w:val="18"/>
        </w:rPr>
        <w:t xml:space="preserve"> </w:t>
      </w:r>
      <w:r>
        <w:rPr>
          <w:sz w:val="18"/>
          <w:szCs w:val="18"/>
        </w:rPr>
        <w:t>&amp;</w:t>
      </w:r>
      <w:r w:rsidR="009407E0">
        <w:rPr>
          <w:sz w:val="18"/>
          <w:szCs w:val="18"/>
        </w:rPr>
        <w:t xml:space="preserve"> </w:t>
      </w:r>
      <w:r w:rsidRPr="00986178">
        <w:rPr>
          <w:sz w:val="18"/>
          <w:szCs w:val="18"/>
        </w:rPr>
        <w:t>Dullin, P. (2008).</w:t>
      </w:r>
      <w:r w:rsidR="009407E0">
        <w:rPr>
          <w:sz w:val="18"/>
          <w:szCs w:val="18"/>
        </w:rPr>
        <w:t xml:space="preserve"> </w:t>
      </w:r>
      <w:r w:rsidRPr="00986178">
        <w:rPr>
          <w:sz w:val="18"/>
          <w:szCs w:val="18"/>
        </w:rPr>
        <w:t>Effect of zinc foliar application at early stages of maize growth on patterns of nutrients and dry matter accumulation by the canopy.</w:t>
      </w:r>
      <w:r w:rsidR="009407E0">
        <w:rPr>
          <w:sz w:val="18"/>
          <w:szCs w:val="18"/>
        </w:rPr>
        <w:t xml:space="preserve"> </w:t>
      </w:r>
      <w:r w:rsidRPr="00986178">
        <w:rPr>
          <w:sz w:val="18"/>
          <w:szCs w:val="18"/>
        </w:rPr>
        <w:t>Part I. Zinc uptake patterns and its redistribution among maize organs.</w:t>
      </w:r>
      <w:r w:rsidR="009407E0">
        <w:rPr>
          <w:sz w:val="18"/>
          <w:szCs w:val="18"/>
        </w:rPr>
        <w:t xml:space="preserve"> </w:t>
      </w:r>
      <w:r w:rsidRPr="00D113E5">
        <w:rPr>
          <w:i/>
          <w:iCs/>
          <w:sz w:val="18"/>
          <w:szCs w:val="18"/>
        </w:rPr>
        <w:t>Journal of Elementology</w:t>
      </w:r>
      <w:r>
        <w:rPr>
          <w:sz w:val="18"/>
          <w:szCs w:val="18"/>
        </w:rPr>
        <w:t>,</w:t>
      </w:r>
      <w:r w:rsidRPr="00986178">
        <w:rPr>
          <w:sz w:val="18"/>
          <w:szCs w:val="18"/>
        </w:rPr>
        <w:t xml:space="preserve"> 13</w:t>
      </w:r>
      <w:r>
        <w:rPr>
          <w:sz w:val="18"/>
          <w:szCs w:val="18"/>
        </w:rPr>
        <w:t>,</w:t>
      </w:r>
      <w:r w:rsidRPr="00986178">
        <w:rPr>
          <w:sz w:val="18"/>
          <w:szCs w:val="18"/>
        </w:rPr>
        <w:t>17-28.</w:t>
      </w:r>
    </w:p>
    <w:p w:rsidR="004166FB" w:rsidRPr="00986178" w:rsidRDefault="004166FB" w:rsidP="004166FB">
      <w:pPr>
        <w:ind w:left="480" w:hanging="480"/>
        <w:jc w:val="both"/>
        <w:rPr>
          <w:sz w:val="18"/>
          <w:szCs w:val="18"/>
        </w:rPr>
      </w:pPr>
      <w:r w:rsidRPr="00986178">
        <w:rPr>
          <w:sz w:val="18"/>
          <w:szCs w:val="18"/>
        </w:rPr>
        <w:t>Isaac, R.A.</w:t>
      </w:r>
      <w:r w:rsidR="009407E0">
        <w:rPr>
          <w:sz w:val="18"/>
          <w:szCs w:val="18"/>
        </w:rPr>
        <w:t xml:space="preserve"> </w:t>
      </w:r>
      <w:r>
        <w:rPr>
          <w:sz w:val="18"/>
          <w:szCs w:val="18"/>
        </w:rPr>
        <w:t>&amp;</w:t>
      </w:r>
      <w:r w:rsidRPr="00986178">
        <w:rPr>
          <w:sz w:val="18"/>
          <w:szCs w:val="18"/>
        </w:rPr>
        <w:t xml:space="preserve"> Johnson W.C. (1976).</w:t>
      </w:r>
      <w:r w:rsidR="009407E0">
        <w:rPr>
          <w:sz w:val="18"/>
          <w:szCs w:val="18"/>
        </w:rPr>
        <w:t xml:space="preserve"> </w:t>
      </w:r>
      <w:r w:rsidRPr="00986178">
        <w:rPr>
          <w:sz w:val="18"/>
          <w:szCs w:val="18"/>
        </w:rPr>
        <w:t>Determination of total nitrogen in plant tissue, using a block digester.</w:t>
      </w:r>
      <w:r w:rsidR="009407E0">
        <w:rPr>
          <w:sz w:val="18"/>
          <w:szCs w:val="18"/>
        </w:rPr>
        <w:t xml:space="preserve"> </w:t>
      </w:r>
      <w:r w:rsidRPr="00D113E5">
        <w:rPr>
          <w:i/>
          <w:iCs/>
          <w:sz w:val="18"/>
          <w:szCs w:val="18"/>
        </w:rPr>
        <w:t>Journal of the Association of Analytical Chemists International</w:t>
      </w:r>
      <w:r>
        <w:rPr>
          <w:i/>
          <w:iCs/>
          <w:sz w:val="18"/>
          <w:szCs w:val="18"/>
        </w:rPr>
        <w:t>,</w:t>
      </w:r>
      <w:r w:rsidRPr="00986178">
        <w:rPr>
          <w:sz w:val="18"/>
          <w:szCs w:val="18"/>
        </w:rPr>
        <w:t xml:space="preserve"> 69</w:t>
      </w:r>
      <w:r>
        <w:rPr>
          <w:sz w:val="18"/>
          <w:szCs w:val="18"/>
        </w:rPr>
        <w:t>,</w:t>
      </w:r>
      <w:r w:rsidRPr="00986178">
        <w:rPr>
          <w:sz w:val="18"/>
          <w:szCs w:val="18"/>
        </w:rPr>
        <w:t xml:space="preserve"> 98-101. </w:t>
      </w:r>
    </w:p>
    <w:p w:rsidR="004166FB" w:rsidRDefault="009407E0" w:rsidP="004166FB">
      <w:pPr>
        <w:ind w:left="480" w:hanging="480"/>
        <w:jc w:val="both"/>
        <w:rPr>
          <w:sz w:val="18"/>
          <w:szCs w:val="18"/>
        </w:rPr>
      </w:pPr>
      <w:r>
        <w:rPr>
          <w:sz w:val="18"/>
          <w:szCs w:val="18"/>
        </w:rPr>
        <w:t xml:space="preserve">Nkonge, C. </w:t>
      </w:r>
      <w:r w:rsidR="004166FB">
        <w:rPr>
          <w:sz w:val="18"/>
          <w:szCs w:val="18"/>
        </w:rPr>
        <w:t>&amp; Balance, M. (1982).</w:t>
      </w:r>
      <w:r>
        <w:rPr>
          <w:sz w:val="18"/>
          <w:szCs w:val="18"/>
        </w:rPr>
        <w:t xml:space="preserve"> </w:t>
      </w:r>
      <w:r w:rsidR="004166FB">
        <w:rPr>
          <w:sz w:val="18"/>
          <w:szCs w:val="18"/>
        </w:rPr>
        <w:t xml:space="preserve">A sensitive colorimetric procedure for nitrogen determination in Micro-Kjeldahl digests. </w:t>
      </w:r>
      <w:r w:rsidR="004166FB" w:rsidRPr="00503C8C">
        <w:rPr>
          <w:i/>
          <w:iCs/>
          <w:sz w:val="18"/>
          <w:szCs w:val="18"/>
        </w:rPr>
        <w:t>Journal of Agricultural Food Chemistry,</w:t>
      </w:r>
      <w:r w:rsidR="004166FB">
        <w:rPr>
          <w:sz w:val="18"/>
          <w:szCs w:val="18"/>
        </w:rPr>
        <w:t xml:space="preserve"> 30, 416-420.</w:t>
      </w:r>
      <w:r>
        <w:rPr>
          <w:sz w:val="18"/>
          <w:szCs w:val="18"/>
        </w:rPr>
        <w:t xml:space="preserve"> </w:t>
      </w:r>
    </w:p>
    <w:p w:rsidR="004166FB" w:rsidRPr="00986178" w:rsidRDefault="004166FB" w:rsidP="004166FB">
      <w:pPr>
        <w:ind w:left="480" w:hanging="480"/>
        <w:jc w:val="both"/>
        <w:rPr>
          <w:sz w:val="18"/>
          <w:szCs w:val="18"/>
        </w:rPr>
      </w:pPr>
      <w:r w:rsidRPr="00986178">
        <w:rPr>
          <w:sz w:val="18"/>
          <w:szCs w:val="18"/>
        </w:rPr>
        <w:t>Kisetu</w:t>
      </w:r>
      <w:r>
        <w:rPr>
          <w:sz w:val="18"/>
          <w:szCs w:val="18"/>
        </w:rPr>
        <w:t>,</w:t>
      </w:r>
      <w:r w:rsidRPr="00986178">
        <w:rPr>
          <w:sz w:val="18"/>
          <w:szCs w:val="18"/>
        </w:rPr>
        <w:t xml:space="preserve"> E., Lily, S., Temba, W.</w:t>
      </w:r>
      <w:r w:rsidR="009407E0">
        <w:rPr>
          <w:sz w:val="18"/>
          <w:szCs w:val="18"/>
        </w:rPr>
        <w:t xml:space="preserve"> J.</w:t>
      </w:r>
      <w:r>
        <w:rPr>
          <w:sz w:val="18"/>
          <w:szCs w:val="18"/>
        </w:rPr>
        <w:t xml:space="preserve"> &amp;</w:t>
      </w:r>
      <w:r w:rsidR="009407E0">
        <w:rPr>
          <w:sz w:val="18"/>
          <w:szCs w:val="18"/>
        </w:rPr>
        <w:t xml:space="preserve"> </w:t>
      </w:r>
      <w:r w:rsidRPr="00986178">
        <w:rPr>
          <w:sz w:val="18"/>
          <w:szCs w:val="18"/>
        </w:rPr>
        <w:t xml:space="preserve">Rwebangila, A.P. (2014). Effect of nitrogen and phosphorus on performance of maize planted at the varying soil depths. </w:t>
      </w:r>
      <w:r w:rsidRPr="005676D2">
        <w:rPr>
          <w:i/>
          <w:iCs/>
          <w:sz w:val="18"/>
          <w:szCs w:val="18"/>
        </w:rPr>
        <w:t>International Journal of Agricultural Policy and Research</w:t>
      </w:r>
      <w:r>
        <w:rPr>
          <w:i/>
          <w:iCs/>
          <w:sz w:val="18"/>
          <w:szCs w:val="18"/>
        </w:rPr>
        <w:t>,</w:t>
      </w:r>
      <w:r w:rsidRPr="00986178">
        <w:rPr>
          <w:sz w:val="18"/>
          <w:szCs w:val="18"/>
        </w:rPr>
        <w:t xml:space="preserve"> 2(3)</w:t>
      </w:r>
      <w:r>
        <w:rPr>
          <w:sz w:val="18"/>
          <w:szCs w:val="18"/>
        </w:rPr>
        <w:t>,</w:t>
      </w:r>
      <w:r w:rsidRPr="00986178">
        <w:rPr>
          <w:sz w:val="18"/>
          <w:szCs w:val="18"/>
        </w:rPr>
        <w:t xml:space="preserve"> 90-97</w:t>
      </w:r>
      <w:r>
        <w:rPr>
          <w:sz w:val="18"/>
          <w:szCs w:val="18"/>
        </w:rPr>
        <w:t>.</w:t>
      </w:r>
    </w:p>
    <w:p w:rsidR="004166FB" w:rsidRPr="00E84E43" w:rsidRDefault="004166FB" w:rsidP="004166FB">
      <w:pPr>
        <w:ind w:left="480" w:hanging="480"/>
        <w:jc w:val="both"/>
        <w:rPr>
          <w:sz w:val="18"/>
          <w:szCs w:val="18"/>
        </w:rPr>
      </w:pPr>
      <w:r w:rsidRPr="00E84E43">
        <w:rPr>
          <w:sz w:val="18"/>
          <w:szCs w:val="18"/>
        </w:rPr>
        <w:t xml:space="preserve">Kizilkaya, R. (2009). Nitrogen fixation capacity of </w:t>
      </w:r>
      <w:r w:rsidRPr="009407E0">
        <w:rPr>
          <w:i/>
          <w:sz w:val="18"/>
          <w:szCs w:val="18"/>
        </w:rPr>
        <w:t>Azotobacter spp</w:t>
      </w:r>
      <w:r w:rsidRPr="00E84E43">
        <w:rPr>
          <w:sz w:val="18"/>
          <w:szCs w:val="18"/>
        </w:rPr>
        <w:t xml:space="preserve">. Strains isolated from soils in different ecosystems and relationship between them and the microbiological properties of soils. </w:t>
      </w:r>
      <w:r w:rsidRPr="00503C8C">
        <w:rPr>
          <w:i/>
          <w:iCs/>
          <w:sz w:val="18"/>
          <w:szCs w:val="18"/>
        </w:rPr>
        <w:t>Journal of Environmental Biology</w:t>
      </w:r>
      <w:r>
        <w:rPr>
          <w:i/>
          <w:iCs/>
          <w:sz w:val="18"/>
          <w:szCs w:val="18"/>
        </w:rPr>
        <w:t>,</w:t>
      </w:r>
      <w:r w:rsidRPr="00E84E43">
        <w:rPr>
          <w:sz w:val="18"/>
          <w:szCs w:val="18"/>
        </w:rPr>
        <w:t xml:space="preserve"> 30(1)</w:t>
      </w:r>
      <w:r>
        <w:rPr>
          <w:sz w:val="18"/>
          <w:szCs w:val="18"/>
        </w:rPr>
        <w:t xml:space="preserve">, </w:t>
      </w:r>
      <w:r w:rsidRPr="00E84E43">
        <w:rPr>
          <w:sz w:val="18"/>
          <w:szCs w:val="18"/>
        </w:rPr>
        <w:t>73-82.</w:t>
      </w:r>
    </w:p>
    <w:p w:rsidR="004166FB" w:rsidRPr="00986178" w:rsidRDefault="004166FB" w:rsidP="004166FB">
      <w:pPr>
        <w:ind w:left="480" w:hanging="480"/>
        <w:jc w:val="both"/>
        <w:rPr>
          <w:sz w:val="18"/>
          <w:szCs w:val="18"/>
        </w:rPr>
      </w:pPr>
      <w:r w:rsidRPr="00986178">
        <w:rPr>
          <w:sz w:val="18"/>
          <w:szCs w:val="18"/>
        </w:rPr>
        <w:t>Mahmodi, J.</w:t>
      </w:r>
      <w:r w:rsidR="009407E0">
        <w:rPr>
          <w:sz w:val="18"/>
          <w:szCs w:val="18"/>
        </w:rPr>
        <w:t xml:space="preserve"> </w:t>
      </w:r>
      <w:r>
        <w:rPr>
          <w:sz w:val="18"/>
          <w:szCs w:val="18"/>
        </w:rPr>
        <w:t>&amp;</w:t>
      </w:r>
      <w:r w:rsidR="009407E0">
        <w:rPr>
          <w:sz w:val="18"/>
          <w:szCs w:val="18"/>
        </w:rPr>
        <w:t xml:space="preserve"> </w:t>
      </w:r>
      <w:r w:rsidRPr="00986178">
        <w:rPr>
          <w:sz w:val="18"/>
          <w:szCs w:val="18"/>
        </w:rPr>
        <w:t>Yarnia, M. (2012).The effect of different levels of soil and foliar application of zinc sulfate on grain properties of maize.</w:t>
      </w:r>
      <w:r w:rsidR="009407E0">
        <w:rPr>
          <w:sz w:val="18"/>
          <w:szCs w:val="18"/>
        </w:rPr>
        <w:t xml:space="preserve"> </w:t>
      </w:r>
      <w:r w:rsidRPr="00503C8C">
        <w:rPr>
          <w:i/>
          <w:iCs/>
          <w:sz w:val="18"/>
          <w:szCs w:val="18"/>
        </w:rPr>
        <w:t>Crop Ecophysiology</w:t>
      </w:r>
      <w:r>
        <w:rPr>
          <w:i/>
          <w:iCs/>
          <w:sz w:val="18"/>
          <w:szCs w:val="18"/>
        </w:rPr>
        <w:t>,</w:t>
      </w:r>
      <w:r w:rsidR="009407E0">
        <w:rPr>
          <w:i/>
          <w:iCs/>
          <w:sz w:val="18"/>
          <w:szCs w:val="18"/>
        </w:rPr>
        <w:t xml:space="preserve"> </w:t>
      </w:r>
      <w:r w:rsidRPr="009407E0">
        <w:rPr>
          <w:sz w:val="18"/>
          <w:szCs w:val="18"/>
        </w:rPr>
        <w:t>6</w:t>
      </w:r>
      <w:r w:rsidRPr="00986178">
        <w:rPr>
          <w:sz w:val="18"/>
          <w:szCs w:val="18"/>
        </w:rPr>
        <w:t>(4)</w:t>
      </w:r>
      <w:r>
        <w:rPr>
          <w:sz w:val="18"/>
          <w:szCs w:val="18"/>
        </w:rPr>
        <w:t>,</w:t>
      </w:r>
      <w:r w:rsidRPr="00986178">
        <w:rPr>
          <w:sz w:val="18"/>
          <w:szCs w:val="18"/>
        </w:rPr>
        <w:t xml:space="preserve"> 429-442. (In Persian)</w:t>
      </w:r>
    </w:p>
    <w:p w:rsidR="004166FB" w:rsidRPr="00986178" w:rsidRDefault="004166FB" w:rsidP="004166FB">
      <w:pPr>
        <w:ind w:left="480" w:hanging="480"/>
        <w:jc w:val="both"/>
        <w:rPr>
          <w:sz w:val="18"/>
          <w:szCs w:val="18"/>
        </w:rPr>
      </w:pPr>
      <w:r w:rsidRPr="00986178">
        <w:rPr>
          <w:sz w:val="18"/>
          <w:szCs w:val="18"/>
        </w:rPr>
        <w:t xml:space="preserve">Malavolta, E. (2006). </w:t>
      </w:r>
      <w:r w:rsidRPr="00503C8C">
        <w:rPr>
          <w:i/>
          <w:iCs/>
          <w:sz w:val="18"/>
          <w:szCs w:val="18"/>
        </w:rPr>
        <w:t>Manual de nutrição mineral de plantas</w:t>
      </w:r>
      <w:r w:rsidRPr="00986178">
        <w:rPr>
          <w:sz w:val="18"/>
          <w:szCs w:val="18"/>
        </w:rPr>
        <w:t>. São Paulo: Editora</w:t>
      </w:r>
      <w:r w:rsidR="009407E0">
        <w:rPr>
          <w:sz w:val="18"/>
          <w:szCs w:val="18"/>
        </w:rPr>
        <w:t xml:space="preserve"> </w:t>
      </w:r>
      <w:r w:rsidRPr="00986178">
        <w:rPr>
          <w:sz w:val="18"/>
          <w:szCs w:val="18"/>
        </w:rPr>
        <w:t>Agr</w:t>
      </w:r>
      <w:r>
        <w:rPr>
          <w:sz w:val="18"/>
          <w:szCs w:val="18"/>
        </w:rPr>
        <w:t>onômica Ceres Ltd.</w:t>
      </w:r>
    </w:p>
    <w:p w:rsidR="004166FB" w:rsidRPr="00986178" w:rsidRDefault="004166FB" w:rsidP="004166FB">
      <w:pPr>
        <w:ind w:left="480" w:hanging="480"/>
        <w:jc w:val="both"/>
        <w:rPr>
          <w:sz w:val="18"/>
          <w:szCs w:val="18"/>
        </w:rPr>
      </w:pPr>
      <w:r w:rsidRPr="00986178">
        <w:rPr>
          <w:sz w:val="18"/>
          <w:szCs w:val="18"/>
        </w:rPr>
        <w:t xml:space="preserve">Marschner, H. (1995). </w:t>
      </w:r>
      <w:r w:rsidRPr="00503C8C">
        <w:rPr>
          <w:i/>
          <w:iCs/>
          <w:sz w:val="18"/>
          <w:szCs w:val="18"/>
        </w:rPr>
        <w:t>Mineral nutrition of higher plants</w:t>
      </w:r>
      <w:r w:rsidRPr="00986178">
        <w:rPr>
          <w:sz w:val="18"/>
          <w:szCs w:val="18"/>
        </w:rPr>
        <w:t xml:space="preserve"> (2nd ed.). London: Academic Press</w:t>
      </w:r>
      <w:r w:rsidR="009407E0">
        <w:rPr>
          <w:sz w:val="18"/>
          <w:szCs w:val="18"/>
        </w:rPr>
        <w:t>.</w:t>
      </w:r>
    </w:p>
    <w:p w:rsidR="004166FB" w:rsidRPr="00986178" w:rsidRDefault="009407E0" w:rsidP="004166FB">
      <w:pPr>
        <w:ind w:left="480" w:hanging="480"/>
        <w:jc w:val="both"/>
        <w:rPr>
          <w:sz w:val="18"/>
          <w:szCs w:val="18"/>
        </w:rPr>
      </w:pPr>
      <w:r>
        <w:rPr>
          <w:sz w:val="18"/>
          <w:szCs w:val="18"/>
        </w:rPr>
        <w:t>Morshedi, A.</w:t>
      </w:r>
      <w:r w:rsidR="004166FB">
        <w:rPr>
          <w:sz w:val="18"/>
          <w:szCs w:val="18"/>
        </w:rPr>
        <w:t xml:space="preserve"> &amp;</w:t>
      </w:r>
      <w:r>
        <w:rPr>
          <w:sz w:val="18"/>
          <w:szCs w:val="18"/>
        </w:rPr>
        <w:t xml:space="preserve"> </w:t>
      </w:r>
      <w:r w:rsidR="004166FB" w:rsidRPr="00986178">
        <w:rPr>
          <w:sz w:val="18"/>
          <w:szCs w:val="18"/>
        </w:rPr>
        <w:t>Naghibi, H. (2004).</w:t>
      </w:r>
      <w:r>
        <w:rPr>
          <w:sz w:val="18"/>
          <w:szCs w:val="18"/>
        </w:rPr>
        <w:t xml:space="preserve"> </w:t>
      </w:r>
      <w:r w:rsidR="004166FB" w:rsidRPr="00986178">
        <w:rPr>
          <w:sz w:val="18"/>
          <w:szCs w:val="18"/>
        </w:rPr>
        <w:t>Evaluation of the effect of spraying different concentrations of copper and zinc on yield and quality of rapeseed.</w:t>
      </w:r>
      <w:r>
        <w:rPr>
          <w:sz w:val="18"/>
          <w:szCs w:val="18"/>
        </w:rPr>
        <w:t xml:space="preserve"> </w:t>
      </w:r>
      <w:r w:rsidR="004166FB" w:rsidRPr="00503C8C">
        <w:rPr>
          <w:i/>
          <w:iCs/>
          <w:sz w:val="18"/>
          <w:szCs w:val="18"/>
        </w:rPr>
        <w:t>Journal of Agricultural Sciences and Natural Resources</w:t>
      </w:r>
      <w:r w:rsidR="004166FB">
        <w:rPr>
          <w:sz w:val="18"/>
          <w:szCs w:val="18"/>
        </w:rPr>
        <w:t>,</w:t>
      </w:r>
      <w:r w:rsidR="004166FB" w:rsidRPr="00986178">
        <w:rPr>
          <w:sz w:val="18"/>
          <w:szCs w:val="18"/>
        </w:rPr>
        <w:t xml:space="preserve"> 43</w:t>
      </w:r>
      <w:r w:rsidR="004166FB">
        <w:rPr>
          <w:sz w:val="18"/>
          <w:szCs w:val="18"/>
        </w:rPr>
        <w:t>,</w:t>
      </w:r>
      <w:r w:rsidR="004166FB" w:rsidRPr="00986178">
        <w:rPr>
          <w:sz w:val="18"/>
          <w:szCs w:val="18"/>
        </w:rPr>
        <w:t xml:space="preserve"> 15-22. (In Persian)</w:t>
      </w:r>
    </w:p>
    <w:p w:rsidR="004166FB" w:rsidRPr="00986178" w:rsidRDefault="009407E0" w:rsidP="004166FB">
      <w:pPr>
        <w:ind w:left="480" w:hanging="480"/>
        <w:jc w:val="both"/>
        <w:rPr>
          <w:sz w:val="18"/>
          <w:szCs w:val="18"/>
        </w:rPr>
      </w:pPr>
      <w:r>
        <w:rPr>
          <w:sz w:val="18"/>
          <w:szCs w:val="18"/>
        </w:rPr>
        <w:t>Mrkovacki, N.</w:t>
      </w:r>
      <w:r w:rsidR="004166FB">
        <w:rPr>
          <w:sz w:val="18"/>
          <w:szCs w:val="18"/>
        </w:rPr>
        <w:t xml:space="preserve"> &amp;</w:t>
      </w:r>
      <w:r>
        <w:rPr>
          <w:sz w:val="18"/>
          <w:szCs w:val="18"/>
        </w:rPr>
        <w:t xml:space="preserve"> </w:t>
      </w:r>
      <w:r w:rsidR="004166FB" w:rsidRPr="00986178">
        <w:rPr>
          <w:sz w:val="18"/>
          <w:szCs w:val="18"/>
        </w:rPr>
        <w:t>Milic, V. (2001).</w:t>
      </w:r>
      <w:r>
        <w:rPr>
          <w:sz w:val="18"/>
          <w:szCs w:val="18"/>
        </w:rPr>
        <w:t xml:space="preserve"> </w:t>
      </w:r>
      <w:r w:rsidR="004166FB" w:rsidRPr="00986178">
        <w:rPr>
          <w:sz w:val="18"/>
          <w:szCs w:val="18"/>
        </w:rPr>
        <w:t xml:space="preserve">Use of </w:t>
      </w:r>
      <w:r w:rsidR="004166FB" w:rsidRPr="009407E0">
        <w:rPr>
          <w:i/>
          <w:sz w:val="18"/>
          <w:szCs w:val="18"/>
        </w:rPr>
        <w:t>Azotobacter</w:t>
      </w:r>
      <w:r w:rsidRPr="009407E0">
        <w:rPr>
          <w:i/>
          <w:sz w:val="18"/>
          <w:szCs w:val="18"/>
        </w:rPr>
        <w:t xml:space="preserve"> </w:t>
      </w:r>
      <w:r w:rsidR="004166FB" w:rsidRPr="009407E0">
        <w:rPr>
          <w:i/>
          <w:sz w:val="18"/>
          <w:szCs w:val="18"/>
        </w:rPr>
        <w:t>chroococcum</w:t>
      </w:r>
      <w:r w:rsidR="004166FB" w:rsidRPr="00986178">
        <w:rPr>
          <w:sz w:val="18"/>
          <w:szCs w:val="18"/>
        </w:rPr>
        <w:t xml:space="preserve"> as potentially useful in agricultural application.</w:t>
      </w:r>
      <w:r>
        <w:rPr>
          <w:sz w:val="18"/>
          <w:szCs w:val="18"/>
        </w:rPr>
        <w:t xml:space="preserve"> </w:t>
      </w:r>
      <w:r w:rsidR="004166FB" w:rsidRPr="00503C8C">
        <w:rPr>
          <w:i/>
          <w:iCs/>
          <w:sz w:val="18"/>
          <w:szCs w:val="18"/>
        </w:rPr>
        <w:t>Annals of Microbiology</w:t>
      </w:r>
      <w:r w:rsidR="004166FB">
        <w:rPr>
          <w:sz w:val="18"/>
          <w:szCs w:val="18"/>
        </w:rPr>
        <w:t xml:space="preserve">, </w:t>
      </w:r>
      <w:r w:rsidR="004166FB" w:rsidRPr="00986178">
        <w:rPr>
          <w:sz w:val="18"/>
          <w:szCs w:val="18"/>
        </w:rPr>
        <w:t>51</w:t>
      </w:r>
      <w:r w:rsidR="004166FB">
        <w:rPr>
          <w:sz w:val="18"/>
          <w:szCs w:val="18"/>
        </w:rPr>
        <w:t>,</w:t>
      </w:r>
      <w:r w:rsidR="004166FB" w:rsidRPr="00986178">
        <w:rPr>
          <w:sz w:val="18"/>
          <w:szCs w:val="18"/>
        </w:rPr>
        <w:t>145-158</w:t>
      </w:r>
      <w:r>
        <w:rPr>
          <w:sz w:val="18"/>
          <w:szCs w:val="18"/>
        </w:rPr>
        <w:t>.</w:t>
      </w:r>
    </w:p>
    <w:p w:rsidR="004166FB" w:rsidRPr="00986178" w:rsidRDefault="004166FB" w:rsidP="004166FB">
      <w:pPr>
        <w:ind w:left="480" w:hanging="480"/>
        <w:jc w:val="both"/>
        <w:rPr>
          <w:sz w:val="18"/>
          <w:szCs w:val="18"/>
        </w:rPr>
      </w:pPr>
      <w:r w:rsidRPr="00986178">
        <w:rPr>
          <w:sz w:val="18"/>
          <w:szCs w:val="18"/>
        </w:rPr>
        <w:t>Nemati A.R.</w:t>
      </w:r>
      <w:r>
        <w:rPr>
          <w:sz w:val="18"/>
          <w:szCs w:val="18"/>
        </w:rPr>
        <w:t xml:space="preserve"> &amp;</w:t>
      </w:r>
      <w:r w:rsidR="009407E0">
        <w:rPr>
          <w:sz w:val="18"/>
          <w:szCs w:val="18"/>
        </w:rPr>
        <w:t xml:space="preserve"> </w:t>
      </w:r>
      <w:r w:rsidRPr="00986178">
        <w:rPr>
          <w:sz w:val="18"/>
          <w:szCs w:val="18"/>
        </w:rPr>
        <w:t xml:space="preserve">SeyedSharifi, R. (2012). Effects of rates and nitrogen application timing on yield, agronomic characteristics and nitrogen use efficiency in corn. </w:t>
      </w:r>
      <w:r w:rsidRPr="00503C8C">
        <w:rPr>
          <w:i/>
          <w:iCs/>
          <w:sz w:val="18"/>
          <w:szCs w:val="18"/>
        </w:rPr>
        <w:t>International Journal of Agriculture and Crop Sciences</w:t>
      </w:r>
      <w:r w:rsidR="009407E0">
        <w:rPr>
          <w:i/>
          <w:iCs/>
          <w:sz w:val="18"/>
          <w:szCs w:val="18"/>
        </w:rPr>
        <w:t xml:space="preserve">, </w:t>
      </w:r>
      <w:r w:rsidRPr="00986178">
        <w:rPr>
          <w:sz w:val="18"/>
          <w:szCs w:val="18"/>
        </w:rPr>
        <w:t>4(9)</w:t>
      </w:r>
      <w:r>
        <w:rPr>
          <w:sz w:val="18"/>
          <w:szCs w:val="18"/>
        </w:rPr>
        <w:t xml:space="preserve">, </w:t>
      </w:r>
      <w:r w:rsidRPr="00986178">
        <w:rPr>
          <w:sz w:val="18"/>
          <w:szCs w:val="18"/>
        </w:rPr>
        <w:t>534-539</w:t>
      </w:r>
    </w:p>
    <w:p w:rsidR="004166FB" w:rsidRPr="00986178" w:rsidRDefault="004166FB" w:rsidP="004166FB">
      <w:pPr>
        <w:ind w:left="480" w:hanging="480"/>
        <w:jc w:val="both"/>
        <w:rPr>
          <w:sz w:val="18"/>
          <w:szCs w:val="18"/>
        </w:rPr>
      </w:pPr>
      <w:r w:rsidRPr="00986178">
        <w:rPr>
          <w:sz w:val="18"/>
          <w:szCs w:val="18"/>
        </w:rPr>
        <w:t>Palmgren, M.G., Clemens, S., Williams, L.E., Kramer, U., Borg, S., Schjorring, J.K.</w:t>
      </w:r>
      <w:r>
        <w:rPr>
          <w:sz w:val="18"/>
          <w:szCs w:val="18"/>
        </w:rPr>
        <w:t xml:space="preserve"> &amp;</w:t>
      </w:r>
      <w:r w:rsidRPr="00986178">
        <w:rPr>
          <w:sz w:val="18"/>
          <w:szCs w:val="18"/>
        </w:rPr>
        <w:t xml:space="preserve"> Sanders, D. (2008). Zinc biofortification of cereals: problems and solutions. </w:t>
      </w:r>
      <w:r w:rsidRPr="00503C8C">
        <w:rPr>
          <w:i/>
          <w:iCs/>
          <w:sz w:val="18"/>
          <w:szCs w:val="18"/>
        </w:rPr>
        <w:t>Trends in Plant Science</w:t>
      </w:r>
      <w:r>
        <w:rPr>
          <w:i/>
          <w:iCs/>
          <w:sz w:val="18"/>
          <w:szCs w:val="18"/>
        </w:rPr>
        <w:t>,</w:t>
      </w:r>
      <w:r>
        <w:rPr>
          <w:sz w:val="18"/>
          <w:szCs w:val="18"/>
        </w:rPr>
        <w:t xml:space="preserve"> 13, </w:t>
      </w:r>
      <w:r w:rsidRPr="00986178">
        <w:rPr>
          <w:sz w:val="18"/>
          <w:szCs w:val="18"/>
        </w:rPr>
        <w:t xml:space="preserve">464-473. </w:t>
      </w:r>
    </w:p>
    <w:p w:rsidR="004166FB" w:rsidRPr="00986178" w:rsidRDefault="009407E0" w:rsidP="004166FB">
      <w:pPr>
        <w:ind w:left="480" w:hanging="480"/>
        <w:jc w:val="both"/>
        <w:rPr>
          <w:sz w:val="18"/>
          <w:szCs w:val="18"/>
        </w:rPr>
      </w:pPr>
      <w:r>
        <w:rPr>
          <w:sz w:val="18"/>
          <w:szCs w:val="18"/>
        </w:rPr>
        <w:t xml:space="preserve">Peck, A.W. </w:t>
      </w:r>
      <w:r w:rsidR="004166FB">
        <w:rPr>
          <w:sz w:val="18"/>
          <w:szCs w:val="18"/>
        </w:rPr>
        <w:t>&amp;</w:t>
      </w:r>
      <w:r w:rsidR="004166FB" w:rsidRPr="00986178">
        <w:rPr>
          <w:sz w:val="18"/>
          <w:szCs w:val="18"/>
        </w:rPr>
        <w:t xml:space="preserve"> McDonald, G.K. (2010). Adequate zinc nutrition alleviates the adverse effects of heat stress in bread wheat. </w:t>
      </w:r>
      <w:r w:rsidR="004166FB" w:rsidRPr="00503C8C">
        <w:rPr>
          <w:i/>
          <w:iCs/>
          <w:sz w:val="18"/>
          <w:szCs w:val="18"/>
        </w:rPr>
        <w:t>Plant Soil</w:t>
      </w:r>
      <w:r w:rsidR="004166FB">
        <w:rPr>
          <w:i/>
          <w:iCs/>
          <w:sz w:val="18"/>
          <w:szCs w:val="18"/>
        </w:rPr>
        <w:t>,</w:t>
      </w:r>
      <w:r w:rsidR="004166FB" w:rsidRPr="00986178">
        <w:rPr>
          <w:sz w:val="18"/>
          <w:szCs w:val="18"/>
        </w:rPr>
        <w:t xml:space="preserve"> 337</w:t>
      </w:r>
      <w:r w:rsidR="004166FB">
        <w:rPr>
          <w:sz w:val="18"/>
          <w:szCs w:val="18"/>
        </w:rPr>
        <w:t>,</w:t>
      </w:r>
      <w:r w:rsidR="004166FB" w:rsidRPr="00986178">
        <w:rPr>
          <w:sz w:val="18"/>
          <w:szCs w:val="18"/>
        </w:rPr>
        <w:t xml:space="preserve"> 355-374. </w:t>
      </w:r>
    </w:p>
    <w:p w:rsidR="004166FB" w:rsidRPr="00986178" w:rsidRDefault="009407E0" w:rsidP="004166FB">
      <w:pPr>
        <w:ind w:left="480" w:hanging="480"/>
        <w:jc w:val="both"/>
        <w:rPr>
          <w:sz w:val="18"/>
          <w:szCs w:val="18"/>
        </w:rPr>
      </w:pPr>
      <w:r>
        <w:rPr>
          <w:sz w:val="18"/>
          <w:szCs w:val="18"/>
        </w:rPr>
        <w:t xml:space="preserve">PotarzyckiJ. </w:t>
      </w:r>
      <w:r w:rsidR="004166FB">
        <w:rPr>
          <w:sz w:val="18"/>
          <w:szCs w:val="18"/>
        </w:rPr>
        <w:t>&amp;</w:t>
      </w:r>
      <w:r>
        <w:rPr>
          <w:sz w:val="18"/>
          <w:szCs w:val="18"/>
        </w:rPr>
        <w:t xml:space="preserve"> </w:t>
      </w:r>
      <w:r w:rsidR="004166FB" w:rsidRPr="00986178">
        <w:rPr>
          <w:sz w:val="18"/>
          <w:szCs w:val="18"/>
        </w:rPr>
        <w:t>Grzebisz W. (2009). Effect of zinc foliar application on grain yield of maize and its yielding components.</w:t>
      </w:r>
      <w:r>
        <w:rPr>
          <w:sz w:val="18"/>
          <w:szCs w:val="18"/>
        </w:rPr>
        <w:t xml:space="preserve"> </w:t>
      </w:r>
      <w:r w:rsidR="004166FB" w:rsidRPr="00DE02E2">
        <w:rPr>
          <w:i/>
          <w:iCs/>
          <w:sz w:val="18"/>
          <w:szCs w:val="18"/>
        </w:rPr>
        <w:t>Plant, Soil and Environment</w:t>
      </w:r>
      <w:r w:rsidR="004166FB">
        <w:rPr>
          <w:sz w:val="18"/>
          <w:szCs w:val="18"/>
        </w:rPr>
        <w:t>,</w:t>
      </w:r>
      <w:r w:rsidR="004166FB" w:rsidRPr="00986178">
        <w:rPr>
          <w:sz w:val="18"/>
          <w:szCs w:val="18"/>
        </w:rPr>
        <w:t xml:space="preserve"> 55(12)</w:t>
      </w:r>
      <w:r w:rsidR="004166FB">
        <w:rPr>
          <w:sz w:val="18"/>
          <w:szCs w:val="18"/>
        </w:rPr>
        <w:t>,</w:t>
      </w:r>
      <w:r w:rsidR="004166FB" w:rsidRPr="00986178">
        <w:rPr>
          <w:sz w:val="18"/>
          <w:szCs w:val="18"/>
        </w:rPr>
        <w:t xml:space="preserve"> 519</w:t>
      </w:r>
      <w:r w:rsidR="004166FB">
        <w:rPr>
          <w:sz w:val="18"/>
          <w:szCs w:val="18"/>
        </w:rPr>
        <w:t>-</w:t>
      </w:r>
      <w:r w:rsidR="004166FB" w:rsidRPr="00986178">
        <w:rPr>
          <w:sz w:val="18"/>
          <w:szCs w:val="18"/>
        </w:rPr>
        <w:t>527</w:t>
      </w:r>
      <w:r>
        <w:rPr>
          <w:sz w:val="18"/>
          <w:szCs w:val="18"/>
        </w:rPr>
        <w:t>.</w:t>
      </w:r>
    </w:p>
    <w:p w:rsidR="004166FB" w:rsidRPr="00986178" w:rsidRDefault="004166FB" w:rsidP="004166FB">
      <w:pPr>
        <w:ind w:left="480" w:hanging="480"/>
        <w:jc w:val="both"/>
        <w:rPr>
          <w:sz w:val="18"/>
          <w:szCs w:val="18"/>
        </w:rPr>
      </w:pPr>
      <w:r w:rsidRPr="00986178">
        <w:rPr>
          <w:sz w:val="18"/>
          <w:szCs w:val="18"/>
        </w:rPr>
        <w:lastRenderedPageBreak/>
        <w:t>Schlüter U., Mascher, M., Colmsee, C., Scholz, U.,</w:t>
      </w:r>
      <w:r w:rsidR="009407E0">
        <w:rPr>
          <w:sz w:val="18"/>
          <w:szCs w:val="18"/>
        </w:rPr>
        <w:t xml:space="preserve"> Bräutigam, A., Fahnenstich, H.</w:t>
      </w:r>
      <w:r w:rsidRPr="00986178">
        <w:rPr>
          <w:sz w:val="18"/>
          <w:szCs w:val="18"/>
        </w:rPr>
        <w:t xml:space="preserve"> </w:t>
      </w:r>
      <w:r>
        <w:rPr>
          <w:sz w:val="18"/>
          <w:szCs w:val="18"/>
        </w:rPr>
        <w:t>&amp;</w:t>
      </w:r>
      <w:r w:rsidR="009407E0">
        <w:rPr>
          <w:sz w:val="18"/>
          <w:szCs w:val="18"/>
        </w:rPr>
        <w:t xml:space="preserve"> </w:t>
      </w:r>
      <w:r w:rsidRPr="00986178">
        <w:rPr>
          <w:sz w:val="18"/>
          <w:szCs w:val="18"/>
        </w:rPr>
        <w:t xml:space="preserve">Sonnewald, U. (2012). Maize </w:t>
      </w:r>
      <w:r>
        <w:rPr>
          <w:sz w:val="18"/>
          <w:szCs w:val="18"/>
        </w:rPr>
        <w:t>s</w:t>
      </w:r>
      <w:r w:rsidRPr="00986178">
        <w:rPr>
          <w:sz w:val="18"/>
          <w:szCs w:val="18"/>
        </w:rPr>
        <w:t xml:space="preserve">ource </w:t>
      </w:r>
      <w:r>
        <w:rPr>
          <w:sz w:val="18"/>
          <w:szCs w:val="18"/>
        </w:rPr>
        <w:t>l</w:t>
      </w:r>
      <w:r w:rsidRPr="00986178">
        <w:rPr>
          <w:sz w:val="18"/>
          <w:szCs w:val="18"/>
        </w:rPr>
        <w:t xml:space="preserve">eaf </w:t>
      </w:r>
      <w:r>
        <w:rPr>
          <w:sz w:val="18"/>
          <w:szCs w:val="18"/>
        </w:rPr>
        <w:t>a</w:t>
      </w:r>
      <w:r w:rsidRPr="00986178">
        <w:rPr>
          <w:sz w:val="18"/>
          <w:szCs w:val="18"/>
        </w:rPr>
        <w:t xml:space="preserve">daptation to </w:t>
      </w:r>
      <w:r>
        <w:rPr>
          <w:sz w:val="18"/>
          <w:szCs w:val="18"/>
        </w:rPr>
        <w:t>n</w:t>
      </w:r>
      <w:r w:rsidRPr="00986178">
        <w:rPr>
          <w:sz w:val="18"/>
          <w:szCs w:val="18"/>
        </w:rPr>
        <w:t xml:space="preserve">itrogen </w:t>
      </w:r>
      <w:r>
        <w:rPr>
          <w:sz w:val="18"/>
          <w:szCs w:val="18"/>
        </w:rPr>
        <w:t>d</w:t>
      </w:r>
      <w:r w:rsidRPr="00986178">
        <w:rPr>
          <w:sz w:val="18"/>
          <w:szCs w:val="18"/>
        </w:rPr>
        <w:t xml:space="preserve">eficiency </w:t>
      </w:r>
      <w:r>
        <w:rPr>
          <w:sz w:val="18"/>
          <w:szCs w:val="18"/>
        </w:rPr>
        <w:t>a</w:t>
      </w:r>
      <w:r w:rsidRPr="00986178">
        <w:rPr>
          <w:sz w:val="18"/>
          <w:szCs w:val="18"/>
        </w:rPr>
        <w:t xml:space="preserve">ffects </w:t>
      </w:r>
      <w:r>
        <w:rPr>
          <w:sz w:val="18"/>
          <w:szCs w:val="18"/>
        </w:rPr>
        <w:t>n</w:t>
      </w:r>
      <w:r w:rsidRPr="00986178">
        <w:rPr>
          <w:sz w:val="18"/>
          <w:szCs w:val="18"/>
        </w:rPr>
        <w:t xml:space="preserve">ot </w:t>
      </w:r>
      <w:r>
        <w:rPr>
          <w:sz w:val="18"/>
          <w:szCs w:val="18"/>
        </w:rPr>
        <w:t>o</w:t>
      </w:r>
      <w:r w:rsidRPr="00986178">
        <w:rPr>
          <w:sz w:val="18"/>
          <w:szCs w:val="18"/>
        </w:rPr>
        <w:t xml:space="preserve">nly </w:t>
      </w:r>
      <w:r>
        <w:rPr>
          <w:sz w:val="18"/>
          <w:szCs w:val="18"/>
        </w:rPr>
        <w:t>n</w:t>
      </w:r>
      <w:r w:rsidRPr="00986178">
        <w:rPr>
          <w:sz w:val="18"/>
          <w:szCs w:val="18"/>
        </w:rPr>
        <w:t xml:space="preserve">itrogen and </w:t>
      </w:r>
      <w:r>
        <w:rPr>
          <w:sz w:val="18"/>
          <w:szCs w:val="18"/>
        </w:rPr>
        <w:t>c</w:t>
      </w:r>
      <w:r w:rsidRPr="00986178">
        <w:rPr>
          <w:sz w:val="18"/>
          <w:szCs w:val="18"/>
        </w:rPr>
        <w:t xml:space="preserve">arbon </w:t>
      </w:r>
      <w:r>
        <w:rPr>
          <w:sz w:val="18"/>
          <w:szCs w:val="18"/>
        </w:rPr>
        <w:t>m</w:t>
      </w:r>
      <w:r w:rsidRPr="00986178">
        <w:rPr>
          <w:sz w:val="18"/>
          <w:szCs w:val="18"/>
        </w:rPr>
        <w:t xml:space="preserve">etabolism </w:t>
      </w:r>
      <w:r>
        <w:rPr>
          <w:sz w:val="18"/>
          <w:szCs w:val="18"/>
        </w:rPr>
        <w:t>b</w:t>
      </w:r>
      <w:r w:rsidRPr="00986178">
        <w:rPr>
          <w:sz w:val="18"/>
          <w:szCs w:val="18"/>
        </w:rPr>
        <w:t xml:space="preserve">ut </w:t>
      </w:r>
      <w:r>
        <w:rPr>
          <w:sz w:val="18"/>
          <w:szCs w:val="18"/>
        </w:rPr>
        <w:t>a</w:t>
      </w:r>
      <w:r w:rsidRPr="00986178">
        <w:rPr>
          <w:sz w:val="18"/>
          <w:szCs w:val="18"/>
        </w:rPr>
        <w:t xml:space="preserve">lso </w:t>
      </w:r>
      <w:r>
        <w:rPr>
          <w:sz w:val="18"/>
          <w:szCs w:val="18"/>
        </w:rPr>
        <w:t>c</w:t>
      </w:r>
      <w:r w:rsidRPr="00986178">
        <w:rPr>
          <w:sz w:val="18"/>
          <w:szCs w:val="18"/>
        </w:rPr>
        <w:t xml:space="preserve">ontrol of </w:t>
      </w:r>
      <w:r>
        <w:rPr>
          <w:sz w:val="18"/>
          <w:szCs w:val="18"/>
        </w:rPr>
        <w:t>p</w:t>
      </w:r>
      <w:r w:rsidRPr="00986178">
        <w:rPr>
          <w:sz w:val="18"/>
          <w:szCs w:val="18"/>
        </w:rPr>
        <w:t xml:space="preserve">hosphate </w:t>
      </w:r>
      <w:r>
        <w:rPr>
          <w:sz w:val="18"/>
          <w:szCs w:val="18"/>
        </w:rPr>
        <w:t>h</w:t>
      </w:r>
      <w:r w:rsidRPr="00986178">
        <w:rPr>
          <w:sz w:val="18"/>
          <w:szCs w:val="18"/>
        </w:rPr>
        <w:t xml:space="preserve">omeostasis. </w:t>
      </w:r>
      <w:r w:rsidRPr="00DE02E2">
        <w:rPr>
          <w:i/>
          <w:iCs/>
          <w:sz w:val="18"/>
          <w:szCs w:val="18"/>
        </w:rPr>
        <w:t>Plant Physiology</w:t>
      </w:r>
      <w:r>
        <w:rPr>
          <w:i/>
          <w:iCs/>
          <w:sz w:val="18"/>
          <w:szCs w:val="18"/>
        </w:rPr>
        <w:t>,</w:t>
      </w:r>
      <w:r>
        <w:rPr>
          <w:sz w:val="18"/>
          <w:szCs w:val="18"/>
        </w:rPr>
        <w:t xml:space="preserve"> 160,</w:t>
      </w:r>
      <w:r w:rsidRPr="00986178">
        <w:rPr>
          <w:sz w:val="18"/>
          <w:szCs w:val="18"/>
        </w:rPr>
        <w:t xml:space="preserve"> 1384-1406.</w:t>
      </w:r>
    </w:p>
    <w:p w:rsidR="004166FB" w:rsidRPr="00986178" w:rsidRDefault="004166FB" w:rsidP="004166FB">
      <w:pPr>
        <w:ind w:left="480" w:hanging="480"/>
        <w:jc w:val="both"/>
        <w:rPr>
          <w:sz w:val="18"/>
          <w:szCs w:val="18"/>
        </w:rPr>
      </w:pPr>
      <w:r w:rsidRPr="00986178">
        <w:rPr>
          <w:sz w:val="18"/>
          <w:szCs w:val="18"/>
        </w:rPr>
        <w:t>Selvakumar, G</w:t>
      </w:r>
      <w:r w:rsidR="009407E0">
        <w:rPr>
          <w:sz w:val="18"/>
          <w:szCs w:val="18"/>
        </w:rPr>
        <w:t xml:space="preserve">., Lenin, M., Thamizhiniyan, P. </w:t>
      </w:r>
      <w:r>
        <w:rPr>
          <w:sz w:val="18"/>
          <w:szCs w:val="18"/>
        </w:rPr>
        <w:t xml:space="preserve"> &amp;</w:t>
      </w:r>
      <w:r w:rsidR="009407E0">
        <w:rPr>
          <w:sz w:val="18"/>
          <w:szCs w:val="18"/>
        </w:rPr>
        <w:t xml:space="preserve"> </w:t>
      </w:r>
      <w:r w:rsidRPr="00986178">
        <w:rPr>
          <w:sz w:val="18"/>
          <w:szCs w:val="18"/>
        </w:rPr>
        <w:t>Ravimycin, T. (2009).</w:t>
      </w:r>
      <w:r w:rsidR="009407E0">
        <w:rPr>
          <w:sz w:val="18"/>
          <w:szCs w:val="18"/>
        </w:rPr>
        <w:t xml:space="preserve"> </w:t>
      </w:r>
      <w:r w:rsidRPr="00986178">
        <w:rPr>
          <w:sz w:val="18"/>
          <w:szCs w:val="18"/>
        </w:rPr>
        <w:t>Response of biofertilizers on the growth and yield of blackgram (</w:t>
      </w:r>
      <w:r w:rsidRPr="009407E0">
        <w:rPr>
          <w:i/>
          <w:sz w:val="18"/>
          <w:szCs w:val="18"/>
        </w:rPr>
        <w:t>Vigna</w:t>
      </w:r>
      <w:r w:rsidR="009407E0" w:rsidRPr="009407E0">
        <w:rPr>
          <w:i/>
          <w:sz w:val="18"/>
          <w:szCs w:val="18"/>
        </w:rPr>
        <w:t xml:space="preserve"> </w:t>
      </w:r>
      <w:r w:rsidRPr="009407E0">
        <w:rPr>
          <w:i/>
          <w:sz w:val="18"/>
          <w:szCs w:val="18"/>
        </w:rPr>
        <w:t>mungo</w:t>
      </w:r>
      <w:r w:rsidRPr="00986178">
        <w:rPr>
          <w:sz w:val="18"/>
          <w:szCs w:val="18"/>
        </w:rPr>
        <w:t xml:space="preserve"> L.).</w:t>
      </w:r>
      <w:r w:rsidR="009407E0">
        <w:rPr>
          <w:sz w:val="18"/>
          <w:szCs w:val="18"/>
        </w:rPr>
        <w:t xml:space="preserve"> </w:t>
      </w:r>
      <w:r w:rsidRPr="00DE02E2">
        <w:rPr>
          <w:i/>
          <w:iCs/>
          <w:sz w:val="18"/>
          <w:szCs w:val="18"/>
        </w:rPr>
        <w:t>Recent Research in Science and Technology</w:t>
      </w:r>
      <w:r w:rsidRPr="00986178">
        <w:rPr>
          <w:sz w:val="18"/>
          <w:szCs w:val="18"/>
        </w:rPr>
        <w:t>, 1(4)</w:t>
      </w:r>
      <w:r>
        <w:rPr>
          <w:sz w:val="18"/>
          <w:szCs w:val="18"/>
        </w:rPr>
        <w:t>,</w:t>
      </w:r>
      <w:r w:rsidRPr="00986178">
        <w:rPr>
          <w:sz w:val="18"/>
          <w:szCs w:val="18"/>
        </w:rPr>
        <w:t>169-175.</w:t>
      </w:r>
    </w:p>
    <w:p w:rsidR="004166FB" w:rsidRPr="00986178" w:rsidRDefault="004166FB" w:rsidP="004166FB">
      <w:pPr>
        <w:ind w:left="480" w:hanging="480"/>
        <w:jc w:val="both"/>
        <w:rPr>
          <w:sz w:val="18"/>
          <w:szCs w:val="18"/>
        </w:rPr>
      </w:pPr>
      <w:r w:rsidRPr="00986178">
        <w:rPr>
          <w:sz w:val="18"/>
          <w:szCs w:val="18"/>
        </w:rPr>
        <w:t>Shaharoona, B., Arshad, M., Zahir, Z.A.</w:t>
      </w:r>
      <w:r w:rsidR="009407E0">
        <w:rPr>
          <w:sz w:val="18"/>
          <w:szCs w:val="18"/>
        </w:rPr>
        <w:t xml:space="preserve"> </w:t>
      </w:r>
      <w:r>
        <w:rPr>
          <w:sz w:val="18"/>
          <w:szCs w:val="18"/>
        </w:rPr>
        <w:t>&amp;</w:t>
      </w:r>
      <w:r w:rsidRPr="00986178">
        <w:rPr>
          <w:sz w:val="18"/>
          <w:szCs w:val="18"/>
        </w:rPr>
        <w:t xml:space="preserve"> Khalid, A. (2006).</w:t>
      </w:r>
      <w:r w:rsidR="009407E0">
        <w:rPr>
          <w:sz w:val="18"/>
          <w:szCs w:val="18"/>
        </w:rPr>
        <w:t xml:space="preserve"> </w:t>
      </w:r>
      <w:r w:rsidRPr="00986178">
        <w:rPr>
          <w:sz w:val="18"/>
          <w:szCs w:val="18"/>
        </w:rPr>
        <w:t xml:space="preserve">Performance of </w:t>
      </w:r>
      <w:r w:rsidR="009407E0">
        <w:rPr>
          <w:i/>
          <w:iCs/>
          <w:sz w:val="18"/>
          <w:szCs w:val="18"/>
        </w:rPr>
        <w:t>P</w:t>
      </w:r>
      <w:r w:rsidRPr="00A057B0">
        <w:rPr>
          <w:i/>
          <w:iCs/>
          <w:sz w:val="18"/>
          <w:szCs w:val="18"/>
        </w:rPr>
        <w:t>seudomonas spp</w:t>
      </w:r>
      <w:r w:rsidRPr="00986178">
        <w:rPr>
          <w:sz w:val="18"/>
          <w:szCs w:val="18"/>
        </w:rPr>
        <w:t>. containing acc-deaminase for improving growth and yield of</w:t>
      </w:r>
      <w:r w:rsidR="009407E0">
        <w:rPr>
          <w:sz w:val="18"/>
          <w:szCs w:val="18"/>
        </w:rPr>
        <w:t xml:space="preserve"> </w:t>
      </w:r>
      <w:r w:rsidRPr="00986178">
        <w:rPr>
          <w:sz w:val="18"/>
          <w:szCs w:val="18"/>
        </w:rPr>
        <w:t>maize (</w:t>
      </w:r>
      <w:r w:rsidRPr="009407E0">
        <w:rPr>
          <w:i/>
          <w:sz w:val="18"/>
          <w:szCs w:val="18"/>
        </w:rPr>
        <w:t>Zea mays</w:t>
      </w:r>
      <w:r w:rsidRPr="00986178">
        <w:rPr>
          <w:sz w:val="18"/>
          <w:szCs w:val="18"/>
        </w:rPr>
        <w:t xml:space="preserve"> L.) in the presence of nitrogenous fertilizer.</w:t>
      </w:r>
      <w:r w:rsidR="009407E0">
        <w:rPr>
          <w:sz w:val="18"/>
          <w:szCs w:val="18"/>
        </w:rPr>
        <w:t xml:space="preserve"> </w:t>
      </w:r>
      <w:r w:rsidRPr="00DE02E2">
        <w:rPr>
          <w:i/>
          <w:iCs/>
          <w:sz w:val="18"/>
          <w:szCs w:val="18"/>
        </w:rPr>
        <w:t>Soil Biology and Biochemistry</w:t>
      </w:r>
      <w:r>
        <w:rPr>
          <w:i/>
          <w:iCs/>
          <w:sz w:val="18"/>
          <w:szCs w:val="18"/>
        </w:rPr>
        <w:t>,</w:t>
      </w:r>
      <w:r w:rsidRPr="00986178">
        <w:rPr>
          <w:sz w:val="18"/>
          <w:szCs w:val="18"/>
        </w:rPr>
        <w:t xml:space="preserve"> 38</w:t>
      </w:r>
      <w:r>
        <w:rPr>
          <w:sz w:val="18"/>
          <w:szCs w:val="18"/>
        </w:rPr>
        <w:t>,</w:t>
      </w:r>
      <w:r w:rsidRPr="00986178">
        <w:rPr>
          <w:sz w:val="18"/>
          <w:szCs w:val="18"/>
        </w:rPr>
        <w:t xml:space="preserve"> 2971-2975. </w:t>
      </w:r>
    </w:p>
    <w:p w:rsidR="004166FB" w:rsidRPr="00E84E43" w:rsidRDefault="009407E0" w:rsidP="004166FB">
      <w:pPr>
        <w:ind w:left="480" w:hanging="480"/>
        <w:jc w:val="both"/>
        <w:rPr>
          <w:sz w:val="18"/>
          <w:szCs w:val="18"/>
        </w:rPr>
      </w:pPr>
      <w:r>
        <w:rPr>
          <w:sz w:val="18"/>
          <w:szCs w:val="18"/>
        </w:rPr>
        <w:t xml:space="preserve">Shewry, P.R. </w:t>
      </w:r>
      <w:r w:rsidR="004166FB">
        <w:rPr>
          <w:sz w:val="18"/>
          <w:szCs w:val="18"/>
        </w:rPr>
        <w:t>&amp;</w:t>
      </w:r>
      <w:r>
        <w:rPr>
          <w:sz w:val="18"/>
          <w:szCs w:val="18"/>
        </w:rPr>
        <w:t xml:space="preserve"> </w:t>
      </w:r>
      <w:r w:rsidR="004166FB" w:rsidRPr="00E84E43">
        <w:rPr>
          <w:sz w:val="18"/>
          <w:szCs w:val="18"/>
        </w:rPr>
        <w:t>Halford, N.G. (2002). C</w:t>
      </w:r>
      <w:bookmarkStart w:id="0" w:name="_GoBack"/>
      <w:bookmarkEnd w:id="0"/>
      <w:r w:rsidR="004166FB" w:rsidRPr="00E84E43">
        <w:rPr>
          <w:sz w:val="18"/>
          <w:szCs w:val="18"/>
        </w:rPr>
        <w:t xml:space="preserve">ereal seed storage proteins: structures, properties and role in grain utilization. </w:t>
      </w:r>
      <w:r w:rsidR="004166FB" w:rsidRPr="00DE02E2">
        <w:rPr>
          <w:i/>
          <w:iCs/>
          <w:sz w:val="18"/>
          <w:szCs w:val="18"/>
        </w:rPr>
        <w:t>Journal of Experimental Botany</w:t>
      </w:r>
      <w:r w:rsidR="004166FB">
        <w:rPr>
          <w:i/>
          <w:iCs/>
          <w:sz w:val="18"/>
          <w:szCs w:val="18"/>
        </w:rPr>
        <w:t>,</w:t>
      </w:r>
      <w:r>
        <w:rPr>
          <w:i/>
          <w:iCs/>
          <w:sz w:val="18"/>
          <w:szCs w:val="18"/>
        </w:rPr>
        <w:t xml:space="preserve"> </w:t>
      </w:r>
      <w:r w:rsidR="004166FB" w:rsidRPr="00E84E43">
        <w:rPr>
          <w:sz w:val="18"/>
          <w:szCs w:val="18"/>
        </w:rPr>
        <w:t>370</w:t>
      </w:r>
      <w:r w:rsidR="004166FB">
        <w:rPr>
          <w:sz w:val="18"/>
          <w:szCs w:val="18"/>
        </w:rPr>
        <w:t xml:space="preserve">, </w:t>
      </w:r>
      <w:r w:rsidR="004166FB" w:rsidRPr="00E84E43">
        <w:rPr>
          <w:sz w:val="18"/>
          <w:szCs w:val="18"/>
        </w:rPr>
        <w:t xml:space="preserve">947-958. </w:t>
      </w:r>
    </w:p>
    <w:p w:rsidR="004166FB" w:rsidRPr="00E84E43" w:rsidRDefault="004166FB" w:rsidP="004166FB">
      <w:pPr>
        <w:ind w:left="480" w:hanging="480"/>
        <w:jc w:val="both"/>
        <w:rPr>
          <w:sz w:val="18"/>
          <w:szCs w:val="18"/>
        </w:rPr>
      </w:pPr>
      <w:r w:rsidRPr="00986178">
        <w:rPr>
          <w:sz w:val="18"/>
          <w:szCs w:val="18"/>
        </w:rPr>
        <w:t>Tisdale, S.L., Nelson, W.L.</w:t>
      </w:r>
      <w:r>
        <w:rPr>
          <w:sz w:val="18"/>
          <w:szCs w:val="18"/>
        </w:rPr>
        <w:t>, &amp;</w:t>
      </w:r>
      <w:r w:rsidRPr="00986178">
        <w:rPr>
          <w:sz w:val="18"/>
          <w:szCs w:val="18"/>
        </w:rPr>
        <w:t xml:space="preserve"> Beaten, J.D. (1984). </w:t>
      </w:r>
      <w:r w:rsidRPr="00D844E5">
        <w:rPr>
          <w:i/>
          <w:iCs/>
          <w:sz w:val="18"/>
          <w:szCs w:val="18"/>
        </w:rPr>
        <w:t>Zinc In soil Fertility and Fertilizers</w:t>
      </w:r>
      <w:r w:rsidRPr="00986178">
        <w:rPr>
          <w:sz w:val="18"/>
          <w:szCs w:val="18"/>
        </w:rPr>
        <w:t>.Fourth edition, New York</w:t>
      </w:r>
      <w:r>
        <w:rPr>
          <w:sz w:val="18"/>
          <w:szCs w:val="18"/>
        </w:rPr>
        <w:t xml:space="preserve">: </w:t>
      </w:r>
      <w:r w:rsidRPr="00986178">
        <w:rPr>
          <w:sz w:val="18"/>
          <w:szCs w:val="18"/>
        </w:rPr>
        <w:t>Macmillan Publishing Company.</w:t>
      </w:r>
    </w:p>
    <w:p w:rsidR="004166FB" w:rsidRPr="00986178" w:rsidRDefault="004166FB" w:rsidP="004166FB">
      <w:pPr>
        <w:ind w:left="480" w:hanging="480"/>
        <w:jc w:val="both"/>
        <w:rPr>
          <w:sz w:val="18"/>
          <w:szCs w:val="18"/>
        </w:rPr>
      </w:pPr>
      <w:r w:rsidRPr="00E84E43">
        <w:rPr>
          <w:sz w:val="18"/>
          <w:szCs w:val="18"/>
        </w:rPr>
        <w:t>Xia, L.H., Zhong, H.M.</w:t>
      </w:r>
      <w:r>
        <w:rPr>
          <w:sz w:val="18"/>
          <w:szCs w:val="18"/>
        </w:rPr>
        <w:t>,</w:t>
      </w:r>
      <w:r w:rsidRPr="00E84E43">
        <w:rPr>
          <w:sz w:val="18"/>
          <w:szCs w:val="18"/>
        </w:rPr>
        <w:t xml:space="preserve"> Wang, D.R.</w:t>
      </w:r>
      <w:r>
        <w:rPr>
          <w:sz w:val="18"/>
          <w:szCs w:val="18"/>
        </w:rPr>
        <w:t>,</w:t>
      </w:r>
      <w:r w:rsidRPr="00E84E43">
        <w:rPr>
          <w:sz w:val="18"/>
          <w:szCs w:val="18"/>
        </w:rPr>
        <w:t xml:space="preserve"> Wang, H.</w:t>
      </w:r>
      <w:r>
        <w:rPr>
          <w:sz w:val="18"/>
          <w:szCs w:val="18"/>
        </w:rPr>
        <w:t>,</w:t>
      </w:r>
      <w:r w:rsidRPr="00E84E43">
        <w:rPr>
          <w:sz w:val="18"/>
          <w:szCs w:val="18"/>
        </w:rPr>
        <w:t xml:space="preserve"> Zhou, W.L.</w:t>
      </w:r>
      <w:r w:rsidR="009407E0">
        <w:rPr>
          <w:sz w:val="18"/>
          <w:szCs w:val="18"/>
        </w:rPr>
        <w:t xml:space="preserve"> </w:t>
      </w:r>
      <w:r>
        <w:rPr>
          <w:sz w:val="18"/>
          <w:szCs w:val="18"/>
        </w:rPr>
        <w:t>&amp;</w:t>
      </w:r>
      <w:r w:rsidR="009407E0">
        <w:rPr>
          <w:sz w:val="18"/>
          <w:szCs w:val="18"/>
        </w:rPr>
        <w:t xml:space="preserve"> </w:t>
      </w:r>
      <w:r w:rsidRPr="00E84E43">
        <w:rPr>
          <w:sz w:val="18"/>
          <w:szCs w:val="18"/>
        </w:rPr>
        <w:t>Gu, Y.X. (2004). Effect of mixed application of nitrogen and zinc fertilizers on yield increase of summer maize.</w:t>
      </w:r>
      <w:r w:rsidR="009407E0">
        <w:rPr>
          <w:sz w:val="18"/>
          <w:szCs w:val="18"/>
        </w:rPr>
        <w:t xml:space="preserve"> </w:t>
      </w:r>
      <w:r w:rsidRPr="00D844E5">
        <w:rPr>
          <w:i/>
          <w:iCs/>
          <w:sz w:val="18"/>
          <w:szCs w:val="18"/>
        </w:rPr>
        <w:t>Journal of Jilin Agricultural University</w:t>
      </w:r>
      <w:r>
        <w:rPr>
          <w:i/>
          <w:iCs/>
          <w:sz w:val="18"/>
          <w:szCs w:val="18"/>
        </w:rPr>
        <w:t xml:space="preserve">, </w:t>
      </w:r>
      <w:r w:rsidRPr="00E84E43">
        <w:rPr>
          <w:sz w:val="18"/>
          <w:szCs w:val="18"/>
        </w:rPr>
        <w:t>26</w:t>
      </w:r>
      <w:r>
        <w:rPr>
          <w:sz w:val="18"/>
          <w:szCs w:val="18"/>
        </w:rPr>
        <w:t xml:space="preserve">, </w:t>
      </w:r>
      <w:r w:rsidRPr="00E84E43">
        <w:rPr>
          <w:sz w:val="18"/>
          <w:szCs w:val="18"/>
        </w:rPr>
        <w:t>538-541.</w:t>
      </w:r>
    </w:p>
    <w:p w:rsidR="004166FB" w:rsidRPr="0015685B" w:rsidRDefault="004166FB" w:rsidP="004166FB">
      <w:pPr>
        <w:pStyle w:val="BodyText"/>
        <w:spacing w:after="0"/>
        <w:ind w:left="425" w:hanging="425"/>
        <w:jc w:val="center"/>
        <w:rPr>
          <w:b/>
          <w:bCs/>
          <w:sz w:val="22"/>
          <w:szCs w:val="22"/>
          <w:lang w:val="it-IT"/>
        </w:rPr>
      </w:pPr>
    </w:p>
    <w:p w:rsidR="001E5955" w:rsidRPr="0015685B" w:rsidRDefault="001E5955" w:rsidP="00D41687">
      <w:pPr>
        <w:pStyle w:val="BodyText"/>
        <w:spacing w:after="0"/>
        <w:ind w:left="425" w:hanging="425"/>
        <w:jc w:val="center"/>
        <w:rPr>
          <w:b/>
          <w:bCs/>
          <w:sz w:val="22"/>
          <w:szCs w:val="22"/>
          <w:lang w:val="it-IT"/>
        </w:rPr>
      </w:pPr>
    </w:p>
    <w:p w:rsidR="001E5955" w:rsidRDefault="001E5955" w:rsidP="00D41687">
      <w:pPr>
        <w:pStyle w:val="BodyText"/>
        <w:spacing w:after="0"/>
        <w:ind w:left="425" w:hanging="425"/>
        <w:jc w:val="center"/>
        <w:rPr>
          <w:b/>
          <w:bCs/>
          <w:sz w:val="22"/>
          <w:szCs w:val="22"/>
          <w:lang w:val="it-IT"/>
        </w:rPr>
      </w:pPr>
    </w:p>
    <w:p w:rsidR="0015685B" w:rsidRPr="0015685B" w:rsidRDefault="0015685B" w:rsidP="00D41687">
      <w:pPr>
        <w:pStyle w:val="BodyText"/>
        <w:spacing w:after="0"/>
        <w:ind w:left="425" w:hanging="425"/>
        <w:jc w:val="center"/>
        <w:rPr>
          <w:b/>
          <w:bCs/>
          <w:sz w:val="22"/>
          <w:szCs w:val="22"/>
          <w:lang w:val="it-IT"/>
        </w:rPr>
      </w:pPr>
    </w:p>
    <w:p w:rsidR="001E5955" w:rsidRPr="0015685B" w:rsidRDefault="001E5955" w:rsidP="00C7265C">
      <w:pPr>
        <w:pStyle w:val="BodyText"/>
        <w:spacing w:after="0"/>
        <w:jc w:val="center"/>
        <w:rPr>
          <w:b/>
          <w:bCs/>
          <w:sz w:val="22"/>
          <w:szCs w:val="22"/>
          <w:lang w:val="it-IT"/>
        </w:rPr>
      </w:pPr>
    </w:p>
    <w:p w:rsidR="000D7789" w:rsidRPr="00F25C94" w:rsidRDefault="000D7789" w:rsidP="000D7789">
      <w:pPr>
        <w:autoSpaceDE w:val="0"/>
        <w:autoSpaceDN w:val="0"/>
        <w:adjustRightInd w:val="0"/>
        <w:ind w:left="709" w:hanging="709"/>
        <w:jc w:val="right"/>
        <w:rPr>
          <w:sz w:val="18"/>
          <w:szCs w:val="18"/>
        </w:rPr>
      </w:pPr>
      <w:r w:rsidRPr="00F25C94">
        <w:rPr>
          <w:sz w:val="18"/>
          <w:szCs w:val="18"/>
        </w:rPr>
        <w:t xml:space="preserve">Received: </w:t>
      </w:r>
      <w:r w:rsidR="00F25C94" w:rsidRPr="00F25C94">
        <w:rPr>
          <w:sz w:val="18"/>
          <w:szCs w:val="18"/>
        </w:rPr>
        <w:t>February 17</w:t>
      </w:r>
      <w:r w:rsidRPr="00F25C94">
        <w:rPr>
          <w:sz w:val="18"/>
          <w:szCs w:val="18"/>
        </w:rPr>
        <w:t>, 201</w:t>
      </w:r>
      <w:r w:rsidR="00F25C94" w:rsidRPr="00F25C94">
        <w:rPr>
          <w:sz w:val="18"/>
          <w:szCs w:val="18"/>
        </w:rPr>
        <w:t>6</w:t>
      </w:r>
    </w:p>
    <w:p w:rsidR="000D7789" w:rsidRPr="007A4B8C" w:rsidRDefault="000D7789" w:rsidP="000D7789">
      <w:pPr>
        <w:autoSpaceDE w:val="0"/>
        <w:autoSpaceDN w:val="0"/>
        <w:adjustRightInd w:val="0"/>
        <w:ind w:left="709" w:hanging="709"/>
        <w:jc w:val="right"/>
        <w:rPr>
          <w:sz w:val="18"/>
          <w:szCs w:val="18"/>
        </w:rPr>
      </w:pPr>
      <w:r w:rsidRPr="00F25C94">
        <w:rPr>
          <w:sz w:val="18"/>
          <w:szCs w:val="18"/>
        </w:rPr>
        <w:t xml:space="preserve">Accepted: </w:t>
      </w:r>
      <w:r w:rsidR="00F25C94" w:rsidRPr="00F25C94">
        <w:rPr>
          <w:sz w:val="18"/>
          <w:szCs w:val="18"/>
        </w:rPr>
        <w:t>May</w:t>
      </w:r>
      <w:r w:rsidRPr="00F25C94">
        <w:rPr>
          <w:sz w:val="18"/>
          <w:szCs w:val="18"/>
        </w:rPr>
        <w:t xml:space="preserve"> </w:t>
      </w:r>
      <w:r w:rsidR="00F25C94" w:rsidRPr="00F25C94">
        <w:rPr>
          <w:sz w:val="18"/>
          <w:szCs w:val="18"/>
        </w:rPr>
        <w:t>19</w:t>
      </w:r>
      <w:r w:rsidRPr="00F25C94">
        <w:rPr>
          <w:sz w:val="18"/>
          <w:szCs w:val="18"/>
        </w:rPr>
        <w:t>, 201</w:t>
      </w:r>
      <w:r w:rsidR="00F25C94" w:rsidRPr="00F25C94">
        <w:rPr>
          <w:sz w:val="18"/>
          <w:szCs w:val="18"/>
        </w:rPr>
        <w:t>6</w:t>
      </w:r>
    </w:p>
    <w:p w:rsidR="001E5955" w:rsidRDefault="001E5955" w:rsidP="00C7265C">
      <w:pPr>
        <w:pStyle w:val="BodyText"/>
        <w:spacing w:after="0"/>
        <w:jc w:val="center"/>
        <w:rPr>
          <w:b/>
          <w:bCs/>
          <w:sz w:val="22"/>
          <w:szCs w:val="22"/>
          <w:lang w:val="it-IT"/>
        </w:rPr>
      </w:pPr>
    </w:p>
    <w:p w:rsidR="001E5955" w:rsidRDefault="001E5955" w:rsidP="00C7265C">
      <w:pPr>
        <w:pStyle w:val="BodyText"/>
        <w:spacing w:after="0"/>
        <w:jc w:val="center"/>
        <w:rPr>
          <w:b/>
          <w:bCs/>
          <w:sz w:val="22"/>
          <w:szCs w:val="22"/>
          <w:lang w:val="it-IT"/>
        </w:rPr>
      </w:pPr>
    </w:p>
    <w:p w:rsidR="00612B09" w:rsidRDefault="00612B09" w:rsidP="00C7265C">
      <w:pPr>
        <w:pStyle w:val="BodyText"/>
        <w:spacing w:after="0"/>
        <w:jc w:val="center"/>
        <w:rPr>
          <w:b/>
          <w:bCs/>
          <w:sz w:val="22"/>
          <w:szCs w:val="22"/>
          <w:lang w:val="it-IT"/>
        </w:rPr>
      </w:pPr>
    </w:p>
    <w:p w:rsidR="00612B09" w:rsidRDefault="00612B09" w:rsidP="00C7265C">
      <w:pPr>
        <w:pStyle w:val="BodyText"/>
        <w:spacing w:after="0"/>
        <w:jc w:val="center"/>
        <w:rPr>
          <w:b/>
          <w:bCs/>
          <w:sz w:val="22"/>
          <w:szCs w:val="22"/>
          <w:lang w:val="it-IT"/>
        </w:rPr>
      </w:pPr>
    </w:p>
    <w:p w:rsidR="00612B09" w:rsidRDefault="00612B09" w:rsidP="00C7265C">
      <w:pPr>
        <w:pStyle w:val="BodyText"/>
        <w:spacing w:after="0"/>
        <w:jc w:val="center"/>
        <w:rPr>
          <w:b/>
          <w:bCs/>
          <w:sz w:val="22"/>
          <w:szCs w:val="22"/>
          <w:lang w:val="it-IT"/>
        </w:rPr>
      </w:pPr>
    </w:p>
    <w:p w:rsidR="00612B09" w:rsidRDefault="00612B09" w:rsidP="00C7265C">
      <w:pPr>
        <w:pStyle w:val="BodyText"/>
        <w:spacing w:after="0"/>
        <w:jc w:val="center"/>
        <w:rPr>
          <w:b/>
          <w:bCs/>
          <w:sz w:val="22"/>
          <w:szCs w:val="22"/>
          <w:lang w:val="it-IT"/>
        </w:rPr>
      </w:pPr>
    </w:p>
    <w:p w:rsidR="00612B09" w:rsidRDefault="00612B09" w:rsidP="00C7265C">
      <w:pPr>
        <w:pStyle w:val="BodyText"/>
        <w:spacing w:after="0"/>
        <w:jc w:val="center"/>
        <w:rPr>
          <w:b/>
          <w:bCs/>
          <w:sz w:val="22"/>
          <w:szCs w:val="22"/>
          <w:lang w:val="it-IT"/>
        </w:rPr>
      </w:pPr>
    </w:p>
    <w:p w:rsidR="00612B09" w:rsidRDefault="00612B09" w:rsidP="00C7265C">
      <w:pPr>
        <w:pStyle w:val="BodyText"/>
        <w:spacing w:after="0"/>
        <w:jc w:val="center"/>
        <w:rPr>
          <w:b/>
          <w:bCs/>
          <w:sz w:val="22"/>
          <w:szCs w:val="22"/>
          <w:lang w:val="it-IT"/>
        </w:rPr>
      </w:pPr>
    </w:p>
    <w:p w:rsidR="00612B09" w:rsidRDefault="00612B09" w:rsidP="00C7265C">
      <w:pPr>
        <w:pStyle w:val="BodyText"/>
        <w:spacing w:after="0"/>
        <w:jc w:val="center"/>
        <w:rPr>
          <w:b/>
          <w:bCs/>
          <w:sz w:val="22"/>
          <w:szCs w:val="22"/>
          <w:lang w:val="it-IT"/>
        </w:rPr>
      </w:pPr>
    </w:p>
    <w:p w:rsidR="00612B09" w:rsidRDefault="00612B09" w:rsidP="00C7265C">
      <w:pPr>
        <w:pStyle w:val="BodyText"/>
        <w:spacing w:after="0"/>
        <w:jc w:val="center"/>
        <w:rPr>
          <w:b/>
          <w:bCs/>
          <w:sz w:val="22"/>
          <w:szCs w:val="22"/>
          <w:lang w:val="it-IT"/>
        </w:rPr>
      </w:pPr>
    </w:p>
    <w:p w:rsidR="00612B09" w:rsidRDefault="00612B09" w:rsidP="00C7265C">
      <w:pPr>
        <w:pStyle w:val="BodyText"/>
        <w:spacing w:after="0"/>
        <w:jc w:val="center"/>
        <w:rPr>
          <w:b/>
          <w:bCs/>
          <w:sz w:val="22"/>
          <w:szCs w:val="22"/>
          <w:lang w:val="it-IT"/>
        </w:rPr>
      </w:pPr>
    </w:p>
    <w:p w:rsidR="003B702E" w:rsidRDefault="003B702E" w:rsidP="00C7265C">
      <w:pPr>
        <w:pStyle w:val="BodyText"/>
        <w:spacing w:after="0"/>
        <w:jc w:val="center"/>
        <w:rPr>
          <w:b/>
          <w:bCs/>
          <w:sz w:val="22"/>
          <w:szCs w:val="22"/>
          <w:lang w:val="it-IT"/>
        </w:rPr>
      </w:pPr>
    </w:p>
    <w:p w:rsidR="003B702E" w:rsidRDefault="003B702E" w:rsidP="00C7265C">
      <w:pPr>
        <w:pStyle w:val="BodyText"/>
        <w:spacing w:after="0"/>
        <w:jc w:val="center"/>
        <w:rPr>
          <w:b/>
          <w:bCs/>
          <w:sz w:val="22"/>
          <w:szCs w:val="22"/>
          <w:lang w:val="it-IT"/>
        </w:rPr>
      </w:pPr>
    </w:p>
    <w:p w:rsidR="003B702E" w:rsidRDefault="003B702E" w:rsidP="00C7265C">
      <w:pPr>
        <w:pStyle w:val="BodyText"/>
        <w:spacing w:after="0"/>
        <w:jc w:val="center"/>
        <w:rPr>
          <w:b/>
          <w:bCs/>
          <w:sz w:val="22"/>
          <w:szCs w:val="22"/>
          <w:lang w:val="it-IT"/>
        </w:rPr>
      </w:pPr>
    </w:p>
    <w:p w:rsidR="009407E0" w:rsidRDefault="009407E0" w:rsidP="00C7265C">
      <w:pPr>
        <w:pStyle w:val="BodyText"/>
        <w:spacing w:after="0"/>
        <w:jc w:val="center"/>
        <w:rPr>
          <w:b/>
          <w:bCs/>
          <w:sz w:val="22"/>
          <w:szCs w:val="22"/>
          <w:lang w:val="it-IT"/>
        </w:rPr>
      </w:pPr>
    </w:p>
    <w:p w:rsidR="009407E0" w:rsidRDefault="009407E0" w:rsidP="00C7265C">
      <w:pPr>
        <w:pStyle w:val="BodyText"/>
        <w:spacing w:after="0"/>
        <w:jc w:val="center"/>
        <w:rPr>
          <w:b/>
          <w:bCs/>
          <w:sz w:val="22"/>
          <w:szCs w:val="22"/>
          <w:lang w:val="it-IT"/>
        </w:rPr>
      </w:pPr>
    </w:p>
    <w:p w:rsidR="009407E0" w:rsidRDefault="009407E0" w:rsidP="00C7265C">
      <w:pPr>
        <w:pStyle w:val="BodyText"/>
        <w:spacing w:after="0"/>
        <w:jc w:val="center"/>
        <w:rPr>
          <w:b/>
          <w:bCs/>
          <w:sz w:val="22"/>
          <w:szCs w:val="22"/>
          <w:lang w:val="it-IT"/>
        </w:rPr>
      </w:pPr>
    </w:p>
    <w:p w:rsidR="003B702E" w:rsidRDefault="003B702E" w:rsidP="00C7265C">
      <w:pPr>
        <w:pStyle w:val="BodyText"/>
        <w:spacing w:after="0"/>
        <w:jc w:val="center"/>
        <w:rPr>
          <w:b/>
          <w:bCs/>
          <w:sz w:val="22"/>
          <w:szCs w:val="22"/>
          <w:lang w:val="it-IT"/>
        </w:rPr>
      </w:pPr>
    </w:p>
    <w:p w:rsidR="003B702E" w:rsidRDefault="003B702E" w:rsidP="00C7265C">
      <w:pPr>
        <w:pStyle w:val="BodyText"/>
        <w:spacing w:after="0"/>
        <w:jc w:val="center"/>
        <w:rPr>
          <w:b/>
          <w:bCs/>
          <w:sz w:val="22"/>
          <w:szCs w:val="22"/>
          <w:lang w:val="it-IT"/>
        </w:rPr>
      </w:pPr>
    </w:p>
    <w:p w:rsidR="00612B09" w:rsidRDefault="00612B09" w:rsidP="00C7265C">
      <w:pPr>
        <w:pStyle w:val="BodyText"/>
        <w:spacing w:after="0"/>
        <w:jc w:val="center"/>
        <w:rPr>
          <w:b/>
          <w:bCs/>
          <w:sz w:val="22"/>
          <w:szCs w:val="22"/>
          <w:lang w:val="it-IT"/>
        </w:rPr>
      </w:pPr>
    </w:p>
    <w:p w:rsidR="00BC2885" w:rsidRDefault="003B702E" w:rsidP="003B702E">
      <w:pPr>
        <w:tabs>
          <w:tab w:val="right" w:pos="9360"/>
        </w:tabs>
        <w:jc w:val="center"/>
        <w:rPr>
          <w:bCs/>
          <w:sz w:val="22"/>
          <w:szCs w:val="22"/>
        </w:rPr>
      </w:pPr>
      <w:r w:rsidRPr="003B702E">
        <w:rPr>
          <w:bCs/>
          <w:sz w:val="22"/>
          <w:szCs w:val="22"/>
        </w:rPr>
        <w:lastRenderedPageBreak/>
        <w:t xml:space="preserve">REAKCIJA KUKURUZA NA FOLIJALNU PRIMENU CINKA I INOKULACIJU </w:t>
      </w:r>
      <w:r w:rsidRPr="00FA607F">
        <w:rPr>
          <w:bCs/>
          <w:sz w:val="22"/>
          <w:szCs w:val="22"/>
        </w:rPr>
        <w:t>AZOTOBAKTEROM</w:t>
      </w:r>
      <w:r w:rsidRPr="003B702E">
        <w:rPr>
          <w:bCs/>
          <w:sz w:val="22"/>
          <w:szCs w:val="22"/>
        </w:rPr>
        <w:t xml:space="preserve"> PRI RA</w:t>
      </w:r>
      <w:r>
        <w:rPr>
          <w:bCs/>
          <w:sz w:val="22"/>
          <w:szCs w:val="22"/>
        </w:rPr>
        <w:t xml:space="preserve">ZLIČITIM </w:t>
      </w:r>
    </w:p>
    <w:p w:rsidR="003B702E" w:rsidRDefault="003B702E" w:rsidP="003B702E">
      <w:pPr>
        <w:tabs>
          <w:tab w:val="right" w:pos="9360"/>
        </w:tabs>
        <w:jc w:val="center"/>
        <w:rPr>
          <w:bCs/>
          <w:sz w:val="22"/>
          <w:szCs w:val="22"/>
        </w:rPr>
      </w:pPr>
      <w:r>
        <w:rPr>
          <w:bCs/>
          <w:sz w:val="22"/>
          <w:szCs w:val="22"/>
        </w:rPr>
        <w:t>NIVOIMA ĐUBRENJA UREOM</w:t>
      </w:r>
    </w:p>
    <w:p w:rsidR="003B702E" w:rsidRPr="003B702E" w:rsidRDefault="003B702E" w:rsidP="003B702E">
      <w:pPr>
        <w:tabs>
          <w:tab w:val="right" w:pos="9360"/>
        </w:tabs>
        <w:jc w:val="center"/>
        <w:rPr>
          <w:bCs/>
          <w:sz w:val="22"/>
          <w:szCs w:val="22"/>
        </w:rPr>
      </w:pPr>
    </w:p>
    <w:p w:rsidR="003B702E" w:rsidRPr="003B702E" w:rsidRDefault="003B702E" w:rsidP="003B702E">
      <w:pPr>
        <w:tabs>
          <w:tab w:val="right" w:pos="9360"/>
        </w:tabs>
        <w:jc w:val="center"/>
        <w:rPr>
          <w:b/>
          <w:sz w:val="22"/>
          <w:szCs w:val="22"/>
        </w:rPr>
      </w:pPr>
      <w:r w:rsidRPr="003B702E">
        <w:rPr>
          <w:b/>
          <w:sz w:val="22"/>
          <w:szCs w:val="22"/>
        </w:rPr>
        <w:t>Mohammadali Esmaeili</w:t>
      </w:r>
      <w:r>
        <w:rPr>
          <w:rStyle w:val="FootnoteReference"/>
          <w:b/>
          <w:sz w:val="22"/>
          <w:szCs w:val="22"/>
        </w:rPr>
        <w:footnoteReference w:customMarkFollows="1" w:id="3"/>
        <w:t>*</w:t>
      </w:r>
      <w:r w:rsidRPr="003B702E">
        <w:rPr>
          <w:b/>
          <w:sz w:val="22"/>
          <w:szCs w:val="22"/>
        </w:rPr>
        <w:t>, Ayoub Heidarzade i Mounes Gholipour</w:t>
      </w:r>
    </w:p>
    <w:p w:rsidR="003B702E" w:rsidRPr="003B702E" w:rsidRDefault="003B702E" w:rsidP="003B702E">
      <w:pPr>
        <w:tabs>
          <w:tab w:val="right" w:pos="9360"/>
        </w:tabs>
        <w:jc w:val="center"/>
        <w:rPr>
          <w:sz w:val="22"/>
          <w:szCs w:val="22"/>
        </w:rPr>
      </w:pPr>
    </w:p>
    <w:p w:rsidR="003B702E" w:rsidRDefault="003B702E" w:rsidP="003B702E">
      <w:pPr>
        <w:autoSpaceDE w:val="0"/>
        <w:autoSpaceDN w:val="0"/>
        <w:adjustRightInd w:val="0"/>
        <w:jc w:val="center"/>
        <w:rPr>
          <w:sz w:val="22"/>
          <w:szCs w:val="22"/>
        </w:rPr>
      </w:pPr>
      <w:r w:rsidRPr="003B702E">
        <w:rPr>
          <w:sz w:val="22"/>
          <w:szCs w:val="22"/>
        </w:rPr>
        <w:t xml:space="preserve">Odsek za agronomiju, Univerzitet za poljoprivredne nauke i </w:t>
      </w:r>
    </w:p>
    <w:p w:rsidR="003B702E" w:rsidRPr="003B702E" w:rsidRDefault="00B12833" w:rsidP="003B702E">
      <w:pPr>
        <w:autoSpaceDE w:val="0"/>
        <w:autoSpaceDN w:val="0"/>
        <w:adjustRightInd w:val="0"/>
        <w:jc w:val="center"/>
        <w:rPr>
          <w:sz w:val="22"/>
          <w:szCs w:val="22"/>
        </w:rPr>
      </w:pPr>
      <w:r>
        <w:rPr>
          <w:sz w:val="22"/>
          <w:szCs w:val="22"/>
        </w:rPr>
        <w:t>prirodne resurse</w:t>
      </w:r>
      <w:r w:rsidR="003B702E" w:rsidRPr="003B702E">
        <w:rPr>
          <w:sz w:val="22"/>
          <w:szCs w:val="22"/>
        </w:rPr>
        <w:t>, Sari, Iran</w:t>
      </w:r>
    </w:p>
    <w:p w:rsidR="003B702E" w:rsidRPr="003B702E" w:rsidRDefault="003B702E" w:rsidP="003B702E">
      <w:pPr>
        <w:tabs>
          <w:tab w:val="right" w:pos="9360"/>
        </w:tabs>
        <w:jc w:val="center"/>
        <w:rPr>
          <w:b/>
          <w:bCs/>
          <w:sz w:val="22"/>
          <w:szCs w:val="22"/>
        </w:rPr>
      </w:pPr>
    </w:p>
    <w:p w:rsidR="003B702E" w:rsidRDefault="003B702E" w:rsidP="003B702E">
      <w:pPr>
        <w:tabs>
          <w:tab w:val="right" w:pos="9360"/>
        </w:tabs>
        <w:jc w:val="center"/>
        <w:rPr>
          <w:bCs/>
          <w:sz w:val="22"/>
          <w:szCs w:val="22"/>
        </w:rPr>
      </w:pPr>
      <w:r w:rsidRPr="003B702E">
        <w:rPr>
          <w:bCs/>
          <w:sz w:val="22"/>
          <w:szCs w:val="22"/>
        </w:rPr>
        <w:t>R</w:t>
      </w:r>
      <w:r>
        <w:rPr>
          <w:bCs/>
          <w:sz w:val="22"/>
          <w:szCs w:val="22"/>
        </w:rPr>
        <w:t xml:space="preserve"> </w:t>
      </w:r>
      <w:r w:rsidRPr="003B702E">
        <w:rPr>
          <w:bCs/>
          <w:sz w:val="22"/>
          <w:szCs w:val="22"/>
        </w:rPr>
        <w:t>e</w:t>
      </w:r>
      <w:r>
        <w:rPr>
          <w:bCs/>
          <w:sz w:val="22"/>
          <w:szCs w:val="22"/>
        </w:rPr>
        <w:t xml:space="preserve"> </w:t>
      </w:r>
      <w:r w:rsidRPr="003B702E">
        <w:rPr>
          <w:bCs/>
          <w:sz w:val="22"/>
          <w:szCs w:val="22"/>
        </w:rPr>
        <w:t>z</w:t>
      </w:r>
      <w:r>
        <w:rPr>
          <w:bCs/>
          <w:sz w:val="22"/>
          <w:szCs w:val="22"/>
        </w:rPr>
        <w:t xml:space="preserve"> </w:t>
      </w:r>
      <w:r w:rsidRPr="003B702E">
        <w:rPr>
          <w:bCs/>
          <w:sz w:val="22"/>
          <w:szCs w:val="22"/>
        </w:rPr>
        <w:t>i</w:t>
      </w:r>
      <w:r>
        <w:rPr>
          <w:bCs/>
          <w:sz w:val="22"/>
          <w:szCs w:val="22"/>
        </w:rPr>
        <w:t xml:space="preserve"> </w:t>
      </w:r>
      <w:r w:rsidRPr="003B702E">
        <w:rPr>
          <w:bCs/>
          <w:sz w:val="22"/>
          <w:szCs w:val="22"/>
        </w:rPr>
        <w:t>m</w:t>
      </w:r>
      <w:r>
        <w:rPr>
          <w:bCs/>
          <w:sz w:val="22"/>
          <w:szCs w:val="22"/>
        </w:rPr>
        <w:t xml:space="preserve"> </w:t>
      </w:r>
      <w:r w:rsidRPr="003B702E">
        <w:rPr>
          <w:bCs/>
          <w:sz w:val="22"/>
          <w:szCs w:val="22"/>
        </w:rPr>
        <w:t>e</w:t>
      </w:r>
    </w:p>
    <w:p w:rsidR="003B702E" w:rsidRPr="003B702E" w:rsidRDefault="003B702E" w:rsidP="003B702E">
      <w:pPr>
        <w:tabs>
          <w:tab w:val="right" w:pos="9360"/>
        </w:tabs>
        <w:jc w:val="center"/>
        <w:rPr>
          <w:bCs/>
          <w:sz w:val="22"/>
          <w:szCs w:val="22"/>
        </w:rPr>
      </w:pPr>
    </w:p>
    <w:p w:rsidR="00FA607F" w:rsidRPr="003B702E" w:rsidRDefault="003B702E" w:rsidP="00FA607F">
      <w:pPr>
        <w:ind w:firstLine="426"/>
        <w:jc w:val="both"/>
        <w:rPr>
          <w:b/>
          <w:bCs/>
          <w:i/>
          <w:iCs/>
          <w:sz w:val="22"/>
          <w:szCs w:val="22"/>
        </w:rPr>
      </w:pPr>
      <w:r w:rsidRPr="003B702E">
        <w:rPr>
          <w:sz w:val="22"/>
          <w:szCs w:val="22"/>
        </w:rPr>
        <w:t xml:space="preserve">Kako bi se ispitao uticaj cinka i azotobaktera na proizvodna svojstva kukuruza pri različitim režimima korišćenja uree kao mineralnog đubriva, ogled je sproveden na istraživačkom polju Univerziteta za poljoprivredne nauke i prirodne resurse u Sariju </w:t>
      </w:r>
      <w:r w:rsidRPr="00F25C94">
        <w:rPr>
          <w:sz w:val="22"/>
          <w:szCs w:val="22"/>
        </w:rPr>
        <w:t xml:space="preserve">tokom 2014. godine. </w:t>
      </w:r>
      <w:r w:rsidR="00F25C94" w:rsidRPr="00F25C94">
        <w:rPr>
          <w:sz w:val="22"/>
          <w:szCs w:val="22"/>
        </w:rPr>
        <w:t>Primenjeni su sledeći tretmani: a</w:t>
      </w:r>
      <w:r w:rsidRPr="00F25C94">
        <w:rPr>
          <w:sz w:val="22"/>
          <w:szCs w:val="22"/>
        </w:rPr>
        <w:t xml:space="preserve">zotno mineralno đubrivo </w:t>
      </w:r>
      <w:r w:rsidR="00F25C94" w:rsidRPr="00F25C94">
        <w:rPr>
          <w:sz w:val="22"/>
          <w:szCs w:val="22"/>
        </w:rPr>
        <w:t xml:space="preserve">urea </w:t>
      </w:r>
      <w:r w:rsidRPr="00F25C94">
        <w:rPr>
          <w:sz w:val="22"/>
          <w:szCs w:val="22"/>
        </w:rPr>
        <w:t>u količinama od 100, 200 i 300 kg ha</w:t>
      </w:r>
      <w:r w:rsidRPr="00F25C94">
        <w:rPr>
          <w:sz w:val="22"/>
          <w:szCs w:val="22"/>
          <w:vertAlign w:val="superscript"/>
        </w:rPr>
        <w:t>-1</w:t>
      </w:r>
      <w:r w:rsidRPr="00F25C94">
        <w:rPr>
          <w:sz w:val="22"/>
          <w:szCs w:val="22"/>
        </w:rPr>
        <w:t xml:space="preserve">, </w:t>
      </w:r>
      <w:r w:rsidR="00F25C94" w:rsidRPr="00F25C94">
        <w:rPr>
          <w:i/>
          <w:iCs/>
          <w:sz w:val="22"/>
          <w:szCs w:val="22"/>
        </w:rPr>
        <w:t>Azotobac</w:t>
      </w:r>
      <w:r w:rsidRPr="00F25C94">
        <w:rPr>
          <w:i/>
          <w:iCs/>
          <w:sz w:val="22"/>
          <w:szCs w:val="22"/>
        </w:rPr>
        <w:t>ter</w:t>
      </w:r>
      <w:r w:rsidRPr="00F25C94">
        <w:rPr>
          <w:sz w:val="22"/>
          <w:szCs w:val="22"/>
        </w:rPr>
        <w:t xml:space="preserve"> (sa i bez inokulacije) i </w:t>
      </w:r>
      <w:r w:rsidR="00F25C94" w:rsidRPr="00F25C94">
        <w:rPr>
          <w:sz w:val="22"/>
          <w:szCs w:val="22"/>
        </w:rPr>
        <w:t xml:space="preserve">folijarno primenjen </w:t>
      </w:r>
      <w:r w:rsidRPr="00F25C94">
        <w:rPr>
          <w:sz w:val="22"/>
          <w:szCs w:val="22"/>
        </w:rPr>
        <w:t>cink</w:t>
      </w:r>
      <w:r w:rsidRPr="003B702E">
        <w:rPr>
          <w:sz w:val="22"/>
          <w:szCs w:val="22"/>
        </w:rPr>
        <w:t xml:space="preserve"> (0, 500, 1000 mg l</w:t>
      </w:r>
      <w:r w:rsidRPr="003B702E">
        <w:rPr>
          <w:sz w:val="22"/>
          <w:szCs w:val="22"/>
          <w:vertAlign w:val="superscript"/>
        </w:rPr>
        <w:t>-1</w:t>
      </w:r>
      <w:r w:rsidR="00FA607F">
        <w:rPr>
          <w:sz w:val="22"/>
          <w:szCs w:val="22"/>
        </w:rPr>
        <w:t>:</w:t>
      </w:r>
      <w:r w:rsidR="00FA607F" w:rsidRPr="00FA607F">
        <w:rPr>
          <w:b/>
          <w:bCs/>
          <w:iCs/>
          <w:sz w:val="22"/>
          <w:szCs w:val="22"/>
        </w:rPr>
        <w:t xml:space="preserve"> </w:t>
      </w:r>
      <w:r w:rsidR="00FA607F" w:rsidRPr="00FA607F">
        <w:rPr>
          <w:sz w:val="22"/>
          <w:szCs w:val="22"/>
        </w:rPr>
        <w:t>Zn1= 1000 mg l</w:t>
      </w:r>
      <w:r w:rsidR="00FA607F" w:rsidRPr="00FA607F">
        <w:rPr>
          <w:sz w:val="22"/>
          <w:szCs w:val="22"/>
          <w:vertAlign w:val="superscript"/>
        </w:rPr>
        <w:t>-1</w:t>
      </w:r>
      <w:r w:rsidR="00FA607F" w:rsidRPr="00FA607F">
        <w:rPr>
          <w:sz w:val="22"/>
          <w:szCs w:val="22"/>
        </w:rPr>
        <w:t xml:space="preserve"> cink sulfat</w:t>
      </w:r>
      <w:r w:rsidR="000E5410">
        <w:rPr>
          <w:sz w:val="22"/>
          <w:szCs w:val="22"/>
        </w:rPr>
        <w:t>a</w:t>
      </w:r>
      <w:r w:rsidR="00FA607F" w:rsidRPr="00FA607F">
        <w:rPr>
          <w:sz w:val="22"/>
          <w:szCs w:val="22"/>
        </w:rPr>
        <w:t>, Zn2= 500 mg l</w:t>
      </w:r>
      <w:r w:rsidR="00FA607F" w:rsidRPr="00FA607F">
        <w:rPr>
          <w:sz w:val="22"/>
          <w:szCs w:val="22"/>
          <w:vertAlign w:val="superscript"/>
        </w:rPr>
        <w:t>-1</w:t>
      </w:r>
      <w:r w:rsidR="00FA607F" w:rsidRPr="00FA607F">
        <w:rPr>
          <w:sz w:val="22"/>
          <w:szCs w:val="22"/>
        </w:rPr>
        <w:t xml:space="preserve"> cink sulfat</w:t>
      </w:r>
      <w:r w:rsidR="000E5410">
        <w:rPr>
          <w:sz w:val="22"/>
          <w:szCs w:val="22"/>
        </w:rPr>
        <w:t>a</w:t>
      </w:r>
      <w:r w:rsidR="00FA607F" w:rsidRPr="00FA607F">
        <w:rPr>
          <w:sz w:val="22"/>
          <w:szCs w:val="22"/>
        </w:rPr>
        <w:t xml:space="preserve"> i Zn3 = 0 mg l</w:t>
      </w:r>
      <w:r w:rsidR="00FA607F" w:rsidRPr="00FA607F">
        <w:rPr>
          <w:sz w:val="22"/>
          <w:szCs w:val="22"/>
          <w:vertAlign w:val="superscript"/>
        </w:rPr>
        <w:t>-1</w:t>
      </w:r>
      <w:r w:rsidR="000E5410">
        <w:rPr>
          <w:sz w:val="22"/>
          <w:szCs w:val="22"/>
        </w:rPr>
        <w:t xml:space="preserve"> kao </w:t>
      </w:r>
      <w:r w:rsidR="00FA607F" w:rsidRPr="00FA607F">
        <w:rPr>
          <w:sz w:val="22"/>
          <w:szCs w:val="22"/>
        </w:rPr>
        <w:t>kontrola)</w:t>
      </w:r>
      <w:r w:rsidR="00FA607F">
        <w:rPr>
          <w:sz w:val="22"/>
          <w:szCs w:val="22"/>
        </w:rPr>
        <w:t>.</w:t>
      </w:r>
    </w:p>
    <w:p w:rsidR="003B702E" w:rsidRPr="003B702E" w:rsidRDefault="003B702E" w:rsidP="003B702E">
      <w:pPr>
        <w:ind w:firstLine="426"/>
        <w:jc w:val="both"/>
        <w:rPr>
          <w:sz w:val="22"/>
          <w:szCs w:val="22"/>
        </w:rPr>
      </w:pPr>
      <w:r w:rsidRPr="003B702E">
        <w:rPr>
          <w:sz w:val="22"/>
          <w:szCs w:val="22"/>
        </w:rPr>
        <w:t xml:space="preserve">Ocenjivani su prinos zrna, </w:t>
      </w:r>
      <w:r w:rsidR="00F25C94">
        <w:rPr>
          <w:sz w:val="22"/>
          <w:szCs w:val="22"/>
        </w:rPr>
        <w:t>biološki prinos (suva materija)</w:t>
      </w:r>
      <w:r w:rsidRPr="003B702E">
        <w:rPr>
          <w:sz w:val="22"/>
          <w:szCs w:val="22"/>
        </w:rPr>
        <w:t xml:space="preserve"> i ukupan sadržaj proteina </w:t>
      </w:r>
      <w:r w:rsidR="00F25C94">
        <w:rPr>
          <w:sz w:val="22"/>
          <w:szCs w:val="22"/>
        </w:rPr>
        <w:t xml:space="preserve">kod </w:t>
      </w:r>
      <w:r w:rsidRPr="003B702E">
        <w:rPr>
          <w:sz w:val="22"/>
          <w:szCs w:val="22"/>
        </w:rPr>
        <w:t xml:space="preserve">svakog tretmana. </w:t>
      </w:r>
      <w:r w:rsidRPr="003B702E">
        <w:rPr>
          <w:rStyle w:val="Style1Char"/>
          <w:rFonts w:ascii="Times New Roman" w:hAnsi="Times New Roman"/>
          <w:sz w:val="22"/>
          <w:szCs w:val="22"/>
        </w:rPr>
        <w:t xml:space="preserve">Rezultati su ukazali da folijarna primena cinka ima značajan uticaj na sve proučavane osobine. </w:t>
      </w:r>
      <w:r w:rsidRPr="003B702E">
        <w:rPr>
          <w:sz w:val="22"/>
          <w:szCs w:val="22"/>
        </w:rPr>
        <w:t>Najveći prinos zrna je bio povezan sa nižom koncentracijom cinka pri svakoj primeni uree</w:t>
      </w:r>
      <w:r w:rsidR="00F25C94">
        <w:rPr>
          <w:sz w:val="22"/>
          <w:szCs w:val="22"/>
        </w:rPr>
        <w:t>,</w:t>
      </w:r>
      <w:r w:rsidRPr="003B702E">
        <w:rPr>
          <w:sz w:val="22"/>
          <w:szCs w:val="22"/>
        </w:rPr>
        <w:t xml:space="preserve"> </w:t>
      </w:r>
      <w:r w:rsidRPr="00F25C94">
        <w:rPr>
          <w:sz w:val="22"/>
          <w:szCs w:val="22"/>
        </w:rPr>
        <w:t xml:space="preserve">kao i među tretmanima sa </w:t>
      </w:r>
      <w:r w:rsidR="00F25C94" w:rsidRPr="00F25C94">
        <w:rPr>
          <w:sz w:val="22"/>
          <w:szCs w:val="22"/>
        </w:rPr>
        <w:t>mikro</w:t>
      </w:r>
      <w:r w:rsidRPr="00F25C94">
        <w:rPr>
          <w:sz w:val="22"/>
          <w:szCs w:val="22"/>
        </w:rPr>
        <w:t>biološkim đubrivom</w:t>
      </w:r>
      <w:r w:rsidRPr="003B702E">
        <w:rPr>
          <w:sz w:val="22"/>
          <w:szCs w:val="22"/>
        </w:rPr>
        <w:t xml:space="preserve"> gde je najveći prinos uočen kod tretmana sa inokulacijom. Među svim proučavanim tretma</w:t>
      </w:r>
      <w:r w:rsidR="00F25C94">
        <w:rPr>
          <w:sz w:val="22"/>
          <w:szCs w:val="22"/>
        </w:rPr>
        <w:t xml:space="preserve">nima maksimalni prinos zrna </w:t>
      </w:r>
      <w:r w:rsidRPr="003B702E">
        <w:rPr>
          <w:sz w:val="22"/>
          <w:szCs w:val="22"/>
        </w:rPr>
        <w:t xml:space="preserve">10,23 </w:t>
      </w:r>
      <w:r w:rsidR="00F25C94" w:rsidRPr="00F25C94">
        <w:rPr>
          <w:sz w:val="22"/>
          <w:szCs w:val="22"/>
        </w:rPr>
        <w:t xml:space="preserve">t </w:t>
      </w:r>
      <w:r w:rsidRPr="00F25C94">
        <w:rPr>
          <w:sz w:val="22"/>
          <w:szCs w:val="22"/>
        </w:rPr>
        <w:t>ha</w:t>
      </w:r>
      <w:r w:rsidRPr="00F25C94">
        <w:rPr>
          <w:sz w:val="22"/>
          <w:szCs w:val="22"/>
          <w:vertAlign w:val="superscript"/>
        </w:rPr>
        <w:t>-1</w:t>
      </w:r>
      <w:r w:rsidR="00F25C94">
        <w:rPr>
          <w:sz w:val="22"/>
          <w:szCs w:val="22"/>
        </w:rPr>
        <w:t xml:space="preserve"> je </w:t>
      </w:r>
      <w:r w:rsidRPr="003B702E">
        <w:rPr>
          <w:sz w:val="22"/>
          <w:szCs w:val="22"/>
        </w:rPr>
        <w:t xml:space="preserve">dobijen </w:t>
      </w:r>
      <w:r w:rsidR="00F25C94">
        <w:rPr>
          <w:sz w:val="22"/>
          <w:szCs w:val="22"/>
        </w:rPr>
        <w:t>na tretmanu</w:t>
      </w:r>
      <w:r w:rsidRPr="003B702E">
        <w:rPr>
          <w:sz w:val="22"/>
          <w:szCs w:val="22"/>
        </w:rPr>
        <w:t xml:space="preserve"> bez inokulacije × Zn1 </w:t>
      </w:r>
      <w:r w:rsidR="00F25C94" w:rsidRPr="00F25C94">
        <w:rPr>
          <w:sz w:val="22"/>
          <w:szCs w:val="22"/>
        </w:rPr>
        <w:t>s</w:t>
      </w:r>
      <w:r w:rsidRPr="00F25C94">
        <w:rPr>
          <w:sz w:val="22"/>
          <w:szCs w:val="22"/>
        </w:rPr>
        <w:t>a ure</w:t>
      </w:r>
      <w:r w:rsidR="00F25C94" w:rsidRPr="00F25C94">
        <w:rPr>
          <w:sz w:val="22"/>
          <w:szCs w:val="22"/>
        </w:rPr>
        <w:t>om od</w:t>
      </w:r>
      <w:r w:rsidRPr="00F25C94">
        <w:rPr>
          <w:sz w:val="22"/>
          <w:szCs w:val="22"/>
        </w:rPr>
        <w:t xml:space="preserve"> 300 kg ha</w:t>
      </w:r>
      <w:r w:rsidRPr="00F25C94">
        <w:rPr>
          <w:sz w:val="22"/>
          <w:szCs w:val="22"/>
          <w:vertAlign w:val="superscript"/>
        </w:rPr>
        <w:t>-1</w:t>
      </w:r>
      <w:r w:rsidRPr="00F25C94">
        <w:rPr>
          <w:sz w:val="22"/>
          <w:szCs w:val="22"/>
        </w:rPr>
        <w:t>.</w:t>
      </w:r>
      <w:r w:rsidRPr="003B702E">
        <w:rPr>
          <w:sz w:val="22"/>
          <w:szCs w:val="22"/>
        </w:rPr>
        <w:t xml:space="preserve"> Najveći biološki prinos je bio uočen </w:t>
      </w:r>
      <w:r w:rsidR="00F25C94" w:rsidRPr="00F25C94">
        <w:rPr>
          <w:sz w:val="22"/>
          <w:szCs w:val="22"/>
        </w:rPr>
        <w:t xml:space="preserve">kod Zn1+ </w:t>
      </w:r>
      <w:r w:rsidRPr="00F25C94">
        <w:rPr>
          <w:sz w:val="22"/>
          <w:szCs w:val="22"/>
        </w:rPr>
        <w:t>sa inokulacijom</w:t>
      </w:r>
      <w:r w:rsidR="00FA607F">
        <w:rPr>
          <w:sz w:val="22"/>
          <w:szCs w:val="22"/>
        </w:rPr>
        <w:t xml:space="preserve"> </w:t>
      </w:r>
      <w:r w:rsidR="00FA607F" w:rsidRPr="00FA607F">
        <w:rPr>
          <w:rStyle w:val="Style1Char"/>
          <w:rFonts w:ascii="Times New Roman" w:hAnsi="Times New Roman"/>
          <w:sz w:val="22"/>
          <w:szCs w:val="22"/>
        </w:rPr>
        <w:t>azotobakterom</w:t>
      </w:r>
      <w:r w:rsidRPr="00FA607F">
        <w:rPr>
          <w:sz w:val="22"/>
          <w:szCs w:val="22"/>
        </w:rPr>
        <w:t>.</w:t>
      </w:r>
      <w:r w:rsidR="00367D39">
        <w:rPr>
          <w:sz w:val="22"/>
          <w:szCs w:val="22"/>
        </w:rPr>
        <w:t xml:space="preserve"> </w:t>
      </w:r>
      <w:r w:rsidRPr="003B702E">
        <w:rPr>
          <w:rStyle w:val="Style1Char"/>
          <w:rFonts w:ascii="Times New Roman" w:hAnsi="Times New Roman"/>
          <w:sz w:val="22"/>
          <w:szCs w:val="22"/>
        </w:rPr>
        <w:t xml:space="preserve">Nije bilo značajnih razlika između tretmana </w:t>
      </w:r>
      <w:r w:rsidRPr="00FA607F">
        <w:rPr>
          <w:rStyle w:val="Style1Char"/>
          <w:rFonts w:ascii="Times New Roman" w:hAnsi="Times New Roman"/>
          <w:sz w:val="22"/>
          <w:szCs w:val="22"/>
        </w:rPr>
        <w:t>sa i bez inokulacije azotobakterom</w:t>
      </w:r>
      <w:r w:rsidRPr="003B702E">
        <w:rPr>
          <w:rStyle w:val="Style1Char"/>
          <w:rFonts w:ascii="Times New Roman" w:hAnsi="Times New Roman"/>
          <w:sz w:val="22"/>
          <w:szCs w:val="22"/>
        </w:rPr>
        <w:t xml:space="preserve"> za svaki nivo primene cinka kod tretmana sa </w:t>
      </w:r>
      <w:r w:rsidRPr="00FA607F">
        <w:rPr>
          <w:sz w:val="22"/>
          <w:szCs w:val="22"/>
        </w:rPr>
        <w:t>300 kg uree ha</w:t>
      </w:r>
      <w:r w:rsidRPr="00FA607F">
        <w:rPr>
          <w:sz w:val="22"/>
          <w:szCs w:val="22"/>
          <w:vertAlign w:val="superscript"/>
        </w:rPr>
        <w:t>-1</w:t>
      </w:r>
      <w:r w:rsidRPr="00FA607F">
        <w:rPr>
          <w:sz w:val="22"/>
          <w:szCs w:val="22"/>
        </w:rPr>
        <w:t>.</w:t>
      </w:r>
      <w:r w:rsidRPr="003B702E">
        <w:rPr>
          <w:sz w:val="22"/>
          <w:szCs w:val="22"/>
        </w:rPr>
        <w:t xml:space="preserve"> Na kraju, moglo bi se zaključiti da se korišćenje mineralnog đubriva može smanjiti kombinovanjem nekih upravljačkih strategija u proizvodnji kukuruza. </w:t>
      </w:r>
    </w:p>
    <w:p w:rsidR="003B702E" w:rsidRPr="003B702E" w:rsidRDefault="003B702E" w:rsidP="003B702E">
      <w:pPr>
        <w:ind w:firstLine="426"/>
        <w:jc w:val="both"/>
        <w:rPr>
          <w:rStyle w:val="Style1Char"/>
          <w:rFonts w:ascii="Times New Roman" w:hAnsi="Times New Roman" w:cs="Times New Roman"/>
          <w:sz w:val="22"/>
          <w:szCs w:val="22"/>
          <w:rtl/>
        </w:rPr>
      </w:pPr>
      <w:r w:rsidRPr="003B702E">
        <w:rPr>
          <w:b/>
          <w:bCs/>
          <w:iCs/>
          <w:sz w:val="22"/>
          <w:szCs w:val="22"/>
        </w:rPr>
        <w:t xml:space="preserve">Ključne reči: </w:t>
      </w:r>
      <w:r w:rsidRPr="003B702E">
        <w:rPr>
          <w:bCs/>
          <w:iCs/>
          <w:sz w:val="22"/>
          <w:szCs w:val="22"/>
        </w:rPr>
        <w:t>biođubrivo</w:t>
      </w:r>
      <w:r w:rsidRPr="003B702E">
        <w:rPr>
          <w:sz w:val="22"/>
          <w:szCs w:val="22"/>
        </w:rPr>
        <w:t>, suva materija, prinos zrna, sadržaj proteina</w:t>
      </w:r>
      <w:r w:rsidRPr="003B702E">
        <w:rPr>
          <w:rStyle w:val="Style1Char"/>
          <w:rFonts w:ascii="Times New Roman" w:hAnsi="Times New Roman" w:cs="Times New Roman"/>
          <w:sz w:val="22"/>
          <w:szCs w:val="22"/>
        </w:rPr>
        <w:t>.</w:t>
      </w:r>
    </w:p>
    <w:p w:rsidR="003B702E" w:rsidRPr="003B702E" w:rsidRDefault="003B702E" w:rsidP="003B702E">
      <w:pPr>
        <w:ind w:firstLine="426"/>
        <w:jc w:val="both"/>
        <w:rPr>
          <w:rStyle w:val="hps"/>
          <w:sz w:val="22"/>
          <w:szCs w:val="22"/>
        </w:rPr>
      </w:pPr>
    </w:p>
    <w:p w:rsidR="00D41687" w:rsidRDefault="00D41687" w:rsidP="000D7789">
      <w:pPr>
        <w:autoSpaceDE w:val="0"/>
        <w:autoSpaceDN w:val="0"/>
        <w:adjustRightInd w:val="0"/>
        <w:jc w:val="both"/>
        <w:rPr>
          <w:sz w:val="22"/>
          <w:szCs w:val="22"/>
        </w:rPr>
      </w:pPr>
    </w:p>
    <w:p w:rsidR="000D7789" w:rsidRPr="00D70B62" w:rsidRDefault="000D7789" w:rsidP="000D7789">
      <w:pPr>
        <w:jc w:val="both"/>
        <w:rPr>
          <w:iCs/>
          <w:sz w:val="18"/>
          <w:szCs w:val="18"/>
          <w:lang w:val="en-US"/>
        </w:rPr>
      </w:pPr>
    </w:p>
    <w:p w:rsidR="00D31CE6" w:rsidRPr="00D31CE6" w:rsidRDefault="00D31CE6" w:rsidP="00D31CE6">
      <w:pPr>
        <w:pStyle w:val="BodyTextIndent"/>
        <w:ind w:firstLine="0"/>
        <w:rPr>
          <w:rStyle w:val="hps"/>
          <w:szCs w:val="22"/>
          <w:lang w:val="sr-Latn-CS"/>
        </w:rPr>
      </w:pPr>
    </w:p>
    <w:p w:rsidR="00D31CE6" w:rsidRPr="00FA607F" w:rsidRDefault="00D31CE6" w:rsidP="00D31CE6">
      <w:pPr>
        <w:autoSpaceDE w:val="0"/>
        <w:autoSpaceDN w:val="0"/>
        <w:adjustRightInd w:val="0"/>
        <w:ind w:left="709" w:hanging="709"/>
        <w:jc w:val="right"/>
        <w:rPr>
          <w:sz w:val="18"/>
          <w:szCs w:val="18"/>
        </w:rPr>
      </w:pPr>
      <w:r w:rsidRPr="00FA607F">
        <w:rPr>
          <w:sz w:val="18"/>
          <w:szCs w:val="18"/>
        </w:rPr>
        <w:t xml:space="preserve">Primljeno: </w:t>
      </w:r>
      <w:r w:rsidR="00FA607F" w:rsidRPr="00FA607F">
        <w:rPr>
          <w:sz w:val="18"/>
          <w:szCs w:val="18"/>
        </w:rPr>
        <w:t>17</w:t>
      </w:r>
      <w:r w:rsidRPr="00FA607F">
        <w:rPr>
          <w:sz w:val="18"/>
          <w:szCs w:val="18"/>
        </w:rPr>
        <w:t xml:space="preserve">. </w:t>
      </w:r>
      <w:r w:rsidR="00FA607F" w:rsidRPr="00FA607F">
        <w:rPr>
          <w:sz w:val="18"/>
          <w:szCs w:val="18"/>
        </w:rPr>
        <w:t>februara</w:t>
      </w:r>
      <w:r w:rsidRPr="00FA607F">
        <w:rPr>
          <w:sz w:val="18"/>
          <w:szCs w:val="18"/>
        </w:rPr>
        <w:t xml:space="preserve"> 201</w:t>
      </w:r>
      <w:r w:rsidR="00FA607F" w:rsidRPr="00FA607F">
        <w:rPr>
          <w:sz w:val="18"/>
          <w:szCs w:val="18"/>
        </w:rPr>
        <w:t>6</w:t>
      </w:r>
      <w:r w:rsidRPr="00FA607F">
        <w:rPr>
          <w:sz w:val="18"/>
          <w:szCs w:val="18"/>
        </w:rPr>
        <w:t>.</w:t>
      </w:r>
    </w:p>
    <w:p w:rsidR="00D31CE6" w:rsidRDefault="00D31CE6" w:rsidP="00D31CE6">
      <w:pPr>
        <w:autoSpaceDE w:val="0"/>
        <w:autoSpaceDN w:val="0"/>
        <w:adjustRightInd w:val="0"/>
        <w:ind w:left="709" w:hanging="709"/>
        <w:jc w:val="right"/>
        <w:rPr>
          <w:sz w:val="18"/>
          <w:szCs w:val="18"/>
        </w:rPr>
      </w:pPr>
      <w:r w:rsidRPr="00FA607F">
        <w:rPr>
          <w:sz w:val="18"/>
          <w:szCs w:val="18"/>
        </w:rPr>
        <w:t xml:space="preserve">Odobreno: </w:t>
      </w:r>
      <w:r w:rsidR="00FA607F" w:rsidRPr="00FA607F">
        <w:rPr>
          <w:sz w:val="18"/>
          <w:szCs w:val="18"/>
        </w:rPr>
        <w:t>19</w:t>
      </w:r>
      <w:r w:rsidRPr="00FA607F">
        <w:rPr>
          <w:sz w:val="18"/>
          <w:szCs w:val="18"/>
        </w:rPr>
        <w:t xml:space="preserve">. </w:t>
      </w:r>
      <w:r w:rsidR="00FA607F" w:rsidRPr="00FA607F">
        <w:rPr>
          <w:sz w:val="18"/>
          <w:szCs w:val="18"/>
        </w:rPr>
        <w:t>maja</w:t>
      </w:r>
      <w:r w:rsidR="00757720" w:rsidRPr="00FA607F">
        <w:rPr>
          <w:sz w:val="18"/>
          <w:szCs w:val="18"/>
        </w:rPr>
        <w:t xml:space="preserve"> 201</w:t>
      </w:r>
      <w:r w:rsidR="00FA607F" w:rsidRPr="00FA607F">
        <w:rPr>
          <w:sz w:val="18"/>
          <w:szCs w:val="18"/>
        </w:rPr>
        <w:t>6</w:t>
      </w:r>
      <w:r w:rsidRPr="00FA607F">
        <w:rPr>
          <w:sz w:val="18"/>
          <w:szCs w:val="18"/>
        </w:rPr>
        <w:t>.</w:t>
      </w:r>
    </w:p>
    <w:p w:rsidR="00D31CE6" w:rsidRDefault="00D31CE6" w:rsidP="00D31CE6">
      <w:pPr>
        <w:pStyle w:val="BodyTextIndent"/>
        <w:ind w:left="1440" w:hanging="720"/>
        <w:jc w:val="center"/>
        <w:rPr>
          <w:rStyle w:val="hps"/>
          <w:lang w:val="sr-Latn-CS"/>
        </w:rPr>
      </w:pPr>
    </w:p>
    <w:p w:rsidR="00AF283F" w:rsidRDefault="00AF283F" w:rsidP="00D31CE6">
      <w:pPr>
        <w:pStyle w:val="BodyTextIndent"/>
        <w:ind w:left="1440" w:hanging="720"/>
        <w:jc w:val="center"/>
        <w:rPr>
          <w:rStyle w:val="hps"/>
          <w:lang w:val="sr-Latn-CS"/>
        </w:rPr>
      </w:pPr>
    </w:p>
    <w:sectPr w:rsidR="00AF283F" w:rsidSect="007D65BE">
      <w:headerReference w:type="even" r:id="rId18"/>
      <w:headerReference w:type="default" r:id="rId19"/>
      <w:headerReference w:type="first" r:id="rId20"/>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190" w:rsidRDefault="00480190">
      <w:r>
        <w:separator/>
      </w:r>
    </w:p>
  </w:endnote>
  <w:endnote w:type="continuationSeparator" w:id="1">
    <w:p w:rsidR="00480190" w:rsidRDefault="004801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ArialMT">
    <w:altName w:val="Arial Unicode MS"/>
    <w:panose1 w:val="00000000000000000000"/>
    <w:charset w:val="81"/>
    <w:family w:val="auto"/>
    <w:notTrueType/>
    <w:pitch w:val="default"/>
    <w:sig w:usb0="00000000"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190" w:rsidRDefault="00480190">
      <w:r>
        <w:separator/>
      </w:r>
    </w:p>
  </w:footnote>
  <w:footnote w:type="continuationSeparator" w:id="1">
    <w:p w:rsidR="00480190" w:rsidRDefault="00480190">
      <w:r>
        <w:continuationSeparator/>
      </w:r>
    </w:p>
  </w:footnote>
  <w:footnote w:id="2">
    <w:p w:rsidR="00F70A2F" w:rsidRPr="00F70A2F" w:rsidRDefault="00F70A2F" w:rsidP="00F70A2F">
      <w:pPr>
        <w:pStyle w:val="FootnoteText"/>
        <w:rPr>
          <w:sz w:val="18"/>
          <w:szCs w:val="18"/>
        </w:rPr>
      </w:pPr>
      <w:r w:rsidRPr="00F70A2F">
        <w:rPr>
          <w:rStyle w:val="FootnoteReference"/>
          <w:sz w:val="18"/>
          <w:szCs w:val="18"/>
        </w:rPr>
        <w:footnoteRef/>
      </w:r>
      <w:r w:rsidRPr="00F70A2F">
        <w:rPr>
          <w:sz w:val="18"/>
          <w:szCs w:val="18"/>
        </w:rPr>
        <w:t>Corresponding author: e-mail: esmaeili33@gmail.com</w:t>
      </w:r>
    </w:p>
  </w:footnote>
  <w:footnote w:id="3">
    <w:p w:rsidR="003B702E" w:rsidRPr="003B702E" w:rsidRDefault="003B702E" w:rsidP="003B702E">
      <w:pPr>
        <w:pStyle w:val="FootnoteText"/>
        <w:rPr>
          <w:sz w:val="18"/>
          <w:szCs w:val="18"/>
        </w:rPr>
      </w:pPr>
      <w:r w:rsidRPr="003B702E">
        <w:rPr>
          <w:rStyle w:val="FootnoteReference"/>
          <w:sz w:val="18"/>
          <w:szCs w:val="18"/>
        </w:rPr>
        <w:t>*</w:t>
      </w:r>
      <w:r w:rsidRPr="003B702E">
        <w:rPr>
          <w:sz w:val="18"/>
          <w:szCs w:val="18"/>
        </w:rPr>
        <w:t>Autor za kontakt: e-mail: esmaeili33@gmail.com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85B" w:rsidRDefault="00896759" w:rsidP="003E2BC8">
    <w:pPr>
      <w:pStyle w:val="Header"/>
      <w:framePr w:wrap="around" w:vAnchor="text" w:hAnchor="page" w:x="2264" w:y="24"/>
      <w:rPr>
        <w:rStyle w:val="PageNumber"/>
        <w:sz w:val="18"/>
      </w:rPr>
    </w:pPr>
    <w:r w:rsidRPr="004D3E6C">
      <w:rPr>
        <w:rStyle w:val="PageNumber"/>
        <w:sz w:val="18"/>
      </w:rPr>
      <w:fldChar w:fldCharType="begin"/>
    </w:r>
    <w:r w:rsidR="0015685B" w:rsidRPr="004D3E6C">
      <w:rPr>
        <w:rStyle w:val="PageNumber"/>
        <w:sz w:val="18"/>
      </w:rPr>
      <w:instrText xml:space="preserve">PAGE  </w:instrText>
    </w:r>
    <w:r w:rsidRPr="004D3E6C">
      <w:rPr>
        <w:rStyle w:val="PageNumber"/>
        <w:sz w:val="18"/>
      </w:rPr>
      <w:fldChar w:fldCharType="separate"/>
    </w:r>
    <w:r w:rsidR="009407E0">
      <w:rPr>
        <w:rStyle w:val="PageNumber"/>
        <w:noProof/>
        <w:sz w:val="18"/>
      </w:rPr>
      <w:t>12</w:t>
    </w:r>
    <w:r w:rsidRPr="004D3E6C">
      <w:rPr>
        <w:rStyle w:val="PageNumber"/>
        <w:sz w:val="18"/>
      </w:rPr>
      <w:fldChar w:fldCharType="end"/>
    </w:r>
  </w:p>
  <w:p w:rsidR="0015685B" w:rsidRPr="00612B09" w:rsidRDefault="00CF0C4A" w:rsidP="007873B0">
    <w:pPr>
      <w:pStyle w:val="Header"/>
      <w:pBdr>
        <w:bottom w:val="single" w:sz="4" w:space="1" w:color="auto"/>
      </w:pBdr>
      <w:jc w:val="center"/>
      <w:rPr>
        <w:sz w:val="18"/>
        <w:szCs w:val="18"/>
        <w:lang w:val="en-US"/>
      </w:rPr>
    </w:pPr>
    <w:r w:rsidRPr="00CF0C4A">
      <w:rPr>
        <w:sz w:val="18"/>
        <w:szCs w:val="18"/>
      </w:rPr>
      <w:t>Mohammadali Esmaeili</w:t>
    </w:r>
    <w:r w:rsidR="0015685B" w:rsidRPr="00612B09">
      <w:rPr>
        <w:sz w:val="18"/>
        <w:szCs w:val="18"/>
        <w:lang w:val="sr-Latn-CS"/>
      </w:rPr>
      <w:t xml:space="preserv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85B" w:rsidRPr="009C09D1" w:rsidRDefault="00896759">
    <w:pPr>
      <w:pStyle w:val="Header"/>
      <w:framePr w:wrap="around" w:vAnchor="text" w:hAnchor="margin" w:xAlign="outside" w:y="1"/>
      <w:rPr>
        <w:rStyle w:val="PageNumber"/>
        <w:color w:val="FF0000"/>
        <w:sz w:val="18"/>
      </w:rPr>
    </w:pPr>
    <w:r w:rsidRPr="004D3E6C">
      <w:rPr>
        <w:rStyle w:val="PageNumber"/>
        <w:sz w:val="18"/>
      </w:rPr>
      <w:fldChar w:fldCharType="begin"/>
    </w:r>
    <w:r w:rsidR="0015685B" w:rsidRPr="004D3E6C">
      <w:rPr>
        <w:rStyle w:val="PageNumber"/>
        <w:sz w:val="18"/>
      </w:rPr>
      <w:instrText xml:space="preserve">PAGE  </w:instrText>
    </w:r>
    <w:r w:rsidRPr="004D3E6C">
      <w:rPr>
        <w:rStyle w:val="PageNumber"/>
        <w:sz w:val="18"/>
      </w:rPr>
      <w:fldChar w:fldCharType="separate"/>
    </w:r>
    <w:r w:rsidR="009407E0">
      <w:rPr>
        <w:rStyle w:val="PageNumber"/>
        <w:noProof/>
        <w:sz w:val="18"/>
      </w:rPr>
      <w:t>11</w:t>
    </w:r>
    <w:r w:rsidRPr="004D3E6C">
      <w:rPr>
        <w:rStyle w:val="PageNumber"/>
        <w:sz w:val="18"/>
      </w:rPr>
      <w:fldChar w:fldCharType="end"/>
    </w:r>
  </w:p>
  <w:p w:rsidR="002A0C59" w:rsidRPr="002A0C59" w:rsidRDefault="00CF0C4A" w:rsidP="002A0C59">
    <w:pPr>
      <w:tabs>
        <w:tab w:val="right" w:pos="9360"/>
      </w:tabs>
      <w:jc w:val="center"/>
      <w:rPr>
        <w:bCs/>
        <w:sz w:val="18"/>
        <w:szCs w:val="18"/>
      </w:rPr>
    </w:pPr>
    <w:r w:rsidRPr="002A0C59">
      <w:rPr>
        <w:bCs/>
        <w:sz w:val="18"/>
        <w:szCs w:val="18"/>
      </w:rPr>
      <w:t>Response of maize to foliar application</w:t>
    </w:r>
    <w:r w:rsidR="002A0C59" w:rsidRPr="002A0C59">
      <w:rPr>
        <w:bCs/>
        <w:sz w:val="18"/>
        <w:szCs w:val="18"/>
      </w:rPr>
      <w:t xml:space="preserve"> of Zn and </w:t>
    </w:r>
    <w:r w:rsidR="002A0C59" w:rsidRPr="002A0C59">
      <w:rPr>
        <w:bCs/>
        <w:i/>
        <w:iCs/>
        <w:sz w:val="18"/>
        <w:szCs w:val="18"/>
      </w:rPr>
      <w:t>Azotobacter</w:t>
    </w:r>
    <w:r w:rsidR="002A0C59" w:rsidRPr="002A0C59">
      <w:rPr>
        <w:bCs/>
        <w:sz w:val="18"/>
        <w:szCs w:val="18"/>
      </w:rPr>
      <w:t xml:space="preserve"> inoculation</w:t>
    </w:r>
    <w:r w:rsidR="002A0C59">
      <w:rPr>
        <w:bCs/>
        <w:sz w:val="18"/>
        <w:szCs w:val="18"/>
      </w:rPr>
      <w:t xml:space="preserve"> </w:t>
    </w:r>
  </w:p>
  <w:p w:rsidR="0015685B" w:rsidRPr="002A0C59" w:rsidRDefault="0015685B" w:rsidP="00402C5C">
    <w:pPr>
      <w:pStyle w:val="Header"/>
      <w:pBdr>
        <w:bottom w:val="single" w:sz="4" w:space="1" w:color="auto"/>
      </w:pBdr>
      <w:jc w:val="center"/>
      <w:rPr>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15685B" w:rsidRPr="003E2BC8" w:rsidTr="00623218">
      <w:tc>
        <w:tcPr>
          <w:tcW w:w="3686" w:type="dxa"/>
        </w:tcPr>
        <w:p w:rsidR="0015685B" w:rsidRPr="004D3E6C" w:rsidRDefault="0015685B">
          <w:pPr>
            <w:rPr>
              <w:sz w:val="18"/>
              <w:szCs w:val="18"/>
              <w:lang w:val="en-US"/>
            </w:rPr>
          </w:pPr>
          <w:r w:rsidRPr="004D3E6C">
            <w:rPr>
              <w:sz w:val="18"/>
              <w:szCs w:val="18"/>
              <w:lang w:val="en-US"/>
            </w:rPr>
            <w:t>Journal of Agricultural Sciences</w:t>
          </w:r>
        </w:p>
        <w:p w:rsidR="0015685B" w:rsidRPr="004D3E6C" w:rsidRDefault="0015685B" w:rsidP="006211A0">
          <w:pPr>
            <w:rPr>
              <w:sz w:val="18"/>
              <w:szCs w:val="18"/>
              <w:lang w:val="en-US"/>
            </w:rPr>
          </w:pPr>
          <w:r>
            <w:rPr>
              <w:sz w:val="18"/>
              <w:szCs w:val="18"/>
              <w:lang w:val="en-US"/>
            </w:rPr>
            <w:t>Vol. 61</w:t>
          </w:r>
          <w:r w:rsidRPr="004D3E6C">
            <w:rPr>
              <w:sz w:val="18"/>
              <w:szCs w:val="18"/>
              <w:lang w:val="en-US"/>
            </w:rPr>
            <w:t xml:space="preserve">, No. </w:t>
          </w:r>
          <w:r>
            <w:rPr>
              <w:sz w:val="18"/>
              <w:szCs w:val="18"/>
              <w:lang w:val="en-US"/>
            </w:rPr>
            <w:t>2</w:t>
          </w:r>
          <w:r w:rsidRPr="004D3E6C">
            <w:rPr>
              <w:sz w:val="18"/>
              <w:szCs w:val="18"/>
              <w:lang w:val="en-US"/>
            </w:rPr>
            <w:t>, 201</w:t>
          </w:r>
          <w:r>
            <w:rPr>
              <w:sz w:val="18"/>
              <w:szCs w:val="18"/>
              <w:lang w:val="en-US"/>
            </w:rPr>
            <w:t>6</w:t>
          </w:r>
        </w:p>
        <w:p w:rsidR="0015685B" w:rsidRPr="00621E03" w:rsidRDefault="0015685B" w:rsidP="0019645B">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15685B" w:rsidRPr="00334CD0" w:rsidRDefault="0015685B" w:rsidP="002C2784">
          <w:pPr>
            <w:pStyle w:val="BodyText"/>
            <w:tabs>
              <w:tab w:val="right" w:leader="dot" w:pos="7371"/>
            </w:tabs>
            <w:spacing w:after="0"/>
            <w:jc w:val="right"/>
            <w:rPr>
              <w:sz w:val="18"/>
              <w:szCs w:val="18"/>
              <w:lang w:val="sr-Latn-CS"/>
            </w:rPr>
          </w:pPr>
          <w:r w:rsidRPr="00334CD0">
            <w:rPr>
              <w:sz w:val="18"/>
              <w:szCs w:val="18"/>
            </w:rPr>
            <w:t xml:space="preserve">DOI: </w:t>
          </w:r>
        </w:p>
        <w:p w:rsidR="0015685B" w:rsidRPr="003E2BC8" w:rsidRDefault="0015685B" w:rsidP="002C2784">
          <w:pPr>
            <w:tabs>
              <w:tab w:val="right" w:leader="dot" w:pos="7371"/>
            </w:tabs>
            <w:jc w:val="right"/>
            <w:rPr>
              <w:sz w:val="18"/>
              <w:szCs w:val="18"/>
            </w:rPr>
          </w:pPr>
          <w:r w:rsidRPr="00334CD0">
            <w:rPr>
              <w:sz w:val="18"/>
              <w:szCs w:val="18"/>
              <w:lang w:val="en-US"/>
            </w:rPr>
            <w:t>UDC:</w:t>
          </w:r>
        </w:p>
        <w:p w:rsidR="0015685B" w:rsidRPr="003E2BC8" w:rsidRDefault="0015685B" w:rsidP="002C2784">
          <w:pPr>
            <w:jc w:val="right"/>
            <w:rPr>
              <w:sz w:val="18"/>
              <w:szCs w:val="18"/>
              <w:highlight w:val="yellow"/>
            </w:rPr>
          </w:pPr>
          <w:r w:rsidRPr="003E2BC8">
            <w:rPr>
              <w:sz w:val="18"/>
              <w:szCs w:val="18"/>
              <w:lang w:val="en-US"/>
            </w:rPr>
            <w:t>Original scientific paper</w:t>
          </w:r>
        </w:p>
      </w:tc>
    </w:tr>
  </w:tbl>
  <w:p w:rsidR="0015685B" w:rsidRPr="00621E03" w:rsidRDefault="0015685B">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926C5"/>
    <w:multiLevelType w:val="hybridMultilevel"/>
    <w:tmpl w:val="D3AAD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C7381"/>
    <w:multiLevelType w:val="hybridMultilevel"/>
    <w:tmpl w:val="56568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4">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5">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6">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457DEB"/>
    <w:multiLevelType w:val="hybridMultilevel"/>
    <w:tmpl w:val="051E9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426AA"/>
    <w:multiLevelType w:val="hybridMultilevel"/>
    <w:tmpl w:val="1C4E5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4">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5">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6">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7">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1">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BA96785"/>
    <w:multiLevelType w:val="hybridMultilevel"/>
    <w:tmpl w:val="8514B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4"/>
  </w:num>
  <w:num w:numId="4">
    <w:abstractNumId w:val="3"/>
  </w:num>
  <w:num w:numId="5">
    <w:abstractNumId w:val="14"/>
  </w:num>
  <w:num w:numId="6">
    <w:abstractNumId w:val="19"/>
  </w:num>
  <w:num w:numId="7">
    <w:abstractNumId w:val="7"/>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7"/>
  </w:num>
  <w:num w:numId="12">
    <w:abstractNumId w:val="21"/>
  </w:num>
  <w:num w:numId="13">
    <w:abstractNumId w:val="5"/>
  </w:num>
  <w:num w:numId="14">
    <w:abstractNumId w:val="18"/>
  </w:num>
  <w:num w:numId="15">
    <w:abstractNumId w:val="16"/>
  </w:num>
  <w:num w:numId="16">
    <w:abstractNumId w:val="11"/>
  </w:num>
  <w:num w:numId="17">
    <w:abstractNumId w:val="12"/>
  </w:num>
  <w:num w:numId="18">
    <w:abstractNumId w:val="6"/>
  </w:num>
  <w:num w:numId="19">
    <w:abstractNumId w:val="1"/>
  </w:num>
  <w:num w:numId="20">
    <w:abstractNumId w:val="22"/>
  </w:num>
  <w:num w:numId="21">
    <w:abstractNumId w:val="8"/>
  </w:num>
  <w:num w:numId="22">
    <w:abstractNumId w:val="0"/>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425"/>
  <w:hyphenationZone w:val="425"/>
  <w:evenAndOddHeaders/>
  <w:drawingGridHorizontalSpacing w:val="100"/>
  <w:displayHorizontalDrawingGridEvery w:val="2"/>
  <w:characterSpacingControl w:val="doNotCompress"/>
  <w:hdrShapeDefaults>
    <o:shapedefaults v:ext="edit" spidmax="43010"/>
  </w:hdrShapeDefaults>
  <w:footnotePr>
    <w:numFmt w:val="chicago"/>
    <w:footnote w:id="0"/>
    <w:footnote w:id="1"/>
  </w:footnotePr>
  <w:endnotePr>
    <w:numFmt w:val="chicago"/>
    <w:endnote w:id="0"/>
    <w:endnote w:id="1"/>
  </w:endnotePr>
  <w:compat/>
  <w:rsids>
    <w:rsidRoot w:val="00864A51"/>
    <w:rsid w:val="00000392"/>
    <w:rsid w:val="00001280"/>
    <w:rsid w:val="0000183B"/>
    <w:rsid w:val="0000417E"/>
    <w:rsid w:val="000058A0"/>
    <w:rsid w:val="00006BE4"/>
    <w:rsid w:val="00007AC9"/>
    <w:rsid w:val="00007C2C"/>
    <w:rsid w:val="00014B65"/>
    <w:rsid w:val="00016C42"/>
    <w:rsid w:val="0002071D"/>
    <w:rsid w:val="00020E31"/>
    <w:rsid w:val="00021B32"/>
    <w:rsid w:val="00023D8E"/>
    <w:rsid w:val="00024A75"/>
    <w:rsid w:val="00025986"/>
    <w:rsid w:val="000259E9"/>
    <w:rsid w:val="000262DE"/>
    <w:rsid w:val="000309D7"/>
    <w:rsid w:val="0003458B"/>
    <w:rsid w:val="00035D82"/>
    <w:rsid w:val="00035EC8"/>
    <w:rsid w:val="000402F6"/>
    <w:rsid w:val="00040FA1"/>
    <w:rsid w:val="0004639B"/>
    <w:rsid w:val="00050B5D"/>
    <w:rsid w:val="00052689"/>
    <w:rsid w:val="000535F1"/>
    <w:rsid w:val="000536D8"/>
    <w:rsid w:val="00054A00"/>
    <w:rsid w:val="00060E84"/>
    <w:rsid w:val="0006179A"/>
    <w:rsid w:val="00065EDB"/>
    <w:rsid w:val="000668EF"/>
    <w:rsid w:val="00067337"/>
    <w:rsid w:val="0007089C"/>
    <w:rsid w:val="000734D9"/>
    <w:rsid w:val="00077104"/>
    <w:rsid w:val="00077346"/>
    <w:rsid w:val="00084783"/>
    <w:rsid w:val="00086180"/>
    <w:rsid w:val="00087A3D"/>
    <w:rsid w:val="000908F4"/>
    <w:rsid w:val="00092547"/>
    <w:rsid w:val="00093FEB"/>
    <w:rsid w:val="00094C83"/>
    <w:rsid w:val="000A71D5"/>
    <w:rsid w:val="000B4472"/>
    <w:rsid w:val="000B52C0"/>
    <w:rsid w:val="000B69DD"/>
    <w:rsid w:val="000C2AD1"/>
    <w:rsid w:val="000C6E7A"/>
    <w:rsid w:val="000D1FFB"/>
    <w:rsid w:val="000D20CD"/>
    <w:rsid w:val="000D219A"/>
    <w:rsid w:val="000D35CB"/>
    <w:rsid w:val="000D5967"/>
    <w:rsid w:val="000D7789"/>
    <w:rsid w:val="000E2F35"/>
    <w:rsid w:val="000E5410"/>
    <w:rsid w:val="000E62B7"/>
    <w:rsid w:val="000E734C"/>
    <w:rsid w:val="000F0A5C"/>
    <w:rsid w:val="000F430C"/>
    <w:rsid w:val="000F4FEB"/>
    <w:rsid w:val="000F54D7"/>
    <w:rsid w:val="0010112D"/>
    <w:rsid w:val="00101949"/>
    <w:rsid w:val="0010338D"/>
    <w:rsid w:val="001039D2"/>
    <w:rsid w:val="001070DF"/>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4C75"/>
    <w:rsid w:val="00137717"/>
    <w:rsid w:val="00137C2E"/>
    <w:rsid w:val="001407C6"/>
    <w:rsid w:val="00140F88"/>
    <w:rsid w:val="00141D2A"/>
    <w:rsid w:val="00142433"/>
    <w:rsid w:val="00142DE1"/>
    <w:rsid w:val="00142E24"/>
    <w:rsid w:val="001435A3"/>
    <w:rsid w:val="001435AF"/>
    <w:rsid w:val="00144AB1"/>
    <w:rsid w:val="0014608F"/>
    <w:rsid w:val="00146295"/>
    <w:rsid w:val="00146837"/>
    <w:rsid w:val="001546E9"/>
    <w:rsid w:val="00154C08"/>
    <w:rsid w:val="00155C51"/>
    <w:rsid w:val="00155C7F"/>
    <w:rsid w:val="0015685B"/>
    <w:rsid w:val="001572BD"/>
    <w:rsid w:val="001604C0"/>
    <w:rsid w:val="00164F54"/>
    <w:rsid w:val="001651CA"/>
    <w:rsid w:val="00165B4B"/>
    <w:rsid w:val="001703CB"/>
    <w:rsid w:val="00171A27"/>
    <w:rsid w:val="00174159"/>
    <w:rsid w:val="00175021"/>
    <w:rsid w:val="0017778B"/>
    <w:rsid w:val="00177B58"/>
    <w:rsid w:val="00180AB6"/>
    <w:rsid w:val="00180BE7"/>
    <w:rsid w:val="00185C45"/>
    <w:rsid w:val="00187E8B"/>
    <w:rsid w:val="00191CF5"/>
    <w:rsid w:val="001923D4"/>
    <w:rsid w:val="0019645B"/>
    <w:rsid w:val="0019713E"/>
    <w:rsid w:val="00197F4A"/>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468"/>
    <w:rsid w:val="001D72E6"/>
    <w:rsid w:val="001D742E"/>
    <w:rsid w:val="001E2AF3"/>
    <w:rsid w:val="001E5108"/>
    <w:rsid w:val="001E5955"/>
    <w:rsid w:val="001E64D9"/>
    <w:rsid w:val="001E71EA"/>
    <w:rsid w:val="001E73D9"/>
    <w:rsid w:val="001F66ED"/>
    <w:rsid w:val="00200718"/>
    <w:rsid w:val="002050B2"/>
    <w:rsid w:val="00206FBE"/>
    <w:rsid w:val="0020733E"/>
    <w:rsid w:val="0021095B"/>
    <w:rsid w:val="002133A4"/>
    <w:rsid w:val="002146D9"/>
    <w:rsid w:val="00214D74"/>
    <w:rsid w:val="00217B59"/>
    <w:rsid w:val="0022110B"/>
    <w:rsid w:val="00221494"/>
    <w:rsid w:val="00224466"/>
    <w:rsid w:val="00224893"/>
    <w:rsid w:val="00224C1D"/>
    <w:rsid w:val="002305A2"/>
    <w:rsid w:val="00230FDE"/>
    <w:rsid w:val="0023306B"/>
    <w:rsid w:val="002364FE"/>
    <w:rsid w:val="002377A8"/>
    <w:rsid w:val="00244D67"/>
    <w:rsid w:val="00245ED9"/>
    <w:rsid w:val="00247469"/>
    <w:rsid w:val="002477FE"/>
    <w:rsid w:val="00247C75"/>
    <w:rsid w:val="002515CC"/>
    <w:rsid w:val="00254D3F"/>
    <w:rsid w:val="00256A44"/>
    <w:rsid w:val="002603D6"/>
    <w:rsid w:val="00262E4A"/>
    <w:rsid w:val="0026355A"/>
    <w:rsid w:val="00265709"/>
    <w:rsid w:val="00266DE8"/>
    <w:rsid w:val="00267380"/>
    <w:rsid w:val="0026738F"/>
    <w:rsid w:val="0027098E"/>
    <w:rsid w:val="002726B5"/>
    <w:rsid w:val="0027405E"/>
    <w:rsid w:val="00275415"/>
    <w:rsid w:val="00277376"/>
    <w:rsid w:val="002803E5"/>
    <w:rsid w:val="0028466A"/>
    <w:rsid w:val="00285196"/>
    <w:rsid w:val="00285245"/>
    <w:rsid w:val="0029021E"/>
    <w:rsid w:val="002902EC"/>
    <w:rsid w:val="00290863"/>
    <w:rsid w:val="002909E5"/>
    <w:rsid w:val="002926FD"/>
    <w:rsid w:val="00293489"/>
    <w:rsid w:val="00293E95"/>
    <w:rsid w:val="002947C5"/>
    <w:rsid w:val="0029632B"/>
    <w:rsid w:val="00296AE9"/>
    <w:rsid w:val="00297803"/>
    <w:rsid w:val="00297EE6"/>
    <w:rsid w:val="002A0C59"/>
    <w:rsid w:val="002A2342"/>
    <w:rsid w:val="002A372D"/>
    <w:rsid w:val="002B352C"/>
    <w:rsid w:val="002B4D87"/>
    <w:rsid w:val="002B4EEA"/>
    <w:rsid w:val="002C0382"/>
    <w:rsid w:val="002C0D5E"/>
    <w:rsid w:val="002C1DF0"/>
    <w:rsid w:val="002C2784"/>
    <w:rsid w:val="002C3A18"/>
    <w:rsid w:val="002C4CD4"/>
    <w:rsid w:val="002C4E3F"/>
    <w:rsid w:val="002C5621"/>
    <w:rsid w:val="002C65B4"/>
    <w:rsid w:val="002C6FFA"/>
    <w:rsid w:val="002D16BB"/>
    <w:rsid w:val="002D41E8"/>
    <w:rsid w:val="002E204F"/>
    <w:rsid w:val="002E2B30"/>
    <w:rsid w:val="002E357B"/>
    <w:rsid w:val="002E3AE3"/>
    <w:rsid w:val="002E4BAE"/>
    <w:rsid w:val="002E5831"/>
    <w:rsid w:val="002E6660"/>
    <w:rsid w:val="002E746A"/>
    <w:rsid w:val="002F1017"/>
    <w:rsid w:val="002F1527"/>
    <w:rsid w:val="002F18D9"/>
    <w:rsid w:val="0030070D"/>
    <w:rsid w:val="00300E3E"/>
    <w:rsid w:val="0030448E"/>
    <w:rsid w:val="00306CCB"/>
    <w:rsid w:val="00315827"/>
    <w:rsid w:val="00320918"/>
    <w:rsid w:val="0032797E"/>
    <w:rsid w:val="00330389"/>
    <w:rsid w:val="00332631"/>
    <w:rsid w:val="00334CD0"/>
    <w:rsid w:val="00341C52"/>
    <w:rsid w:val="00343CA3"/>
    <w:rsid w:val="00344572"/>
    <w:rsid w:val="00347495"/>
    <w:rsid w:val="00347C0A"/>
    <w:rsid w:val="00353031"/>
    <w:rsid w:val="003543CF"/>
    <w:rsid w:val="00354809"/>
    <w:rsid w:val="00356585"/>
    <w:rsid w:val="003602BA"/>
    <w:rsid w:val="00360938"/>
    <w:rsid w:val="00361020"/>
    <w:rsid w:val="00364F8E"/>
    <w:rsid w:val="003672C1"/>
    <w:rsid w:val="00367D39"/>
    <w:rsid w:val="003714DF"/>
    <w:rsid w:val="003720F5"/>
    <w:rsid w:val="003729A7"/>
    <w:rsid w:val="00376847"/>
    <w:rsid w:val="0037750B"/>
    <w:rsid w:val="00383B59"/>
    <w:rsid w:val="00390EB7"/>
    <w:rsid w:val="00390FEC"/>
    <w:rsid w:val="00391156"/>
    <w:rsid w:val="003936E8"/>
    <w:rsid w:val="0039631A"/>
    <w:rsid w:val="003A1DCA"/>
    <w:rsid w:val="003A21E7"/>
    <w:rsid w:val="003A30DA"/>
    <w:rsid w:val="003A6E32"/>
    <w:rsid w:val="003A76D9"/>
    <w:rsid w:val="003A7767"/>
    <w:rsid w:val="003B03F3"/>
    <w:rsid w:val="003B2519"/>
    <w:rsid w:val="003B702E"/>
    <w:rsid w:val="003C0D55"/>
    <w:rsid w:val="003C445B"/>
    <w:rsid w:val="003D037F"/>
    <w:rsid w:val="003D06DF"/>
    <w:rsid w:val="003D283D"/>
    <w:rsid w:val="003D433E"/>
    <w:rsid w:val="003D737D"/>
    <w:rsid w:val="003D780C"/>
    <w:rsid w:val="003E09D0"/>
    <w:rsid w:val="003E0DC9"/>
    <w:rsid w:val="003E2BC8"/>
    <w:rsid w:val="003E44B4"/>
    <w:rsid w:val="003E4707"/>
    <w:rsid w:val="003E4C1E"/>
    <w:rsid w:val="003E54C7"/>
    <w:rsid w:val="003E5ED0"/>
    <w:rsid w:val="003F0E1D"/>
    <w:rsid w:val="003F1CAF"/>
    <w:rsid w:val="003F4D00"/>
    <w:rsid w:val="0040230D"/>
    <w:rsid w:val="00402C5C"/>
    <w:rsid w:val="0040436E"/>
    <w:rsid w:val="004137CF"/>
    <w:rsid w:val="00414BE9"/>
    <w:rsid w:val="004166FB"/>
    <w:rsid w:val="004254B6"/>
    <w:rsid w:val="004271D0"/>
    <w:rsid w:val="0043112D"/>
    <w:rsid w:val="00432A68"/>
    <w:rsid w:val="00432E5C"/>
    <w:rsid w:val="00436406"/>
    <w:rsid w:val="0043669D"/>
    <w:rsid w:val="00443BDD"/>
    <w:rsid w:val="00444D1C"/>
    <w:rsid w:val="00445C0F"/>
    <w:rsid w:val="004474A8"/>
    <w:rsid w:val="00450137"/>
    <w:rsid w:val="00450F2B"/>
    <w:rsid w:val="00452570"/>
    <w:rsid w:val="00462CD6"/>
    <w:rsid w:val="00463915"/>
    <w:rsid w:val="00464F68"/>
    <w:rsid w:val="0046534D"/>
    <w:rsid w:val="004662BB"/>
    <w:rsid w:val="00472923"/>
    <w:rsid w:val="00477547"/>
    <w:rsid w:val="004779C9"/>
    <w:rsid w:val="00480190"/>
    <w:rsid w:val="004814CA"/>
    <w:rsid w:val="00482CCE"/>
    <w:rsid w:val="004845FE"/>
    <w:rsid w:val="004878F2"/>
    <w:rsid w:val="00487C4F"/>
    <w:rsid w:val="004917BA"/>
    <w:rsid w:val="004919B2"/>
    <w:rsid w:val="00492E22"/>
    <w:rsid w:val="00495F7E"/>
    <w:rsid w:val="004A0319"/>
    <w:rsid w:val="004A127D"/>
    <w:rsid w:val="004A3AC5"/>
    <w:rsid w:val="004A4F37"/>
    <w:rsid w:val="004A73DA"/>
    <w:rsid w:val="004B149C"/>
    <w:rsid w:val="004B2694"/>
    <w:rsid w:val="004B6C6B"/>
    <w:rsid w:val="004C0B0D"/>
    <w:rsid w:val="004C1146"/>
    <w:rsid w:val="004C2D0D"/>
    <w:rsid w:val="004C6D10"/>
    <w:rsid w:val="004D16FA"/>
    <w:rsid w:val="004D3E6C"/>
    <w:rsid w:val="004D49A0"/>
    <w:rsid w:val="004D69D5"/>
    <w:rsid w:val="004E00BB"/>
    <w:rsid w:val="004E7C02"/>
    <w:rsid w:val="004F0D80"/>
    <w:rsid w:val="004F4232"/>
    <w:rsid w:val="00500CFE"/>
    <w:rsid w:val="005012CC"/>
    <w:rsid w:val="005048B0"/>
    <w:rsid w:val="00504F0C"/>
    <w:rsid w:val="00515087"/>
    <w:rsid w:val="00516C2D"/>
    <w:rsid w:val="005278ED"/>
    <w:rsid w:val="005279A8"/>
    <w:rsid w:val="00527AFA"/>
    <w:rsid w:val="00532C8D"/>
    <w:rsid w:val="00533506"/>
    <w:rsid w:val="00540672"/>
    <w:rsid w:val="0054077F"/>
    <w:rsid w:val="005408C3"/>
    <w:rsid w:val="0054273B"/>
    <w:rsid w:val="00543705"/>
    <w:rsid w:val="00545825"/>
    <w:rsid w:val="00547315"/>
    <w:rsid w:val="00550A20"/>
    <w:rsid w:val="00555FC3"/>
    <w:rsid w:val="005568B0"/>
    <w:rsid w:val="00560D9E"/>
    <w:rsid w:val="00564A31"/>
    <w:rsid w:val="00566E23"/>
    <w:rsid w:val="005701BF"/>
    <w:rsid w:val="00570C77"/>
    <w:rsid w:val="005718B8"/>
    <w:rsid w:val="00571DA7"/>
    <w:rsid w:val="00572171"/>
    <w:rsid w:val="005721ED"/>
    <w:rsid w:val="0057425E"/>
    <w:rsid w:val="00580758"/>
    <w:rsid w:val="00581408"/>
    <w:rsid w:val="00582EB3"/>
    <w:rsid w:val="00586175"/>
    <w:rsid w:val="005878A4"/>
    <w:rsid w:val="005922DE"/>
    <w:rsid w:val="00595E90"/>
    <w:rsid w:val="005977CD"/>
    <w:rsid w:val="005977EA"/>
    <w:rsid w:val="00597BD3"/>
    <w:rsid w:val="00597CEC"/>
    <w:rsid w:val="005A2507"/>
    <w:rsid w:val="005B0DA8"/>
    <w:rsid w:val="005B1332"/>
    <w:rsid w:val="005B32A1"/>
    <w:rsid w:val="005B5DA9"/>
    <w:rsid w:val="005C0CCD"/>
    <w:rsid w:val="005C3211"/>
    <w:rsid w:val="005C4877"/>
    <w:rsid w:val="005C6333"/>
    <w:rsid w:val="005D155E"/>
    <w:rsid w:val="005D33B7"/>
    <w:rsid w:val="005D652A"/>
    <w:rsid w:val="005E09F2"/>
    <w:rsid w:val="005E6D25"/>
    <w:rsid w:val="005F0C25"/>
    <w:rsid w:val="005F199C"/>
    <w:rsid w:val="005F208F"/>
    <w:rsid w:val="005F4FC8"/>
    <w:rsid w:val="005F5D22"/>
    <w:rsid w:val="005F64EC"/>
    <w:rsid w:val="00605F2F"/>
    <w:rsid w:val="00606666"/>
    <w:rsid w:val="00606C9A"/>
    <w:rsid w:val="006073C5"/>
    <w:rsid w:val="00607488"/>
    <w:rsid w:val="00611D95"/>
    <w:rsid w:val="00612461"/>
    <w:rsid w:val="00612B09"/>
    <w:rsid w:val="00613F7F"/>
    <w:rsid w:val="006173F5"/>
    <w:rsid w:val="00617E26"/>
    <w:rsid w:val="006211A0"/>
    <w:rsid w:val="0062191C"/>
    <w:rsid w:val="00621E03"/>
    <w:rsid w:val="00623218"/>
    <w:rsid w:val="006232A9"/>
    <w:rsid w:val="00630109"/>
    <w:rsid w:val="0063062C"/>
    <w:rsid w:val="00634E04"/>
    <w:rsid w:val="006353FE"/>
    <w:rsid w:val="00636F1B"/>
    <w:rsid w:val="0063701B"/>
    <w:rsid w:val="006451EA"/>
    <w:rsid w:val="006455D7"/>
    <w:rsid w:val="00651560"/>
    <w:rsid w:val="00652429"/>
    <w:rsid w:val="0065321F"/>
    <w:rsid w:val="0065457B"/>
    <w:rsid w:val="006551FB"/>
    <w:rsid w:val="00655780"/>
    <w:rsid w:val="00656F57"/>
    <w:rsid w:val="006571BF"/>
    <w:rsid w:val="00657FBA"/>
    <w:rsid w:val="006613EB"/>
    <w:rsid w:val="00663042"/>
    <w:rsid w:val="006635DE"/>
    <w:rsid w:val="006638FB"/>
    <w:rsid w:val="0066394C"/>
    <w:rsid w:val="00665B12"/>
    <w:rsid w:val="00667131"/>
    <w:rsid w:val="00667C62"/>
    <w:rsid w:val="00670B16"/>
    <w:rsid w:val="00670E61"/>
    <w:rsid w:val="00681447"/>
    <w:rsid w:val="0068162E"/>
    <w:rsid w:val="0068279C"/>
    <w:rsid w:val="00682935"/>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F16F7"/>
    <w:rsid w:val="006F24B9"/>
    <w:rsid w:val="006F4388"/>
    <w:rsid w:val="006F5D18"/>
    <w:rsid w:val="006F6BE1"/>
    <w:rsid w:val="00700CCA"/>
    <w:rsid w:val="00700E54"/>
    <w:rsid w:val="00702E5B"/>
    <w:rsid w:val="00706C1B"/>
    <w:rsid w:val="00706F3E"/>
    <w:rsid w:val="007070FB"/>
    <w:rsid w:val="007102A9"/>
    <w:rsid w:val="00711578"/>
    <w:rsid w:val="00712A9D"/>
    <w:rsid w:val="00713171"/>
    <w:rsid w:val="00714BE3"/>
    <w:rsid w:val="00715877"/>
    <w:rsid w:val="00716D56"/>
    <w:rsid w:val="00720DFC"/>
    <w:rsid w:val="00720FE6"/>
    <w:rsid w:val="00721FF0"/>
    <w:rsid w:val="0072623C"/>
    <w:rsid w:val="0072664E"/>
    <w:rsid w:val="00753D32"/>
    <w:rsid w:val="00757720"/>
    <w:rsid w:val="007610A9"/>
    <w:rsid w:val="007640C6"/>
    <w:rsid w:val="0076468A"/>
    <w:rsid w:val="0076533E"/>
    <w:rsid w:val="00767435"/>
    <w:rsid w:val="0077178E"/>
    <w:rsid w:val="00771BE3"/>
    <w:rsid w:val="00772705"/>
    <w:rsid w:val="00772765"/>
    <w:rsid w:val="00773044"/>
    <w:rsid w:val="007739E3"/>
    <w:rsid w:val="00774372"/>
    <w:rsid w:val="00774728"/>
    <w:rsid w:val="00777796"/>
    <w:rsid w:val="0077798F"/>
    <w:rsid w:val="0078271A"/>
    <w:rsid w:val="00783406"/>
    <w:rsid w:val="00784AA9"/>
    <w:rsid w:val="007851A6"/>
    <w:rsid w:val="00785B16"/>
    <w:rsid w:val="007873B0"/>
    <w:rsid w:val="00792385"/>
    <w:rsid w:val="00793BF6"/>
    <w:rsid w:val="007952AB"/>
    <w:rsid w:val="00795306"/>
    <w:rsid w:val="00795876"/>
    <w:rsid w:val="00797EE8"/>
    <w:rsid w:val="007A24B8"/>
    <w:rsid w:val="007A34A0"/>
    <w:rsid w:val="007A4B8C"/>
    <w:rsid w:val="007B0091"/>
    <w:rsid w:val="007B0164"/>
    <w:rsid w:val="007B02C0"/>
    <w:rsid w:val="007B0BFF"/>
    <w:rsid w:val="007B722F"/>
    <w:rsid w:val="007B74B6"/>
    <w:rsid w:val="007C0719"/>
    <w:rsid w:val="007C0BF5"/>
    <w:rsid w:val="007C1953"/>
    <w:rsid w:val="007C28BD"/>
    <w:rsid w:val="007C39B9"/>
    <w:rsid w:val="007C5AD2"/>
    <w:rsid w:val="007D07F3"/>
    <w:rsid w:val="007D3126"/>
    <w:rsid w:val="007D540C"/>
    <w:rsid w:val="007D603D"/>
    <w:rsid w:val="007D65BE"/>
    <w:rsid w:val="007D6765"/>
    <w:rsid w:val="007D71E0"/>
    <w:rsid w:val="007E0565"/>
    <w:rsid w:val="007E0739"/>
    <w:rsid w:val="007E0867"/>
    <w:rsid w:val="007E73DA"/>
    <w:rsid w:val="007E7C6B"/>
    <w:rsid w:val="007F3590"/>
    <w:rsid w:val="007F3593"/>
    <w:rsid w:val="007F3A85"/>
    <w:rsid w:val="007F5C1A"/>
    <w:rsid w:val="007F5ED9"/>
    <w:rsid w:val="007F7A49"/>
    <w:rsid w:val="008033F0"/>
    <w:rsid w:val="00803D5D"/>
    <w:rsid w:val="008125F4"/>
    <w:rsid w:val="00813FC7"/>
    <w:rsid w:val="0081634C"/>
    <w:rsid w:val="0082347E"/>
    <w:rsid w:val="00823AF6"/>
    <w:rsid w:val="0082566C"/>
    <w:rsid w:val="00834AE3"/>
    <w:rsid w:val="008379C6"/>
    <w:rsid w:val="00837A24"/>
    <w:rsid w:val="00844730"/>
    <w:rsid w:val="00846243"/>
    <w:rsid w:val="008464B4"/>
    <w:rsid w:val="00852E7F"/>
    <w:rsid w:val="00854799"/>
    <w:rsid w:val="00857AF9"/>
    <w:rsid w:val="00862BA4"/>
    <w:rsid w:val="00863E2C"/>
    <w:rsid w:val="00864A51"/>
    <w:rsid w:val="00865DF1"/>
    <w:rsid w:val="00867166"/>
    <w:rsid w:val="008677E9"/>
    <w:rsid w:val="008678B9"/>
    <w:rsid w:val="008709E1"/>
    <w:rsid w:val="00871BED"/>
    <w:rsid w:val="00872C71"/>
    <w:rsid w:val="008738E4"/>
    <w:rsid w:val="00873AC1"/>
    <w:rsid w:val="00875670"/>
    <w:rsid w:val="00886F15"/>
    <w:rsid w:val="0089166F"/>
    <w:rsid w:val="00892888"/>
    <w:rsid w:val="008929DF"/>
    <w:rsid w:val="00893E4F"/>
    <w:rsid w:val="00896017"/>
    <w:rsid w:val="00896759"/>
    <w:rsid w:val="00897FE3"/>
    <w:rsid w:val="008A0D57"/>
    <w:rsid w:val="008A123F"/>
    <w:rsid w:val="008A1D83"/>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15C0B"/>
    <w:rsid w:val="00915CF9"/>
    <w:rsid w:val="009172DE"/>
    <w:rsid w:val="00917C8E"/>
    <w:rsid w:val="0092026F"/>
    <w:rsid w:val="00921859"/>
    <w:rsid w:val="00922274"/>
    <w:rsid w:val="00924CEF"/>
    <w:rsid w:val="0092541A"/>
    <w:rsid w:val="00926BAD"/>
    <w:rsid w:val="009276D2"/>
    <w:rsid w:val="0093135D"/>
    <w:rsid w:val="00934029"/>
    <w:rsid w:val="00934EEA"/>
    <w:rsid w:val="009355FB"/>
    <w:rsid w:val="009356E0"/>
    <w:rsid w:val="009407E0"/>
    <w:rsid w:val="00942ED6"/>
    <w:rsid w:val="009447B8"/>
    <w:rsid w:val="009469A8"/>
    <w:rsid w:val="00946F42"/>
    <w:rsid w:val="00950F9E"/>
    <w:rsid w:val="00952EDD"/>
    <w:rsid w:val="00954586"/>
    <w:rsid w:val="009563A2"/>
    <w:rsid w:val="00961664"/>
    <w:rsid w:val="00961BAF"/>
    <w:rsid w:val="00967BAD"/>
    <w:rsid w:val="00974F86"/>
    <w:rsid w:val="00977327"/>
    <w:rsid w:val="00981C9A"/>
    <w:rsid w:val="00982DC7"/>
    <w:rsid w:val="00983320"/>
    <w:rsid w:val="00985653"/>
    <w:rsid w:val="00987177"/>
    <w:rsid w:val="00987597"/>
    <w:rsid w:val="009918FD"/>
    <w:rsid w:val="00991D17"/>
    <w:rsid w:val="00992EED"/>
    <w:rsid w:val="00997500"/>
    <w:rsid w:val="009978C0"/>
    <w:rsid w:val="00997B96"/>
    <w:rsid w:val="009A05D2"/>
    <w:rsid w:val="009A3C70"/>
    <w:rsid w:val="009A5BFD"/>
    <w:rsid w:val="009A61A5"/>
    <w:rsid w:val="009B00D6"/>
    <w:rsid w:val="009B06B5"/>
    <w:rsid w:val="009B1EFF"/>
    <w:rsid w:val="009B31B1"/>
    <w:rsid w:val="009B4963"/>
    <w:rsid w:val="009B512C"/>
    <w:rsid w:val="009B56C3"/>
    <w:rsid w:val="009B79F1"/>
    <w:rsid w:val="009C09D1"/>
    <w:rsid w:val="009C2C52"/>
    <w:rsid w:val="009C459C"/>
    <w:rsid w:val="009C5B6C"/>
    <w:rsid w:val="009C691F"/>
    <w:rsid w:val="009D0393"/>
    <w:rsid w:val="009D28A7"/>
    <w:rsid w:val="009D4071"/>
    <w:rsid w:val="009E014D"/>
    <w:rsid w:val="009E0F74"/>
    <w:rsid w:val="009E59C8"/>
    <w:rsid w:val="009E6A46"/>
    <w:rsid w:val="009F1776"/>
    <w:rsid w:val="009F2345"/>
    <w:rsid w:val="009F3E64"/>
    <w:rsid w:val="009F64D8"/>
    <w:rsid w:val="00A0090E"/>
    <w:rsid w:val="00A02B44"/>
    <w:rsid w:val="00A058EC"/>
    <w:rsid w:val="00A05CC6"/>
    <w:rsid w:val="00A10BD5"/>
    <w:rsid w:val="00A127DD"/>
    <w:rsid w:val="00A12CF5"/>
    <w:rsid w:val="00A15D57"/>
    <w:rsid w:val="00A167D4"/>
    <w:rsid w:val="00A24693"/>
    <w:rsid w:val="00A25ADE"/>
    <w:rsid w:val="00A26053"/>
    <w:rsid w:val="00A30EAD"/>
    <w:rsid w:val="00A35FC9"/>
    <w:rsid w:val="00A363AB"/>
    <w:rsid w:val="00A37900"/>
    <w:rsid w:val="00A37F4C"/>
    <w:rsid w:val="00A43300"/>
    <w:rsid w:val="00A43A2D"/>
    <w:rsid w:val="00A469C0"/>
    <w:rsid w:val="00A47BAA"/>
    <w:rsid w:val="00A55273"/>
    <w:rsid w:val="00A609BA"/>
    <w:rsid w:val="00A61122"/>
    <w:rsid w:val="00A63B37"/>
    <w:rsid w:val="00A640E8"/>
    <w:rsid w:val="00A657C0"/>
    <w:rsid w:val="00A65A80"/>
    <w:rsid w:val="00A67B05"/>
    <w:rsid w:val="00A67E1E"/>
    <w:rsid w:val="00A70C9C"/>
    <w:rsid w:val="00A71699"/>
    <w:rsid w:val="00A7224B"/>
    <w:rsid w:val="00A7551D"/>
    <w:rsid w:val="00A76EA2"/>
    <w:rsid w:val="00A8196C"/>
    <w:rsid w:val="00A8230A"/>
    <w:rsid w:val="00A85910"/>
    <w:rsid w:val="00A870B2"/>
    <w:rsid w:val="00A877A4"/>
    <w:rsid w:val="00A90C15"/>
    <w:rsid w:val="00A913A2"/>
    <w:rsid w:val="00A949EF"/>
    <w:rsid w:val="00A94BAD"/>
    <w:rsid w:val="00A965A2"/>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2F13"/>
    <w:rsid w:val="00AE53B6"/>
    <w:rsid w:val="00AF0364"/>
    <w:rsid w:val="00AF084A"/>
    <w:rsid w:val="00AF0976"/>
    <w:rsid w:val="00AF1E3D"/>
    <w:rsid w:val="00AF2080"/>
    <w:rsid w:val="00AF283F"/>
    <w:rsid w:val="00AF6A40"/>
    <w:rsid w:val="00B010C5"/>
    <w:rsid w:val="00B011CE"/>
    <w:rsid w:val="00B017CE"/>
    <w:rsid w:val="00B0763A"/>
    <w:rsid w:val="00B1002E"/>
    <w:rsid w:val="00B12833"/>
    <w:rsid w:val="00B13B7F"/>
    <w:rsid w:val="00B17E64"/>
    <w:rsid w:val="00B225AE"/>
    <w:rsid w:val="00B24B31"/>
    <w:rsid w:val="00B30468"/>
    <w:rsid w:val="00B320FF"/>
    <w:rsid w:val="00B3497D"/>
    <w:rsid w:val="00B372B7"/>
    <w:rsid w:val="00B37DC9"/>
    <w:rsid w:val="00B4018B"/>
    <w:rsid w:val="00B409E7"/>
    <w:rsid w:val="00B40EFB"/>
    <w:rsid w:val="00B458ED"/>
    <w:rsid w:val="00B45A52"/>
    <w:rsid w:val="00B45DB0"/>
    <w:rsid w:val="00B51C0F"/>
    <w:rsid w:val="00B5219E"/>
    <w:rsid w:val="00B52E44"/>
    <w:rsid w:val="00B52E8D"/>
    <w:rsid w:val="00B57B1A"/>
    <w:rsid w:val="00B57CEE"/>
    <w:rsid w:val="00B60611"/>
    <w:rsid w:val="00B60B83"/>
    <w:rsid w:val="00B60FB8"/>
    <w:rsid w:val="00B674A2"/>
    <w:rsid w:val="00B7107E"/>
    <w:rsid w:val="00B72EB5"/>
    <w:rsid w:val="00B73BF8"/>
    <w:rsid w:val="00B74975"/>
    <w:rsid w:val="00B76A11"/>
    <w:rsid w:val="00B77038"/>
    <w:rsid w:val="00B80DEE"/>
    <w:rsid w:val="00B85907"/>
    <w:rsid w:val="00B91548"/>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2885"/>
    <w:rsid w:val="00BC374F"/>
    <w:rsid w:val="00BC4156"/>
    <w:rsid w:val="00BC53DC"/>
    <w:rsid w:val="00BC54A3"/>
    <w:rsid w:val="00BC64DA"/>
    <w:rsid w:val="00BC7589"/>
    <w:rsid w:val="00BD0172"/>
    <w:rsid w:val="00BD10E6"/>
    <w:rsid w:val="00BD3528"/>
    <w:rsid w:val="00BD3A97"/>
    <w:rsid w:val="00BE033D"/>
    <w:rsid w:val="00BE1B5B"/>
    <w:rsid w:val="00BE3464"/>
    <w:rsid w:val="00BE3D09"/>
    <w:rsid w:val="00BE3D8A"/>
    <w:rsid w:val="00BE48C5"/>
    <w:rsid w:val="00BF03D7"/>
    <w:rsid w:val="00BF1B57"/>
    <w:rsid w:val="00BF2242"/>
    <w:rsid w:val="00BF24F6"/>
    <w:rsid w:val="00BF5398"/>
    <w:rsid w:val="00BF6AF1"/>
    <w:rsid w:val="00C03B4C"/>
    <w:rsid w:val="00C054E6"/>
    <w:rsid w:val="00C0588D"/>
    <w:rsid w:val="00C114F2"/>
    <w:rsid w:val="00C11650"/>
    <w:rsid w:val="00C118BC"/>
    <w:rsid w:val="00C11EB3"/>
    <w:rsid w:val="00C21ABF"/>
    <w:rsid w:val="00C252DF"/>
    <w:rsid w:val="00C255C5"/>
    <w:rsid w:val="00C2665B"/>
    <w:rsid w:val="00C30EB3"/>
    <w:rsid w:val="00C31FBC"/>
    <w:rsid w:val="00C373E1"/>
    <w:rsid w:val="00C41475"/>
    <w:rsid w:val="00C42917"/>
    <w:rsid w:val="00C5046D"/>
    <w:rsid w:val="00C53E98"/>
    <w:rsid w:val="00C55C1E"/>
    <w:rsid w:val="00C5685E"/>
    <w:rsid w:val="00C56E4F"/>
    <w:rsid w:val="00C576B9"/>
    <w:rsid w:val="00C604B8"/>
    <w:rsid w:val="00C639B2"/>
    <w:rsid w:val="00C63AEF"/>
    <w:rsid w:val="00C662F8"/>
    <w:rsid w:val="00C66764"/>
    <w:rsid w:val="00C66C37"/>
    <w:rsid w:val="00C67305"/>
    <w:rsid w:val="00C7265C"/>
    <w:rsid w:val="00C749D6"/>
    <w:rsid w:val="00C74BB7"/>
    <w:rsid w:val="00C7688F"/>
    <w:rsid w:val="00C828AD"/>
    <w:rsid w:val="00C85591"/>
    <w:rsid w:val="00C91E64"/>
    <w:rsid w:val="00C949E3"/>
    <w:rsid w:val="00C96B26"/>
    <w:rsid w:val="00CA4429"/>
    <w:rsid w:val="00CA46BD"/>
    <w:rsid w:val="00CB149D"/>
    <w:rsid w:val="00CB31B6"/>
    <w:rsid w:val="00CB3971"/>
    <w:rsid w:val="00CB4974"/>
    <w:rsid w:val="00CB5069"/>
    <w:rsid w:val="00CB51E3"/>
    <w:rsid w:val="00CB6242"/>
    <w:rsid w:val="00CB74FC"/>
    <w:rsid w:val="00CC26F0"/>
    <w:rsid w:val="00CC2C31"/>
    <w:rsid w:val="00CC3AE7"/>
    <w:rsid w:val="00CC4187"/>
    <w:rsid w:val="00CC4704"/>
    <w:rsid w:val="00CC78FF"/>
    <w:rsid w:val="00CD330D"/>
    <w:rsid w:val="00CD4FFE"/>
    <w:rsid w:val="00CD70E3"/>
    <w:rsid w:val="00CD7F42"/>
    <w:rsid w:val="00CE072A"/>
    <w:rsid w:val="00CE07DE"/>
    <w:rsid w:val="00CE1169"/>
    <w:rsid w:val="00CE4FEA"/>
    <w:rsid w:val="00CE7E73"/>
    <w:rsid w:val="00CE7FB5"/>
    <w:rsid w:val="00CF0C4A"/>
    <w:rsid w:val="00CF260B"/>
    <w:rsid w:val="00CF36FE"/>
    <w:rsid w:val="00CF3969"/>
    <w:rsid w:val="00CF7F6D"/>
    <w:rsid w:val="00D02C82"/>
    <w:rsid w:val="00D07876"/>
    <w:rsid w:val="00D132E4"/>
    <w:rsid w:val="00D1736D"/>
    <w:rsid w:val="00D201AE"/>
    <w:rsid w:val="00D21B13"/>
    <w:rsid w:val="00D2274D"/>
    <w:rsid w:val="00D22A6D"/>
    <w:rsid w:val="00D30950"/>
    <w:rsid w:val="00D31CE6"/>
    <w:rsid w:val="00D361B4"/>
    <w:rsid w:val="00D37C5D"/>
    <w:rsid w:val="00D41687"/>
    <w:rsid w:val="00D444B7"/>
    <w:rsid w:val="00D46427"/>
    <w:rsid w:val="00D466C5"/>
    <w:rsid w:val="00D47BF4"/>
    <w:rsid w:val="00D51636"/>
    <w:rsid w:val="00D52BD7"/>
    <w:rsid w:val="00D544D2"/>
    <w:rsid w:val="00D56644"/>
    <w:rsid w:val="00D57C28"/>
    <w:rsid w:val="00D61146"/>
    <w:rsid w:val="00D63ADE"/>
    <w:rsid w:val="00D643DE"/>
    <w:rsid w:val="00D6723E"/>
    <w:rsid w:val="00D7088C"/>
    <w:rsid w:val="00D70B62"/>
    <w:rsid w:val="00D71432"/>
    <w:rsid w:val="00D72ADA"/>
    <w:rsid w:val="00D7318D"/>
    <w:rsid w:val="00D7515F"/>
    <w:rsid w:val="00D77169"/>
    <w:rsid w:val="00D82336"/>
    <w:rsid w:val="00D82547"/>
    <w:rsid w:val="00D82E0B"/>
    <w:rsid w:val="00D83C3D"/>
    <w:rsid w:val="00D85C19"/>
    <w:rsid w:val="00D85E38"/>
    <w:rsid w:val="00D87948"/>
    <w:rsid w:val="00D912EF"/>
    <w:rsid w:val="00D976DF"/>
    <w:rsid w:val="00DA4E53"/>
    <w:rsid w:val="00DA533D"/>
    <w:rsid w:val="00DA5511"/>
    <w:rsid w:val="00DA5BB3"/>
    <w:rsid w:val="00DA7FDB"/>
    <w:rsid w:val="00DB1EC3"/>
    <w:rsid w:val="00DB21B1"/>
    <w:rsid w:val="00DB317C"/>
    <w:rsid w:val="00DB4D07"/>
    <w:rsid w:val="00DB643E"/>
    <w:rsid w:val="00DB6D99"/>
    <w:rsid w:val="00DC0D53"/>
    <w:rsid w:val="00DC36EF"/>
    <w:rsid w:val="00DC5541"/>
    <w:rsid w:val="00DC5715"/>
    <w:rsid w:val="00DC5E26"/>
    <w:rsid w:val="00DC73FC"/>
    <w:rsid w:val="00DD1F35"/>
    <w:rsid w:val="00DD362A"/>
    <w:rsid w:val="00DD39AC"/>
    <w:rsid w:val="00DD4027"/>
    <w:rsid w:val="00DD5D23"/>
    <w:rsid w:val="00DD618C"/>
    <w:rsid w:val="00DD6572"/>
    <w:rsid w:val="00DE14F3"/>
    <w:rsid w:val="00DE7796"/>
    <w:rsid w:val="00DF52EB"/>
    <w:rsid w:val="00DF5F81"/>
    <w:rsid w:val="00E0048F"/>
    <w:rsid w:val="00E10641"/>
    <w:rsid w:val="00E13530"/>
    <w:rsid w:val="00E17013"/>
    <w:rsid w:val="00E216BB"/>
    <w:rsid w:val="00E2365E"/>
    <w:rsid w:val="00E24BF0"/>
    <w:rsid w:val="00E32DB8"/>
    <w:rsid w:val="00E3574C"/>
    <w:rsid w:val="00E40007"/>
    <w:rsid w:val="00E429E5"/>
    <w:rsid w:val="00E468FA"/>
    <w:rsid w:val="00E520B8"/>
    <w:rsid w:val="00E53426"/>
    <w:rsid w:val="00E53924"/>
    <w:rsid w:val="00E53ED2"/>
    <w:rsid w:val="00E608ED"/>
    <w:rsid w:val="00E612DD"/>
    <w:rsid w:val="00E74001"/>
    <w:rsid w:val="00E74FA6"/>
    <w:rsid w:val="00E84DB9"/>
    <w:rsid w:val="00E8527E"/>
    <w:rsid w:val="00E86297"/>
    <w:rsid w:val="00E863F0"/>
    <w:rsid w:val="00E86C96"/>
    <w:rsid w:val="00E92FA5"/>
    <w:rsid w:val="00E93FB0"/>
    <w:rsid w:val="00E951D8"/>
    <w:rsid w:val="00E955DB"/>
    <w:rsid w:val="00E96DC2"/>
    <w:rsid w:val="00EA141C"/>
    <w:rsid w:val="00EA23AD"/>
    <w:rsid w:val="00EA4F2B"/>
    <w:rsid w:val="00EA7B9E"/>
    <w:rsid w:val="00EB6F7B"/>
    <w:rsid w:val="00EB770E"/>
    <w:rsid w:val="00EC1B40"/>
    <w:rsid w:val="00EC5081"/>
    <w:rsid w:val="00ED0F2A"/>
    <w:rsid w:val="00ED2A13"/>
    <w:rsid w:val="00ED3AC6"/>
    <w:rsid w:val="00ED5C5D"/>
    <w:rsid w:val="00EE28C9"/>
    <w:rsid w:val="00EE32E4"/>
    <w:rsid w:val="00EE4997"/>
    <w:rsid w:val="00EE4DF9"/>
    <w:rsid w:val="00EF47AD"/>
    <w:rsid w:val="00EF5FB1"/>
    <w:rsid w:val="00EF64EA"/>
    <w:rsid w:val="00EF669B"/>
    <w:rsid w:val="00F00303"/>
    <w:rsid w:val="00F03ECD"/>
    <w:rsid w:val="00F04679"/>
    <w:rsid w:val="00F07861"/>
    <w:rsid w:val="00F16C0E"/>
    <w:rsid w:val="00F217F8"/>
    <w:rsid w:val="00F2321F"/>
    <w:rsid w:val="00F25C94"/>
    <w:rsid w:val="00F26015"/>
    <w:rsid w:val="00F2638F"/>
    <w:rsid w:val="00F27164"/>
    <w:rsid w:val="00F33675"/>
    <w:rsid w:val="00F338DA"/>
    <w:rsid w:val="00F370C5"/>
    <w:rsid w:val="00F37CB0"/>
    <w:rsid w:val="00F4019E"/>
    <w:rsid w:val="00F440A5"/>
    <w:rsid w:val="00F47F2C"/>
    <w:rsid w:val="00F51A3A"/>
    <w:rsid w:val="00F51C2E"/>
    <w:rsid w:val="00F5212E"/>
    <w:rsid w:val="00F56C10"/>
    <w:rsid w:val="00F57F01"/>
    <w:rsid w:val="00F62F1B"/>
    <w:rsid w:val="00F656E1"/>
    <w:rsid w:val="00F70A2F"/>
    <w:rsid w:val="00F71F16"/>
    <w:rsid w:val="00F72132"/>
    <w:rsid w:val="00F73F51"/>
    <w:rsid w:val="00F83EE0"/>
    <w:rsid w:val="00F879DE"/>
    <w:rsid w:val="00F913BA"/>
    <w:rsid w:val="00F93E41"/>
    <w:rsid w:val="00F942F1"/>
    <w:rsid w:val="00F97E69"/>
    <w:rsid w:val="00FA10B6"/>
    <w:rsid w:val="00FA3E3E"/>
    <w:rsid w:val="00FA5B67"/>
    <w:rsid w:val="00FA607F"/>
    <w:rsid w:val="00FA798E"/>
    <w:rsid w:val="00FB4015"/>
    <w:rsid w:val="00FB62B6"/>
    <w:rsid w:val="00FB647B"/>
    <w:rsid w:val="00FB6AAD"/>
    <w:rsid w:val="00FC3DF3"/>
    <w:rsid w:val="00FC475D"/>
    <w:rsid w:val="00FC73F4"/>
    <w:rsid w:val="00FD0D9C"/>
    <w:rsid w:val="00FD2775"/>
    <w:rsid w:val="00FD3E32"/>
    <w:rsid w:val="00FD6067"/>
    <w:rsid w:val="00FD683A"/>
    <w:rsid w:val="00FE139C"/>
    <w:rsid w:val="00FE41C8"/>
    <w:rsid w:val="00FE4621"/>
    <w:rsid w:val="00FE4A3C"/>
    <w:rsid w:val="00FE4BC0"/>
    <w:rsid w:val="00FE63DC"/>
    <w:rsid w:val="00FF3D2F"/>
    <w:rsid w:val="00FF42B3"/>
    <w:rsid w:val="00FF527D"/>
    <w:rsid w:val="00FF6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3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 w:type="character" w:styleId="PlaceholderText">
    <w:name w:val="Placeholder Text"/>
    <w:uiPriority w:val="99"/>
    <w:semiHidden/>
    <w:rsid w:val="000D7789"/>
    <w:rPr>
      <w:color w:val="808080"/>
    </w:rPr>
  </w:style>
  <w:style w:type="character" w:customStyle="1" w:styleId="ref-journal">
    <w:name w:val="ref-journal"/>
    <w:basedOn w:val="DefaultParagraphFont"/>
    <w:rsid w:val="000D7789"/>
  </w:style>
  <w:style w:type="character" w:customStyle="1" w:styleId="ref-vol">
    <w:name w:val="ref-vol"/>
    <w:basedOn w:val="DefaultParagraphFont"/>
    <w:rsid w:val="000D7789"/>
  </w:style>
  <w:style w:type="paragraph" w:customStyle="1" w:styleId="Style10">
    <w:name w:val="Style1"/>
    <w:basedOn w:val="Normal"/>
    <w:link w:val="Style1Char"/>
    <w:qFormat/>
    <w:rsid w:val="00F70A2F"/>
    <w:pPr>
      <w:bidi/>
      <w:spacing w:line="276" w:lineRule="auto"/>
      <w:jc w:val="right"/>
    </w:pPr>
    <w:rPr>
      <w:rFonts w:ascii="B Nazanin" w:eastAsia="Calibri" w:hAnsi="B Nazanin" w:cs="B Nazanin"/>
      <w:sz w:val="24"/>
      <w:szCs w:val="24"/>
      <w:lang w:val="en-US" w:eastAsia="en-US" w:bidi="fa-IR"/>
    </w:rPr>
  </w:style>
  <w:style w:type="character" w:customStyle="1" w:styleId="Style1Char">
    <w:name w:val="Style1 Char"/>
    <w:link w:val="Style10"/>
    <w:rsid w:val="00F70A2F"/>
    <w:rPr>
      <w:rFonts w:ascii="B Nazanin" w:eastAsia="Calibri" w:hAnsi="B Nazanin" w:cs="B Nazanin"/>
      <w:sz w:val="24"/>
      <w:szCs w:val="24"/>
      <w:lang w:bidi="fa-IR"/>
    </w:rPr>
  </w:style>
</w:styles>
</file>

<file path=word/webSettings.xml><?xml version="1.0" encoding="utf-8"?>
<w:webSettings xmlns:r="http://schemas.openxmlformats.org/officeDocument/2006/relationships" xmlns:w="http://schemas.openxmlformats.org/wordprocessingml/2006/main">
  <w:divs>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1658077X10000044" TargetMode="Externa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GHOLIPO\data\for%20paper.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GHOLIPO\data\for%20paper.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GHOLIPO\data\for%20paper.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GHOLIPO\data\for%20paper.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GHOLIPO\data\for%20paper.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GHOLIPO\data\for%20paper.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GHOLIPO\data\for%20paper.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D:\GHOLIPO\data\for%20paper.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D:\GHOLIPO\data\for%20paper.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vert="horz"/>
          <a:lstStyle/>
          <a:p>
            <a:pPr>
              <a:defRPr lang="fa-IR" sz="800"/>
            </a:pPr>
            <a:r>
              <a:rPr lang="en-US" sz="800"/>
              <a:t>A</a:t>
            </a:r>
          </a:p>
        </c:rich>
      </c:tx>
      <c:layout>
        <c:manualLayout>
          <c:xMode val="edge"/>
          <c:yMode val="edge"/>
          <c:x val="0.87174954462659493"/>
          <c:y val="0.15520324338817587"/>
        </c:manualLayout>
      </c:layout>
      <c:spPr>
        <a:noFill/>
        <a:ln>
          <a:noFill/>
        </a:ln>
        <a:effectLst/>
      </c:spPr>
    </c:title>
    <c:plotArea>
      <c:layout>
        <c:manualLayout>
          <c:layoutTarget val="inner"/>
          <c:xMode val="edge"/>
          <c:yMode val="edge"/>
          <c:x val="0.15574490740740865"/>
          <c:y val="0.24676009535505344"/>
          <c:w val="0.84137037037037243"/>
          <c:h val="0.64520934883139602"/>
        </c:manualLayout>
      </c:layout>
      <c:barChart>
        <c:barDir val="col"/>
        <c:grouping val="clustered"/>
        <c:ser>
          <c:idx val="0"/>
          <c:order val="0"/>
          <c:tx>
            <c:strRef>
              <c:f>'[for paper.xlsx]Sheet1'!$B$4</c:f>
              <c:strCache>
                <c:ptCount val="1"/>
                <c:pt idx="0">
                  <c:v>inoculation </c:v>
                </c:pt>
              </c:strCache>
            </c:strRef>
          </c:tx>
          <c:spPr>
            <a:pattFill prst="ltHorz">
              <a:fgClr>
                <a:schemeClr val="tx1"/>
              </a:fgClr>
              <a:bgClr>
                <a:schemeClr val="bg1"/>
              </a:bgClr>
            </a:pattFill>
            <a:ln>
              <a:solidFill>
                <a:schemeClr val="tx1"/>
              </a:solidFill>
            </a:ln>
            <a:effectLst/>
          </c:spPr>
          <c:dLbls>
            <c:dLbl>
              <c:idx val="0"/>
              <c:layout>
                <c:manualLayout>
                  <c:x val="0"/>
                  <c:y val="-2.0061936702356651E-2"/>
                </c:manualLayout>
              </c:layout>
              <c:tx>
                <c:rich>
                  <a:bodyPr/>
                  <a:lstStyle/>
                  <a:p>
                    <a:r>
                      <a:rPr lang="en-US"/>
                      <a:t>a</a:t>
                    </a:r>
                  </a:p>
                </c:rich>
              </c:tx>
              <c:dLblPos val="outEnd"/>
              <c:showVal val="1"/>
              <c:extLst>
                <c:ext xmlns:c15="http://schemas.microsoft.com/office/drawing/2012/chart" uri="{CE6537A1-D6FC-4f65-9D91-7224C49458BB}"/>
              </c:extLst>
            </c:dLbl>
            <c:dLbl>
              <c:idx val="1"/>
              <c:layout>
                <c:manualLayout>
                  <c:x val="0"/>
                  <c:y val="-2.7116610423697042E-2"/>
                </c:manualLayout>
              </c:layout>
              <c:tx>
                <c:rich>
                  <a:bodyPr/>
                  <a:lstStyle/>
                  <a:p>
                    <a:r>
                      <a:rPr lang="en-US"/>
                      <a:t>d</a:t>
                    </a:r>
                  </a:p>
                </c:rich>
              </c:tx>
              <c:dLblPos val="outEnd"/>
              <c:showVal val="1"/>
              <c:extLst>
                <c:ext xmlns:c15="http://schemas.microsoft.com/office/drawing/2012/chart" uri="{CE6537A1-D6FC-4f65-9D91-7224C49458BB}"/>
              </c:extLst>
            </c:dLbl>
            <c:dLbl>
              <c:idx val="2"/>
              <c:layout>
                <c:manualLayout>
                  <c:x val="1.0768353331893729E-16"/>
                  <c:y val="-1.9841408712799932E-2"/>
                </c:manualLayout>
              </c:layout>
              <c:tx>
                <c:rich>
                  <a:bodyPr/>
                  <a:lstStyle/>
                  <a:p>
                    <a:r>
                      <a:rPr lang="en-US"/>
                      <a:t>c</a:t>
                    </a:r>
                  </a:p>
                </c:rich>
              </c:tx>
              <c:dLblPos val="outEnd"/>
              <c:showVal val="1"/>
              <c:extLst>
                <c:ext xmlns:c15="http://schemas.microsoft.com/office/drawing/2012/chart" uri="{CE6537A1-D6FC-4f65-9D91-7224C49458BB}"/>
              </c:extLst>
            </c:dLbl>
            <c:spPr>
              <a:noFill/>
              <a:ln>
                <a:noFill/>
              </a:ln>
              <a:effectLst/>
            </c:spPr>
            <c:txPr>
              <a:bodyPr rot="0" vert="horz"/>
              <a:lstStyle/>
              <a:p>
                <a:pPr>
                  <a:defRPr lang="fa-I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paper.xlsx]Sheet1'!$A$5:$A$7</c:f>
              <c:strCache>
                <c:ptCount val="3"/>
                <c:pt idx="0">
                  <c:v>Zn1</c:v>
                </c:pt>
                <c:pt idx="1">
                  <c:v>Zn2</c:v>
                </c:pt>
                <c:pt idx="2">
                  <c:v>Zn3</c:v>
                </c:pt>
              </c:strCache>
            </c:strRef>
          </c:cat>
          <c:val>
            <c:numRef>
              <c:f>'[for paper.xlsx]Sheet1'!$B$5:$B$7</c:f>
              <c:numCache>
                <c:formatCode>General</c:formatCode>
                <c:ptCount val="3"/>
                <c:pt idx="0">
                  <c:v>8.3860000000000028</c:v>
                </c:pt>
                <c:pt idx="1">
                  <c:v>4.75</c:v>
                </c:pt>
                <c:pt idx="2">
                  <c:v>6.1099999999999985</c:v>
                </c:pt>
              </c:numCache>
            </c:numRef>
          </c:val>
        </c:ser>
        <c:ser>
          <c:idx val="1"/>
          <c:order val="1"/>
          <c:tx>
            <c:strRef>
              <c:f>'[for paper.xlsx]Sheet1'!$C$4</c:f>
              <c:strCache>
                <c:ptCount val="1"/>
                <c:pt idx="0">
                  <c:v>non-inoculation </c:v>
                </c:pt>
              </c:strCache>
            </c:strRef>
          </c:tx>
          <c:spPr>
            <a:pattFill prst="lgCheck">
              <a:fgClr>
                <a:schemeClr val="tx1"/>
              </a:fgClr>
              <a:bgClr>
                <a:schemeClr val="bg1"/>
              </a:bgClr>
            </a:pattFill>
            <a:ln>
              <a:solidFill>
                <a:schemeClr val="tx1"/>
              </a:solidFill>
            </a:ln>
            <a:effectLst/>
          </c:spPr>
          <c:dLbls>
            <c:dLbl>
              <c:idx val="0"/>
              <c:layout>
                <c:manualLayout>
                  <c:x val="-4.5604779969027601E-17"/>
                  <c:y val="-4.1666666666666664E-2"/>
                </c:manualLayout>
              </c:layout>
              <c:tx>
                <c:rich>
                  <a:bodyPr/>
                  <a:lstStyle/>
                  <a:p>
                    <a:r>
                      <a:rPr lang="en-US"/>
                      <a:t>b</a:t>
                    </a:r>
                  </a:p>
                </c:rich>
              </c:tx>
              <c:showVal val="1"/>
              <c:extLst>
                <c:ext xmlns:c15="http://schemas.microsoft.com/office/drawing/2012/chart" uri="{CE6537A1-D6FC-4f65-9D91-7224C49458BB}"/>
              </c:extLst>
            </c:dLbl>
            <c:dLbl>
              <c:idx val="1"/>
              <c:layout>
                <c:manualLayout>
                  <c:x val="0"/>
                  <c:y val="-2.3148148148148147E-2"/>
                </c:manualLayout>
              </c:layout>
              <c:tx>
                <c:rich>
                  <a:bodyPr/>
                  <a:lstStyle/>
                  <a:p>
                    <a:r>
                      <a:rPr lang="en-US"/>
                      <a:t>c</a:t>
                    </a:r>
                  </a:p>
                </c:rich>
              </c:tx>
              <c:showVal val="1"/>
              <c:extLst>
                <c:ext xmlns:c15="http://schemas.microsoft.com/office/drawing/2012/chart" uri="{CE6537A1-D6FC-4f65-9D91-7224C49458BB}"/>
              </c:extLst>
            </c:dLbl>
            <c:dLbl>
              <c:idx val="2"/>
              <c:layout>
                <c:manualLayout>
                  <c:x val="0"/>
                  <c:y val="-4.1666666666666713E-2"/>
                </c:manualLayout>
              </c:layout>
              <c:tx>
                <c:rich>
                  <a:bodyPr/>
                  <a:lstStyle/>
                  <a:p>
                    <a:r>
                      <a:rPr lang="en-US"/>
                      <a:t>c</a:t>
                    </a:r>
                  </a:p>
                </c:rich>
              </c:tx>
              <c:showVal val="1"/>
              <c:extLst>
                <c:ext xmlns:c15="http://schemas.microsoft.com/office/drawing/2012/chart" uri="{CE6537A1-D6FC-4f65-9D91-7224C49458BB}"/>
              </c:extLst>
            </c:dLbl>
            <c:spPr>
              <a:noFill/>
              <a:ln>
                <a:noFill/>
              </a:ln>
              <a:effectLst/>
            </c:spPr>
            <c:txPr>
              <a:bodyPr rot="0" vert="horz"/>
              <a:lstStyle/>
              <a:p>
                <a:pPr>
                  <a:defRPr lang="fa-IR"/>
                </a:pPr>
                <a:endParaRPr lang="en-US"/>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paper.xlsx]Sheet1'!$A$5:$A$7</c:f>
              <c:strCache>
                <c:ptCount val="3"/>
                <c:pt idx="0">
                  <c:v>Zn1</c:v>
                </c:pt>
                <c:pt idx="1">
                  <c:v>Zn2</c:v>
                </c:pt>
                <c:pt idx="2">
                  <c:v>Zn3</c:v>
                </c:pt>
              </c:strCache>
            </c:strRef>
          </c:cat>
          <c:val>
            <c:numRef>
              <c:f>'[for paper.xlsx]Sheet1'!$C$5:$C$7</c:f>
              <c:numCache>
                <c:formatCode>General</c:formatCode>
                <c:ptCount val="3"/>
                <c:pt idx="0">
                  <c:v>7.37</c:v>
                </c:pt>
                <c:pt idx="1">
                  <c:v>6.08</c:v>
                </c:pt>
                <c:pt idx="2">
                  <c:v>5.8</c:v>
                </c:pt>
              </c:numCache>
            </c:numRef>
          </c:val>
        </c:ser>
        <c:gapWidth val="219"/>
        <c:overlap val="-27"/>
        <c:axId val="178799360"/>
        <c:axId val="178802048"/>
      </c:barChart>
      <c:catAx>
        <c:axId val="178799360"/>
        <c:scaling>
          <c:orientation val="minMax"/>
        </c:scaling>
        <c:axPos val="b"/>
        <c:numFmt formatCode="General" sourceLinked="1"/>
        <c:tickLblPos val="nextTo"/>
        <c:spPr>
          <a:noFill/>
          <a:ln w="9525" cap="flat" cmpd="sng" algn="ctr">
            <a:solidFill>
              <a:schemeClr val="tx1"/>
            </a:solidFill>
            <a:round/>
          </a:ln>
          <a:effectLst/>
        </c:spPr>
        <c:txPr>
          <a:bodyPr rot="-60000000" vert="horz"/>
          <a:lstStyle/>
          <a:p>
            <a:pPr>
              <a:defRPr lang="fa-IR"/>
            </a:pPr>
            <a:endParaRPr lang="en-US"/>
          </a:p>
        </c:txPr>
        <c:crossAx val="178802048"/>
        <c:crosses val="autoZero"/>
        <c:auto val="1"/>
        <c:lblAlgn val="ctr"/>
        <c:lblOffset val="100"/>
      </c:catAx>
      <c:valAx>
        <c:axId val="178802048"/>
        <c:scaling>
          <c:orientation val="minMax"/>
        </c:scaling>
        <c:axPos val="l"/>
        <c:title>
          <c:tx>
            <c:rich>
              <a:bodyPr rot="-5400000" vert="horz"/>
              <a:lstStyle/>
              <a:p>
                <a:pPr>
                  <a:defRPr lang="fa-IR" b="0"/>
                </a:pPr>
                <a:r>
                  <a:rPr lang="en-US" b="0"/>
                  <a:t>Grain yield (ton/ha)</a:t>
                </a:r>
              </a:p>
            </c:rich>
          </c:tx>
          <c:spPr>
            <a:noFill/>
            <a:ln>
              <a:noFill/>
            </a:ln>
            <a:effectLst/>
          </c:spPr>
        </c:title>
        <c:numFmt formatCode="General" sourceLinked="1"/>
        <c:tickLblPos val="nextTo"/>
        <c:spPr>
          <a:noFill/>
          <a:ln>
            <a:solidFill>
              <a:schemeClr val="tx1"/>
            </a:solidFill>
          </a:ln>
          <a:effectLst/>
        </c:spPr>
        <c:txPr>
          <a:bodyPr rot="-60000000" vert="horz"/>
          <a:lstStyle/>
          <a:p>
            <a:pPr>
              <a:defRPr lang="fa-IR"/>
            </a:pPr>
            <a:endParaRPr lang="en-US"/>
          </a:p>
        </c:txPr>
        <c:crossAx val="178799360"/>
        <c:crosses val="autoZero"/>
        <c:crossBetween val="between"/>
      </c:valAx>
      <c:spPr>
        <a:noFill/>
        <a:ln>
          <a:noFill/>
        </a:ln>
        <a:effectLst/>
      </c:spPr>
    </c:plotArea>
    <c:legend>
      <c:legendPos val="r"/>
      <c:layout>
        <c:manualLayout>
          <c:xMode val="edge"/>
          <c:yMode val="edge"/>
          <c:x val="0.16340346083788729"/>
          <c:y val="7.9671500621772681E-2"/>
          <c:w val="0.71590648148148162"/>
          <c:h val="7.4720555555555554E-2"/>
        </c:manualLayout>
      </c:layout>
      <c:spPr>
        <a:noFill/>
        <a:ln>
          <a:noFill/>
        </a:ln>
        <a:effectLst/>
      </c:spPr>
      <c:txPr>
        <a:bodyPr rot="0" vert="horz"/>
        <a:lstStyle/>
        <a:p>
          <a:pPr>
            <a:defRPr lang="fa-IR"/>
          </a:pPr>
          <a:endParaRPr lang="en-US"/>
        </a:p>
      </c:txPr>
    </c:legend>
    <c:plotVisOnly val="1"/>
    <c:dispBlanksAs val="gap"/>
  </c:chart>
  <c:spPr>
    <a:solidFill>
      <a:schemeClr val="bg1"/>
    </a:solidFill>
    <a:ln w="9525" cap="flat" cmpd="sng" algn="ctr">
      <a:noFill/>
      <a:round/>
    </a:ln>
    <a:effectLst/>
  </c:spPr>
  <c:txPr>
    <a:bodyPr/>
    <a:lstStyle/>
    <a:p>
      <a:pPr>
        <a:defRPr sz="800" baseline="0">
          <a:solidFill>
            <a:schemeClr val="tx1"/>
          </a:solidFill>
          <a:latin typeface="Times New Roman" panose="02020603050405020304" pitchFamily="18" charset="0"/>
          <a:cs typeface="Times New Roman" panose="02020603050405020304" pitchFamily="18" charset="0"/>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vert="horz"/>
          <a:lstStyle/>
          <a:p>
            <a:pPr>
              <a:defRPr lang="fa-IR" sz="800"/>
            </a:pPr>
            <a:r>
              <a:rPr lang="en-US" sz="800"/>
              <a:t>B</a:t>
            </a:r>
          </a:p>
        </c:rich>
      </c:tx>
      <c:layout>
        <c:manualLayout>
          <c:xMode val="edge"/>
          <c:yMode val="edge"/>
          <c:x val="0.88198390277457173"/>
          <c:y val="0.15469583333333356"/>
        </c:manualLayout>
      </c:layout>
      <c:spPr>
        <a:noFill/>
        <a:ln>
          <a:noFill/>
        </a:ln>
        <a:effectLst/>
      </c:spPr>
    </c:title>
    <c:plotArea>
      <c:layout>
        <c:manualLayout>
          <c:layoutTarget val="inner"/>
          <c:xMode val="edge"/>
          <c:yMode val="edge"/>
          <c:x val="0.15590504658114249"/>
          <c:y val="0.25009283955825584"/>
          <c:w val="0.84409475726854"/>
          <c:h val="0.63954727881237061"/>
        </c:manualLayout>
      </c:layout>
      <c:barChart>
        <c:barDir val="col"/>
        <c:grouping val="clustered"/>
        <c:ser>
          <c:idx val="0"/>
          <c:order val="0"/>
          <c:tx>
            <c:strRef>
              <c:f>'[for paper.xlsx]Sheet1'!$B$29</c:f>
              <c:strCache>
                <c:ptCount val="1"/>
                <c:pt idx="0">
                  <c:v>inoculation </c:v>
                </c:pt>
              </c:strCache>
            </c:strRef>
          </c:tx>
          <c:spPr>
            <a:pattFill prst="ltHorz">
              <a:fgClr>
                <a:schemeClr val="tx1"/>
              </a:fgClr>
              <a:bgClr>
                <a:schemeClr val="bg1"/>
              </a:bgClr>
            </a:pattFill>
            <a:ln>
              <a:solidFill>
                <a:schemeClr val="tx1"/>
              </a:solidFill>
            </a:ln>
            <a:effectLst/>
          </c:spPr>
          <c:dLbls>
            <c:dLbl>
              <c:idx val="0"/>
              <c:layout>
                <c:manualLayout>
                  <c:x val="0"/>
                  <c:y val="-4.8661800486618015E-2"/>
                </c:manualLayout>
              </c:layout>
              <c:tx>
                <c:rich>
                  <a:bodyPr/>
                  <a:lstStyle/>
                  <a:p>
                    <a:r>
                      <a:rPr lang="en-US"/>
                      <a:t>a</a:t>
                    </a:r>
                  </a:p>
                </c:rich>
              </c:tx>
              <c:dLblPos val="outEnd"/>
              <c:showVal val="1"/>
              <c:extLst>
                <c:ext xmlns:c15="http://schemas.microsoft.com/office/drawing/2012/chart" uri="{CE6537A1-D6FC-4f65-9D91-7224C49458BB}"/>
              </c:extLst>
            </c:dLbl>
            <c:dLbl>
              <c:idx val="1"/>
              <c:layout>
                <c:manualLayout>
                  <c:x val="0"/>
                  <c:y val="-3.0175672485384039E-2"/>
                </c:manualLayout>
              </c:layout>
              <c:tx>
                <c:rich>
                  <a:bodyPr/>
                  <a:lstStyle/>
                  <a:p>
                    <a:r>
                      <a:rPr lang="en-US"/>
                      <a:t>c</a:t>
                    </a:r>
                  </a:p>
                </c:rich>
              </c:tx>
              <c:dLblPos val="outEnd"/>
              <c:showVal val="1"/>
              <c:extLst>
                <c:ext xmlns:c15="http://schemas.microsoft.com/office/drawing/2012/chart" uri="{CE6537A1-D6FC-4f65-9D91-7224C49458BB}"/>
              </c:extLst>
            </c:dLbl>
            <c:dLbl>
              <c:idx val="2"/>
              <c:layout>
                <c:manualLayout>
                  <c:x val="0"/>
                  <c:y val="-4.3795620437956519E-2"/>
                </c:manualLayout>
              </c:layout>
              <c:tx>
                <c:rich>
                  <a:bodyPr/>
                  <a:lstStyle/>
                  <a:p>
                    <a:r>
                      <a:rPr lang="en-US"/>
                      <a:t>c</a:t>
                    </a:r>
                  </a:p>
                </c:rich>
              </c:tx>
              <c:dLblPos val="outEnd"/>
              <c:showVal val="1"/>
              <c:extLst>
                <c:ext xmlns:c15="http://schemas.microsoft.com/office/drawing/2012/chart" uri="{CE6537A1-D6FC-4f65-9D91-7224C49458BB}"/>
              </c:extLst>
            </c:dLbl>
            <c:spPr>
              <a:noFill/>
              <a:ln>
                <a:noFill/>
              </a:ln>
              <a:effectLst/>
            </c:spPr>
            <c:txPr>
              <a:bodyPr rot="0" vert="horz"/>
              <a:lstStyle/>
              <a:p>
                <a:pPr>
                  <a:defRPr lang="fa-I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paper.xlsx]Sheet1'!$A$30:$A$32</c:f>
              <c:strCache>
                <c:ptCount val="3"/>
                <c:pt idx="0">
                  <c:v>Zn1</c:v>
                </c:pt>
                <c:pt idx="1">
                  <c:v>Zn2</c:v>
                </c:pt>
                <c:pt idx="2">
                  <c:v>Zn3</c:v>
                </c:pt>
              </c:strCache>
            </c:strRef>
          </c:cat>
          <c:val>
            <c:numRef>
              <c:f>'[for paper.xlsx]Sheet1'!$B$30:$B$32</c:f>
              <c:numCache>
                <c:formatCode>General</c:formatCode>
                <c:ptCount val="3"/>
                <c:pt idx="0">
                  <c:v>9.3860000000000028</c:v>
                </c:pt>
                <c:pt idx="1">
                  <c:v>6.42</c:v>
                </c:pt>
                <c:pt idx="2">
                  <c:v>6.64</c:v>
                </c:pt>
              </c:numCache>
            </c:numRef>
          </c:val>
        </c:ser>
        <c:ser>
          <c:idx val="1"/>
          <c:order val="1"/>
          <c:tx>
            <c:strRef>
              <c:f>'[for paper.xlsx]Sheet1'!$C$29</c:f>
              <c:strCache>
                <c:ptCount val="1"/>
                <c:pt idx="0">
                  <c:v>non-inoculation </c:v>
                </c:pt>
              </c:strCache>
            </c:strRef>
          </c:tx>
          <c:spPr>
            <a:pattFill prst="lgCheck">
              <a:fgClr>
                <a:schemeClr val="tx1"/>
              </a:fgClr>
              <a:bgClr>
                <a:schemeClr val="bg1"/>
              </a:bgClr>
            </a:pattFill>
            <a:ln>
              <a:solidFill>
                <a:schemeClr val="tx1"/>
              </a:solidFill>
            </a:ln>
            <a:effectLst/>
          </c:spPr>
          <c:dLbls>
            <c:dLbl>
              <c:idx val="0"/>
              <c:layout>
                <c:manualLayout>
                  <c:x val="-2.4875621890547272E-3"/>
                  <c:y val="-6.8126520681265235E-2"/>
                </c:manualLayout>
              </c:layout>
              <c:tx>
                <c:rich>
                  <a:bodyPr/>
                  <a:lstStyle/>
                  <a:p>
                    <a:r>
                      <a:rPr lang="en-US"/>
                      <a:t>b</a:t>
                    </a:r>
                  </a:p>
                </c:rich>
              </c:tx>
              <c:dLblPos val="outEnd"/>
              <c:showVal val="1"/>
              <c:extLst>
                <c:ext xmlns:c15="http://schemas.microsoft.com/office/drawing/2012/chart" uri="{CE6537A1-D6FC-4f65-9D91-7224C49458BB}"/>
              </c:extLst>
            </c:dLbl>
            <c:dLbl>
              <c:idx val="1"/>
              <c:layout>
                <c:manualLayout>
                  <c:x val="5.9259259259259274E-3"/>
                  <c:y val="-2.0443000180532956E-2"/>
                </c:manualLayout>
              </c:layout>
              <c:tx>
                <c:rich>
                  <a:bodyPr/>
                  <a:lstStyle/>
                  <a:p>
                    <a:r>
                      <a:rPr lang="en-US"/>
                      <a:t>b</a:t>
                    </a:r>
                  </a:p>
                </c:rich>
              </c:tx>
              <c:dLblPos val="outEnd"/>
              <c:showVal val="1"/>
              <c:extLst>
                <c:ext xmlns:c15="http://schemas.microsoft.com/office/drawing/2012/chart" uri="{CE6537A1-D6FC-4f65-9D91-7224C49458BB}"/>
              </c:extLst>
            </c:dLbl>
            <c:dLbl>
              <c:idx val="2"/>
              <c:layout>
                <c:manualLayout>
                  <c:x val="-1.8241911987611045E-16"/>
                  <c:y val="-5.8394160583941798E-2"/>
                </c:manualLayout>
              </c:layout>
              <c:tx>
                <c:rich>
                  <a:bodyPr/>
                  <a:lstStyle/>
                  <a:p>
                    <a:r>
                      <a:rPr lang="en-US"/>
                      <a:t>c</a:t>
                    </a:r>
                  </a:p>
                </c:rich>
              </c:tx>
              <c:dLblPos val="outEnd"/>
              <c:showVal val="1"/>
              <c:extLst>
                <c:ext xmlns:c15="http://schemas.microsoft.com/office/drawing/2012/chart" uri="{CE6537A1-D6FC-4f65-9D91-7224C49458BB}"/>
              </c:extLst>
            </c:dLbl>
            <c:spPr>
              <a:noFill/>
              <a:ln>
                <a:noFill/>
              </a:ln>
              <a:effectLst/>
            </c:spPr>
            <c:txPr>
              <a:bodyPr rot="0" vert="horz"/>
              <a:lstStyle/>
              <a:p>
                <a:pPr>
                  <a:defRPr lang="fa-I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paper.xlsx]Sheet1'!$A$30:$A$32</c:f>
              <c:strCache>
                <c:ptCount val="3"/>
                <c:pt idx="0">
                  <c:v>Zn1</c:v>
                </c:pt>
                <c:pt idx="1">
                  <c:v>Zn2</c:v>
                </c:pt>
                <c:pt idx="2">
                  <c:v>Zn3</c:v>
                </c:pt>
              </c:strCache>
            </c:strRef>
          </c:cat>
          <c:val>
            <c:numRef>
              <c:f>'[for paper.xlsx]Sheet1'!$C$30:$C$32</c:f>
              <c:numCache>
                <c:formatCode>General</c:formatCode>
                <c:ptCount val="3"/>
                <c:pt idx="0">
                  <c:v>8.39</c:v>
                </c:pt>
                <c:pt idx="1">
                  <c:v>8.2000000000000011</c:v>
                </c:pt>
                <c:pt idx="2">
                  <c:v>6.13</c:v>
                </c:pt>
              </c:numCache>
            </c:numRef>
          </c:val>
        </c:ser>
        <c:dLbls>
          <c:showVal val="1"/>
        </c:dLbls>
        <c:gapWidth val="219"/>
        <c:overlap val="-27"/>
        <c:axId val="179185152"/>
        <c:axId val="179620096"/>
      </c:barChart>
      <c:catAx>
        <c:axId val="179185152"/>
        <c:scaling>
          <c:orientation val="minMax"/>
        </c:scaling>
        <c:axPos val="b"/>
        <c:numFmt formatCode="General" sourceLinked="1"/>
        <c:tickLblPos val="nextTo"/>
        <c:spPr>
          <a:noFill/>
          <a:ln w="9525" cap="flat" cmpd="sng" algn="ctr">
            <a:solidFill>
              <a:schemeClr val="tx1"/>
            </a:solidFill>
            <a:round/>
          </a:ln>
          <a:effectLst/>
        </c:spPr>
        <c:txPr>
          <a:bodyPr rot="-60000000" vert="horz"/>
          <a:lstStyle/>
          <a:p>
            <a:pPr>
              <a:defRPr lang="fa-IR"/>
            </a:pPr>
            <a:endParaRPr lang="en-US"/>
          </a:p>
        </c:txPr>
        <c:crossAx val="179620096"/>
        <c:crosses val="autoZero"/>
        <c:auto val="1"/>
        <c:lblAlgn val="ctr"/>
        <c:lblOffset val="100"/>
      </c:catAx>
      <c:valAx>
        <c:axId val="179620096"/>
        <c:scaling>
          <c:orientation val="minMax"/>
        </c:scaling>
        <c:axPos val="l"/>
        <c:title>
          <c:tx>
            <c:rich>
              <a:bodyPr rot="-5400000" vert="horz"/>
              <a:lstStyle/>
              <a:p>
                <a:pPr>
                  <a:defRPr lang="fa-IR" b="0"/>
                </a:pPr>
                <a:r>
                  <a:rPr lang="en-US" b="0"/>
                  <a:t>Grain yield (ton/ha) </a:t>
                </a:r>
              </a:p>
            </c:rich>
          </c:tx>
          <c:layout>
            <c:manualLayout>
              <c:xMode val="edge"/>
              <c:yMode val="edge"/>
              <c:x val="2.9769612131816858E-4"/>
              <c:y val="0.30285398340733188"/>
            </c:manualLayout>
          </c:layout>
          <c:spPr>
            <a:noFill/>
            <a:ln>
              <a:noFill/>
            </a:ln>
            <a:effectLst/>
          </c:spPr>
        </c:title>
        <c:numFmt formatCode="General" sourceLinked="0"/>
        <c:tickLblPos val="nextTo"/>
        <c:spPr>
          <a:noFill/>
          <a:ln>
            <a:solidFill>
              <a:schemeClr val="tx1"/>
            </a:solidFill>
          </a:ln>
          <a:effectLst/>
        </c:spPr>
        <c:txPr>
          <a:bodyPr rot="-60000000" vert="horz"/>
          <a:lstStyle/>
          <a:p>
            <a:pPr>
              <a:defRPr lang="fa-IR"/>
            </a:pPr>
            <a:endParaRPr lang="en-US"/>
          </a:p>
        </c:txPr>
        <c:crossAx val="179185152"/>
        <c:crosses val="autoZero"/>
        <c:crossBetween val="between"/>
      </c:valAx>
      <c:spPr>
        <a:noFill/>
        <a:ln>
          <a:noFill/>
        </a:ln>
        <a:effectLst/>
      </c:spPr>
    </c:plotArea>
    <c:legend>
      <c:legendPos val="b"/>
      <c:layout>
        <c:manualLayout>
          <c:xMode val="edge"/>
          <c:yMode val="edge"/>
          <c:x val="0.18397734416597047"/>
          <c:y val="6.4675925925925928E-2"/>
          <c:w val="0.71527361111111165"/>
          <c:h val="0.11649333333333339"/>
        </c:manualLayout>
      </c:layout>
      <c:spPr>
        <a:noFill/>
        <a:ln>
          <a:noFill/>
        </a:ln>
        <a:effectLst/>
      </c:spPr>
      <c:txPr>
        <a:bodyPr rot="0" vert="horz"/>
        <a:lstStyle/>
        <a:p>
          <a:pPr>
            <a:defRPr lang="fa-IR"/>
          </a:pPr>
          <a:endParaRPr lang="en-US"/>
        </a:p>
      </c:txPr>
    </c:legend>
    <c:plotVisOnly val="1"/>
    <c:dispBlanksAs val="gap"/>
  </c:chart>
  <c:spPr>
    <a:solidFill>
      <a:schemeClr val="bg1"/>
    </a:solidFill>
    <a:ln w="9525" cap="flat" cmpd="sng" algn="ctr">
      <a:noFill/>
      <a:round/>
    </a:ln>
    <a:effectLst/>
  </c:spPr>
  <c:txPr>
    <a:bodyPr/>
    <a:lstStyle/>
    <a:p>
      <a:pPr>
        <a:defRPr sz="800" baseline="0">
          <a:solidFill>
            <a:schemeClr val="tx1"/>
          </a:solidFill>
          <a:latin typeface="Times New Roman" panose="02020603050405020304" pitchFamily="18" charset="0"/>
          <a:cs typeface="Times New Roman" panose="02020603050405020304" pitchFamily="18" charset="0"/>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vert="horz"/>
          <a:lstStyle/>
          <a:p>
            <a:pPr>
              <a:defRPr lang="fa-IR" sz="800"/>
            </a:pPr>
            <a:r>
              <a:rPr lang="en-US" sz="800"/>
              <a:t>C</a:t>
            </a:r>
          </a:p>
        </c:rich>
      </c:tx>
      <c:layout>
        <c:manualLayout>
          <c:xMode val="edge"/>
          <c:yMode val="edge"/>
          <c:x val="0.84285449735449902"/>
          <c:y val="0.15285381028575187"/>
        </c:manualLayout>
      </c:layout>
      <c:spPr>
        <a:noFill/>
        <a:ln>
          <a:noFill/>
        </a:ln>
        <a:effectLst/>
      </c:spPr>
    </c:title>
    <c:plotArea>
      <c:layout>
        <c:manualLayout>
          <c:layoutTarget val="inner"/>
          <c:xMode val="edge"/>
          <c:yMode val="edge"/>
          <c:x val="0.15576057991280934"/>
          <c:y val="0.21468778999661034"/>
          <c:w val="0.8169158370622176"/>
          <c:h val="0.67865572359011173"/>
        </c:manualLayout>
      </c:layout>
      <c:barChart>
        <c:barDir val="col"/>
        <c:grouping val="clustered"/>
        <c:ser>
          <c:idx val="0"/>
          <c:order val="0"/>
          <c:tx>
            <c:strRef>
              <c:f>'[for paper.xlsx]Sheet1'!$B$54</c:f>
              <c:strCache>
                <c:ptCount val="1"/>
                <c:pt idx="0">
                  <c:v>inoculation </c:v>
                </c:pt>
              </c:strCache>
            </c:strRef>
          </c:tx>
          <c:spPr>
            <a:pattFill prst="ltHorz">
              <a:fgClr>
                <a:schemeClr val="tx1"/>
              </a:fgClr>
              <a:bgClr>
                <a:schemeClr val="bg1"/>
              </a:bgClr>
            </a:pattFill>
            <a:ln>
              <a:solidFill>
                <a:schemeClr val="tx1"/>
              </a:solidFill>
            </a:ln>
            <a:effectLst/>
          </c:spPr>
          <c:dLbls>
            <c:dLbl>
              <c:idx val="0"/>
              <c:layout>
                <c:manualLayout>
                  <c:x val="0"/>
                  <c:y val="-2.3148148148148147E-2"/>
                </c:manualLayout>
              </c:layout>
              <c:tx>
                <c:rich>
                  <a:bodyPr/>
                  <a:lstStyle/>
                  <a:p>
                    <a:r>
                      <a:rPr lang="en-US"/>
                      <a:t>b</a:t>
                    </a:r>
                  </a:p>
                </c:rich>
              </c:tx>
              <c:dLblPos val="outEnd"/>
              <c:showVal val="1"/>
              <c:extLst>
                <c:ext xmlns:c15="http://schemas.microsoft.com/office/drawing/2012/chart" uri="{CE6537A1-D6FC-4f65-9D91-7224C49458BB}"/>
              </c:extLst>
            </c:dLbl>
            <c:dLbl>
              <c:idx val="1"/>
              <c:layout>
                <c:manualLayout>
                  <c:x val="-9.1209559938055018E-17"/>
                  <c:y val="-1.8518518518518583E-2"/>
                </c:manualLayout>
              </c:layout>
              <c:tx>
                <c:rich>
                  <a:bodyPr/>
                  <a:lstStyle/>
                  <a:p>
                    <a:r>
                      <a:rPr lang="en-US"/>
                      <a:t>b</a:t>
                    </a:r>
                  </a:p>
                </c:rich>
              </c:tx>
              <c:dLblPos val="outEnd"/>
              <c:showVal val="1"/>
              <c:extLst>
                <c:ext xmlns:c15="http://schemas.microsoft.com/office/drawing/2012/chart" uri="{CE6537A1-D6FC-4f65-9D91-7224C49458BB}"/>
              </c:extLst>
            </c:dLbl>
            <c:dLbl>
              <c:idx val="2"/>
              <c:layout>
                <c:manualLayout>
                  <c:x val="-9.1209559938055018E-17"/>
                  <c:y val="-4.1666666666666692E-2"/>
                </c:manualLayout>
              </c:layout>
              <c:tx>
                <c:rich>
                  <a:bodyPr/>
                  <a:lstStyle/>
                  <a:p>
                    <a:r>
                      <a:rPr lang="en-US"/>
                      <a:t>c</a:t>
                    </a:r>
                  </a:p>
                </c:rich>
              </c:tx>
              <c:dLblPos val="outEnd"/>
              <c:showVal val="1"/>
              <c:extLst>
                <c:ext xmlns:c15="http://schemas.microsoft.com/office/drawing/2012/chart" uri="{CE6537A1-D6FC-4f65-9D91-7224C49458BB}"/>
              </c:extLst>
            </c:dLbl>
            <c:spPr>
              <a:noFill/>
              <a:ln>
                <a:noFill/>
              </a:ln>
              <a:effectLst/>
            </c:spPr>
            <c:txPr>
              <a:bodyPr rot="0" vert="horz"/>
              <a:lstStyle/>
              <a:p>
                <a:pPr>
                  <a:defRPr lang="fa-I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paper.xlsx]Sheet1'!$A$55:$A$57</c:f>
              <c:strCache>
                <c:ptCount val="3"/>
                <c:pt idx="0">
                  <c:v>Zn1</c:v>
                </c:pt>
                <c:pt idx="1">
                  <c:v>Zn2</c:v>
                </c:pt>
                <c:pt idx="2">
                  <c:v>Zn3</c:v>
                </c:pt>
              </c:strCache>
            </c:strRef>
          </c:cat>
          <c:val>
            <c:numRef>
              <c:f>'[for paper.xlsx]Sheet1'!$B$55:$B$57</c:f>
              <c:numCache>
                <c:formatCode>General</c:formatCode>
                <c:ptCount val="3"/>
                <c:pt idx="0">
                  <c:v>9.3460000000000001</c:v>
                </c:pt>
                <c:pt idx="1">
                  <c:v>9.4500000000000028</c:v>
                </c:pt>
                <c:pt idx="2">
                  <c:v>7.79</c:v>
                </c:pt>
              </c:numCache>
            </c:numRef>
          </c:val>
        </c:ser>
        <c:ser>
          <c:idx val="1"/>
          <c:order val="1"/>
          <c:tx>
            <c:strRef>
              <c:f>'[for paper.xlsx]Sheet1'!$C$54</c:f>
              <c:strCache>
                <c:ptCount val="1"/>
                <c:pt idx="0">
                  <c:v>non-inoculation </c:v>
                </c:pt>
              </c:strCache>
            </c:strRef>
          </c:tx>
          <c:spPr>
            <a:pattFill prst="lgCheck">
              <a:fgClr>
                <a:schemeClr val="tx1"/>
              </a:fgClr>
              <a:bgClr>
                <a:schemeClr val="bg1"/>
              </a:bgClr>
            </a:pattFill>
            <a:ln>
              <a:solidFill>
                <a:schemeClr val="tx1"/>
              </a:solidFill>
            </a:ln>
            <a:effectLst/>
          </c:spPr>
          <c:dLbls>
            <c:dLbl>
              <c:idx val="0"/>
              <c:layout>
                <c:manualLayout>
                  <c:x val="-2.4875621890547272E-3"/>
                  <c:y val="-2.7777777777777991E-2"/>
                </c:manualLayout>
              </c:layout>
              <c:tx>
                <c:rich>
                  <a:bodyPr/>
                  <a:lstStyle/>
                  <a:p>
                    <a:r>
                      <a:rPr lang="en-US"/>
                      <a:t>a</a:t>
                    </a:r>
                  </a:p>
                </c:rich>
              </c:tx>
              <c:dLblPos val="outEnd"/>
              <c:showVal val="1"/>
              <c:extLst>
                <c:ext xmlns:c15="http://schemas.microsoft.com/office/drawing/2012/chart" uri="{CE6537A1-D6FC-4f65-9D91-7224C49458BB}"/>
              </c:extLst>
            </c:dLbl>
            <c:dLbl>
              <c:idx val="1"/>
              <c:layout>
                <c:manualLayout>
                  <c:x val="-9.1209559938055018E-17"/>
                  <c:y val="-2.7777777777778012E-2"/>
                </c:manualLayout>
              </c:layout>
              <c:tx>
                <c:rich>
                  <a:bodyPr/>
                  <a:lstStyle/>
                  <a:p>
                    <a:r>
                      <a:rPr lang="en-US"/>
                      <a:t>c</a:t>
                    </a:r>
                  </a:p>
                </c:rich>
              </c:tx>
              <c:dLblPos val="outEnd"/>
              <c:showVal val="1"/>
              <c:extLst>
                <c:ext xmlns:c15="http://schemas.microsoft.com/office/drawing/2012/chart" uri="{CE6537A1-D6FC-4f65-9D91-7224C49458BB}"/>
              </c:extLst>
            </c:dLbl>
            <c:dLbl>
              <c:idx val="2"/>
              <c:layout>
                <c:manualLayout>
                  <c:x val="-1.8241911987611013E-16"/>
                  <c:y val="-2.7777777777777991E-2"/>
                </c:manualLayout>
              </c:layout>
              <c:tx>
                <c:rich>
                  <a:bodyPr/>
                  <a:lstStyle/>
                  <a:p>
                    <a:r>
                      <a:rPr lang="en-US"/>
                      <a:t>c</a:t>
                    </a:r>
                  </a:p>
                </c:rich>
              </c:tx>
              <c:dLblPos val="outEnd"/>
              <c:showVal val="1"/>
              <c:extLst>
                <c:ext xmlns:c15="http://schemas.microsoft.com/office/drawing/2012/chart" uri="{CE6537A1-D6FC-4f65-9D91-7224C49458BB}"/>
              </c:extLst>
            </c:dLbl>
            <c:spPr>
              <a:noFill/>
              <a:ln>
                <a:noFill/>
              </a:ln>
              <a:effectLst/>
            </c:spPr>
            <c:txPr>
              <a:bodyPr rot="0" vert="horz"/>
              <a:lstStyle/>
              <a:p>
                <a:pPr>
                  <a:defRPr lang="fa-I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paper.xlsx]Sheet1'!$A$55:$A$57</c:f>
              <c:strCache>
                <c:ptCount val="3"/>
                <c:pt idx="0">
                  <c:v>Zn1</c:v>
                </c:pt>
                <c:pt idx="1">
                  <c:v>Zn2</c:v>
                </c:pt>
                <c:pt idx="2">
                  <c:v>Zn3</c:v>
                </c:pt>
              </c:strCache>
            </c:strRef>
          </c:cat>
          <c:val>
            <c:numRef>
              <c:f>'[for paper.xlsx]Sheet1'!$C$55:$C$57</c:f>
              <c:numCache>
                <c:formatCode>General</c:formatCode>
                <c:ptCount val="3"/>
                <c:pt idx="0">
                  <c:v>10.229999999999999</c:v>
                </c:pt>
                <c:pt idx="1">
                  <c:v>8.17</c:v>
                </c:pt>
                <c:pt idx="2">
                  <c:v>7.79</c:v>
                </c:pt>
              </c:numCache>
            </c:numRef>
          </c:val>
        </c:ser>
        <c:gapWidth val="219"/>
        <c:overlap val="-27"/>
        <c:axId val="192075648"/>
        <c:axId val="192135168"/>
      </c:barChart>
      <c:catAx>
        <c:axId val="192075648"/>
        <c:scaling>
          <c:orientation val="minMax"/>
        </c:scaling>
        <c:axPos val="b"/>
        <c:numFmt formatCode="General" sourceLinked="1"/>
        <c:tickLblPos val="nextTo"/>
        <c:spPr>
          <a:noFill/>
          <a:ln w="9525" cap="flat" cmpd="sng" algn="ctr">
            <a:solidFill>
              <a:schemeClr val="tx1"/>
            </a:solidFill>
            <a:round/>
          </a:ln>
          <a:effectLst/>
        </c:spPr>
        <c:txPr>
          <a:bodyPr rot="-60000000" vert="horz"/>
          <a:lstStyle/>
          <a:p>
            <a:pPr>
              <a:defRPr lang="fa-IR"/>
            </a:pPr>
            <a:endParaRPr lang="en-US"/>
          </a:p>
        </c:txPr>
        <c:crossAx val="192135168"/>
        <c:crosses val="autoZero"/>
        <c:auto val="1"/>
        <c:lblAlgn val="ctr"/>
        <c:lblOffset val="100"/>
      </c:catAx>
      <c:valAx>
        <c:axId val="192135168"/>
        <c:scaling>
          <c:orientation val="minMax"/>
        </c:scaling>
        <c:axPos val="l"/>
        <c:title>
          <c:tx>
            <c:rich>
              <a:bodyPr rot="-5400000" vert="horz"/>
              <a:lstStyle/>
              <a:p>
                <a:pPr>
                  <a:defRPr lang="fa-IR" b="0"/>
                </a:pPr>
                <a:r>
                  <a:rPr lang="en-US" b="0"/>
                  <a:t>Grain</a:t>
                </a:r>
                <a:r>
                  <a:rPr lang="en-US" b="0" baseline="0"/>
                  <a:t> </a:t>
                </a:r>
                <a:r>
                  <a:rPr lang="en-US" b="0"/>
                  <a:t>yield (ton/ha)</a:t>
                </a:r>
              </a:p>
            </c:rich>
          </c:tx>
          <c:layout>
            <c:manualLayout>
              <c:xMode val="edge"/>
              <c:yMode val="edge"/>
              <c:x val="0"/>
              <c:y val="0.30598636356059072"/>
            </c:manualLayout>
          </c:layout>
          <c:spPr>
            <a:noFill/>
            <a:ln>
              <a:noFill/>
            </a:ln>
            <a:effectLst/>
          </c:spPr>
        </c:title>
        <c:numFmt formatCode="General" sourceLinked="1"/>
        <c:tickLblPos val="nextTo"/>
        <c:spPr>
          <a:noFill/>
          <a:ln>
            <a:solidFill>
              <a:schemeClr val="tx1"/>
            </a:solidFill>
          </a:ln>
          <a:effectLst/>
        </c:spPr>
        <c:txPr>
          <a:bodyPr rot="-60000000" vert="horz"/>
          <a:lstStyle/>
          <a:p>
            <a:pPr>
              <a:defRPr lang="fa-IR"/>
            </a:pPr>
            <a:endParaRPr lang="en-US"/>
          </a:p>
        </c:txPr>
        <c:crossAx val="192075648"/>
        <c:crosses val="autoZero"/>
        <c:crossBetween val="between"/>
      </c:valAx>
      <c:spPr>
        <a:noFill/>
        <a:ln>
          <a:noFill/>
        </a:ln>
        <a:effectLst/>
      </c:spPr>
    </c:plotArea>
    <c:legend>
      <c:legendPos val="b"/>
      <c:layout>
        <c:manualLayout>
          <c:xMode val="edge"/>
          <c:yMode val="edge"/>
          <c:x val="0.17944417408599467"/>
          <c:y val="7.7706418909326905E-2"/>
          <c:w val="0.6896384259259255"/>
          <c:h val="8.3936111111111128E-2"/>
        </c:manualLayout>
      </c:layout>
      <c:spPr>
        <a:noFill/>
        <a:ln>
          <a:noFill/>
        </a:ln>
        <a:effectLst/>
      </c:spPr>
      <c:txPr>
        <a:bodyPr rot="0" vert="horz"/>
        <a:lstStyle/>
        <a:p>
          <a:pPr>
            <a:defRPr lang="fa-IR"/>
          </a:pPr>
          <a:endParaRPr lang="en-US"/>
        </a:p>
      </c:txPr>
    </c:legend>
    <c:plotVisOnly val="1"/>
    <c:dispBlanksAs val="gap"/>
  </c:chart>
  <c:spPr>
    <a:solidFill>
      <a:schemeClr val="bg1"/>
    </a:solidFill>
    <a:ln w="9525" cap="flat" cmpd="sng" algn="ctr">
      <a:noFill/>
      <a:round/>
    </a:ln>
    <a:effectLst/>
  </c:spPr>
  <c:txPr>
    <a:bodyPr/>
    <a:lstStyle/>
    <a:p>
      <a:pPr>
        <a:defRPr sz="800" baseline="0">
          <a:latin typeface="Times New Roman" panose="02020603050405020304" pitchFamily="18" charset="0"/>
          <a:cs typeface="Times New Roman" panose="02020603050405020304" pitchFamily="18" charset="0"/>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vert="horz"/>
          <a:lstStyle/>
          <a:p>
            <a:pPr>
              <a:defRPr lang="fa-IR"/>
            </a:pPr>
            <a:r>
              <a:rPr lang="en-US"/>
              <a:t>A</a:t>
            </a:r>
          </a:p>
        </c:rich>
      </c:tx>
      <c:layout>
        <c:manualLayout>
          <c:xMode val="edge"/>
          <c:yMode val="edge"/>
          <c:x val="0.87476527503617463"/>
          <c:y val="7.0336574074074093E-2"/>
        </c:manualLayout>
      </c:layout>
      <c:spPr>
        <a:noFill/>
        <a:ln>
          <a:noFill/>
        </a:ln>
        <a:effectLst/>
      </c:spPr>
    </c:title>
    <c:plotArea>
      <c:layout>
        <c:manualLayout>
          <c:layoutTarget val="inner"/>
          <c:xMode val="edge"/>
          <c:yMode val="edge"/>
          <c:x val="0.16162453703703702"/>
          <c:y val="0.18259881417434026"/>
          <c:w val="0.82373148148148334"/>
          <c:h val="0.70360538266050376"/>
        </c:manualLayout>
      </c:layout>
      <c:barChart>
        <c:barDir val="col"/>
        <c:grouping val="clustered"/>
        <c:ser>
          <c:idx val="0"/>
          <c:order val="0"/>
          <c:tx>
            <c:strRef>
              <c:f>'[for paper.xlsx]Sheet1'!$N$5</c:f>
              <c:strCache>
                <c:ptCount val="1"/>
                <c:pt idx="0">
                  <c:v>inoculation </c:v>
                </c:pt>
              </c:strCache>
            </c:strRef>
          </c:tx>
          <c:spPr>
            <a:pattFill prst="ltHorz">
              <a:fgClr>
                <a:schemeClr val="tx1"/>
              </a:fgClr>
              <a:bgClr>
                <a:schemeClr val="bg1"/>
              </a:bgClr>
            </a:pattFill>
            <a:ln>
              <a:solidFill>
                <a:schemeClr val="tx1"/>
              </a:solidFill>
            </a:ln>
            <a:effectLst/>
          </c:spPr>
          <c:dLbls>
            <c:dLbl>
              <c:idx val="0"/>
              <c:layout>
                <c:manualLayout>
                  <c:x val="-5.8737151248164834E-3"/>
                  <c:y val="-2.7116610423697191E-2"/>
                </c:manualLayout>
              </c:layout>
              <c:tx>
                <c:rich>
                  <a:bodyPr/>
                  <a:lstStyle/>
                  <a:p>
                    <a:r>
                      <a:rPr lang="en-US"/>
                      <a:t>b</a:t>
                    </a:r>
                  </a:p>
                </c:rich>
              </c:tx>
              <c:dLblPos val="outEnd"/>
              <c:showVal val="1"/>
              <c:extLst>
                <c:ext xmlns:c15="http://schemas.microsoft.com/office/drawing/2012/chart" uri="{CE6537A1-D6FC-4f65-9D91-7224C49458BB}"/>
              </c:extLst>
            </c:dLbl>
            <c:dLbl>
              <c:idx val="1"/>
              <c:layout>
                <c:manualLayout>
                  <c:x val="0"/>
                  <c:y val="-2.777777777777795E-2"/>
                </c:manualLayout>
              </c:layout>
              <c:tx>
                <c:rich>
                  <a:bodyPr/>
                  <a:lstStyle/>
                  <a:p>
                    <a:r>
                      <a:rPr lang="en-US"/>
                      <a:t>c</a:t>
                    </a:r>
                  </a:p>
                </c:rich>
              </c:tx>
              <c:dLblPos val="outEnd"/>
              <c:showVal val="1"/>
              <c:extLst>
                <c:ext xmlns:c15="http://schemas.microsoft.com/office/drawing/2012/chart" uri="{CE6537A1-D6FC-4f65-9D91-7224C49458BB}"/>
              </c:extLst>
            </c:dLbl>
            <c:dLbl>
              <c:idx val="2"/>
              <c:layout>
                <c:manualLayout>
                  <c:x val="2.487310231595622E-3"/>
                  <c:y val="-1.8298268272021554E-2"/>
                </c:manualLayout>
              </c:layout>
              <c:tx>
                <c:rich>
                  <a:bodyPr/>
                  <a:lstStyle/>
                  <a:p>
                    <a:r>
                      <a:rPr lang="en-US"/>
                      <a:t>bc</a:t>
                    </a:r>
                  </a:p>
                </c:rich>
              </c:tx>
              <c:dLblPos val="outEnd"/>
              <c:showVal val="1"/>
              <c:extLst>
                <c:ext xmlns:c15="http://schemas.microsoft.com/office/drawing/2012/chart" uri="{CE6537A1-D6FC-4f65-9D91-7224C49458BB}"/>
              </c:extLst>
            </c:dLbl>
            <c:spPr>
              <a:noFill/>
              <a:ln>
                <a:noFill/>
              </a:ln>
              <a:effectLst/>
            </c:spPr>
            <c:txPr>
              <a:bodyPr rot="0" vert="horz"/>
              <a:lstStyle/>
              <a:p>
                <a:pPr>
                  <a:defRPr lang="fa-I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paper.xlsx]Sheet1'!$M$6:$M$8</c:f>
              <c:strCache>
                <c:ptCount val="3"/>
                <c:pt idx="0">
                  <c:v>Zn1</c:v>
                </c:pt>
                <c:pt idx="1">
                  <c:v>Zn2</c:v>
                </c:pt>
                <c:pt idx="2">
                  <c:v>Zn3</c:v>
                </c:pt>
              </c:strCache>
            </c:strRef>
          </c:cat>
          <c:val>
            <c:numRef>
              <c:f>'[for paper.xlsx]Sheet1'!$N$6:$N$8</c:f>
              <c:numCache>
                <c:formatCode>General</c:formatCode>
                <c:ptCount val="3"/>
                <c:pt idx="0">
                  <c:v>11.32</c:v>
                </c:pt>
                <c:pt idx="1">
                  <c:v>8.6</c:v>
                </c:pt>
                <c:pt idx="2">
                  <c:v>9.19</c:v>
                </c:pt>
              </c:numCache>
            </c:numRef>
          </c:val>
        </c:ser>
        <c:ser>
          <c:idx val="1"/>
          <c:order val="1"/>
          <c:tx>
            <c:strRef>
              <c:f>'[for paper.xlsx]Sheet1'!$O$5</c:f>
              <c:strCache>
                <c:ptCount val="1"/>
                <c:pt idx="0">
                  <c:v>non-inoculation </c:v>
                </c:pt>
              </c:strCache>
            </c:strRef>
          </c:tx>
          <c:spPr>
            <a:pattFill prst="lgCheck">
              <a:fgClr>
                <a:schemeClr val="tx1"/>
              </a:fgClr>
              <a:bgClr>
                <a:schemeClr val="bg1"/>
              </a:bgClr>
            </a:pattFill>
            <a:ln>
              <a:solidFill>
                <a:schemeClr val="tx1"/>
              </a:solidFill>
            </a:ln>
            <a:effectLst/>
          </c:spPr>
          <c:dLbls>
            <c:dLbl>
              <c:idx val="0"/>
              <c:layout>
                <c:manualLayout>
                  <c:x val="0"/>
                  <c:y val="-2.7337138413254077E-2"/>
                </c:manualLayout>
              </c:layout>
              <c:tx>
                <c:rich>
                  <a:bodyPr/>
                  <a:lstStyle/>
                  <a:p>
                    <a:r>
                      <a:rPr lang="en-US"/>
                      <a:t>a</a:t>
                    </a:r>
                  </a:p>
                </c:rich>
              </c:tx>
              <c:showVal val="1"/>
              <c:extLst>
                <c:ext xmlns:c15="http://schemas.microsoft.com/office/drawing/2012/chart" uri="{CE6537A1-D6FC-4f65-9D91-7224C49458BB}"/>
              </c:extLst>
            </c:dLbl>
            <c:dLbl>
              <c:idx val="1"/>
              <c:layout>
                <c:manualLayout>
                  <c:x val="5.8737151248164504E-3"/>
                  <c:y val="-3.4394034079073446E-2"/>
                </c:manualLayout>
              </c:layout>
              <c:tx>
                <c:rich>
                  <a:bodyPr/>
                  <a:lstStyle/>
                  <a:p>
                    <a:r>
                      <a:rPr lang="en-US"/>
                      <a:t>b</a:t>
                    </a:r>
                  </a:p>
                </c:rich>
              </c:tx>
              <c:showVal val="1"/>
              <c:extLst>
                <c:ext xmlns:c15="http://schemas.microsoft.com/office/drawing/2012/chart" uri="{CE6537A1-D6FC-4f65-9D91-7224C49458BB}"/>
              </c:extLst>
            </c:dLbl>
            <c:dLbl>
              <c:idx val="2"/>
              <c:layout>
                <c:manualLayout>
                  <c:x val="-4.6249725392255468E-7"/>
                  <c:y val="-2.7116610423697042E-2"/>
                </c:manualLayout>
              </c:layout>
              <c:tx>
                <c:rich>
                  <a:bodyPr/>
                  <a:lstStyle/>
                  <a:p>
                    <a:r>
                      <a:rPr lang="en-US"/>
                      <a:t>c</a:t>
                    </a:r>
                  </a:p>
                </c:rich>
              </c:tx>
              <c:showVal val="1"/>
              <c:extLst>
                <c:ext xmlns:c15="http://schemas.microsoft.com/office/drawing/2012/chart" uri="{CE6537A1-D6FC-4f65-9D91-7224C49458BB}"/>
              </c:extLst>
            </c:dLbl>
            <c:spPr>
              <a:noFill/>
              <a:ln>
                <a:noFill/>
              </a:ln>
              <a:effectLst/>
            </c:spPr>
            <c:txPr>
              <a:bodyPr rot="0" vert="horz"/>
              <a:lstStyle/>
              <a:p>
                <a:pPr>
                  <a:defRPr lang="fa-IR"/>
                </a:pPr>
                <a:endParaRPr lang="en-US"/>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paper.xlsx]Sheet1'!$M$6:$M$8</c:f>
              <c:strCache>
                <c:ptCount val="3"/>
                <c:pt idx="0">
                  <c:v>Zn1</c:v>
                </c:pt>
                <c:pt idx="1">
                  <c:v>Zn2</c:v>
                </c:pt>
                <c:pt idx="2">
                  <c:v>Zn3</c:v>
                </c:pt>
              </c:strCache>
            </c:strRef>
          </c:cat>
          <c:val>
            <c:numRef>
              <c:f>'[for paper.xlsx]Sheet1'!$O$6:$O$8</c:f>
              <c:numCache>
                <c:formatCode>General</c:formatCode>
                <c:ptCount val="3"/>
                <c:pt idx="0">
                  <c:v>16.89</c:v>
                </c:pt>
                <c:pt idx="1">
                  <c:v>10.41</c:v>
                </c:pt>
                <c:pt idx="2">
                  <c:v>8.3000000000000007</c:v>
                </c:pt>
              </c:numCache>
            </c:numRef>
          </c:val>
        </c:ser>
        <c:gapWidth val="219"/>
        <c:overlap val="-27"/>
        <c:axId val="192464000"/>
        <c:axId val="192520192"/>
      </c:barChart>
      <c:catAx>
        <c:axId val="192464000"/>
        <c:scaling>
          <c:orientation val="minMax"/>
        </c:scaling>
        <c:axPos val="b"/>
        <c:numFmt formatCode="General" sourceLinked="1"/>
        <c:tickLblPos val="nextTo"/>
        <c:spPr>
          <a:noFill/>
          <a:ln w="9525" cap="flat" cmpd="sng" algn="ctr">
            <a:solidFill>
              <a:schemeClr val="tx1"/>
            </a:solidFill>
            <a:round/>
          </a:ln>
          <a:effectLst/>
        </c:spPr>
        <c:txPr>
          <a:bodyPr rot="-60000000" vert="horz"/>
          <a:lstStyle/>
          <a:p>
            <a:pPr>
              <a:defRPr lang="fa-IR"/>
            </a:pPr>
            <a:endParaRPr lang="en-US"/>
          </a:p>
        </c:txPr>
        <c:crossAx val="192520192"/>
        <c:crosses val="autoZero"/>
        <c:auto val="1"/>
        <c:lblAlgn val="ctr"/>
        <c:lblOffset val="100"/>
      </c:catAx>
      <c:valAx>
        <c:axId val="192520192"/>
        <c:scaling>
          <c:orientation val="minMax"/>
        </c:scaling>
        <c:axPos val="l"/>
        <c:title>
          <c:tx>
            <c:rich>
              <a:bodyPr rot="-5400000" vert="horz"/>
              <a:lstStyle/>
              <a:p>
                <a:pPr>
                  <a:defRPr lang="fa-IR" b="0"/>
                </a:pPr>
                <a:r>
                  <a:rPr lang="en-US" b="0"/>
                  <a:t>Biological yield (ton/ha)</a:t>
                </a:r>
              </a:p>
            </c:rich>
          </c:tx>
          <c:spPr>
            <a:noFill/>
            <a:ln>
              <a:noFill/>
            </a:ln>
            <a:effectLst/>
          </c:spPr>
        </c:title>
        <c:numFmt formatCode="General" sourceLinked="1"/>
        <c:tickLblPos val="nextTo"/>
        <c:spPr>
          <a:noFill/>
          <a:ln>
            <a:solidFill>
              <a:schemeClr val="tx1"/>
            </a:solidFill>
          </a:ln>
          <a:effectLst/>
        </c:spPr>
        <c:txPr>
          <a:bodyPr rot="-60000000" vert="horz"/>
          <a:lstStyle/>
          <a:p>
            <a:pPr>
              <a:defRPr lang="fa-IR"/>
            </a:pPr>
            <a:endParaRPr lang="en-US"/>
          </a:p>
        </c:txPr>
        <c:crossAx val="192464000"/>
        <c:crosses val="autoZero"/>
        <c:crossBetween val="between"/>
      </c:valAx>
      <c:spPr>
        <a:noFill/>
        <a:ln>
          <a:noFill/>
        </a:ln>
        <a:effectLst/>
      </c:spPr>
    </c:plotArea>
    <c:legend>
      <c:legendPos val="r"/>
      <c:layout>
        <c:manualLayout>
          <c:xMode val="edge"/>
          <c:yMode val="edge"/>
          <c:x val="0.17983888888888891"/>
          <c:y val="1.403611111111111E-2"/>
          <c:w val="0.75706388888888965"/>
          <c:h val="6.4528888888888886E-2"/>
        </c:manualLayout>
      </c:layout>
      <c:spPr>
        <a:noFill/>
        <a:ln>
          <a:noFill/>
        </a:ln>
        <a:effectLst/>
      </c:spPr>
      <c:txPr>
        <a:bodyPr rot="0" vert="horz"/>
        <a:lstStyle/>
        <a:p>
          <a:pPr>
            <a:defRPr lang="fa-IR"/>
          </a:pPr>
          <a:endParaRPr lang="en-US"/>
        </a:p>
      </c:txPr>
    </c:legend>
    <c:plotVisOnly val="1"/>
    <c:dispBlanksAs val="gap"/>
  </c:chart>
  <c:spPr>
    <a:solidFill>
      <a:schemeClr val="bg1"/>
    </a:solidFill>
    <a:ln w="9525" cap="flat" cmpd="sng" algn="ctr">
      <a:noFill/>
      <a:round/>
    </a:ln>
    <a:effectLst/>
  </c:spPr>
  <c:txPr>
    <a:bodyPr/>
    <a:lstStyle/>
    <a:p>
      <a:pPr>
        <a:defRPr sz="800" baseline="0">
          <a:solidFill>
            <a:schemeClr val="tx1"/>
          </a:solidFill>
          <a:latin typeface="Times New Roman" panose="02020603050405020304" pitchFamily="18" charset="0"/>
          <a:cs typeface="Times New Roman" panose="02020603050405020304" pitchFamily="18" charset="0"/>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vert="horz"/>
          <a:lstStyle/>
          <a:p>
            <a:pPr>
              <a:defRPr lang="fa-IR"/>
            </a:pPr>
            <a:r>
              <a:rPr lang="en-US"/>
              <a:t>B</a:t>
            </a:r>
          </a:p>
        </c:rich>
      </c:tx>
      <c:layout>
        <c:manualLayout>
          <c:xMode val="edge"/>
          <c:yMode val="edge"/>
          <c:x val="0.87762548591859002"/>
          <c:y val="7.9743981481481555E-2"/>
        </c:manualLayout>
      </c:layout>
      <c:spPr>
        <a:noFill/>
        <a:ln>
          <a:noFill/>
        </a:ln>
        <a:effectLst/>
      </c:spPr>
    </c:title>
    <c:plotArea>
      <c:layout>
        <c:manualLayout>
          <c:layoutTarget val="inner"/>
          <c:xMode val="edge"/>
          <c:yMode val="edge"/>
          <c:x val="0.17385509259259327"/>
          <c:y val="0.16071883040025794"/>
          <c:w val="0.81438564814814862"/>
          <c:h val="0.73262453304448427"/>
        </c:manualLayout>
      </c:layout>
      <c:barChart>
        <c:barDir val="col"/>
        <c:grouping val="clustered"/>
        <c:ser>
          <c:idx val="0"/>
          <c:order val="0"/>
          <c:tx>
            <c:strRef>
              <c:f>'[for paper.xlsx]Sheet1'!$N$29</c:f>
              <c:strCache>
                <c:ptCount val="1"/>
                <c:pt idx="0">
                  <c:v>inoculation </c:v>
                </c:pt>
              </c:strCache>
            </c:strRef>
          </c:tx>
          <c:spPr>
            <a:pattFill prst="ltHorz">
              <a:fgClr>
                <a:schemeClr val="tx1"/>
              </a:fgClr>
              <a:bgClr>
                <a:schemeClr val="bg1"/>
              </a:bgClr>
            </a:pattFill>
            <a:ln>
              <a:solidFill>
                <a:schemeClr val="tx1"/>
              </a:solidFill>
            </a:ln>
            <a:effectLst/>
          </c:spPr>
          <c:dLbls>
            <c:dLbl>
              <c:idx val="0"/>
              <c:layout>
                <c:manualLayout>
                  <c:x val="-5.3841766659468409E-17"/>
                  <c:y val="-1.2851726867474898E-2"/>
                </c:manualLayout>
              </c:layout>
              <c:tx>
                <c:rich>
                  <a:bodyPr/>
                  <a:lstStyle/>
                  <a:p>
                    <a:r>
                      <a:rPr lang="en-US"/>
                      <a:t>a</a:t>
                    </a:r>
                  </a:p>
                </c:rich>
              </c:tx>
              <c:dLblPos val="outEnd"/>
              <c:showVal val="1"/>
              <c:extLst>
                <c:ext xmlns:c15="http://schemas.microsoft.com/office/drawing/2012/chart" uri="{CE6537A1-D6FC-4f65-9D91-7224C49458BB}"/>
              </c:extLst>
            </c:dLbl>
            <c:dLbl>
              <c:idx val="1"/>
              <c:layout>
                <c:manualLayout>
                  <c:x val="-5.8737151248164504E-3"/>
                  <c:y val="-3.2079878904026075E-2"/>
                </c:manualLayout>
              </c:layout>
              <c:tx>
                <c:rich>
                  <a:bodyPr/>
                  <a:lstStyle/>
                  <a:p>
                    <a:r>
                      <a:rPr lang="en-US"/>
                      <a:t>b</a:t>
                    </a:r>
                  </a:p>
                </c:rich>
              </c:tx>
              <c:dLblPos val="outEnd"/>
              <c:showVal val="1"/>
              <c:extLst>
                <c:ext xmlns:c15="http://schemas.microsoft.com/office/drawing/2012/chart" uri="{CE6537A1-D6FC-4f65-9D91-7224C49458BB}"/>
              </c:extLst>
            </c:dLbl>
            <c:dLbl>
              <c:idx val="2"/>
              <c:layout>
                <c:manualLayout>
                  <c:x val="-1.0768353331893693E-16"/>
                  <c:y val="-1.721284839395076E-2"/>
                </c:manualLayout>
              </c:layout>
              <c:tx>
                <c:rich>
                  <a:bodyPr/>
                  <a:lstStyle/>
                  <a:p>
                    <a:r>
                      <a:rPr lang="en-US"/>
                      <a:t>d</a:t>
                    </a:r>
                  </a:p>
                </c:rich>
              </c:tx>
              <c:dLblPos val="outEnd"/>
              <c:showVal val="1"/>
              <c:extLst>
                <c:ext xmlns:c15="http://schemas.microsoft.com/office/drawing/2012/chart" uri="{CE6537A1-D6FC-4f65-9D91-7224C49458BB}"/>
              </c:extLst>
            </c:dLbl>
            <c:spPr>
              <a:noFill/>
              <a:ln>
                <a:noFill/>
              </a:ln>
              <a:effectLst/>
            </c:spPr>
            <c:txPr>
              <a:bodyPr rot="0" vert="horz"/>
              <a:lstStyle/>
              <a:p>
                <a:pPr>
                  <a:defRPr lang="fa-I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paper.xlsx]Sheet1'!$M$30:$M$32</c:f>
              <c:strCache>
                <c:ptCount val="3"/>
                <c:pt idx="0">
                  <c:v>Zn1</c:v>
                </c:pt>
                <c:pt idx="1">
                  <c:v>Zn2</c:v>
                </c:pt>
                <c:pt idx="2">
                  <c:v>Zn3</c:v>
                </c:pt>
              </c:strCache>
            </c:strRef>
          </c:cat>
          <c:val>
            <c:numRef>
              <c:f>'[for paper.xlsx]Sheet1'!$N$30:$N$32</c:f>
              <c:numCache>
                <c:formatCode>General</c:formatCode>
                <c:ptCount val="3"/>
                <c:pt idx="0">
                  <c:v>19.36</c:v>
                </c:pt>
                <c:pt idx="1">
                  <c:v>13.48</c:v>
                </c:pt>
                <c:pt idx="2">
                  <c:v>8.620000000000001</c:v>
                </c:pt>
              </c:numCache>
            </c:numRef>
          </c:val>
        </c:ser>
        <c:ser>
          <c:idx val="1"/>
          <c:order val="1"/>
          <c:tx>
            <c:strRef>
              <c:f>'[for paper.xlsx]Sheet1'!$O$29</c:f>
              <c:strCache>
                <c:ptCount val="1"/>
                <c:pt idx="0">
                  <c:v>non-inoculation </c:v>
                </c:pt>
              </c:strCache>
            </c:strRef>
          </c:tx>
          <c:spPr>
            <a:pattFill prst="lgCheck">
              <a:fgClr>
                <a:schemeClr val="tx1"/>
              </a:fgClr>
              <a:bgClr>
                <a:schemeClr val="bg1"/>
              </a:bgClr>
            </a:pattFill>
            <a:ln>
              <a:solidFill>
                <a:schemeClr val="tx1"/>
              </a:solidFill>
            </a:ln>
            <a:effectLst/>
          </c:spPr>
          <c:dLbls>
            <c:dLbl>
              <c:idx val="0"/>
              <c:layout>
                <c:manualLayout>
                  <c:x val="-2.487772728849437E-3"/>
                  <c:y val="-1.1689094418753187E-2"/>
                </c:manualLayout>
              </c:layout>
              <c:tx>
                <c:rich>
                  <a:bodyPr/>
                  <a:lstStyle/>
                  <a:p>
                    <a:r>
                      <a:rPr lang="en-US"/>
                      <a:t>cd</a:t>
                    </a:r>
                  </a:p>
                </c:rich>
              </c:tx>
              <c:dLblPos val="outEnd"/>
              <c:showVal val="1"/>
              <c:extLst>
                <c:ext xmlns:c15="http://schemas.microsoft.com/office/drawing/2012/chart" uri="{CE6537A1-D6FC-4f65-9D91-7224C49458BB}"/>
              </c:extLst>
            </c:dLbl>
            <c:dLbl>
              <c:idx val="1"/>
              <c:layout>
                <c:manualLayout>
                  <c:x val="-9.1209559938054858E-17"/>
                  <c:y val="-4.8661800486618015E-2"/>
                </c:manualLayout>
              </c:layout>
              <c:tx>
                <c:rich>
                  <a:bodyPr/>
                  <a:lstStyle/>
                  <a:p>
                    <a:r>
                      <a:rPr lang="en-US"/>
                      <a:t>d</a:t>
                    </a:r>
                  </a:p>
                </c:rich>
              </c:tx>
              <c:dLblPos val="outEnd"/>
              <c:showVal val="1"/>
              <c:extLst>
                <c:ext xmlns:c15="http://schemas.microsoft.com/office/drawing/2012/chart" uri="{CE6537A1-D6FC-4f65-9D91-7224C49458BB}"/>
              </c:extLst>
            </c:dLbl>
            <c:dLbl>
              <c:idx val="2"/>
              <c:layout>
                <c:manualLayout>
                  <c:x val="-1.8241911987610979E-16"/>
                  <c:y val="-5.8394160583941757E-2"/>
                </c:manualLayout>
              </c:layout>
              <c:tx>
                <c:rich>
                  <a:bodyPr/>
                  <a:lstStyle/>
                  <a:p>
                    <a:r>
                      <a:rPr lang="en-US"/>
                      <a:t>c</a:t>
                    </a:r>
                  </a:p>
                </c:rich>
              </c:tx>
              <c:dLblPos val="outEnd"/>
              <c:showVal val="1"/>
              <c:extLst>
                <c:ext xmlns:c15="http://schemas.microsoft.com/office/drawing/2012/chart" uri="{CE6537A1-D6FC-4f65-9D91-7224C49458BB}"/>
              </c:extLst>
            </c:dLbl>
            <c:spPr>
              <a:noFill/>
              <a:ln>
                <a:noFill/>
              </a:ln>
              <a:effectLst/>
            </c:spPr>
            <c:txPr>
              <a:bodyPr rot="0" vert="horz"/>
              <a:lstStyle/>
              <a:p>
                <a:pPr>
                  <a:defRPr lang="fa-I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paper.xlsx]Sheet1'!$M$30:$M$32</c:f>
              <c:strCache>
                <c:ptCount val="3"/>
                <c:pt idx="0">
                  <c:v>Zn1</c:v>
                </c:pt>
                <c:pt idx="1">
                  <c:v>Zn2</c:v>
                </c:pt>
                <c:pt idx="2">
                  <c:v>Zn3</c:v>
                </c:pt>
              </c:strCache>
            </c:strRef>
          </c:cat>
          <c:val>
            <c:numRef>
              <c:f>'[for paper.xlsx]Sheet1'!$O$30:$O$32</c:f>
              <c:numCache>
                <c:formatCode>General</c:formatCode>
                <c:ptCount val="3"/>
                <c:pt idx="0">
                  <c:v>10.67</c:v>
                </c:pt>
                <c:pt idx="1">
                  <c:v>8.91</c:v>
                </c:pt>
                <c:pt idx="2">
                  <c:v>11.15</c:v>
                </c:pt>
              </c:numCache>
            </c:numRef>
          </c:val>
        </c:ser>
        <c:dLbls>
          <c:showVal val="1"/>
        </c:dLbls>
        <c:gapWidth val="219"/>
        <c:overlap val="-27"/>
        <c:axId val="193487232"/>
        <c:axId val="193490304"/>
      </c:barChart>
      <c:catAx>
        <c:axId val="193487232"/>
        <c:scaling>
          <c:orientation val="minMax"/>
        </c:scaling>
        <c:axPos val="b"/>
        <c:numFmt formatCode="General" sourceLinked="1"/>
        <c:tickLblPos val="nextTo"/>
        <c:spPr>
          <a:noFill/>
          <a:ln w="9525" cap="flat" cmpd="sng" algn="ctr">
            <a:solidFill>
              <a:schemeClr val="tx1"/>
            </a:solidFill>
            <a:round/>
          </a:ln>
          <a:effectLst/>
        </c:spPr>
        <c:txPr>
          <a:bodyPr rot="-60000000" vert="horz"/>
          <a:lstStyle/>
          <a:p>
            <a:pPr>
              <a:defRPr lang="fa-IR"/>
            </a:pPr>
            <a:endParaRPr lang="en-US"/>
          </a:p>
        </c:txPr>
        <c:crossAx val="193490304"/>
        <c:crosses val="autoZero"/>
        <c:auto val="1"/>
        <c:lblAlgn val="ctr"/>
        <c:lblOffset val="100"/>
      </c:catAx>
      <c:valAx>
        <c:axId val="193490304"/>
        <c:scaling>
          <c:orientation val="minMax"/>
        </c:scaling>
        <c:axPos val="l"/>
        <c:title>
          <c:tx>
            <c:rich>
              <a:bodyPr rot="-5400000" vert="horz"/>
              <a:lstStyle/>
              <a:p>
                <a:pPr>
                  <a:defRPr lang="fa-IR" b="0"/>
                </a:pPr>
                <a:r>
                  <a:rPr lang="en-US" b="0"/>
                  <a:t>Biological yield (ton/ha) </a:t>
                </a:r>
              </a:p>
            </c:rich>
          </c:tx>
          <c:layout>
            <c:manualLayout>
              <c:xMode val="edge"/>
              <c:yMode val="edge"/>
              <c:x val="3.8444444444444472E-3"/>
              <c:y val="0.1967366666666667"/>
            </c:manualLayout>
          </c:layout>
          <c:spPr>
            <a:noFill/>
            <a:ln>
              <a:noFill/>
            </a:ln>
            <a:effectLst/>
          </c:spPr>
        </c:title>
        <c:numFmt formatCode="General" sourceLinked="1"/>
        <c:tickLblPos val="nextTo"/>
        <c:spPr>
          <a:noFill/>
          <a:ln>
            <a:solidFill>
              <a:schemeClr val="tx1"/>
            </a:solidFill>
          </a:ln>
          <a:effectLst/>
        </c:spPr>
        <c:txPr>
          <a:bodyPr rot="-60000000" vert="horz"/>
          <a:lstStyle/>
          <a:p>
            <a:pPr>
              <a:defRPr lang="fa-IR"/>
            </a:pPr>
            <a:endParaRPr lang="en-US"/>
          </a:p>
        </c:txPr>
        <c:crossAx val="193487232"/>
        <c:crosses val="autoZero"/>
        <c:crossBetween val="between"/>
      </c:valAx>
      <c:spPr>
        <a:noFill/>
        <a:ln>
          <a:noFill/>
        </a:ln>
        <a:effectLst/>
      </c:spPr>
    </c:plotArea>
    <c:legend>
      <c:legendPos val="b"/>
      <c:layout>
        <c:manualLayout>
          <c:xMode val="edge"/>
          <c:yMode val="edge"/>
          <c:x val="0.16176483505002628"/>
          <c:y val="4.5814814814814893E-3"/>
          <c:w val="0.77652777777777793"/>
          <c:h val="8.5251666666666767E-2"/>
        </c:manualLayout>
      </c:layout>
      <c:spPr>
        <a:noFill/>
        <a:ln>
          <a:noFill/>
        </a:ln>
        <a:effectLst/>
      </c:spPr>
      <c:txPr>
        <a:bodyPr rot="0" vert="horz"/>
        <a:lstStyle/>
        <a:p>
          <a:pPr>
            <a:defRPr lang="fa-IR"/>
          </a:pPr>
          <a:endParaRPr lang="en-US"/>
        </a:p>
      </c:txPr>
    </c:legend>
    <c:plotVisOnly val="1"/>
    <c:dispBlanksAs val="gap"/>
  </c:chart>
  <c:spPr>
    <a:solidFill>
      <a:schemeClr val="bg1"/>
    </a:solidFill>
    <a:ln w="9525" cap="flat" cmpd="sng" algn="ctr">
      <a:noFill/>
      <a:round/>
    </a:ln>
    <a:effectLst/>
  </c:spPr>
  <c:txPr>
    <a:bodyPr/>
    <a:lstStyle/>
    <a:p>
      <a:pPr>
        <a:defRPr sz="800" baseline="0">
          <a:latin typeface="Times New Roman" panose="02020603050405020304" pitchFamily="18" charset="0"/>
          <a:cs typeface="Times New Roman" panose="02020603050405020304" pitchFamily="18" charset="0"/>
        </a:defRPr>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vert="horz"/>
          <a:lstStyle/>
          <a:p>
            <a:pPr>
              <a:defRPr lang="fa-IR"/>
            </a:pPr>
            <a:r>
              <a:rPr lang="en-US"/>
              <a:t>C</a:t>
            </a:r>
          </a:p>
        </c:rich>
      </c:tx>
      <c:layout>
        <c:manualLayout>
          <c:xMode val="edge"/>
          <c:yMode val="edge"/>
          <c:x val="0.87119002612368723"/>
          <c:y val="0.20140833333333352"/>
        </c:manualLayout>
      </c:layout>
      <c:spPr>
        <a:noFill/>
        <a:ln>
          <a:noFill/>
        </a:ln>
        <a:effectLst/>
      </c:spPr>
    </c:title>
    <c:plotArea>
      <c:layout>
        <c:manualLayout>
          <c:layoutTarget val="inner"/>
          <c:xMode val="edge"/>
          <c:yMode val="edge"/>
          <c:x val="0.16592129629629687"/>
          <c:y val="0.20368639523447021"/>
          <c:w val="0.80671574074074059"/>
          <c:h val="0.6896571261925597"/>
        </c:manualLayout>
      </c:layout>
      <c:barChart>
        <c:barDir val="col"/>
        <c:grouping val="clustered"/>
        <c:ser>
          <c:idx val="0"/>
          <c:order val="0"/>
          <c:tx>
            <c:strRef>
              <c:f>'[for paper.xlsx]Sheet1'!$N$54</c:f>
              <c:strCache>
                <c:ptCount val="1"/>
                <c:pt idx="0">
                  <c:v>inoculation </c:v>
                </c:pt>
              </c:strCache>
            </c:strRef>
          </c:tx>
          <c:spPr>
            <a:pattFill prst="ltHorz">
              <a:fgClr>
                <a:schemeClr val="tx1"/>
              </a:fgClr>
              <a:bgClr>
                <a:schemeClr val="bg1"/>
              </a:bgClr>
            </a:pattFill>
            <a:ln>
              <a:solidFill>
                <a:schemeClr val="tx1"/>
              </a:solidFill>
            </a:ln>
            <a:effectLst/>
          </c:spPr>
          <c:dLbls>
            <c:dLbl>
              <c:idx val="0"/>
              <c:layout>
                <c:manualLayout>
                  <c:x val="0"/>
                  <c:y val="-5.0925925925925923E-2"/>
                </c:manualLayout>
              </c:layout>
              <c:tx>
                <c:rich>
                  <a:bodyPr/>
                  <a:lstStyle/>
                  <a:p>
                    <a:r>
                      <a:rPr lang="en-US"/>
                      <a:t>a</a:t>
                    </a:r>
                  </a:p>
                </c:rich>
              </c:tx>
              <c:dLblPos val="outEnd"/>
              <c:showVal val="1"/>
              <c:extLst>
                <c:ext xmlns:c15="http://schemas.microsoft.com/office/drawing/2012/chart" uri="{CE6537A1-D6FC-4f65-9D91-7224C49458BB}"/>
              </c:extLst>
            </c:dLbl>
            <c:dLbl>
              <c:idx val="1"/>
              <c:layout>
                <c:manualLayout>
                  <c:x val="0"/>
                  <c:y val="-4.6296660834062434E-2"/>
                </c:manualLayout>
              </c:layout>
              <c:tx>
                <c:rich>
                  <a:bodyPr/>
                  <a:lstStyle/>
                  <a:p>
                    <a:r>
                      <a:rPr lang="en-US"/>
                      <a:t>b</a:t>
                    </a:r>
                  </a:p>
                </c:rich>
              </c:tx>
              <c:dLblPos val="outEnd"/>
              <c:showVal val="1"/>
              <c:extLst>
                <c:ext xmlns:c15="http://schemas.microsoft.com/office/drawing/2012/chart" uri="{CE6537A1-D6FC-4f65-9D91-7224C49458BB}"/>
              </c:extLst>
            </c:dLbl>
            <c:dLbl>
              <c:idx val="2"/>
              <c:layout>
                <c:manualLayout>
                  <c:x val="-9.1209559938054858E-17"/>
                  <c:y val="-4.1666666666666692E-2"/>
                </c:manualLayout>
              </c:layout>
              <c:tx>
                <c:rich>
                  <a:bodyPr/>
                  <a:lstStyle/>
                  <a:p>
                    <a:r>
                      <a:rPr lang="en-US"/>
                      <a:t>bc</a:t>
                    </a:r>
                  </a:p>
                </c:rich>
              </c:tx>
              <c:dLblPos val="outEnd"/>
              <c:showVal val="1"/>
              <c:extLst>
                <c:ext xmlns:c15="http://schemas.microsoft.com/office/drawing/2012/chart" uri="{CE6537A1-D6FC-4f65-9D91-7224C49458BB}"/>
              </c:extLst>
            </c:dLbl>
            <c:spPr>
              <a:noFill/>
              <a:ln>
                <a:noFill/>
              </a:ln>
              <a:effectLst/>
            </c:spPr>
            <c:txPr>
              <a:bodyPr rot="0" vert="horz"/>
              <a:lstStyle/>
              <a:p>
                <a:pPr>
                  <a:defRPr lang="fa-I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paper.xlsx]Sheet1'!$M$55:$M$57</c:f>
              <c:strCache>
                <c:ptCount val="3"/>
                <c:pt idx="0">
                  <c:v>Zn1</c:v>
                </c:pt>
                <c:pt idx="1">
                  <c:v>Zn2</c:v>
                </c:pt>
                <c:pt idx="2">
                  <c:v>Zn3</c:v>
                </c:pt>
              </c:strCache>
            </c:strRef>
          </c:cat>
          <c:val>
            <c:numRef>
              <c:f>'[for paper.xlsx]Sheet1'!$N$55:$N$57</c:f>
              <c:numCache>
                <c:formatCode>General</c:formatCode>
                <c:ptCount val="3"/>
                <c:pt idx="0">
                  <c:v>16.510000000000005</c:v>
                </c:pt>
                <c:pt idx="1">
                  <c:v>12.350000000000026</c:v>
                </c:pt>
                <c:pt idx="2">
                  <c:v>11.57</c:v>
                </c:pt>
              </c:numCache>
            </c:numRef>
          </c:val>
        </c:ser>
        <c:ser>
          <c:idx val="1"/>
          <c:order val="1"/>
          <c:tx>
            <c:strRef>
              <c:f>'[for paper.xlsx]Sheet1'!$O$54</c:f>
              <c:strCache>
                <c:ptCount val="1"/>
                <c:pt idx="0">
                  <c:v>non-inoculation </c:v>
                </c:pt>
              </c:strCache>
            </c:strRef>
          </c:tx>
          <c:spPr>
            <a:pattFill prst="lgCheck">
              <a:fgClr>
                <a:schemeClr val="tx1"/>
              </a:fgClr>
              <a:bgClr>
                <a:schemeClr val="bg1"/>
              </a:bgClr>
            </a:pattFill>
            <a:ln>
              <a:solidFill>
                <a:schemeClr val="tx1"/>
              </a:solidFill>
            </a:ln>
            <a:effectLst/>
          </c:spPr>
          <c:dLbls>
            <c:dLbl>
              <c:idx val="0"/>
              <c:layout>
                <c:manualLayout>
                  <c:x val="-2.4875621890547272E-3"/>
                  <c:y val="-5.0925925925925923E-2"/>
                </c:manualLayout>
              </c:layout>
              <c:tx>
                <c:rich>
                  <a:bodyPr/>
                  <a:lstStyle/>
                  <a:p>
                    <a:r>
                      <a:rPr lang="en-US"/>
                      <a:t>a</a:t>
                    </a:r>
                  </a:p>
                </c:rich>
              </c:tx>
              <c:dLblPos val="outEnd"/>
              <c:showVal val="1"/>
              <c:extLst>
                <c:ext xmlns:c15="http://schemas.microsoft.com/office/drawing/2012/chart" uri="{CE6537A1-D6FC-4f65-9D91-7224C49458BB}"/>
              </c:extLst>
            </c:dLbl>
            <c:dLbl>
              <c:idx val="1"/>
              <c:layout>
                <c:manualLayout>
                  <c:x val="0"/>
                  <c:y val="-4.629629629629646E-2"/>
                </c:manualLayout>
              </c:layout>
              <c:tx>
                <c:rich>
                  <a:bodyPr/>
                  <a:lstStyle/>
                  <a:p>
                    <a:r>
                      <a:rPr lang="en-US"/>
                      <a:t>b</a:t>
                    </a:r>
                  </a:p>
                </c:rich>
              </c:tx>
              <c:dLblPos val="outEnd"/>
              <c:showVal val="1"/>
              <c:extLst>
                <c:ext xmlns:c15="http://schemas.microsoft.com/office/drawing/2012/chart" uri="{CE6537A1-D6FC-4f65-9D91-7224C49458BB}"/>
              </c:extLst>
            </c:dLbl>
            <c:dLbl>
              <c:idx val="2"/>
              <c:layout>
                <c:manualLayout>
                  <c:x val="-1.8241911987610979E-16"/>
                  <c:y val="-5.5555555555555455E-2"/>
                </c:manualLayout>
              </c:layout>
              <c:tx>
                <c:rich>
                  <a:bodyPr/>
                  <a:lstStyle/>
                  <a:p>
                    <a:r>
                      <a:rPr lang="en-US"/>
                      <a:t>c</a:t>
                    </a:r>
                  </a:p>
                </c:rich>
              </c:tx>
              <c:dLblPos val="outEnd"/>
              <c:showVal val="1"/>
              <c:extLst>
                <c:ext xmlns:c15="http://schemas.microsoft.com/office/drawing/2012/chart" uri="{CE6537A1-D6FC-4f65-9D91-7224C49458BB}"/>
              </c:extLst>
            </c:dLbl>
            <c:spPr>
              <a:noFill/>
              <a:ln>
                <a:noFill/>
              </a:ln>
              <a:effectLst/>
            </c:spPr>
            <c:txPr>
              <a:bodyPr rot="0" vert="horz"/>
              <a:lstStyle/>
              <a:p>
                <a:pPr>
                  <a:defRPr lang="fa-I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paper.xlsx]Sheet1'!$M$55:$M$57</c:f>
              <c:strCache>
                <c:ptCount val="3"/>
                <c:pt idx="0">
                  <c:v>Zn1</c:v>
                </c:pt>
                <c:pt idx="1">
                  <c:v>Zn2</c:v>
                </c:pt>
                <c:pt idx="2">
                  <c:v>Zn3</c:v>
                </c:pt>
              </c:strCache>
            </c:strRef>
          </c:cat>
          <c:val>
            <c:numRef>
              <c:f>'[for paper.xlsx]Sheet1'!$O$55:$O$57</c:f>
              <c:numCache>
                <c:formatCode>General</c:formatCode>
                <c:ptCount val="3"/>
                <c:pt idx="0">
                  <c:v>17.02</c:v>
                </c:pt>
                <c:pt idx="1">
                  <c:v>13.09</c:v>
                </c:pt>
                <c:pt idx="2">
                  <c:v>10.719999999999999</c:v>
                </c:pt>
              </c:numCache>
            </c:numRef>
          </c:val>
        </c:ser>
        <c:gapWidth val="219"/>
        <c:overlap val="-27"/>
        <c:axId val="195103744"/>
        <c:axId val="192910080"/>
      </c:barChart>
      <c:catAx>
        <c:axId val="195103744"/>
        <c:scaling>
          <c:orientation val="minMax"/>
        </c:scaling>
        <c:axPos val="b"/>
        <c:numFmt formatCode="General" sourceLinked="1"/>
        <c:tickLblPos val="nextTo"/>
        <c:spPr>
          <a:noFill/>
          <a:ln w="9525" cap="flat" cmpd="sng" algn="ctr">
            <a:solidFill>
              <a:schemeClr val="tx1"/>
            </a:solidFill>
            <a:round/>
          </a:ln>
          <a:effectLst/>
        </c:spPr>
        <c:txPr>
          <a:bodyPr rot="-60000000" vert="horz"/>
          <a:lstStyle/>
          <a:p>
            <a:pPr>
              <a:defRPr lang="fa-IR"/>
            </a:pPr>
            <a:endParaRPr lang="en-US"/>
          </a:p>
        </c:txPr>
        <c:crossAx val="192910080"/>
        <c:crosses val="autoZero"/>
        <c:auto val="1"/>
        <c:lblAlgn val="ctr"/>
        <c:lblOffset val="100"/>
      </c:catAx>
      <c:valAx>
        <c:axId val="192910080"/>
        <c:scaling>
          <c:orientation val="minMax"/>
          <c:max val="25"/>
        </c:scaling>
        <c:axPos val="l"/>
        <c:title>
          <c:tx>
            <c:rich>
              <a:bodyPr rot="-5400000" vert="horz"/>
              <a:lstStyle/>
              <a:p>
                <a:pPr>
                  <a:defRPr lang="fa-IR"/>
                </a:pPr>
                <a:r>
                  <a:rPr lang="en-US" b="0"/>
                  <a:t>Biological yield (ton/ha)</a:t>
                </a:r>
              </a:p>
            </c:rich>
          </c:tx>
          <c:layout>
            <c:manualLayout>
              <c:xMode val="edge"/>
              <c:yMode val="edge"/>
              <c:x val="2.487772728849437E-3"/>
              <c:y val="0.26662350868809004"/>
            </c:manualLayout>
          </c:layout>
          <c:spPr>
            <a:noFill/>
            <a:ln>
              <a:noFill/>
            </a:ln>
            <a:effectLst/>
          </c:spPr>
        </c:title>
        <c:numFmt formatCode="General" sourceLinked="1"/>
        <c:tickLblPos val="nextTo"/>
        <c:spPr>
          <a:noFill/>
          <a:ln>
            <a:solidFill>
              <a:schemeClr val="tx1"/>
            </a:solidFill>
          </a:ln>
          <a:effectLst/>
        </c:spPr>
        <c:txPr>
          <a:bodyPr rot="-60000000" vert="horz"/>
          <a:lstStyle/>
          <a:p>
            <a:pPr>
              <a:defRPr lang="fa-IR"/>
            </a:pPr>
            <a:endParaRPr lang="en-US"/>
          </a:p>
        </c:txPr>
        <c:crossAx val="195103744"/>
        <c:crosses val="autoZero"/>
        <c:crossBetween val="between"/>
        <c:majorUnit val="5"/>
      </c:valAx>
      <c:spPr>
        <a:noFill/>
        <a:ln>
          <a:noFill/>
        </a:ln>
        <a:effectLst/>
      </c:spPr>
    </c:plotArea>
    <c:legend>
      <c:legendPos val="b"/>
      <c:layout>
        <c:manualLayout>
          <c:xMode val="edge"/>
          <c:yMode val="edge"/>
          <c:x val="0.17585664748649107"/>
          <c:y val="0.14163101851851839"/>
          <c:w val="0.73408564814815025"/>
          <c:h val="7.8125546806649168E-2"/>
        </c:manualLayout>
      </c:layout>
      <c:spPr>
        <a:noFill/>
        <a:ln>
          <a:noFill/>
        </a:ln>
        <a:effectLst/>
      </c:spPr>
      <c:txPr>
        <a:bodyPr rot="0" vert="horz"/>
        <a:lstStyle/>
        <a:p>
          <a:pPr>
            <a:defRPr lang="fa-IR"/>
          </a:pPr>
          <a:endParaRPr lang="en-US"/>
        </a:p>
      </c:txPr>
    </c:legend>
    <c:plotVisOnly val="1"/>
    <c:dispBlanksAs val="gap"/>
  </c:chart>
  <c:spPr>
    <a:solidFill>
      <a:schemeClr val="bg1"/>
    </a:solidFill>
    <a:ln w="9525" cap="flat" cmpd="sng" algn="ctr">
      <a:noFill/>
      <a:round/>
    </a:ln>
    <a:effectLst/>
  </c:spPr>
  <c:txPr>
    <a:bodyPr/>
    <a:lstStyle/>
    <a:p>
      <a:pPr>
        <a:defRPr sz="800" baseline="0">
          <a:latin typeface="Times New Roman" panose="02020603050405020304" pitchFamily="18" charset="0"/>
          <a:cs typeface="Times New Roman" panose="02020603050405020304" pitchFamily="18" charset="0"/>
        </a:defRPr>
      </a:pPr>
      <a:endParaRPr lang="en-US"/>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vert="horz"/>
          <a:lstStyle/>
          <a:p>
            <a:pPr>
              <a:defRPr lang="fa-IR"/>
            </a:pPr>
            <a:r>
              <a:rPr lang="en-US"/>
              <a:t>A</a:t>
            </a:r>
          </a:p>
        </c:rich>
      </c:tx>
      <c:layout>
        <c:manualLayout>
          <c:xMode val="edge"/>
          <c:yMode val="edge"/>
          <c:x val="0.88650730178395487"/>
          <c:y val="9.9734722222222391E-2"/>
        </c:manualLayout>
      </c:layout>
      <c:spPr>
        <a:noFill/>
        <a:ln>
          <a:noFill/>
        </a:ln>
        <a:effectLst/>
      </c:spPr>
    </c:title>
    <c:plotArea>
      <c:layout>
        <c:manualLayout>
          <c:layoutTarget val="inner"/>
          <c:xMode val="edge"/>
          <c:yMode val="edge"/>
          <c:x val="0.16162453703703702"/>
          <c:y val="0.18259881417434026"/>
          <c:w val="0.82373148148148334"/>
          <c:h val="0.70360538266050376"/>
        </c:manualLayout>
      </c:layout>
      <c:barChart>
        <c:barDir val="col"/>
        <c:grouping val="clustered"/>
        <c:ser>
          <c:idx val="0"/>
          <c:order val="0"/>
          <c:tx>
            <c:strRef>
              <c:f>'[for paper.xlsx]Sheet1'!$N$5</c:f>
              <c:strCache>
                <c:ptCount val="1"/>
                <c:pt idx="0">
                  <c:v>inoculation </c:v>
                </c:pt>
              </c:strCache>
            </c:strRef>
          </c:tx>
          <c:spPr>
            <a:pattFill prst="ltHorz">
              <a:fgClr>
                <a:schemeClr val="tx1"/>
              </a:fgClr>
              <a:bgClr>
                <a:schemeClr val="bg1"/>
              </a:bgClr>
            </a:pattFill>
            <a:ln>
              <a:solidFill>
                <a:schemeClr val="tx1"/>
              </a:solidFill>
            </a:ln>
            <a:effectLst/>
          </c:spPr>
          <c:dLbls>
            <c:dLbl>
              <c:idx val="0"/>
              <c:layout>
                <c:manualLayout>
                  <c:x val="-5.8737151248164834E-3"/>
                  <c:y val="-2.7116610423697191E-2"/>
                </c:manualLayout>
              </c:layout>
              <c:tx>
                <c:rich>
                  <a:bodyPr/>
                  <a:lstStyle/>
                  <a:p>
                    <a:r>
                      <a:rPr lang="en-US"/>
                      <a:t>b</a:t>
                    </a:r>
                  </a:p>
                </c:rich>
              </c:tx>
              <c:dLblPos val="outEnd"/>
              <c:showVal val="1"/>
              <c:extLst>
                <c:ext xmlns:c15="http://schemas.microsoft.com/office/drawing/2012/chart" uri="{CE6537A1-D6FC-4f65-9D91-7224C49458BB}"/>
              </c:extLst>
            </c:dLbl>
            <c:dLbl>
              <c:idx val="1"/>
              <c:layout>
                <c:manualLayout>
                  <c:x val="0"/>
                  <c:y val="-2.777777777777795E-2"/>
                </c:manualLayout>
              </c:layout>
              <c:tx>
                <c:rich>
                  <a:bodyPr/>
                  <a:lstStyle/>
                  <a:p>
                    <a:r>
                      <a:rPr lang="en-US"/>
                      <a:t>c</a:t>
                    </a:r>
                  </a:p>
                </c:rich>
              </c:tx>
              <c:dLblPos val="outEnd"/>
              <c:showVal val="1"/>
              <c:extLst>
                <c:ext xmlns:c15="http://schemas.microsoft.com/office/drawing/2012/chart" uri="{CE6537A1-D6FC-4f65-9D91-7224C49458BB}"/>
              </c:extLst>
            </c:dLbl>
            <c:dLbl>
              <c:idx val="2"/>
              <c:layout>
                <c:manualLayout>
                  <c:x val="2.487310231595622E-3"/>
                  <c:y val="-1.8298268272021554E-2"/>
                </c:manualLayout>
              </c:layout>
              <c:tx>
                <c:rich>
                  <a:bodyPr/>
                  <a:lstStyle/>
                  <a:p>
                    <a:r>
                      <a:rPr lang="en-US"/>
                      <a:t>bc</a:t>
                    </a:r>
                  </a:p>
                </c:rich>
              </c:tx>
              <c:dLblPos val="outEnd"/>
              <c:showVal val="1"/>
              <c:extLst>
                <c:ext xmlns:c15="http://schemas.microsoft.com/office/drawing/2012/chart" uri="{CE6537A1-D6FC-4f65-9D91-7224C49458BB}"/>
              </c:extLst>
            </c:dLbl>
            <c:spPr>
              <a:noFill/>
              <a:ln>
                <a:noFill/>
              </a:ln>
              <a:effectLst/>
            </c:spPr>
            <c:txPr>
              <a:bodyPr rot="0" vert="horz"/>
              <a:lstStyle/>
              <a:p>
                <a:pPr>
                  <a:defRPr lang="fa-I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paper.xlsx]Sheet1'!$M$6:$M$8</c:f>
              <c:strCache>
                <c:ptCount val="3"/>
                <c:pt idx="0">
                  <c:v>Zn1</c:v>
                </c:pt>
                <c:pt idx="1">
                  <c:v>Zn2</c:v>
                </c:pt>
                <c:pt idx="2">
                  <c:v>Zn3</c:v>
                </c:pt>
              </c:strCache>
            </c:strRef>
          </c:cat>
          <c:val>
            <c:numRef>
              <c:f>'[for paper.xlsx]Sheet1'!$N$6:$N$8</c:f>
              <c:numCache>
                <c:formatCode>General</c:formatCode>
                <c:ptCount val="3"/>
                <c:pt idx="0">
                  <c:v>11.32</c:v>
                </c:pt>
                <c:pt idx="1">
                  <c:v>8.6</c:v>
                </c:pt>
                <c:pt idx="2">
                  <c:v>9.19</c:v>
                </c:pt>
              </c:numCache>
            </c:numRef>
          </c:val>
        </c:ser>
        <c:ser>
          <c:idx val="1"/>
          <c:order val="1"/>
          <c:tx>
            <c:strRef>
              <c:f>'[for paper.xlsx]Sheet1'!$O$5</c:f>
              <c:strCache>
                <c:ptCount val="1"/>
                <c:pt idx="0">
                  <c:v>non-inoculation </c:v>
                </c:pt>
              </c:strCache>
            </c:strRef>
          </c:tx>
          <c:spPr>
            <a:pattFill prst="lgCheck">
              <a:fgClr>
                <a:schemeClr val="tx1"/>
              </a:fgClr>
              <a:bgClr>
                <a:schemeClr val="bg1"/>
              </a:bgClr>
            </a:pattFill>
            <a:ln>
              <a:solidFill>
                <a:schemeClr val="tx1"/>
              </a:solidFill>
            </a:ln>
            <a:effectLst/>
          </c:spPr>
          <c:dLbls>
            <c:dLbl>
              <c:idx val="0"/>
              <c:layout>
                <c:manualLayout>
                  <c:x val="0"/>
                  <c:y val="-2.7337138413254077E-2"/>
                </c:manualLayout>
              </c:layout>
              <c:tx>
                <c:rich>
                  <a:bodyPr/>
                  <a:lstStyle/>
                  <a:p>
                    <a:r>
                      <a:rPr lang="en-US"/>
                      <a:t>a</a:t>
                    </a:r>
                  </a:p>
                </c:rich>
              </c:tx>
              <c:showVal val="1"/>
              <c:extLst>
                <c:ext xmlns:c15="http://schemas.microsoft.com/office/drawing/2012/chart" uri="{CE6537A1-D6FC-4f65-9D91-7224C49458BB}"/>
              </c:extLst>
            </c:dLbl>
            <c:dLbl>
              <c:idx val="1"/>
              <c:layout>
                <c:manualLayout>
                  <c:x val="5.8737151248164504E-3"/>
                  <c:y val="-3.4394034079073446E-2"/>
                </c:manualLayout>
              </c:layout>
              <c:tx>
                <c:rich>
                  <a:bodyPr/>
                  <a:lstStyle/>
                  <a:p>
                    <a:r>
                      <a:rPr lang="en-US"/>
                      <a:t>b</a:t>
                    </a:r>
                  </a:p>
                </c:rich>
              </c:tx>
              <c:showVal val="1"/>
              <c:extLst>
                <c:ext xmlns:c15="http://schemas.microsoft.com/office/drawing/2012/chart" uri="{CE6537A1-D6FC-4f65-9D91-7224C49458BB}"/>
              </c:extLst>
            </c:dLbl>
            <c:dLbl>
              <c:idx val="2"/>
              <c:layout>
                <c:manualLayout>
                  <c:x val="-4.6249725392255468E-7"/>
                  <c:y val="-2.7116610423697042E-2"/>
                </c:manualLayout>
              </c:layout>
              <c:tx>
                <c:rich>
                  <a:bodyPr/>
                  <a:lstStyle/>
                  <a:p>
                    <a:r>
                      <a:rPr lang="en-US"/>
                      <a:t>c</a:t>
                    </a:r>
                  </a:p>
                </c:rich>
              </c:tx>
              <c:showVal val="1"/>
              <c:extLst>
                <c:ext xmlns:c15="http://schemas.microsoft.com/office/drawing/2012/chart" uri="{CE6537A1-D6FC-4f65-9D91-7224C49458BB}"/>
              </c:extLst>
            </c:dLbl>
            <c:spPr>
              <a:noFill/>
              <a:ln>
                <a:noFill/>
              </a:ln>
              <a:effectLst/>
            </c:spPr>
            <c:txPr>
              <a:bodyPr rot="0" vert="horz"/>
              <a:lstStyle/>
              <a:p>
                <a:pPr>
                  <a:defRPr lang="fa-IR"/>
                </a:pPr>
                <a:endParaRPr lang="en-US"/>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paper.xlsx]Sheet1'!$M$6:$M$8</c:f>
              <c:strCache>
                <c:ptCount val="3"/>
                <c:pt idx="0">
                  <c:v>Zn1</c:v>
                </c:pt>
                <c:pt idx="1">
                  <c:v>Zn2</c:v>
                </c:pt>
                <c:pt idx="2">
                  <c:v>Zn3</c:v>
                </c:pt>
              </c:strCache>
            </c:strRef>
          </c:cat>
          <c:val>
            <c:numRef>
              <c:f>'[for paper.xlsx]Sheet1'!$O$6:$O$8</c:f>
              <c:numCache>
                <c:formatCode>General</c:formatCode>
                <c:ptCount val="3"/>
                <c:pt idx="0">
                  <c:v>16.89</c:v>
                </c:pt>
                <c:pt idx="1">
                  <c:v>10.41</c:v>
                </c:pt>
                <c:pt idx="2">
                  <c:v>8.3000000000000007</c:v>
                </c:pt>
              </c:numCache>
            </c:numRef>
          </c:val>
        </c:ser>
        <c:gapWidth val="219"/>
        <c:overlap val="-27"/>
        <c:axId val="193296640"/>
        <c:axId val="193314816"/>
      </c:barChart>
      <c:catAx>
        <c:axId val="193296640"/>
        <c:scaling>
          <c:orientation val="minMax"/>
        </c:scaling>
        <c:axPos val="b"/>
        <c:numFmt formatCode="General" sourceLinked="1"/>
        <c:tickLblPos val="nextTo"/>
        <c:spPr>
          <a:noFill/>
          <a:ln w="9525" cap="flat" cmpd="sng" algn="ctr">
            <a:solidFill>
              <a:schemeClr val="tx1"/>
            </a:solidFill>
            <a:round/>
          </a:ln>
          <a:effectLst/>
        </c:spPr>
        <c:txPr>
          <a:bodyPr rot="-60000000" vert="horz"/>
          <a:lstStyle/>
          <a:p>
            <a:pPr>
              <a:defRPr lang="fa-IR"/>
            </a:pPr>
            <a:endParaRPr lang="en-US"/>
          </a:p>
        </c:txPr>
        <c:crossAx val="193314816"/>
        <c:crosses val="autoZero"/>
        <c:auto val="1"/>
        <c:lblAlgn val="ctr"/>
        <c:lblOffset val="100"/>
      </c:catAx>
      <c:valAx>
        <c:axId val="193314816"/>
        <c:scaling>
          <c:orientation val="minMax"/>
        </c:scaling>
        <c:axPos val="l"/>
        <c:title>
          <c:tx>
            <c:rich>
              <a:bodyPr rot="-5400000" vert="horz"/>
              <a:lstStyle/>
              <a:p>
                <a:pPr>
                  <a:defRPr lang="fa-IR" b="0"/>
                </a:pPr>
                <a:r>
                  <a:rPr lang="en-US" b="0"/>
                  <a:t>Biological yield (ton/ha)</a:t>
                </a:r>
              </a:p>
            </c:rich>
          </c:tx>
          <c:spPr>
            <a:noFill/>
            <a:ln>
              <a:noFill/>
            </a:ln>
            <a:effectLst/>
          </c:spPr>
        </c:title>
        <c:numFmt formatCode="General" sourceLinked="1"/>
        <c:tickLblPos val="nextTo"/>
        <c:spPr>
          <a:noFill/>
          <a:ln>
            <a:solidFill>
              <a:schemeClr val="tx1"/>
            </a:solidFill>
          </a:ln>
          <a:effectLst/>
        </c:spPr>
        <c:txPr>
          <a:bodyPr rot="-60000000" vert="horz"/>
          <a:lstStyle/>
          <a:p>
            <a:pPr>
              <a:defRPr lang="fa-IR"/>
            </a:pPr>
            <a:endParaRPr lang="en-US"/>
          </a:p>
        </c:txPr>
        <c:crossAx val="193296640"/>
        <c:crosses val="autoZero"/>
        <c:crossBetween val="between"/>
      </c:valAx>
      <c:spPr>
        <a:noFill/>
        <a:ln>
          <a:noFill/>
        </a:ln>
        <a:effectLst/>
      </c:spPr>
    </c:plotArea>
    <c:legend>
      <c:legendPos val="r"/>
      <c:layout>
        <c:manualLayout>
          <c:xMode val="edge"/>
          <c:yMode val="edge"/>
          <c:x val="0.16222580749548121"/>
          <c:y val="4.9313888888888935E-2"/>
          <c:w val="0.75706388888888965"/>
          <c:h val="6.4528888888888886E-2"/>
        </c:manualLayout>
      </c:layout>
      <c:spPr>
        <a:noFill/>
        <a:ln>
          <a:noFill/>
        </a:ln>
        <a:effectLst/>
      </c:spPr>
      <c:txPr>
        <a:bodyPr rot="0" vert="horz"/>
        <a:lstStyle/>
        <a:p>
          <a:pPr>
            <a:defRPr lang="fa-IR"/>
          </a:pPr>
          <a:endParaRPr lang="en-US"/>
        </a:p>
      </c:txPr>
    </c:legend>
    <c:plotVisOnly val="1"/>
    <c:dispBlanksAs val="gap"/>
  </c:chart>
  <c:spPr>
    <a:solidFill>
      <a:schemeClr val="bg1"/>
    </a:solidFill>
    <a:ln w="9525" cap="flat" cmpd="sng" algn="ctr">
      <a:noFill/>
      <a:round/>
    </a:ln>
    <a:effectLst/>
  </c:spPr>
  <c:txPr>
    <a:bodyPr/>
    <a:lstStyle/>
    <a:p>
      <a:pPr>
        <a:defRPr sz="800" baseline="0">
          <a:solidFill>
            <a:schemeClr val="tx1"/>
          </a:solidFill>
          <a:latin typeface="Times New Roman" panose="02020603050405020304" pitchFamily="18" charset="0"/>
          <a:cs typeface="Times New Roman" panose="02020603050405020304" pitchFamily="18" charset="0"/>
        </a:defRPr>
      </a:pPr>
      <a:endParaRPr lang="en-US"/>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vert="horz"/>
          <a:lstStyle/>
          <a:p>
            <a:pPr>
              <a:defRPr lang="fa-IR"/>
            </a:pPr>
            <a:r>
              <a:rPr lang="en-US"/>
              <a:t>B</a:t>
            </a:r>
          </a:p>
        </c:rich>
      </c:tx>
      <c:layout>
        <c:manualLayout>
          <c:xMode val="edge"/>
          <c:yMode val="edge"/>
          <c:x val="0.89523846946841901"/>
          <c:y val="0.1091421296296297"/>
        </c:manualLayout>
      </c:layout>
      <c:spPr>
        <a:noFill/>
        <a:ln>
          <a:noFill/>
        </a:ln>
        <a:effectLst/>
      </c:spPr>
    </c:title>
    <c:plotArea>
      <c:layout>
        <c:manualLayout>
          <c:layoutTarget val="inner"/>
          <c:xMode val="edge"/>
          <c:yMode val="edge"/>
          <c:x val="0.17385509259259352"/>
          <c:y val="0.16071883040025794"/>
          <c:w val="0.81438564814814862"/>
          <c:h val="0.73262453304448583"/>
        </c:manualLayout>
      </c:layout>
      <c:barChart>
        <c:barDir val="col"/>
        <c:grouping val="clustered"/>
        <c:ser>
          <c:idx val="0"/>
          <c:order val="0"/>
          <c:tx>
            <c:strRef>
              <c:f>'[for paper.xlsx]Sheet1'!$N$29</c:f>
              <c:strCache>
                <c:ptCount val="1"/>
                <c:pt idx="0">
                  <c:v>inoculation </c:v>
                </c:pt>
              </c:strCache>
            </c:strRef>
          </c:tx>
          <c:spPr>
            <a:pattFill prst="ltHorz">
              <a:fgClr>
                <a:schemeClr val="tx1"/>
              </a:fgClr>
              <a:bgClr>
                <a:schemeClr val="bg1"/>
              </a:bgClr>
            </a:pattFill>
            <a:ln>
              <a:solidFill>
                <a:schemeClr val="tx1"/>
              </a:solidFill>
            </a:ln>
            <a:effectLst/>
          </c:spPr>
          <c:dLbls>
            <c:dLbl>
              <c:idx val="0"/>
              <c:layout>
                <c:manualLayout>
                  <c:x val="-5.3841766659468662E-17"/>
                  <c:y val="-1.2851726867474898E-2"/>
                </c:manualLayout>
              </c:layout>
              <c:tx>
                <c:rich>
                  <a:bodyPr/>
                  <a:lstStyle/>
                  <a:p>
                    <a:r>
                      <a:rPr lang="en-US"/>
                      <a:t>a</a:t>
                    </a:r>
                  </a:p>
                </c:rich>
              </c:tx>
              <c:dLblPos val="outEnd"/>
              <c:showVal val="1"/>
              <c:extLst>
                <c:ext xmlns:c15="http://schemas.microsoft.com/office/drawing/2012/chart" uri="{CE6537A1-D6FC-4f65-9D91-7224C49458BB}"/>
              </c:extLst>
            </c:dLbl>
            <c:dLbl>
              <c:idx val="1"/>
              <c:layout>
                <c:manualLayout>
                  <c:x val="-5.8737151248164504E-3"/>
                  <c:y val="-3.2079878904026145E-2"/>
                </c:manualLayout>
              </c:layout>
              <c:tx>
                <c:rich>
                  <a:bodyPr/>
                  <a:lstStyle/>
                  <a:p>
                    <a:r>
                      <a:rPr lang="en-US"/>
                      <a:t>b</a:t>
                    </a:r>
                  </a:p>
                </c:rich>
              </c:tx>
              <c:dLblPos val="outEnd"/>
              <c:showVal val="1"/>
              <c:extLst>
                <c:ext xmlns:c15="http://schemas.microsoft.com/office/drawing/2012/chart" uri="{CE6537A1-D6FC-4f65-9D91-7224C49458BB}"/>
              </c:extLst>
            </c:dLbl>
            <c:dLbl>
              <c:idx val="2"/>
              <c:layout>
                <c:manualLayout>
                  <c:x val="-1.0768353331893746E-16"/>
                  <c:y val="-1.721284839395076E-2"/>
                </c:manualLayout>
              </c:layout>
              <c:tx>
                <c:rich>
                  <a:bodyPr/>
                  <a:lstStyle/>
                  <a:p>
                    <a:r>
                      <a:rPr lang="en-US"/>
                      <a:t>d</a:t>
                    </a:r>
                  </a:p>
                </c:rich>
              </c:tx>
              <c:dLblPos val="outEnd"/>
              <c:showVal val="1"/>
              <c:extLst>
                <c:ext xmlns:c15="http://schemas.microsoft.com/office/drawing/2012/chart" uri="{CE6537A1-D6FC-4f65-9D91-7224C49458BB}"/>
              </c:extLst>
            </c:dLbl>
            <c:spPr>
              <a:noFill/>
              <a:ln>
                <a:noFill/>
              </a:ln>
              <a:effectLst/>
            </c:spPr>
            <c:txPr>
              <a:bodyPr rot="0" vert="horz"/>
              <a:lstStyle/>
              <a:p>
                <a:pPr>
                  <a:defRPr lang="fa-I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paper.xlsx]Sheet1'!$M$30:$M$32</c:f>
              <c:strCache>
                <c:ptCount val="3"/>
                <c:pt idx="0">
                  <c:v>Zn1</c:v>
                </c:pt>
                <c:pt idx="1">
                  <c:v>Zn2</c:v>
                </c:pt>
                <c:pt idx="2">
                  <c:v>Zn3</c:v>
                </c:pt>
              </c:strCache>
            </c:strRef>
          </c:cat>
          <c:val>
            <c:numRef>
              <c:f>'[for paper.xlsx]Sheet1'!$N$30:$N$32</c:f>
              <c:numCache>
                <c:formatCode>General</c:formatCode>
                <c:ptCount val="3"/>
                <c:pt idx="0">
                  <c:v>19.36</c:v>
                </c:pt>
                <c:pt idx="1">
                  <c:v>13.48</c:v>
                </c:pt>
                <c:pt idx="2">
                  <c:v>8.620000000000001</c:v>
                </c:pt>
              </c:numCache>
            </c:numRef>
          </c:val>
        </c:ser>
        <c:ser>
          <c:idx val="1"/>
          <c:order val="1"/>
          <c:tx>
            <c:strRef>
              <c:f>'[for paper.xlsx]Sheet1'!$O$29</c:f>
              <c:strCache>
                <c:ptCount val="1"/>
                <c:pt idx="0">
                  <c:v>non-inoculation </c:v>
                </c:pt>
              </c:strCache>
            </c:strRef>
          </c:tx>
          <c:spPr>
            <a:pattFill prst="lgCheck">
              <a:fgClr>
                <a:schemeClr val="tx1"/>
              </a:fgClr>
              <a:bgClr>
                <a:schemeClr val="bg1"/>
              </a:bgClr>
            </a:pattFill>
            <a:ln>
              <a:solidFill>
                <a:schemeClr val="tx1"/>
              </a:solidFill>
            </a:ln>
            <a:effectLst/>
          </c:spPr>
          <c:dLbls>
            <c:dLbl>
              <c:idx val="0"/>
              <c:layout>
                <c:manualLayout>
                  <c:x val="-2.4877727288494431E-3"/>
                  <c:y val="-1.1689094418753205E-2"/>
                </c:manualLayout>
              </c:layout>
              <c:tx>
                <c:rich>
                  <a:bodyPr/>
                  <a:lstStyle/>
                  <a:p>
                    <a:r>
                      <a:rPr lang="en-US"/>
                      <a:t>cd</a:t>
                    </a:r>
                  </a:p>
                </c:rich>
              </c:tx>
              <c:dLblPos val="outEnd"/>
              <c:showVal val="1"/>
              <c:extLst>
                <c:ext xmlns:c15="http://schemas.microsoft.com/office/drawing/2012/chart" uri="{CE6537A1-D6FC-4f65-9D91-7224C49458BB}"/>
              </c:extLst>
            </c:dLbl>
            <c:dLbl>
              <c:idx val="1"/>
              <c:layout>
                <c:manualLayout>
                  <c:x val="-9.1209559938055289E-17"/>
                  <c:y val="-4.8661800486618015E-2"/>
                </c:manualLayout>
              </c:layout>
              <c:tx>
                <c:rich>
                  <a:bodyPr/>
                  <a:lstStyle/>
                  <a:p>
                    <a:r>
                      <a:rPr lang="en-US"/>
                      <a:t>d</a:t>
                    </a:r>
                  </a:p>
                </c:rich>
              </c:tx>
              <c:dLblPos val="outEnd"/>
              <c:showVal val="1"/>
              <c:extLst>
                <c:ext xmlns:c15="http://schemas.microsoft.com/office/drawing/2012/chart" uri="{CE6537A1-D6FC-4f65-9D91-7224C49458BB}"/>
              </c:extLst>
            </c:dLbl>
            <c:dLbl>
              <c:idx val="2"/>
              <c:layout>
                <c:manualLayout>
                  <c:x val="-1.8241911987611075E-16"/>
                  <c:y val="-5.8394160583941819E-2"/>
                </c:manualLayout>
              </c:layout>
              <c:tx>
                <c:rich>
                  <a:bodyPr/>
                  <a:lstStyle/>
                  <a:p>
                    <a:r>
                      <a:rPr lang="en-US"/>
                      <a:t>c</a:t>
                    </a:r>
                  </a:p>
                </c:rich>
              </c:tx>
              <c:dLblPos val="outEnd"/>
              <c:showVal val="1"/>
              <c:extLst>
                <c:ext xmlns:c15="http://schemas.microsoft.com/office/drawing/2012/chart" uri="{CE6537A1-D6FC-4f65-9D91-7224C49458BB}"/>
              </c:extLst>
            </c:dLbl>
            <c:spPr>
              <a:noFill/>
              <a:ln>
                <a:noFill/>
              </a:ln>
              <a:effectLst/>
            </c:spPr>
            <c:txPr>
              <a:bodyPr rot="0" vert="horz"/>
              <a:lstStyle/>
              <a:p>
                <a:pPr>
                  <a:defRPr lang="fa-I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paper.xlsx]Sheet1'!$M$30:$M$32</c:f>
              <c:strCache>
                <c:ptCount val="3"/>
                <c:pt idx="0">
                  <c:v>Zn1</c:v>
                </c:pt>
                <c:pt idx="1">
                  <c:v>Zn2</c:v>
                </c:pt>
                <c:pt idx="2">
                  <c:v>Zn3</c:v>
                </c:pt>
              </c:strCache>
            </c:strRef>
          </c:cat>
          <c:val>
            <c:numRef>
              <c:f>'[for paper.xlsx]Sheet1'!$O$30:$O$32</c:f>
              <c:numCache>
                <c:formatCode>General</c:formatCode>
                <c:ptCount val="3"/>
                <c:pt idx="0">
                  <c:v>10.67</c:v>
                </c:pt>
                <c:pt idx="1">
                  <c:v>8.91</c:v>
                </c:pt>
                <c:pt idx="2">
                  <c:v>11.15</c:v>
                </c:pt>
              </c:numCache>
            </c:numRef>
          </c:val>
        </c:ser>
        <c:dLbls>
          <c:showVal val="1"/>
        </c:dLbls>
        <c:gapWidth val="219"/>
        <c:overlap val="-27"/>
        <c:axId val="193361408"/>
        <c:axId val="193362944"/>
      </c:barChart>
      <c:catAx>
        <c:axId val="193361408"/>
        <c:scaling>
          <c:orientation val="minMax"/>
        </c:scaling>
        <c:axPos val="b"/>
        <c:numFmt formatCode="General" sourceLinked="1"/>
        <c:tickLblPos val="nextTo"/>
        <c:spPr>
          <a:noFill/>
          <a:ln w="9525" cap="flat" cmpd="sng" algn="ctr">
            <a:solidFill>
              <a:schemeClr val="tx1"/>
            </a:solidFill>
            <a:round/>
          </a:ln>
          <a:effectLst/>
        </c:spPr>
        <c:txPr>
          <a:bodyPr rot="-60000000" vert="horz"/>
          <a:lstStyle/>
          <a:p>
            <a:pPr>
              <a:defRPr lang="fa-IR"/>
            </a:pPr>
            <a:endParaRPr lang="en-US"/>
          </a:p>
        </c:txPr>
        <c:crossAx val="193362944"/>
        <c:crosses val="autoZero"/>
        <c:auto val="1"/>
        <c:lblAlgn val="ctr"/>
        <c:lblOffset val="100"/>
      </c:catAx>
      <c:valAx>
        <c:axId val="193362944"/>
        <c:scaling>
          <c:orientation val="minMax"/>
        </c:scaling>
        <c:axPos val="l"/>
        <c:title>
          <c:tx>
            <c:rich>
              <a:bodyPr rot="-5400000" vert="horz"/>
              <a:lstStyle/>
              <a:p>
                <a:pPr>
                  <a:defRPr lang="fa-IR" b="0"/>
                </a:pPr>
                <a:r>
                  <a:rPr lang="en-US" b="0"/>
                  <a:t>Biological yield (ton/ha) </a:t>
                </a:r>
              </a:p>
            </c:rich>
          </c:tx>
          <c:layout>
            <c:manualLayout>
              <c:xMode val="edge"/>
              <c:yMode val="edge"/>
              <c:x val="3.8444444444444472E-3"/>
              <c:y val="0.1967366666666667"/>
            </c:manualLayout>
          </c:layout>
          <c:spPr>
            <a:noFill/>
            <a:ln>
              <a:noFill/>
            </a:ln>
            <a:effectLst/>
          </c:spPr>
        </c:title>
        <c:numFmt formatCode="General" sourceLinked="1"/>
        <c:tickLblPos val="nextTo"/>
        <c:spPr>
          <a:noFill/>
          <a:ln>
            <a:solidFill>
              <a:schemeClr val="tx1"/>
            </a:solidFill>
          </a:ln>
          <a:effectLst/>
        </c:spPr>
        <c:txPr>
          <a:bodyPr rot="-60000000" vert="horz"/>
          <a:lstStyle/>
          <a:p>
            <a:pPr>
              <a:defRPr lang="fa-IR"/>
            </a:pPr>
            <a:endParaRPr lang="en-US"/>
          </a:p>
        </c:txPr>
        <c:crossAx val="193361408"/>
        <c:crosses val="autoZero"/>
        <c:crossBetween val="between"/>
      </c:valAx>
      <c:spPr>
        <a:noFill/>
        <a:ln>
          <a:noFill/>
        </a:ln>
        <a:effectLst/>
      </c:spPr>
    </c:plotArea>
    <c:legend>
      <c:legendPos val="b"/>
      <c:layout>
        <c:manualLayout>
          <c:xMode val="edge"/>
          <c:yMode val="edge"/>
          <c:x val="0.16176444754688737"/>
          <c:y val="3.9859259259259282E-2"/>
          <c:w val="0.77652777777777793"/>
          <c:h val="8.5251666666666767E-2"/>
        </c:manualLayout>
      </c:layout>
      <c:spPr>
        <a:noFill/>
        <a:ln>
          <a:noFill/>
        </a:ln>
        <a:effectLst/>
      </c:spPr>
      <c:txPr>
        <a:bodyPr rot="0" vert="horz"/>
        <a:lstStyle/>
        <a:p>
          <a:pPr>
            <a:defRPr lang="fa-IR"/>
          </a:pPr>
          <a:endParaRPr lang="en-US"/>
        </a:p>
      </c:txPr>
    </c:legend>
    <c:plotVisOnly val="1"/>
    <c:dispBlanksAs val="gap"/>
  </c:chart>
  <c:spPr>
    <a:solidFill>
      <a:schemeClr val="bg1"/>
    </a:solidFill>
    <a:ln w="9525" cap="flat" cmpd="sng" algn="ctr">
      <a:noFill/>
      <a:round/>
    </a:ln>
    <a:effectLst/>
  </c:spPr>
  <c:txPr>
    <a:bodyPr/>
    <a:lstStyle/>
    <a:p>
      <a:pPr algn="just">
        <a:defRPr sz="800" baseline="0">
          <a:latin typeface="Times New Roman" panose="02020603050405020304" pitchFamily="18" charset="0"/>
          <a:cs typeface="Times New Roman" panose="02020603050405020304" pitchFamily="18" charset="0"/>
        </a:defRPr>
      </a:pPr>
      <a:endParaRPr lang="en-US"/>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vert="horz"/>
          <a:lstStyle/>
          <a:p>
            <a:pPr>
              <a:defRPr lang="fa-IR"/>
            </a:pPr>
            <a:r>
              <a:rPr lang="en-US"/>
              <a:t>C</a:t>
            </a:r>
          </a:p>
        </c:rich>
      </c:tx>
      <c:layout>
        <c:manualLayout>
          <c:xMode val="edge"/>
          <c:yMode val="edge"/>
          <c:x val="0.88292644591039959"/>
          <c:y val="0.14855046296296309"/>
        </c:manualLayout>
      </c:layout>
      <c:spPr>
        <a:noFill/>
        <a:ln>
          <a:noFill/>
        </a:ln>
        <a:effectLst/>
      </c:spPr>
    </c:title>
    <c:plotArea>
      <c:layout>
        <c:manualLayout>
          <c:layoutTarget val="inner"/>
          <c:xMode val="edge"/>
          <c:yMode val="edge"/>
          <c:x val="0.16592129629629687"/>
          <c:y val="0.20368639523447021"/>
          <c:w val="0.80671574074074059"/>
          <c:h val="0.6896571261925597"/>
        </c:manualLayout>
      </c:layout>
      <c:barChart>
        <c:barDir val="col"/>
        <c:grouping val="clustered"/>
        <c:ser>
          <c:idx val="0"/>
          <c:order val="0"/>
          <c:tx>
            <c:strRef>
              <c:f>'[for paper.xlsx]Sheet1'!$N$54</c:f>
              <c:strCache>
                <c:ptCount val="1"/>
                <c:pt idx="0">
                  <c:v>inoculation </c:v>
                </c:pt>
              </c:strCache>
            </c:strRef>
          </c:tx>
          <c:spPr>
            <a:pattFill prst="ltHorz">
              <a:fgClr>
                <a:schemeClr val="tx1"/>
              </a:fgClr>
              <a:bgClr>
                <a:schemeClr val="bg1"/>
              </a:bgClr>
            </a:pattFill>
            <a:ln>
              <a:solidFill>
                <a:schemeClr val="tx1"/>
              </a:solidFill>
            </a:ln>
            <a:effectLst/>
          </c:spPr>
          <c:dLbls>
            <c:dLbl>
              <c:idx val="0"/>
              <c:layout>
                <c:manualLayout>
                  <c:x val="0"/>
                  <c:y val="-5.0925925925925923E-2"/>
                </c:manualLayout>
              </c:layout>
              <c:tx>
                <c:rich>
                  <a:bodyPr/>
                  <a:lstStyle/>
                  <a:p>
                    <a:r>
                      <a:rPr lang="en-US"/>
                      <a:t>a</a:t>
                    </a:r>
                  </a:p>
                </c:rich>
              </c:tx>
              <c:dLblPos val="outEnd"/>
              <c:showVal val="1"/>
              <c:extLst>
                <c:ext xmlns:c15="http://schemas.microsoft.com/office/drawing/2012/chart" uri="{CE6537A1-D6FC-4f65-9D91-7224C49458BB}"/>
              </c:extLst>
            </c:dLbl>
            <c:dLbl>
              <c:idx val="1"/>
              <c:layout>
                <c:manualLayout>
                  <c:x val="0"/>
                  <c:y val="-4.6296660834062434E-2"/>
                </c:manualLayout>
              </c:layout>
              <c:tx>
                <c:rich>
                  <a:bodyPr/>
                  <a:lstStyle/>
                  <a:p>
                    <a:r>
                      <a:rPr lang="en-US"/>
                      <a:t>b</a:t>
                    </a:r>
                  </a:p>
                </c:rich>
              </c:tx>
              <c:dLblPos val="outEnd"/>
              <c:showVal val="1"/>
              <c:extLst>
                <c:ext xmlns:c15="http://schemas.microsoft.com/office/drawing/2012/chart" uri="{CE6537A1-D6FC-4f65-9D91-7224C49458BB}"/>
              </c:extLst>
            </c:dLbl>
            <c:dLbl>
              <c:idx val="2"/>
              <c:layout>
                <c:manualLayout>
                  <c:x val="-9.1209559938054858E-17"/>
                  <c:y val="-4.1666666666666692E-2"/>
                </c:manualLayout>
              </c:layout>
              <c:tx>
                <c:rich>
                  <a:bodyPr/>
                  <a:lstStyle/>
                  <a:p>
                    <a:r>
                      <a:rPr lang="en-US"/>
                      <a:t>bc</a:t>
                    </a:r>
                  </a:p>
                </c:rich>
              </c:tx>
              <c:dLblPos val="outEnd"/>
              <c:showVal val="1"/>
              <c:extLst>
                <c:ext xmlns:c15="http://schemas.microsoft.com/office/drawing/2012/chart" uri="{CE6537A1-D6FC-4f65-9D91-7224C49458BB}"/>
              </c:extLst>
            </c:dLbl>
            <c:spPr>
              <a:noFill/>
              <a:ln>
                <a:noFill/>
              </a:ln>
              <a:effectLst/>
            </c:spPr>
            <c:txPr>
              <a:bodyPr rot="0" vert="horz"/>
              <a:lstStyle/>
              <a:p>
                <a:pPr>
                  <a:defRPr lang="fa-I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paper.xlsx]Sheet1'!$M$55:$M$57</c:f>
              <c:strCache>
                <c:ptCount val="3"/>
                <c:pt idx="0">
                  <c:v>Zn1</c:v>
                </c:pt>
                <c:pt idx="1">
                  <c:v>Zn2</c:v>
                </c:pt>
                <c:pt idx="2">
                  <c:v>Zn3</c:v>
                </c:pt>
              </c:strCache>
            </c:strRef>
          </c:cat>
          <c:val>
            <c:numRef>
              <c:f>'[for paper.xlsx]Sheet1'!$N$55:$N$57</c:f>
              <c:numCache>
                <c:formatCode>General</c:formatCode>
                <c:ptCount val="3"/>
                <c:pt idx="0">
                  <c:v>16.510000000000005</c:v>
                </c:pt>
                <c:pt idx="1">
                  <c:v>12.350000000000026</c:v>
                </c:pt>
                <c:pt idx="2">
                  <c:v>11.57</c:v>
                </c:pt>
              </c:numCache>
            </c:numRef>
          </c:val>
        </c:ser>
        <c:ser>
          <c:idx val="1"/>
          <c:order val="1"/>
          <c:tx>
            <c:strRef>
              <c:f>'[for paper.xlsx]Sheet1'!$O$54</c:f>
              <c:strCache>
                <c:ptCount val="1"/>
                <c:pt idx="0">
                  <c:v>non-inoculation </c:v>
                </c:pt>
              </c:strCache>
            </c:strRef>
          </c:tx>
          <c:spPr>
            <a:pattFill prst="lgCheck">
              <a:fgClr>
                <a:schemeClr val="tx1"/>
              </a:fgClr>
              <a:bgClr>
                <a:schemeClr val="bg1"/>
              </a:bgClr>
            </a:pattFill>
            <a:ln>
              <a:solidFill>
                <a:schemeClr val="tx1"/>
              </a:solidFill>
            </a:ln>
            <a:effectLst/>
          </c:spPr>
          <c:dLbls>
            <c:dLbl>
              <c:idx val="0"/>
              <c:layout>
                <c:manualLayout>
                  <c:x val="-2.4875621890547272E-3"/>
                  <c:y val="-5.0925925925925923E-2"/>
                </c:manualLayout>
              </c:layout>
              <c:tx>
                <c:rich>
                  <a:bodyPr/>
                  <a:lstStyle/>
                  <a:p>
                    <a:r>
                      <a:rPr lang="en-US"/>
                      <a:t>a</a:t>
                    </a:r>
                  </a:p>
                </c:rich>
              </c:tx>
              <c:dLblPos val="outEnd"/>
              <c:showVal val="1"/>
              <c:extLst>
                <c:ext xmlns:c15="http://schemas.microsoft.com/office/drawing/2012/chart" uri="{CE6537A1-D6FC-4f65-9D91-7224C49458BB}"/>
              </c:extLst>
            </c:dLbl>
            <c:dLbl>
              <c:idx val="1"/>
              <c:layout>
                <c:manualLayout>
                  <c:x val="0"/>
                  <c:y val="-4.629629629629646E-2"/>
                </c:manualLayout>
              </c:layout>
              <c:tx>
                <c:rich>
                  <a:bodyPr/>
                  <a:lstStyle/>
                  <a:p>
                    <a:r>
                      <a:rPr lang="en-US"/>
                      <a:t>b</a:t>
                    </a:r>
                  </a:p>
                </c:rich>
              </c:tx>
              <c:dLblPos val="outEnd"/>
              <c:showVal val="1"/>
              <c:extLst>
                <c:ext xmlns:c15="http://schemas.microsoft.com/office/drawing/2012/chart" uri="{CE6537A1-D6FC-4f65-9D91-7224C49458BB}"/>
              </c:extLst>
            </c:dLbl>
            <c:dLbl>
              <c:idx val="2"/>
              <c:layout>
                <c:manualLayout>
                  <c:x val="-1.8241911987610979E-16"/>
                  <c:y val="-5.5555555555555455E-2"/>
                </c:manualLayout>
              </c:layout>
              <c:tx>
                <c:rich>
                  <a:bodyPr/>
                  <a:lstStyle/>
                  <a:p>
                    <a:r>
                      <a:rPr lang="en-US"/>
                      <a:t>c</a:t>
                    </a:r>
                  </a:p>
                </c:rich>
              </c:tx>
              <c:dLblPos val="outEnd"/>
              <c:showVal val="1"/>
              <c:extLst>
                <c:ext xmlns:c15="http://schemas.microsoft.com/office/drawing/2012/chart" uri="{CE6537A1-D6FC-4f65-9D91-7224C49458BB}"/>
              </c:extLst>
            </c:dLbl>
            <c:spPr>
              <a:noFill/>
              <a:ln>
                <a:noFill/>
              </a:ln>
              <a:effectLst/>
            </c:spPr>
            <c:txPr>
              <a:bodyPr rot="0" vert="horz"/>
              <a:lstStyle/>
              <a:p>
                <a:pPr>
                  <a:defRPr lang="fa-I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 paper.xlsx]Sheet1'!$M$55:$M$57</c:f>
              <c:strCache>
                <c:ptCount val="3"/>
                <c:pt idx="0">
                  <c:v>Zn1</c:v>
                </c:pt>
                <c:pt idx="1">
                  <c:v>Zn2</c:v>
                </c:pt>
                <c:pt idx="2">
                  <c:v>Zn3</c:v>
                </c:pt>
              </c:strCache>
            </c:strRef>
          </c:cat>
          <c:val>
            <c:numRef>
              <c:f>'[for paper.xlsx]Sheet1'!$O$55:$O$57</c:f>
              <c:numCache>
                <c:formatCode>General</c:formatCode>
                <c:ptCount val="3"/>
                <c:pt idx="0">
                  <c:v>17.02</c:v>
                </c:pt>
                <c:pt idx="1">
                  <c:v>13.09</c:v>
                </c:pt>
                <c:pt idx="2">
                  <c:v>10.719999999999999</c:v>
                </c:pt>
              </c:numCache>
            </c:numRef>
          </c:val>
        </c:ser>
        <c:gapWidth val="219"/>
        <c:overlap val="-27"/>
        <c:axId val="193495808"/>
        <c:axId val="193497344"/>
      </c:barChart>
      <c:catAx>
        <c:axId val="193495808"/>
        <c:scaling>
          <c:orientation val="minMax"/>
        </c:scaling>
        <c:axPos val="b"/>
        <c:numFmt formatCode="General" sourceLinked="1"/>
        <c:tickLblPos val="nextTo"/>
        <c:spPr>
          <a:noFill/>
          <a:ln w="9525" cap="flat" cmpd="sng" algn="ctr">
            <a:solidFill>
              <a:schemeClr val="tx1"/>
            </a:solidFill>
            <a:round/>
          </a:ln>
          <a:effectLst/>
        </c:spPr>
        <c:txPr>
          <a:bodyPr rot="-60000000" vert="horz"/>
          <a:lstStyle/>
          <a:p>
            <a:pPr>
              <a:defRPr lang="fa-IR"/>
            </a:pPr>
            <a:endParaRPr lang="en-US"/>
          </a:p>
        </c:txPr>
        <c:crossAx val="193497344"/>
        <c:crosses val="autoZero"/>
        <c:auto val="1"/>
        <c:lblAlgn val="ctr"/>
        <c:lblOffset val="100"/>
      </c:catAx>
      <c:valAx>
        <c:axId val="193497344"/>
        <c:scaling>
          <c:orientation val="minMax"/>
          <c:max val="25"/>
        </c:scaling>
        <c:axPos val="l"/>
        <c:title>
          <c:tx>
            <c:rich>
              <a:bodyPr rot="-5400000" vert="horz"/>
              <a:lstStyle/>
              <a:p>
                <a:pPr>
                  <a:defRPr lang="fa-IR"/>
                </a:pPr>
                <a:r>
                  <a:rPr lang="en-US" b="0"/>
                  <a:t>Biological yield (ton/ha)</a:t>
                </a:r>
              </a:p>
            </c:rich>
          </c:tx>
          <c:layout>
            <c:manualLayout>
              <c:xMode val="edge"/>
              <c:yMode val="edge"/>
              <c:x val="2.487772728849437E-3"/>
              <c:y val="0.26662350868809004"/>
            </c:manualLayout>
          </c:layout>
          <c:spPr>
            <a:noFill/>
            <a:ln>
              <a:noFill/>
            </a:ln>
            <a:effectLst/>
          </c:spPr>
        </c:title>
        <c:numFmt formatCode="General" sourceLinked="1"/>
        <c:tickLblPos val="nextTo"/>
        <c:spPr>
          <a:noFill/>
          <a:ln>
            <a:solidFill>
              <a:schemeClr val="tx1"/>
            </a:solidFill>
          </a:ln>
          <a:effectLst/>
        </c:spPr>
        <c:txPr>
          <a:bodyPr rot="-60000000" vert="horz"/>
          <a:lstStyle/>
          <a:p>
            <a:pPr>
              <a:defRPr lang="fa-IR"/>
            </a:pPr>
            <a:endParaRPr lang="en-US"/>
          </a:p>
        </c:txPr>
        <c:crossAx val="193495808"/>
        <c:crosses val="autoZero"/>
        <c:crossBetween val="between"/>
        <c:majorUnit val="5"/>
      </c:valAx>
      <c:spPr>
        <a:noFill/>
        <a:ln>
          <a:noFill/>
        </a:ln>
        <a:effectLst/>
      </c:spPr>
    </c:plotArea>
    <c:legend>
      <c:legendPos val="b"/>
      <c:layout>
        <c:manualLayout>
          <c:xMode val="edge"/>
          <c:yMode val="edge"/>
          <c:x val="0.1817249684490817"/>
          <c:y val="7.7013425925926041E-2"/>
          <c:w val="0.73408564814815025"/>
          <c:h val="7.8125546806649168E-2"/>
        </c:manualLayout>
      </c:layout>
      <c:spPr>
        <a:noFill/>
        <a:ln>
          <a:noFill/>
        </a:ln>
        <a:effectLst/>
      </c:spPr>
      <c:txPr>
        <a:bodyPr rot="0" vert="horz"/>
        <a:lstStyle/>
        <a:p>
          <a:pPr>
            <a:defRPr lang="fa-IR"/>
          </a:pPr>
          <a:endParaRPr lang="en-US"/>
        </a:p>
      </c:txPr>
    </c:legend>
    <c:plotVisOnly val="1"/>
    <c:dispBlanksAs val="gap"/>
  </c:chart>
  <c:spPr>
    <a:solidFill>
      <a:schemeClr val="bg1"/>
    </a:solidFill>
    <a:ln w="9525" cap="flat" cmpd="sng" algn="ctr">
      <a:noFill/>
      <a:round/>
    </a:ln>
    <a:effectLst/>
  </c:spPr>
  <c:txPr>
    <a:bodyPr/>
    <a:lstStyle/>
    <a:p>
      <a:pPr>
        <a:defRPr sz="800" baseline="0">
          <a:latin typeface="Times New Roman" panose="02020603050405020304" pitchFamily="18" charset="0"/>
          <a:cs typeface="Times New Roman" panose="02020603050405020304" pitchFamily="18" charset="0"/>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6C200-2947-48DD-BD87-3AEDFA09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12</Pages>
  <Words>3805</Words>
  <Characters>21692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11</cp:revision>
  <cp:lastPrinted>2016-06-20T07:13:00Z</cp:lastPrinted>
  <dcterms:created xsi:type="dcterms:W3CDTF">2016-06-27T11:39:00Z</dcterms:created>
  <dcterms:modified xsi:type="dcterms:W3CDTF">2016-06-29T13:58:00Z</dcterms:modified>
</cp:coreProperties>
</file>