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4B12D7" w:rsidRDefault="00A47BAA" w:rsidP="004B12D7">
      <w:pPr>
        <w:jc w:val="center"/>
        <w:rPr>
          <w:sz w:val="22"/>
          <w:szCs w:val="22"/>
        </w:rPr>
      </w:pPr>
    </w:p>
    <w:p w:rsidR="00A47BAA" w:rsidRPr="004B12D7" w:rsidRDefault="00A47BAA" w:rsidP="004B12D7">
      <w:pPr>
        <w:jc w:val="center"/>
        <w:rPr>
          <w:sz w:val="22"/>
          <w:szCs w:val="22"/>
        </w:rPr>
      </w:pPr>
    </w:p>
    <w:p w:rsidR="006843C0" w:rsidRPr="004B12D7" w:rsidRDefault="006843C0" w:rsidP="004B12D7">
      <w:pPr>
        <w:jc w:val="center"/>
        <w:rPr>
          <w:sz w:val="22"/>
          <w:szCs w:val="22"/>
        </w:rPr>
      </w:pPr>
    </w:p>
    <w:p w:rsidR="004B12D7" w:rsidRPr="004B12D7" w:rsidRDefault="004B12D7" w:rsidP="004B12D7">
      <w:pPr>
        <w:jc w:val="center"/>
        <w:rPr>
          <w:bCs/>
          <w:sz w:val="22"/>
          <w:szCs w:val="22"/>
          <w:lang w:val="en-US"/>
        </w:rPr>
      </w:pPr>
      <w:r w:rsidRPr="004B12D7">
        <w:rPr>
          <w:bCs/>
          <w:sz w:val="22"/>
          <w:szCs w:val="22"/>
          <w:lang w:val="en-US"/>
        </w:rPr>
        <w:t xml:space="preserve">INFLUENCE OF HARVESTER TYPE AND HARVESTING TIME ON QUALITY OF HARVESTED CHAMOMILE </w:t>
      </w:r>
    </w:p>
    <w:p w:rsidR="004B12D7" w:rsidRPr="004B12D7" w:rsidRDefault="004B12D7" w:rsidP="004B12D7">
      <w:pPr>
        <w:jc w:val="center"/>
        <w:rPr>
          <w:bCs/>
          <w:sz w:val="22"/>
          <w:szCs w:val="22"/>
          <w:lang w:val="en-US"/>
        </w:rPr>
      </w:pPr>
    </w:p>
    <w:p w:rsidR="004B12D7" w:rsidRPr="004B12D7" w:rsidRDefault="004B12D7" w:rsidP="004B12D7">
      <w:pPr>
        <w:jc w:val="center"/>
        <w:rPr>
          <w:b/>
          <w:sz w:val="22"/>
          <w:szCs w:val="22"/>
        </w:rPr>
      </w:pPr>
      <w:r w:rsidRPr="004B12D7">
        <w:rPr>
          <w:b/>
          <w:sz w:val="22"/>
          <w:szCs w:val="22"/>
        </w:rPr>
        <w:t>Miloš B. Pajić</w:t>
      </w:r>
      <w:r w:rsidRPr="004B12D7">
        <w:rPr>
          <w:rStyle w:val="FootnoteReference"/>
          <w:b/>
          <w:sz w:val="22"/>
          <w:szCs w:val="22"/>
        </w:rPr>
        <w:footnoteReference w:id="2"/>
      </w:r>
      <w:r w:rsidRPr="004B12D7">
        <w:rPr>
          <w:b/>
          <w:sz w:val="22"/>
          <w:szCs w:val="22"/>
        </w:rPr>
        <w:t>, Vesna S. Pajić, Sanjin M. Ivanović, Mićo V. Oljača,</w:t>
      </w:r>
    </w:p>
    <w:p w:rsidR="004B12D7" w:rsidRDefault="004B12D7" w:rsidP="004B12D7">
      <w:pPr>
        <w:jc w:val="center"/>
        <w:rPr>
          <w:b/>
          <w:sz w:val="22"/>
          <w:szCs w:val="22"/>
        </w:rPr>
      </w:pPr>
      <w:r w:rsidRPr="004B12D7">
        <w:rPr>
          <w:b/>
          <w:sz w:val="22"/>
          <w:szCs w:val="22"/>
        </w:rPr>
        <w:t xml:space="preserve">Kosta B. Gligorević, Dušan R. Radojičić, </w:t>
      </w:r>
    </w:p>
    <w:p w:rsidR="004B12D7" w:rsidRPr="004B12D7" w:rsidRDefault="004B12D7" w:rsidP="004B12D7">
      <w:pPr>
        <w:jc w:val="center"/>
        <w:rPr>
          <w:b/>
          <w:sz w:val="22"/>
          <w:szCs w:val="22"/>
          <w:vertAlign w:val="superscript"/>
        </w:rPr>
      </w:pPr>
      <w:r w:rsidRPr="004B12D7">
        <w:rPr>
          <w:b/>
          <w:sz w:val="22"/>
          <w:szCs w:val="22"/>
        </w:rPr>
        <w:t>Milan S. Dražić</w:t>
      </w:r>
      <w:r>
        <w:rPr>
          <w:b/>
          <w:sz w:val="22"/>
          <w:szCs w:val="22"/>
        </w:rPr>
        <w:t xml:space="preserve"> and</w:t>
      </w:r>
      <w:r w:rsidRPr="004B12D7">
        <w:rPr>
          <w:b/>
          <w:sz w:val="22"/>
          <w:szCs w:val="22"/>
        </w:rPr>
        <w:t xml:space="preserve"> Ivan J. Zlatanović</w:t>
      </w:r>
    </w:p>
    <w:p w:rsidR="004B12D7" w:rsidRPr="004B12D7" w:rsidRDefault="004B12D7" w:rsidP="004B12D7">
      <w:pPr>
        <w:jc w:val="center"/>
        <w:rPr>
          <w:b/>
          <w:sz w:val="22"/>
          <w:szCs w:val="22"/>
        </w:rPr>
      </w:pPr>
    </w:p>
    <w:p w:rsidR="004B12D7" w:rsidRPr="004B12D7" w:rsidRDefault="004B12D7" w:rsidP="004B12D7">
      <w:pPr>
        <w:jc w:val="center"/>
        <w:rPr>
          <w:sz w:val="22"/>
          <w:szCs w:val="22"/>
        </w:rPr>
      </w:pPr>
      <w:r w:rsidRPr="004B12D7">
        <w:rPr>
          <w:sz w:val="22"/>
          <w:szCs w:val="22"/>
        </w:rPr>
        <w:t xml:space="preserve">University of Belgrade, Faculty of Agriculture, </w:t>
      </w:r>
    </w:p>
    <w:p w:rsidR="004B12D7" w:rsidRPr="004B12D7" w:rsidRDefault="004B12D7" w:rsidP="004B12D7">
      <w:pPr>
        <w:jc w:val="center"/>
        <w:rPr>
          <w:sz w:val="22"/>
          <w:szCs w:val="22"/>
        </w:rPr>
      </w:pPr>
      <w:r w:rsidRPr="004B12D7">
        <w:rPr>
          <w:sz w:val="22"/>
          <w:szCs w:val="22"/>
        </w:rPr>
        <w:t>Nemanjina 6, 11080 Belgrade-Zemun, Serbia</w:t>
      </w:r>
    </w:p>
    <w:p w:rsidR="004B12D7" w:rsidRPr="004B12D7" w:rsidRDefault="004B12D7" w:rsidP="004B12D7">
      <w:pPr>
        <w:jc w:val="center"/>
        <w:rPr>
          <w:bCs/>
          <w:sz w:val="22"/>
          <w:szCs w:val="22"/>
        </w:rPr>
      </w:pPr>
    </w:p>
    <w:p w:rsidR="004B12D7" w:rsidRPr="004B12D7" w:rsidRDefault="004B12D7" w:rsidP="004B12D7">
      <w:pPr>
        <w:ind w:firstLine="426"/>
        <w:jc w:val="both"/>
        <w:rPr>
          <w:sz w:val="22"/>
          <w:szCs w:val="22"/>
          <w:lang w:val="en-US"/>
        </w:rPr>
      </w:pPr>
      <w:r w:rsidRPr="004B12D7">
        <w:rPr>
          <w:b/>
          <w:bCs/>
          <w:sz w:val="22"/>
          <w:szCs w:val="22"/>
          <w:lang w:val="en-US"/>
        </w:rPr>
        <w:t>Abstract</w:t>
      </w:r>
      <w:r w:rsidRPr="004B12D7">
        <w:rPr>
          <w:bCs/>
          <w:sz w:val="22"/>
          <w:szCs w:val="22"/>
          <w:lang w:val="en-US"/>
        </w:rPr>
        <w:t xml:space="preserve">: </w:t>
      </w:r>
      <w:r w:rsidRPr="004B12D7">
        <w:rPr>
          <w:sz w:val="22"/>
          <w:szCs w:val="22"/>
          <w:lang w:val="en-US"/>
        </w:rPr>
        <w:t xml:space="preserve">This paper is the result of studying effects of mechanical chamomile harvesting on yield and quality of harvested chamomile. Chamomile </w:t>
      </w:r>
      <w:r w:rsidRPr="004B12D7">
        <w:rPr>
          <w:bCs/>
          <w:sz w:val="22"/>
          <w:szCs w:val="22"/>
          <w:lang w:val="en-US"/>
        </w:rPr>
        <w:t>(</w:t>
      </w:r>
      <w:r w:rsidRPr="004B12D7">
        <w:rPr>
          <w:bCs/>
          <w:i/>
          <w:sz w:val="22"/>
          <w:szCs w:val="22"/>
          <w:lang w:val="en-US"/>
        </w:rPr>
        <w:t>Chamomilla recutita</w:t>
      </w:r>
      <w:r w:rsidRPr="004B12D7">
        <w:rPr>
          <w:bCs/>
          <w:sz w:val="22"/>
          <w:szCs w:val="22"/>
          <w:lang w:val="en-US"/>
        </w:rPr>
        <w:t xml:space="preserve"> (L) Rausch.) </w:t>
      </w:r>
      <w:r w:rsidRPr="004B12D7">
        <w:rPr>
          <w:sz w:val="22"/>
          <w:szCs w:val="22"/>
          <w:lang w:val="en-US"/>
        </w:rPr>
        <w:t>was harvested at three time intervals (T1 – 240 days, T2 – 250 days and T3 – 260 days after sowing) by three conceptually different harvesters. The results achieved indicate that the harvester type significantly influences quality of harvested chamomile, whereas it is not influenced by chamomile harvesting time. Quality of harvested chamomile was classified into four categories, and it was observed that the greater number of rotations of a picking device increased the content of the first category of quality. The harvester A achieved 54.79% of the first category of quality in respect to the harvester B achieving 50.26% and the harvester C with 42.93%.</w:t>
      </w:r>
    </w:p>
    <w:p w:rsidR="004B12D7" w:rsidRPr="004B12D7" w:rsidRDefault="004B12D7" w:rsidP="004B12D7">
      <w:pPr>
        <w:ind w:firstLine="426"/>
        <w:jc w:val="both"/>
        <w:rPr>
          <w:sz w:val="22"/>
          <w:szCs w:val="22"/>
        </w:rPr>
      </w:pPr>
      <w:r w:rsidRPr="004B12D7">
        <w:rPr>
          <w:b/>
          <w:bCs/>
          <w:sz w:val="22"/>
          <w:szCs w:val="22"/>
          <w:lang w:val="en-US"/>
        </w:rPr>
        <w:t xml:space="preserve">Key words: </w:t>
      </w:r>
      <w:r w:rsidRPr="004B12D7">
        <w:rPr>
          <w:bCs/>
          <w:sz w:val="22"/>
          <w:szCs w:val="22"/>
          <w:lang w:val="en-US"/>
        </w:rPr>
        <w:t xml:space="preserve">chamomile, harvester, harvesting time, harvest quality, </w:t>
      </w:r>
      <w:r w:rsidRPr="004B12D7">
        <w:rPr>
          <w:sz w:val="22"/>
          <w:szCs w:val="22"/>
          <w:lang w:val="en-US"/>
        </w:rPr>
        <w:t>picking device.</w:t>
      </w:r>
    </w:p>
    <w:p w:rsidR="004B12D7" w:rsidRPr="004B12D7" w:rsidRDefault="004B12D7" w:rsidP="004B12D7">
      <w:pPr>
        <w:jc w:val="center"/>
        <w:rPr>
          <w:bCs/>
          <w:sz w:val="22"/>
          <w:szCs w:val="22"/>
          <w:lang w:val="en-US"/>
        </w:rPr>
      </w:pPr>
    </w:p>
    <w:p w:rsidR="004B12D7" w:rsidRPr="004B12D7" w:rsidRDefault="004B12D7" w:rsidP="004B12D7">
      <w:pPr>
        <w:jc w:val="center"/>
        <w:rPr>
          <w:b/>
          <w:bCs/>
          <w:sz w:val="22"/>
          <w:szCs w:val="22"/>
          <w:lang w:val="en-US"/>
        </w:rPr>
      </w:pPr>
      <w:r w:rsidRPr="004B12D7">
        <w:rPr>
          <w:b/>
          <w:bCs/>
          <w:sz w:val="22"/>
          <w:szCs w:val="22"/>
          <w:lang w:val="en-US"/>
        </w:rPr>
        <w:t>Introduction</w:t>
      </w:r>
    </w:p>
    <w:p w:rsidR="004B12D7" w:rsidRPr="004B12D7" w:rsidRDefault="004B12D7" w:rsidP="004B12D7">
      <w:pPr>
        <w:jc w:val="center"/>
        <w:rPr>
          <w:bCs/>
          <w:sz w:val="22"/>
          <w:szCs w:val="22"/>
          <w:lang w:val="en-US"/>
        </w:rPr>
      </w:pPr>
    </w:p>
    <w:p w:rsidR="004B12D7" w:rsidRPr="004B12D7" w:rsidRDefault="004B12D7" w:rsidP="004B12D7">
      <w:pPr>
        <w:ind w:firstLine="425"/>
        <w:jc w:val="both"/>
        <w:rPr>
          <w:b/>
          <w:bCs/>
          <w:sz w:val="22"/>
          <w:szCs w:val="22"/>
          <w:lang w:val="en-US"/>
        </w:rPr>
      </w:pPr>
      <w:r w:rsidRPr="004B12D7">
        <w:rPr>
          <w:sz w:val="22"/>
          <w:szCs w:val="22"/>
          <w:lang w:val="en-US"/>
        </w:rPr>
        <w:t>For more than two thousand years, chamomile (</w:t>
      </w:r>
      <w:r w:rsidRPr="004B12D7">
        <w:rPr>
          <w:i/>
          <w:sz w:val="22"/>
          <w:szCs w:val="22"/>
          <w:lang w:val="en-US"/>
        </w:rPr>
        <w:t>Chamomilla recutita</w:t>
      </w:r>
      <w:r w:rsidRPr="004B12D7">
        <w:rPr>
          <w:sz w:val="22"/>
          <w:szCs w:val="22"/>
          <w:lang w:val="en-US"/>
        </w:rPr>
        <w:t xml:space="preserve"> (L) Rausch.) has been known and appreciated as a medicinal plant. In the beginning, the necessary chamomile quantities were obtained by hand gathering of self-sown chamomile. However, due to wide use of this herb in the pharmaceutical, cosmetic and food industries, needs for this herb species today are much greater and demand plantation production (Oravec et al., 1993; Salamon, 1994). Harvesting of cultivated chamomile is to be the same as for the wild population, i.e. when most of the flowers are already open. Essential oil content constantly increases starting from the period when flowers are formed and reaches its maximum when the white flowers are in a horizontal position (Rohticht et al., 1997).</w:t>
      </w:r>
    </w:p>
    <w:p w:rsidR="004B12D7" w:rsidRPr="004B12D7" w:rsidRDefault="004B12D7" w:rsidP="004B12D7">
      <w:pPr>
        <w:ind w:firstLine="425"/>
        <w:jc w:val="both"/>
        <w:rPr>
          <w:sz w:val="22"/>
          <w:szCs w:val="22"/>
          <w:lang w:val="en-US"/>
        </w:rPr>
      </w:pPr>
      <w:r w:rsidRPr="004B12D7">
        <w:rPr>
          <w:sz w:val="22"/>
          <w:szCs w:val="22"/>
          <w:lang w:val="en-US"/>
        </w:rPr>
        <w:lastRenderedPageBreak/>
        <w:t xml:space="preserve">Harvesting of cultivated chamomile depends on a large number of parameters, such as sowing time, temperature and air humidity, harvesting time and harvesting method (Dražić, 2004). For chamomile harvesting to be as efficient as possible, it is necessary to conduct various researches investigating the influence of these parameters on particular aspects of harvested chamomile, such as yield, quality, losses, and others. This paper is focused on analyzing the influence of harvesting time and harvesting method on quality of harvested chamomile. Studies performed so far observed the harvested chamomile quality mainly in respect to the content of essential oil (Emongor and Chweya, 1989; Falzari and Menary, 2003; Franz et al., 1986; Gašić and Lukić, 1990; Hadi et al., 2004; Mirshekari, 2011). However, chamomile is very often classified into different quality groups based on morphological characteristics (Hecht et al., 1992; Martinov et al., 1992; Mohr et al., 1996a; Radojević et al., 2000), so such a classification (Standard </w:t>
      </w:r>
      <w:r w:rsidRPr="004B12D7">
        <w:rPr>
          <w:sz w:val="22"/>
          <w:szCs w:val="22"/>
        </w:rPr>
        <w:t xml:space="preserve">SRB.E.B3.015:1963, </w:t>
      </w:r>
      <w:r w:rsidRPr="004B12D7">
        <w:rPr>
          <w:sz w:val="22"/>
          <w:szCs w:val="22"/>
          <w:lang w:val="en-US"/>
        </w:rPr>
        <w:t>2010)</w:t>
      </w:r>
      <w:r>
        <w:rPr>
          <w:sz w:val="22"/>
          <w:szCs w:val="22"/>
          <w:lang w:val="en-US"/>
        </w:rPr>
        <w:t xml:space="preserve"> was used in this study, too.</w:t>
      </w:r>
    </w:p>
    <w:p w:rsidR="004B12D7" w:rsidRPr="004B12D7" w:rsidRDefault="004B12D7" w:rsidP="004B12D7">
      <w:pPr>
        <w:ind w:firstLine="425"/>
        <w:jc w:val="both"/>
        <w:rPr>
          <w:sz w:val="22"/>
          <w:szCs w:val="22"/>
          <w:lang w:val="en-US"/>
        </w:rPr>
      </w:pPr>
      <w:r w:rsidRPr="004B12D7">
        <w:rPr>
          <w:sz w:val="22"/>
          <w:szCs w:val="22"/>
          <w:lang w:val="en-US"/>
        </w:rPr>
        <w:t>Multi-year studies point to the fact that cultivated chamomile gives higher yields and quantities of essential oil in comparison to wild, self-sown chamomile (Blažek and Stary, 1961; Milojević-Janaćković, 1965). For plantation production whose yield is higher than 700 kg</w:t>
      </w:r>
      <w:r w:rsidRPr="004B12D7">
        <w:rPr>
          <w:sz w:val="22"/>
          <w:szCs w:val="22"/>
          <w:lang w:val="en-US"/>
        </w:rPr>
        <w:sym w:font="Symbol" w:char="F0D7"/>
      </w:r>
      <w:r w:rsidRPr="004B12D7">
        <w:rPr>
          <w:sz w:val="22"/>
          <w:szCs w:val="22"/>
          <w:lang w:val="en-US"/>
        </w:rPr>
        <w:t>ha</w:t>
      </w:r>
      <w:r w:rsidRPr="004B12D7">
        <w:rPr>
          <w:sz w:val="22"/>
          <w:szCs w:val="22"/>
          <w:vertAlign w:val="superscript"/>
          <w:lang w:val="en-US"/>
        </w:rPr>
        <w:t>-1</w:t>
      </w:r>
      <w:r w:rsidRPr="004B12D7">
        <w:rPr>
          <w:sz w:val="22"/>
          <w:szCs w:val="22"/>
          <w:lang w:val="en-US"/>
        </w:rPr>
        <w:t xml:space="preserve"> of the fresh mass, hand harvesting is not an acceptable method of harvesting (Franke and Schilcher, 2005; Kirsch, 1990). Nowadays, chamomile harvesting from larger areas is performed by harvesters of 200 to 300 kg</w:t>
      </w:r>
      <w:r w:rsidRPr="004B12D7">
        <w:rPr>
          <w:sz w:val="22"/>
          <w:szCs w:val="22"/>
          <w:lang w:val="en-US"/>
        </w:rPr>
        <w:sym w:font="Symbol" w:char="F0D7"/>
      </w:r>
      <w:r w:rsidRPr="004B12D7">
        <w:rPr>
          <w:sz w:val="22"/>
          <w:szCs w:val="22"/>
          <w:lang w:val="en-US"/>
        </w:rPr>
        <w:t>ha</w:t>
      </w:r>
      <w:r w:rsidRPr="004B12D7">
        <w:rPr>
          <w:sz w:val="22"/>
          <w:szCs w:val="22"/>
          <w:vertAlign w:val="superscript"/>
          <w:lang w:val="en-US"/>
        </w:rPr>
        <w:t>-1</w:t>
      </w:r>
      <w:r w:rsidRPr="004B12D7">
        <w:rPr>
          <w:sz w:val="22"/>
          <w:szCs w:val="22"/>
          <w:lang w:val="en-US"/>
        </w:rPr>
        <w:t xml:space="preserve"> capacity and productibility of 3 to 5 ha per day (Franke and Schilcher, 2005; Mohr et al. 1996b; Salamon, 1992).</w:t>
      </w:r>
    </w:p>
    <w:p w:rsidR="004B12D7" w:rsidRPr="004B12D7" w:rsidRDefault="004B12D7" w:rsidP="004B12D7">
      <w:pPr>
        <w:ind w:firstLine="425"/>
        <w:jc w:val="both"/>
        <w:rPr>
          <w:sz w:val="22"/>
          <w:szCs w:val="22"/>
          <w:lang w:val="en-US"/>
        </w:rPr>
      </w:pPr>
      <w:r w:rsidRPr="004B12D7">
        <w:rPr>
          <w:sz w:val="22"/>
          <w:szCs w:val="22"/>
          <w:lang w:val="en-US"/>
        </w:rPr>
        <w:t>Harvesting time is important in respect to the content of chamomile essential oil (Kišgeci and Adamović, 1994; Rohricht et al., 1997). Flowering index (IC) is used for deciding on harvesting time, and it is confirmed that flowering index of -0.3 to -0.2 is the best time for the first harvest (Ebert, 1982; Frany et al., 1978)</w:t>
      </w:r>
      <w:r w:rsidRPr="004B12D7">
        <w:rPr>
          <w:b/>
          <w:bCs/>
          <w:sz w:val="22"/>
          <w:szCs w:val="22"/>
          <w:lang w:val="en-US"/>
        </w:rPr>
        <w:t xml:space="preserve">. </w:t>
      </w:r>
      <w:r w:rsidRPr="004B12D7">
        <w:rPr>
          <w:bCs/>
          <w:sz w:val="22"/>
          <w:szCs w:val="22"/>
          <w:lang w:val="en-US"/>
        </w:rPr>
        <w:t xml:space="preserve">A later harvest can cause flower head damage and massive dispersal of harvested chamomile (Dechler and Pelzmann, 1999, Pirzada et al., 2011a, b). </w:t>
      </w:r>
      <w:r w:rsidRPr="004B12D7">
        <w:rPr>
          <w:rStyle w:val="FontStyle103"/>
          <w:rFonts w:ascii="Times New Roman" w:hAnsi="Times New Roman" w:cs="Times New Roman"/>
          <w:sz w:val="22"/>
          <w:szCs w:val="22"/>
          <w:lang w:val="en-US" w:eastAsia="en-US"/>
        </w:rPr>
        <w:t>Chamomile blooms several times a year, while in agroecological conditions of Serbia it is harvested once, twice or maximum three times (Kojić, 1997)</w:t>
      </w:r>
      <w:r w:rsidRPr="004B12D7">
        <w:rPr>
          <w:sz w:val="22"/>
          <w:szCs w:val="22"/>
          <w:lang w:val="en-US"/>
        </w:rPr>
        <w:t>. The first harvest (performed in May) gives the highest yield and content of essential oil, while the quantity and quality of essential oil from subsequent harvests severely decrease (Dražić, 2004).</w:t>
      </w:r>
    </w:p>
    <w:p w:rsidR="004B12D7" w:rsidRPr="004B12D7" w:rsidRDefault="004B12D7" w:rsidP="004B12D7">
      <w:pPr>
        <w:ind w:firstLine="425"/>
        <w:jc w:val="both"/>
        <w:rPr>
          <w:sz w:val="22"/>
          <w:szCs w:val="22"/>
          <w:lang w:val="en-US"/>
        </w:rPr>
      </w:pPr>
      <w:r w:rsidRPr="004B12D7">
        <w:rPr>
          <w:sz w:val="22"/>
          <w:szCs w:val="22"/>
          <w:lang w:val="en-US"/>
        </w:rPr>
        <w:t xml:space="preserve">The first harvest period in agroecological conditions of Serbia lasts for about 30 days. In our study, chamomile was harvested three times during this period in order to investigate the influence of harvesting time on quality, too, and thus to determine the optimum time for mechanized chamomile harvesting. Harvesting was performed by three conceptually different harvesters that are most often used in Serbia. Monitoring the yield and quality of harvested chamomile can help with the choice of an appropriate harvester type and chamomile harvesting time in order to rationalize plantation production of chamomile from the aspect of quality and </w:t>
      </w:r>
      <w:r w:rsidRPr="004B12D7">
        <w:rPr>
          <w:sz w:val="22"/>
          <w:szCs w:val="22"/>
          <w:lang w:val="en-US"/>
        </w:rPr>
        <w:lastRenderedPageBreak/>
        <w:t>quantity of harvested mass. The aim of this paper is to underline the significance of various harvester technical solutions and chamomile harvesting time on quality of the obtained raw material.</w:t>
      </w:r>
    </w:p>
    <w:p w:rsidR="004B12D7" w:rsidRPr="004B12D7" w:rsidRDefault="004B12D7" w:rsidP="004B12D7">
      <w:pPr>
        <w:jc w:val="center"/>
        <w:rPr>
          <w:sz w:val="22"/>
          <w:szCs w:val="22"/>
          <w:lang w:val="en-US"/>
        </w:rPr>
      </w:pPr>
    </w:p>
    <w:p w:rsidR="004B12D7" w:rsidRPr="004B12D7" w:rsidRDefault="004B12D7" w:rsidP="004B12D7">
      <w:pPr>
        <w:autoSpaceDE w:val="0"/>
        <w:autoSpaceDN w:val="0"/>
        <w:adjustRightInd w:val="0"/>
        <w:jc w:val="center"/>
        <w:rPr>
          <w:b/>
          <w:bCs/>
          <w:sz w:val="22"/>
          <w:szCs w:val="22"/>
          <w:lang w:val="en-US"/>
        </w:rPr>
      </w:pPr>
      <w:r w:rsidRPr="004B12D7">
        <w:rPr>
          <w:b/>
          <w:bCs/>
          <w:sz w:val="22"/>
          <w:szCs w:val="22"/>
          <w:lang w:val="en-US"/>
        </w:rPr>
        <w:t>Material and Methods</w:t>
      </w:r>
    </w:p>
    <w:p w:rsidR="004B12D7" w:rsidRPr="004B12D7" w:rsidRDefault="004B12D7" w:rsidP="004B12D7">
      <w:pPr>
        <w:autoSpaceDE w:val="0"/>
        <w:autoSpaceDN w:val="0"/>
        <w:adjustRightInd w:val="0"/>
        <w:jc w:val="center"/>
        <w:rPr>
          <w:b/>
          <w:bCs/>
          <w:sz w:val="22"/>
          <w:szCs w:val="22"/>
          <w:lang w:val="en-US"/>
        </w:rPr>
      </w:pPr>
    </w:p>
    <w:p w:rsidR="004B12D7" w:rsidRPr="00711B4E" w:rsidRDefault="004B12D7" w:rsidP="00711B4E">
      <w:pPr>
        <w:ind w:firstLine="426"/>
        <w:jc w:val="both"/>
        <w:rPr>
          <w:sz w:val="22"/>
          <w:szCs w:val="22"/>
          <w:lang w:val="en-US"/>
        </w:rPr>
      </w:pPr>
      <w:r w:rsidRPr="00711B4E">
        <w:rPr>
          <w:bCs/>
          <w:sz w:val="22"/>
          <w:szCs w:val="22"/>
          <w:lang w:val="en-US"/>
        </w:rPr>
        <w:t xml:space="preserve">Investigations were performed during three years of production 2005/2006, 2006/2007 and 2008/2009 on production fields of the Institute for Medicinal Plant Research </w:t>
      </w:r>
      <w:r w:rsidRPr="00711B4E">
        <w:rPr>
          <w:sz w:val="22"/>
          <w:szCs w:val="22"/>
          <w:lang w:val="en-US"/>
        </w:rPr>
        <w:t>“Dr Josif Pančić” in Pančevo, Serbia (Latitude 44.876202, Longitude 20.698457). Production year 2007/2008 was omitted from these investigations since several chamomile cultivars were mixed in the production process, which would significantly influence comparative researches, and the obtained results would not be relevant. Basic climate data for the research period, as well as multi-year averages (20 years) are presented in Table 1.</w:t>
      </w:r>
    </w:p>
    <w:p w:rsidR="004B12D7" w:rsidRPr="00711B4E" w:rsidRDefault="004B12D7" w:rsidP="00711B4E">
      <w:pPr>
        <w:ind w:firstLine="426"/>
        <w:jc w:val="both"/>
        <w:rPr>
          <w:sz w:val="22"/>
          <w:szCs w:val="22"/>
          <w:lang w:val="en-US"/>
        </w:rPr>
      </w:pPr>
    </w:p>
    <w:p w:rsidR="004B12D7" w:rsidRPr="00711B4E" w:rsidRDefault="004B12D7" w:rsidP="00711B4E">
      <w:pPr>
        <w:jc w:val="both"/>
        <w:rPr>
          <w:sz w:val="22"/>
          <w:szCs w:val="22"/>
          <w:lang w:val="en-US"/>
        </w:rPr>
      </w:pPr>
      <w:r w:rsidRPr="00711B4E">
        <w:rPr>
          <w:sz w:val="22"/>
          <w:szCs w:val="22"/>
          <w:lang w:val="en-US"/>
        </w:rPr>
        <w:t>Table 1. Monthly precipitation and average temperature data, Pančevo, Serbia.</w:t>
      </w:r>
    </w:p>
    <w:p w:rsidR="00711B4E" w:rsidRPr="00711B4E" w:rsidRDefault="00711B4E" w:rsidP="00711B4E">
      <w:pPr>
        <w:jc w:val="both"/>
        <w:rPr>
          <w:sz w:val="22"/>
          <w:szCs w:val="22"/>
        </w:rPr>
      </w:pPr>
    </w:p>
    <w:tbl>
      <w:tblPr>
        <w:tblW w:w="7371" w:type="dxa"/>
        <w:jc w:val="center"/>
        <w:tblLayout w:type="fixed"/>
        <w:tblCellMar>
          <w:left w:w="28" w:type="dxa"/>
          <w:right w:w="28" w:type="dxa"/>
        </w:tblCellMar>
        <w:tblLook w:val="0000"/>
      </w:tblPr>
      <w:tblGrid>
        <w:gridCol w:w="789"/>
        <w:gridCol w:w="542"/>
        <w:gridCol w:w="521"/>
        <w:gridCol w:w="624"/>
        <w:gridCol w:w="624"/>
        <w:gridCol w:w="521"/>
        <w:gridCol w:w="521"/>
        <w:gridCol w:w="521"/>
        <w:gridCol w:w="624"/>
        <w:gridCol w:w="521"/>
        <w:gridCol w:w="521"/>
        <w:gridCol w:w="540"/>
        <w:gridCol w:w="502"/>
      </w:tblGrid>
      <w:tr w:rsidR="004B12D7" w:rsidRPr="00711B4E" w:rsidTr="00B057B9">
        <w:trPr>
          <w:trHeight w:val="397"/>
          <w:jc w:val="center"/>
        </w:trPr>
        <w:tc>
          <w:tcPr>
            <w:tcW w:w="912" w:type="dxa"/>
            <w:vMerge w:val="restart"/>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
                <w:bCs/>
                <w:sz w:val="18"/>
                <w:szCs w:val="18"/>
              </w:rPr>
            </w:pPr>
          </w:p>
        </w:tc>
        <w:tc>
          <w:tcPr>
            <w:tcW w:w="1226" w:type="dxa"/>
            <w:gridSpan w:val="2"/>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2005</w:t>
            </w:r>
          </w:p>
        </w:tc>
        <w:tc>
          <w:tcPr>
            <w:tcW w:w="1440" w:type="dxa"/>
            <w:gridSpan w:val="2"/>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2006</w:t>
            </w:r>
          </w:p>
        </w:tc>
        <w:tc>
          <w:tcPr>
            <w:tcW w:w="1200" w:type="dxa"/>
            <w:gridSpan w:val="2"/>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2007</w:t>
            </w:r>
          </w:p>
        </w:tc>
        <w:tc>
          <w:tcPr>
            <w:tcW w:w="1320" w:type="dxa"/>
            <w:gridSpan w:val="2"/>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2008</w:t>
            </w:r>
          </w:p>
        </w:tc>
        <w:tc>
          <w:tcPr>
            <w:tcW w:w="1200" w:type="dxa"/>
            <w:gridSpan w:val="2"/>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2009</w:t>
            </w:r>
          </w:p>
        </w:tc>
        <w:tc>
          <w:tcPr>
            <w:tcW w:w="1200" w:type="dxa"/>
            <w:gridSpan w:val="2"/>
            <w:tcBorders>
              <w:top w:val="single" w:sz="4" w:space="0" w:color="auto"/>
              <w:bottom w:val="single" w:sz="4" w:space="0" w:color="auto"/>
            </w:tcBorders>
            <w:shd w:val="clear" w:color="auto" w:fill="auto"/>
            <w:tcMar>
              <w:left w:w="0" w:type="dxa"/>
              <w:right w:w="0" w:type="dxa"/>
            </w:tcMar>
            <w:vAlign w:val="center"/>
          </w:tcPr>
          <w:p w:rsidR="004B12D7" w:rsidRPr="00711B4E" w:rsidRDefault="004B12D7" w:rsidP="00451D51">
            <w:pPr>
              <w:jc w:val="center"/>
              <w:rPr>
                <w:bCs/>
                <w:sz w:val="18"/>
                <w:szCs w:val="18"/>
              </w:rPr>
            </w:pPr>
            <w:r w:rsidRPr="00711B4E">
              <w:rPr>
                <w:bCs/>
                <w:sz w:val="18"/>
                <w:szCs w:val="18"/>
              </w:rPr>
              <w:t>(1990–2010)</w:t>
            </w:r>
          </w:p>
        </w:tc>
      </w:tr>
      <w:tr w:rsidR="004B12D7" w:rsidRPr="00711B4E" w:rsidTr="00B057B9">
        <w:trPr>
          <w:trHeight w:val="397"/>
          <w:jc w:val="center"/>
        </w:trPr>
        <w:tc>
          <w:tcPr>
            <w:tcW w:w="912" w:type="dxa"/>
            <w:vMerge/>
            <w:tcBorders>
              <w:top w:val="single" w:sz="4" w:space="0" w:color="auto"/>
              <w:bottom w:val="single" w:sz="4" w:space="0" w:color="auto"/>
            </w:tcBorders>
            <w:shd w:val="clear" w:color="auto" w:fill="auto"/>
            <w:tcMar>
              <w:left w:w="0" w:type="dxa"/>
              <w:right w:w="0" w:type="dxa"/>
            </w:tcMar>
            <w:vAlign w:val="center"/>
          </w:tcPr>
          <w:p w:rsidR="004B12D7" w:rsidRPr="00711B4E" w:rsidRDefault="004B12D7" w:rsidP="00451D51">
            <w:pPr>
              <w:jc w:val="center"/>
              <w:rPr>
                <w:b/>
                <w:bCs/>
                <w:sz w:val="18"/>
                <w:szCs w:val="18"/>
              </w:rPr>
            </w:pPr>
          </w:p>
        </w:tc>
        <w:tc>
          <w:tcPr>
            <w:tcW w:w="626"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P</w:t>
            </w:r>
            <w:r w:rsidRPr="00711B4E">
              <w:rPr>
                <w:bCs/>
                <w:sz w:val="18"/>
                <w:szCs w:val="18"/>
                <w:vertAlign w:val="superscript"/>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T</w:t>
            </w:r>
            <w:r w:rsidRPr="00711B4E">
              <w:rPr>
                <w:bCs/>
                <w:sz w:val="18"/>
                <w:szCs w:val="18"/>
                <w:vertAlign w:val="superscript"/>
              </w:rPr>
              <w:t>*</w:t>
            </w:r>
          </w:p>
        </w:tc>
        <w:tc>
          <w:tcPr>
            <w:tcW w:w="72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P</w:t>
            </w:r>
            <w:r w:rsidRPr="00711B4E">
              <w:rPr>
                <w:bCs/>
                <w:sz w:val="18"/>
                <w:szCs w:val="18"/>
                <w:vertAlign w:val="superscript"/>
              </w:rPr>
              <w:t>*</w:t>
            </w:r>
          </w:p>
        </w:tc>
        <w:tc>
          <w:tcPr>
            <w:tcW w:w="72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T</w:t>
            </w:r>
            <w:r w:rsidRPr="00711B4E">
              <w:rPr>
                <w:bCs/>
                <w:sz w:val="18"/>
                <w:szCs w:val="18"/>
                <w:vertAlign w:val="superscript"/>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P</w:t>
            </w:r>
            <w:r w:rsidRPr="00711B4E">
              <w:rPr>
                <w:bCs/>
                <w:sz w:val="18"/>
                <w:szCs w:val="18"/>
                <w:vertAlign w:val="superscript"/>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T</w:t>
            </w:r>
            <w:r w:rsidRPr="00711B4E">
              <w:rPr>
                <w:bCs/>
                <w:sz w:val="18"/>
                <w:szCs w:val="18"/>
                <w:vertAlign w:val="superscript"/>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P</w:t>
            </w:r>
            <w:r w:rsidRPr="00711B4E">
              <w:rPr>
                <w:bCs/>
                <w:sz w:val="18"/>
                <w:szCs w:val="18"/>
                <w:vertAlign w:val="superscript"/>
              </w:rPr>
              <w:t>*</w:t>
            </w:r>
          </w:p>
        </w:tc>
        <w:tc>
          <w:tcPr>
            <w:tcW w:w="72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T</w:t>
            </w:r>
            <w:r w:rsidRPr="00711B4E">
              <w:rPr>
                <w:bCs/>
                <w:sz w:val="18"/>
                <w:szCs w:val="18"/>
                <w:vertAlign w:val="superscript"/>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P</w:t>
            </w:r>
            <w:r w:rsidRPr="00711B4E">
              <w:rPr>
                <w:bCs/>
                <w:sz w:val="18"/>
                <w:szCs w:val="18"/>
                <w:vertAlign w:val="superscript"/>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T</w:t>
            </w:r>
            <w:r w:rsidRPr="00711B4E">
              <w:rPr>
                <w:bCs/>
                <w:sz w:val="18"/>
                <w:szCs w:val="18"/>
                <w:vertAlign w:val="superscript"/>
              </w:rPr>
              <w:t>*</w:t>
            </w:r>
          </w:p>
        </w:tc>
        <w:tc>
          <w:tcPr>
            <w:tcW w:w="622"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P</w:t>
            </w:r>
            <w:r w:rsidRPr="00711B4E">
              <w:rPr>
                <w:bCs/>
                <w:sz w:val="18"/>
                <w:szCs w:val="18"/>
                <w:vertAlign w:val="superscript"/>
              </w:rPr>
              <w:t>*</w:t>
            </w:r>
          </w:p>
        </w:tc>
        <w:tc>
          <w:tcPr>
            <w:tcW w:w="578"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bCs/>
                <w:sz w:val="18"/>
                <w:szCs w:val="18"/>
              </w:rPr>
            </w:pPr>
            <w:r w:rsidRPr="00711B4E">
              <w:rPr>
                <w:bCs/>
                <w:sz w:val="18"/>
                <w:szCs w:val="18"/>
              </w:rPr>
              <w:t>T</w:t>
            </w:r>
            <w:r w:rsidRPr="00711B4E">
              <w:rPr>
                <w:bCs/>
                <w:sz w:val="18"/>
                <w:szCs w:val="18"/>
                <w:vertAlign w:val="superscript"/>
              </w:rPr>
              <w:t>*</w:t>
            </w:r>
          </w:p>
        </w:tc>
      </w:tr>
      <w:tr w:rsidR="004B12D7" w:rsidRPr="00711B4E" w:rsidTr="00B057B9">
        <w:trPr>
          <w:trHeight w:val="340"/>
          <w:jc w:val="center"/>
        </w:trPr>
        <w:tc>
          <w:tcPr>
            <w:tcW w:w="912"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Jan.</w:t>
            </w:r>
          </w:p>
        </w:tc>
        <w:tc>
          <w:tcPr>
            <w:tcW w:w="626"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33.9</w:t>
            </w:r>
          </w:p>
        </w:tc>
        <w:tc>
          <w:tcPr>
            <w:tcW w:w="60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0.9</w:t>
            </w:r>
          </w:p>
        </w:tc>
        <w:tc>
          <w:tcPr>
            <w:tcW w:w="72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31.9</w:t>
            </w:r>
          </w:p>
        </w:tc>
        <w:tc>
          <w:tcPr>
            <w:tcW w:w="72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w:t>
            </w:r>
          </w:p>
        </w:tc>
        <w:tc>
          <w:tcPr>
            <w:tcW w:w="60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49.1</w:t>
            </w:r>
          </w:p>
        </w:tc>
        <w:tc>
          <w:tcPr>
            <w:tcW w:w="60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4.6</w:t>
            </w:r>
          </w:p>
        </w:tc>
        <w:tc>
          <w:tcPr>
            <w:tcW w:w="60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26.1</w:t>
            </w:r>
          </w:p>
        </w:tc>
        <w:tc>
          <w:tcPr>
            <w:tcW w:w="72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1.3</w:t>
            </w:r>
          </w:p>
        </w:tc>
        <w:tc>
          <w:tcPr>
            <w:tcW w:w="60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47.4</w:t>
            </w:r>
          </w:p>
        </w:tc>
        <w:tc>
          <w:tcPr>
            <w:tcW w:w="600"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-1.3</w:t>
            </w:r>
          </w:p>
        </w:tc>
        <w:tc>
          <w:tcPr>
            <w:tcW w:w="622"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34.0</w:t>
            </w:r>
          </w:p>
        </w:tc>
        <w:tc>
          <w:tcPr>
            <w:tcW w:w="578" w:type="dxa"/>
            <w:tcBorders>
              <w:top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0.6</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Feb.</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64.0</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-3.5</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32.0</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0.8</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36.3</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6.0</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9.8</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4.3</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53.5</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1.4</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29.5</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Mar.</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24.7</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4.0</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52.0</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5.3</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51.4</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8.4</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61.4</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7.6</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43.6</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6.9</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30.8</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6.4</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Apr.</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73.2</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11.7</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92.5</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12.6</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15.6</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11.5</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70.9</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12.4</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12.5</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14.9</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51.8</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11.9</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May</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54.1</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17.3</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26.6</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16.9</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80.0</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17.0</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40.0</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17.6</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112.9</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18.8</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53.7</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17.5</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Jun.</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70.8</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19.4</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90.0</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19.3</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71.4</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20.5</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67.2</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21.2</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69.9</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20.2</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85.6</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20.6</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Jul.</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63.7</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21.6</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15.3</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23.0</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4.8</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22.7</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24.1</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21.7</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89.1</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22.5</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78.1</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22.2</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Aug.</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150.4</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20.3</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98.1</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19.7</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56.9</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21.1</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18.3</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22.6</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13.2</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22.5</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56.8</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21.9</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Sep.</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66.9</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17.2</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13.4</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17.2</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95.0</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14.3</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83.4</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15.8</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3.1</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19.1</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57.0</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16.8</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Oct.</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32.8</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11.5</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21.4</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13.1</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111.6</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9.8</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19.6</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12.9</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72.7</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11.8</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51.6</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11.8</w:t>
            </w:r>
          </w:p>
        </w:tc>
      </w:tr>
      <w:tr w:rsidR="004B12D7" w:rsidRPr="00711B4E" w:rsidTr="00B057B9">
        <w:trPr>
          <w:trHeight w:val="340"/>
          <w:jc w:val="center"/>
        </w:trPr>
        <w:tc>
          <w:tcPr>
            <w:tcW w:w="91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Nov.</w:t>
            </w:r>
          </w:p>
        </w:tc>
        <w:tc>
          <w:tcPr>
            <w:tcW w:w="626"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19.1</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5.4</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16.8</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7.3</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81.1</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3.4</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49.3</w:t>
            </w:r>
          </w:p>
        </w:tc>
        <w:tc>
          <w:tcPr>
            <w:tcW w:w="72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7.4</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82.1</w:t>
            </w:r>
          </w:p>
        </w:tc>
        <w:tc>
          <w:tcPr>
            <w:tcW w:w="600"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8.3</w:t>
            </w:r>
          </w:p>
        </w:tc>
        <w:tc>
          <w:tcPr>
            <w:tcW w:w="622"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48.4</w:t>
            </w:r>
          </w:p>
        </w:tc>
        <w:tc>
          <w:tcPr>
            <w:tcW w:w="578" w:type="dxa"/>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6.6</w:t>
            </w:r>
          </w:p>
        </w:tc>
      </w:tr>
      <w:tr w:rsidR="004B12D7" w:rsidRPr="00711B4E" w:rsidTr="00B057B9">
        <w:trPr>
          <w:trHeight w:val="340"/>
          <w:jc w:val="center"/>
        </w:trPr>
        <w:tc>
          <w:tcPr>
            <w:tcW w:w="912"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Dec.</w:t>
            </w:r>
          </w:p>
        </w:tc>
        <w:tc>
          <w:tcPr>
            <w:tcW w:w="626"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87.5</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2.3</w:t>
            </w:r>
          </w:p>
        </w:tc>
        <w:tc>
          <w:tcPr>
            <w:tcW w:w="72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41.2</w:t>
            </w:r>
          </w:p>
        </w:tc>
        <w:tc>
          <w:tcPr>
            <w:tcW w:w="72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2.6</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49.3</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-0.2</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60.7</w:t>
            </w:r>
          </w:p>
        </w:tc>
        <w:tc>
          <w:tcPr>
            <w:tcW w:w="72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3.6</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90.0</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3.5</w:t>
            </w:r>
          </w:p>
        </w:tc>
        <w:tc>
          <w:tcPr>
            <w:tcW w:w="622"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53.1</w:t>
            </w:r>
          </w:p>
        </w:tc>
        <w:tc>
          <w:tcPr>
            <w:tcW w:w="578"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1.5</w:t>
            </w:r>
          </w:p>
        </w:tc>
      </w:tr>
      <w:tr w:rsidR="004B12D7" w:rsidRPr="00711B4E" w:rsidTr="00B057B9">
        <w:trPr>
          <w:trHeight w:val="397"/>
          <w:jc w:val="center"/>
        </w:trPr>
        <w:tc>
          <w:tcPr>
            <w:tcW w:w="912"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Total P</w:t>
            </w:r>
            <w:r w:rsidRPr="00B057B9">
              <w:rPr>
                <w:sz w:val="18"/>
                <w:szCs w:val="18"/>
                <w:vertAlign w:val="superscript"/>
              </w:rPr>
              <w:t>*</w:t>
            </w:r>
          </w:p>
        </w:tc>
        <w:tc>
          <w:tcPr>
            <w:tcW w:w="626"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741.1</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w:t>
            </w:r>
          </w:p>
        </w:tc>
        <w:tc>
          <w:tcPr>
            <w:tcW w:w="72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531.2</w:t>
            </w:r>
          </w:p>
        </w:tc>
        <w:tc>
          <w:tcPr>
            <w:tcW w:w="72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702.5</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530.8</w:t>
            </w:r>
          </w:p>
        </w:tc>
        <w:tc>
          <w:tcPr>
            <w:tcW w:w="72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690.2</w:t>
            </w:r>
          </w:p>
        </w:tc>
        <w:tc>
          <w:tcPr>
            <w:tcW w:w="600"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w:t>
            </w:r>
          </w:p>
        </w:tc>
        <w:tc>
          <w:tcPr>
            <w:tcW w:w="622"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630.4</w:t>
            </w:r>
          </w:p>
        </w:tc>
        <w:tc>
          <w:tcPr>
            <w:tcW w:w="578" w:type="dxa"/>
            <w:tcBorders>
              <w:bottom w:val="single" w:sz="4" w:space="0" w:color="auto"/>
            </w:tcBorders>
            <w:shd w:val="clear" w:color="auto" w:fill="auto"/>
            <w:noWrap/>
            <w:tcMar>
              <w:left w:w="0" w:type="dxa"/>
              <w:right w:w="0" w:type="dxa"/>
            </w:tcMar>
            <w:vAlign w:val="center"/>
          </w:tcPr>
          <w:p w:rsidR="004B12D7" w:rsidRPr="00B057B9" w:rsidRDefault="004B12D7" w:rsidP="00451D51">
            <w:pPr>
              <w:jc w:val="center"/>
              <w:rPr>
                <w:sz w:val="18"/>
                <w:szCs w:val="18"/>
              </w:rPr>
            </w:pPr>
            <w:r w:rsidRPr="00B057B9">
              <w:rPr>
                <w:sz w:val="18"/>
                <w:szCs w:val="18"/>
              </w:rPr>
              <w:t>-</w:t>
            </w:r>
          </w:p>
        </w:tc>
      </w:tr>
      <w:tr w:rsidR="004B12D7" w:rsidRPr="00711B4E" w:rsidTr="00B057B9">
        <w:trPr>
          <w:trHeight w:val="397"/>
          <w:jc w:val="center"/>
        </w:trPr>
        <w:tc>
          <w:tcPr>
            <w:tcW w:w="912"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Mean T</w:t>
            </w:r>
            <w:r w:rsidRPr="00711B4E">
              <w:rPr>
                <w:sz w:val="18"/>
                <w:szCs w:val="18"/>
                <w:vertAlign w:val="superscript"/>
              </w:rPr>
              <w:t>*</w:t>
            </w:r>
          </w:p>
        </w:tc>
        <w:tc>
          <w:tcPr>
            <w:tcW w:w="626"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10.8</w:t>
            </w:r>
          </w:p>
        </w:tc>
        <w:tc>
          <w:tcPr>
            <w:tcW w:w="72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w:t>
            </w:r>
          </w:p>
        </w:tc>
        <w:tc>
          <w:tcPr>
            <w:tcW w:w="72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11.5</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11.6</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w:t>
            </w:r>
          </w:p>
        </w:tc>
        <w:tc>
          <w:tcPr>
            <w:tcW w:w="72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12.4</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w:t>
            </w:r>
          </w:p>
        </w:tc>
        <w:tc>
          <w:tcPr>
            <w:tcW w:w="600"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12.4</w:t>
            </w:r>
          </w:p>
        </w:tc>
        <w:tc>
          <w:tcPr>
            <w:tcW w:w="622"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w:t>
            </w:r>
          </w:p>
        </w:tc>
        <w:tc>
          <w:tcPr>
            <w:tcW w:w="578" w:type="dxa"/>
            <w:tcBorders>
              <w:top w:val="single" w:sz="4" w:space="0" w:color="auto"/>
              <w:bottom w:val="single" w:sz="4" w:space="0" w:color="auto"/>
            </w:tcBorders>
            <w:shd w:val="clear" w:color="auto" w:fill="auto"/>
            <w:noWrap/>
            <w:tcMar>
              <w:left w:w="0" w:type="dxa"/>
              <w:right w:w="0" w:type="dxa"/>
            </w:tcMar>
            <w:vAlign w:val="center"/>
          </w:tcPr>
          <w:p w:rsidR="004B12D7" w:rsidRPr="00711B4E" w:rsidRDefault="004B12D7" w:rsidP="00451D51">
            <w:pPr>
              <w:jc w:val="center"/>
              <w:rPr>
                <w:sz w:val="18"/>
                <w:szCs w:val="18"/>
              </w:rPr>
            </w:pPr>
            <w:r w:rsidRPr="00711B4E">
              <w:rPr>
                <w:sz w:val="18"/>
                <w:szCs w:val="18"/>
              </w:rPr>
              <w:t>11.7</w:t>
            </w:r>
          </w:p>
        </w:tc>
      </w:tr>
    </w:tbl>
    <w:p w:rsidR="004B12D7" w:rsidRPr="00711B4E" w:rsidRDefault="004B12D7" w:rsidP="00B057B9">
      <w:pPr>
        <w:spacing w:before="40"/>
        <w:jc w:val="both"/>
        <w:rPr>
          <w:sz w:val="18"/>
          <w:szCs w:val="18"/>
          <w:lang w:val="en-US"/>
        </w:rPr>
      </w:pPr>
      <w:r w:rsidRPr="00711B4E">
        <w:rPr>
          <w:sz w:val="18"/>
          <w:szCs w:val="18"/>
          <w:vertAlign w:val="superscript"/>
          <w:lang w:val="en-US"/>
        </w:rPr>
        <w:t>*</w:t>
      </w:r>
      <w:r w:rsidR="00451D51">
        <w:rPr>
          <w:sz w:val="18"/>
          <w:szCs w:val="18"/>
          <w:lang w:val="en-US"/>
        </w:rPr>
        <w:t xml:space="preserve"> P – Precipitation, T – Temp</w:t>
      </w:r>
      <w:r w:rsidRPr="00711B4E">
        <w:rPr>
          <w:sz w:val="18"/>
          <w:szCs w:val="18"/>
          <w:lang w:val="en-US"/>
        </w:rPr>
        <w:t>erature.</w:t>
      </w:r>
    </w:p>
    <w:p w:rsidR="004B12D7" w:rsidRPr="00711B4E" w:rsidRDefault="004B12D7" w:rsidP="00B057B9">
      <w:pPr>
        <w:jc w:val="both"/>
        <w:rPr>
          <w:bCs/>
          <w:sz w:val="22"/>
          <w:szCs w:val="22"/>
          <w:lang w:val="en-US"/>
        </w:rPr>
      </w:pPr>
    </w:p>
    <w:p w:rsidR="004B12D7" w:rsidRPr="00711B4E" w:rsidRDefault="004B12D7" w:rsidP="00711B4E">
      <w:pPr>
        <w:ind w:firstLine="426"/>
        <w:jc w:val="both"/>
        <w:rPr>
          <w:sz w:val="22"/>
          <w:szCs w:val="22"/>
          <w:lang w:val="en-US"/>
        </w:rPr>
      </w:pPr>
      <w:r w:rsidRPr="00711B4E">
        <w:rPr>
          <w:bCs/>
          <w:sz w:val="22"/>
          <w:szCs w:val="22"/>
          <w:lang w:val="en-US"/>
        </w:rPr>
        <w:lastRenderedPageBreak/>
        <w:t>The diploid autochthonous cultivar of chamomile ‘Banatska’ was used in the researches (Maksimović et al., 1997; Ristić et al., 2007)</w:t>
      </w:r>
      <w:r w:rsidRPr="00711B4E">
        <w:rPr>
          <w:sz w:val="22"/>
          <w:szCs w:val="22"/>
          <w:lang w:val="en-US"/>
        </w:rPr>
        <w:t>. It was sown in optimal agrotechnical terms (from 1 September to 10 September) at a seeding rate of 1.5 kg</w:t>
      </w:r>
      <w:r w:rsidRPr="00711B4E">
        <w:rPr>
          <w:sz w:val="22"/>
          <w:szCs w:val="22"/>
          <w:lang w:val="en-US"/>
        </w:rPr>
        <w:sym w:font="Symbol" w:char="F0D7"/>
      </w:r>
      <w:r w:rsidRPr="00711B4E">
        <w:rPr>
          <w:sz w:val="22"/>
          <w:szCs w:val="22"/>
          <w:lang w:val="en-US"/>
        </w:rPr>
        <w:t>ha</w:t>
      </w:r>
      <w:r w:rsidRPr="00711B4E">
        <w:rPr>
          <w:sz w:val="22"/>
          <w:szCs w:val="22"/>
          <w:vertAlign w:val="superscript"/>
          <w:lang w:val="en-US"/>
        </w:rPr>
        <w:t>-1</w:t>
      </w:r>
      <w:r w:rsidRPr="00711B4E">
        <w:rPr>
          <w:sz w:val="22"/>
          <w:szCs w:val="22"/>
          <w:lang w:val="en-US"/>
        </w:rPr>
        <w:t>, and seed purity was 97%. The forecrop was winter wheat, grown in a conventional production system. Field studies were carried out on chernozem soil type by the method of split-plot design with three replications. The total experiment ground surface was 10,800 m</w:t>
      </w:r>
      <w:r w:rsidRPr="00711B4E">
        <w:rPr>
          <w:sz w:val="22"/>
          <w:szCs w:val="22"/>
          <w:vertAlign w:val="superscript"/>
          <w:lang w:val="en-US"/>
        </w:rPr>
        <w:t>2</w:t>
      </w:r>
      <w:r w:rsidRPr="00711B4E">
        <w:rPr>
          <w:sz w:val="22"/>
          <w:szCs w:val="22"/>
          <w:lang w:val="en-US"/>
        </w:rPr>
        <w:t xml:space="preserve">. Basic chemical properties of the soil (Radanović et al., 2003) </w:t>
      </w:r>
      <w:r w:rsidR="00711B4E">
        <w:rPr>
          <w:sz w:val="22"/>
          <w:szCs w:val="22"/>
          <w:lang w:val="en-US"/>
        </w:rPr>
        <w:t>are presented in Table 2.</w:t>
      </w:r>
    </w:p>
    <w:p w:rsidR="004B12D7" w:rsidRPr="00711B4E" w:rsidRDefault="004B12D7" w:rsidP="00711B4E">
      <w:pPr>
        <w:jc w:val="both"/>
        <w:rPr>
          <w:sz w:val="22"/>
          <w:szCs w:val="22"/>
          <w:lang w:val="en-US"/>
        </w:rPr>
      </w:pPr>
    </w:p>
    <w:p w:rsidR="004B12D7" w:rsidRDefault="004B12D7" w:rsidP="00711B4E">
      <w:pPr>
        <w:outlineLvl w:val="0"/>
        <w:rPr>
          <w:sz w:val="22"/>
          <w:szCs w:val="22"/>
          <w:lang w:val="en-US"/>
        </w:rPr>
      </w:pPr>
      <w:r w:rsidRPr="00711B4E">
        <w:rPr>
          <w:sz w:val="22"/>
          <w:szCs w:val="22"/>
          <w:lang w:val="en-US"/>
        </w:rPr>
        <w:t>Table 2. Basic chemical properties of profile samples.</w:t>
      </w:r>
    </w:p>
    <w:p w:rsidR="00711B4E" w:rsidRPr="00711B4E" w:rsidRDefault="00711B4E" w:rsidP="00711B4E">
      <w:pPr>
        <w:outlineLvl w:val="0"/>
        <w:rPr>
          <w:sz w:val="22"/>
          <w:szCs w:val="22"/>
          <w:lang w:val="en-US"/>
        </w:rPr>
      </w:pPr>
    </w:p>
    <w:tbl>
      <w:tblPr>
        <w:tblW w:w="7371" w:type="dxa"/>
        <w:jc w:val="center"/>
        <w:tblBorders>
          <w:top w:val="single" w:sz="4" w:space="0" w:color="auto"/>
          <w:bottom w:val="single" w:sz="4" w:space="0" w:color="auto"/>
        </w:tblBorders>
        <w:tblLayout w:type="fixed"/>
        <w:tblCellMar>
          <w:left w:w="28" w:type="dxa"/>
          <w:right w:w="28" w:type="dxa"/>
        </w:tblCellMar>
        <w:tblLook w:val="0000"/>
      </w:tblPr>
      <w:tblGrid>
        <w:gridCol w:w="965"/>
        <w:gridCol w:w="907"/>
        <w:gridCol w:w="875"/>
        <w:gridCol w:w="875"/>
        <w:gridCol w:w="875"/>
        <w:gridCol w:w="876"/>
        <w:gridCol w:w="999"/>
        <w:gridCol w:w="999"/>
      </w:tblGrid>
      <w:tr w:rsidR="004B12D7" w:rsidRPr="00711B4E" w:rsidTr="00B057B9">
        <w:trPr>
          <w:trHeight w:val="397"/>
          <w:jc w:val="center"/>
        </w:trPr>
        <w:tc>
          <w:tcPr>
            <w:tcW w:w="1097" w:type="dxa"/>
            <w:vMerge w:val="restart"/>
            <w:tcBorders>
              <w:top w:val="single" w:sz="4" w:space="0" w:color="auto"/>
              <w:bottom w:val="single" w:sz="4" w:space="0" w:color="auto"/>
            </w:tcBorders>
            <w:shd w:val="clear" w:color="auto" w:fill="auto"/>
            <w:noWrap/>
            <w:vAlign w:val="center"/>
          </w:tcPr>
          <w:p w:rsidR="004B12D7" w:rsidRPr="00B057B9" w:rsidRDefault="004B12D7" w:rsidP="00451D51">
            <w:pPr>
              <w:jc w:val="center"/>
              <w:rPr>
                <w:bCs/>
                <w:sz w:val="18"/>
                <w:szCs w:val="18"/>
              </w:rPr>
            </w:pPr>
            <w:r w:rsidRPr="00B057B9">
              <w:rPr>
                <w:bCs/>
                <w:sz w:val="18"/>
                <w:szCs w:val="18"/>
              </w:rPr>
              <w:t>Soil horizons</w:t>
            </w:r>
          </w:p>
        </w:tc>
        <w:tc>
          <w:tcPr>
            <w:tcW w:w="1030" w:type="dxa"/>
            <w:vMerge w:val="restart"/>
            <w:tcBorders>
              <w:top w:val="single" w:sz="4" w:space="0" w:color="auto"/>
              <w:bottom w:val="single" w:sz="4" w:space="0" w:color="auto"/>
            </w:tcBorders>
            <w:shd w:val="clear" w:color="auto" w:fill="auto"/>
            <w:vAlign w:val="center"/>
          </w:tcPr>
          <w:p w:rsidR="004B12D7" w:rsidRPr="00B057B9" w:rsidRDefault="004B12D7" w:rsidP="00451D51">
            <w:pPr>
              <w:jc w:val="center"/>
              <w:rPr>
                <w:sz w:val="18"/>
                <w:szCs w:val="18"/>
              </w:rPr>
            </w:pPr>
            <w:r w:rsidRPr="00B057B9">
              <w:rPr>
                <w:bCs/>
                <w:sz w:val="18"/>
                <w:szCs w:val="18"/>
              </w:rPr>
              <w:t>Depth</w:t>
            </w:r>
            <w:r w:rsidRPr="00B057B9">
              <w:rPr>
                <w:sz w:val="18"/>
                <w:szCs w:val="18"/>
              </w:rPr>
              <w:br/>
              <w:t>(cm)</w:t>
            </w:r>
          </w:p>
        </w:tc>
        <w:tc>
          <w:tcPr>
            <w:tcW w:w="1984" w:type="dxa"/>
            <w:gridSpan w:val="2"/>
            <w:tcBorders>
              <w:top w:val="single" w:sz="4" w:space="0" w:color="auto"/>
              <w:bottom w:val="nil"/>
            </w:tcBorders>
            <w:shd w:val="clear" w:color="auto" w:fill="auto"/>
            <w:noWrap/>
            <w:vAlign w:val="center"/>
          </w:tcPr>
          <w:p w:rsidR="004B12D7" w:rsidRPr="00B057B9" w:rsidRDefault="004B12D7" w:rsidP="00451D51">
            <w:pPr>
              <w:jc w:val="center"/>
              <w:rPr>
                <w:bCs/>
                <w:sz w:val="18"/>
                <w:szCs w:val="18"/>
              </w:rPr>
            </w:pPr>
            <w:r w:rsidRPr="00B057B9">
              <w:rPr>
                <w:bCs/>
                <w:sz w:val="18"/>
                <w:szCs w:val="18"/>
              </w:rPr>
              <w:t>pH</w:t>
            </w:r>
          </w:p>
        </w:tc>
        <w:tc>
          <w:tcPr>
            <w:tcW w:w="992" w:type="dxa"/>
            <w:vMerge w:val="restart"/>
            <w:tcBorders>
              <w:top w:val="single" w:sz="4" w:space="0" w:color="auto"/>
              <w:bottom w:val="nil"/>
            </w:tcBorders>
            <w:shd w:val="clear" w:color="auto" w:fill="auto"/>
            <w:vAlign w:val="center"/>
          </w:tcPr>
          <w:p w:rsidR="004B12D7" w:rsidRPr="00B057B9" w:rsidRDefault="004B12D7" w:rsidP="00451D51">
            <w:pPr>
              <w:jc w:val="center"/>
              <w:rPr>
                <w:bCs/>
                <w:sz w:val="18"/>
                <w:szCs w:val="18"/>
              </w:rPr>
            </w:pPr>
            <w:r w:rsidRPr="00B057B9">
              <w:rPr>
                <w:bCs/>
                <w:sz w:val="18"/>
                <w:szCs w:val="18"/>
              </w:rPr>
              <w:t>CaCO</w:t>
            </w:r>
            <w:r w:rsidRPr="00B057B9">
              <w:rPr>
                <w:bCs/>
                <w:sz w:val="18"/>
                <w:szCs w:val="18"/>
                <w:vertAlign w:val="subscript"/>
              </w:rPr>
              <w:t>3</w:t>
            </w:r>
            <w:r w:rsidRPr="00B057B9">
              <w:rPr>
                <w:bCs/>
                <w:sz w:val="18"/>
                <w:szCs w:val="18"/>
              </w:rPr>
              <w:br/>
            </w:r>
            <w:r w:rsidRPr="00B057B9">
              <w:rPr>
                <w:sz w:val="18"/>
                <w:szCs w:val="18"/>
              </w:rPr>
              <w:t>%</w:t>
            </w:r>
          </w:p>
        </w:tc>
        <w:tc>
          <w:tcPr>
            <w:tcW w:w="993" w:type="dxa"/>
            <w:vMerge w:val="restart"/>
            <w:tcBorders>
              <w:top w:val="single" w:sz="4" w:space="0" w:color="auto"/>
              <w:bottom w:val="nil"/>
            </w:tcBorders>
            <w:shd w:val="clear" w:color="auto" w:fill="auto"/>
            <w:vAlign w:val="center"/>
          </w:tcPr>
          <w:p w:rsidR="004B12D7" w:rsidRPr="00B057B9" w:rsidRDefault="004B12D7" w:rsidP="00451D51">
            <w:pPr>
              <w:jc w:val="center"/>
              <w:rPr>
                <w:bCs/>
                <w:sz w:val="18"/>
                <w:szCs w:val="18"/>
              </w:rPr>
            </w:pPr>
            <w:r w:rsidRPr="00B057B9">
              <w:rPr>
                <w:bCs/>
                <w:sz w:val="18"/>
                <w:szCs w:val="18"/>
              </w:rPr>
              <w:t>Humus</w:t>
            </w:r>
            <w:r w:rsidRPr="00B057B9">
              <w:rPr>
                <w:bCs/>
                <w:sz w:val="18"/>
                <w:szCs w:val="18"/>
              </w:rPr>
              <w:br/>
            </w:r>
            <w:r w:rsidRPr="00B057B9">
              <w:rPr>
                <w:sz w:val="18"/>
                <w:szCs w:val="18"/>
              </w:rPr>
              <w:t>%</w:t>
            </w:r>
          </w:p>
        </w:tc>
        <w:tc>
          <w:tcPr>
            <w:tcW w:w="1134" w:type="dxa"/>
            <w:vMerge w:val="restart"/>
            <w:tcBorders>
              <w:top w:val="single" w:sz="4" w:space="0" w:color="auto"/>
              <w:bottom w:val="nil"/>
            </w:tcBorders>
            <w:shd w:val="clear" w:color="auto" w:fill="auto"/>
            <w:vAlign w:val="center"/>
          </w:tcPr>
          <w:p w:rsidR="004B12D7" w:rsidRPr="00B057B9" w:rsidRDefault="004B12D7" w:rsidP="00451D51">
            <w:pPr>
              <w:jc w:val="center"/>
              <w:rPr>
                <w:bCs/>
                <w:sz w:val="18"/>
                <w:szCs w:val="18"/>
              </w:rPr>
            </w:pPr>
            <w:r w:rsidRPr="00B057B9">
              <w:rPr>
                <w:bCs/>
                <w:sz w:val="18"/>
                <w:szCs w:val="18"/>
              </w:rPr>
              <w:t>AL-P</w:t>
            </w:r>
            <w:r w:rsidRPr="00B057B9">
              <w:rPr>
                <w:bCs/>
                <w:sz w:val="18"/>
                <w:szCs w:val="18"/>
                <w:vertAlign w:val="subscript"/>
              </w:rPr>
              <w:t>2</w:t>
            </w:r>
            <w:r w:rsidRPr="00B057B9">
              <w:rPr>
                <w:bCs/>
                <w:sz w:val="18"/>
                <w:szCs w:val="18"/>
              </w:rPr>
              <w:t>O</w:t>
            </w:r>
            <w:r w:rsidRPr="00B057B9">
              <w:rPr>
                <w:bCs/>
                <w:sz w:val="18"/>
                <w:szCs w:val="18"/>
                <w:vertAlign w:val="subscript"/>
              </w:rPr>
              <w:t>5</w:t>
            </w:r>
            <w:r w:rsidRPr="00B057B9">
              <w:rPr>
                <w:bCs/>
                <w:sz w:val="18"/>
                <w:szCs w:val="18"/>
              </w:rPr>
              <w:br/>
            </w:r>
            <w:r w:rsidRPr="00B057B9">
              <w:rPr>
                <w:sz w:val="18"/>
                <w:szCs w:val="18"/>
              </w:rPr>
              <w:t>mg</w:t>
            </w:r>
            <w:r w:rsidRPr="00B057B9">
              <w:rPr>
                <w:sz w:val="18"/>
                <w:szCs w:val="18"/>
                <w:lang w:val="en-US"/>
              </w:rPr>
              <w:sym w:font="Symbol" w:char="F0D7"/>
            </w:r>
            <w:r w:rsidRPr="00B057B9">
              <w:rPr>
                <w:sz w:val="18"/>
                <w:szCs w:val="18"/>
              </w:rPr>
              <w:t>10</w:t>
            </w:r>
            <w:r w:rsidRPr="00B057B9">
              <w:rPr>
                <w:sz w:val="18"/>
                <w:szCs w:val="18"/>
                <w:vertAlign w:val="superscript"/>
              </w:rPr>
              <w:t>-2</w:t>
            </w:r>
            <w:r w:rsidRPr="00B057B9">
              <w:rPr>
                <w:sz w:val="18"/>
                <w:szCs w:val="18"/>
              </w:rPr>
              <w:t>g</w:t>
            </w:r>
          </w:p>
        </w:tc>
        <w:tc>
          <w:tcPr>
            <w:tcW w:w="1134" w:type="dxa"/>
            <w:vMerge w:val="restart"/>
            <w:tcBorders>
              <w:top w:val="single" w:sz="4" w:space="0" w:color="auto"/>
              <w:bottom w:val="nil"/>
            </w:tcBorders>
            <w:shd w:val="clear" w:color="auto" w:fill="auto"/>
            <w:vAlign w:val="center"/>
          </w:tcPr>
          <w:p w:rsidR="004B12D7" w:rsidRPr="00B057B9" w:rsidRDefault="004B12D7" w:rsidP="00451D51">
            <w:pPr>
              <w:jc w:val="center"/>
              <w:rPr>
                <w:bCs/>
                <w:sz w:val="18"/>
                <w:szCs w:val="18"/>
              </w:rPr>
            </w:pPr>
            <w:r w:rsidRPr="00B057B9">
              <w:rPr>
                <w:bCs/>
                <w:sz w:val="18"/>
                <w:szCs w:val="18"/>
              </w:rPr>
              <w:t>AL-K</w:t>
            </w:r>
            <w:r w:rsidRPr="00B057B9">
              <w:rPr>
                <w:bCs/>
                <w:sz w:val="18"/>
                <w:szCs w:val="18"/>
                <w:vertAlign w:val="subscript"/>
              </w:rPr>
              <w:t>2</w:t>
            </w:r>
            <w:r w:rsidRPr="00B057B9">
              <w:rPr>
                <w:bCs/>
                <w:sz w:val="18"/>
                <w:szCs w:val="18"/>
              </w:rPr>
              <w:t>O</w:t>
            </w:r>
            <w:r w:rsidRPr="00B057B9">
              <w:rPr>
                <w:bCs/>
                <w:sz w:val="18"/>
                <w:szCs w:val="18"/>
              </w:rPr>
              <w:br/>
            </w:r>
            <w:r w:rsidRPr="00B057B9">
              <w:rPr>
                <w:sz w:val="18"/>
                <w:szCs w:val="18"/>
              </w:rPr>
              <w:t>mg</w:t>
            </w:r>
            <w:r w:rsidRPr="00B057B9">
              <w:rPr>
                <w:sz w:val="18"/>
                <w:szCs w:val="18"/>
                <w:lang w:val="en-US"/>
              </w:rPr>
              <w:sym w:font="Symbol" w:char="F0D7"/>
            </w:r>
            <w:r w:rsidRPr="00B057B9">
              <w:rPr>
                <w:sz w:val="18"/>
                <w:szCs w:val="18"/>
              </w:rPr>
              <w:t>10</w:t>
            </w:r>
            <w:r w:rsidRPr="00B057B9">
              <w:rPr>
                <w:sz w:val="18"/>
                <w:szCs w:val="18"/>
                <w:vertAlign w:val="superscript"/>
              </w:rPr>
              <w:t>-2</w:t>
            </w:r>
            <w:r w:rsidRPr="00B057B9">
              <w:rPr>
                <w:sz w:val="18"/>
                <w:szCs w:val="18"/>
              </w:rPr>
              <w:t>g</w:t>
            </w:r>
          </w:p>
        </w:tc>
      </w:tr>
      <w:tr w:rsidR="004B12D7" w:rsidRPr="00711B4E" w:rsidTr="00711B4E">
        <w:trPr>
          <w:trHeight w:val="227"/>
          <w:jc w:val="center"/>
        </w:trPr>
        <w:tc>
          <w:tcPr>
            <w:tcW w:w="1097" w:type="dxa"/>
            <w:vMerge/>
            <w:tcBorders>
              <w:top w:val="nil"/>
              <w:bottom w:val="single" w:sz="4" w:space="0" w:color="auto"/>
            </w:tcBorders>
            <w:shd w:val="clear" w:color="auto" w:fill="auto"/>
            <w:vAlign w:val="center"/>
          </w:tcPr>
          <w:p w:rsidR="004B12D7" w:rsidRPr="00711B4E" w:rsidRDefault="004B12D7" w:rsidP="00451D51">
            <w:pPr>
              <w:jc w:val="center"/>
              <w:rPr>
                <w:b/>
                <w:bCs/>
                <w:sz w:val="18"/>
                <w:szCs w:val="18"/>
              </w:rPr>
            </w:pPr>
          </w:p>
        </w:tc>
        <w:tc>
          <w:tcPr>
            <w:tcW w:w="1030" w:type="dxa"/>
            <w:vMerge/>
            <w:tcBorders>
              <w:top w:val="nil"/>
              <w:bottom w:val="single" w:sz="4" w:space="0" w:color="auto"/>
            </w:tcBorders>
            <w:shd w:val="clear" w:color="auto" w:fill="auto"/>
            <w:vAlign w:val="center"/>
          </w:tcPr>
          <w:p w:rsidR="004B12D7" w:rsidRPr="00711B4E" w:rsidRDefault="004B12D7" w:rsidP="00451D51">
            <w:pPr>
              <w:jc w:val="center"/>
              <w:rPr>
                <w:b/>
                <w:bCs/>
                <w:sz w:val="18"/>
                <w:szCs w:val="18"/>
              </w:rPr>
            </w:pPr>
          </w:p>
        </w:tc>
        <w:tc>
          <w:tcPr>
            <w:tcW w:w="992" w:type="dxa"/>
            <w:tcBorders>
              <w:top w:val="nil"/>
              <w:bottom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in KCl</w:t>
            </w:r>
          </w:p>
        </w:tc>
        <w:tc>
          <w:tcPr>
            <w:tcW w:w="992" w:type="dxa"/>
            <w:tcBorders>
              <w:top w:val="nil"/>
              <w:bottom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in H</w:t>
            </w:r>
            <w:r w:rsidRPr="00711B4E">
              <w:rPr>
                <w:sz w:val="18"/>
                <w:szCs w:val="18"/>
                <w:vertAlign w:val="subscript"/>
              </w:rPr>
              <w:t>2</w:t>
            </w:r>
            <w:r w:rsidRPr="00711B4E">
              <w:rPr>
                <w:sz w:val="18"/>
                <w:szCs w:val="18"/>
              </w:rPr>
              <w:t>O</w:t>
            </w:r>
          </w:p>
        </w:tc>
        <w:tc>
          <w:tcPr>
            <w:tcW w:w="992" w:type="dxa"/>
            <w:vMerge/>
            <w:tcBorders>
              <w:top w:val="nil"/>
              <w:bottom w:val="single" w:sz="4" w:space="0" w:color="auto"/>
            </w:tcBorders>
            <w:shd w:val="clear" w:color="auto" w:fill="auto"/>
            <w:vAlign w:val="center"/>
          </w:tcPr>
          <w:p w:rsidR="004B12D7" w:rsidRPr="00711B4E" w:rsidRDefault="004B12D7" w:rsidP="00451D51">
            <w:pPr>
              <w:jc w:val="center"/>
              <w:rPr>
                <w:b/>
                <w:bCs/>
                <w:sz w:val="18"/>
                <w:szCs w:val="18"/>
              </w:rPr>
            </w:pPr>
          </w:p>
        </w:tc>
        <w:tc>
          <w:tcPr>
            <w:tcW w:w="993" w:type="dxa"/>
            <w:vMerge/>
            <w:tcBorders>
              <w:top w:val="nil"/>
              <w:bottom w:val="single" w:sz="4" w:space="0" w:color="auto"/>
            </w:tcBorders>
            <w:shd w:val="clear" w:color="auto" w:fill="auto"/>
            <w:vAlign w:val="center"/>
          </w:tcPr>
          <w:p w:rsidR="004B12D7" w:rsidRPr="00711B4E" w:rsidRDefault="004B12D7" w:rsidP="00451D51">
            <w:pPr>
              <w:jc w:val="center"/>
              <w:rPr>
                <w:b/>
                <w:bCs/>
                <w:sz w:val="18"/>
                <w:szCs w:val="18"/>
              </w:rPr>
            </w:pPr>
          </w:p>
        </w:tc>
        <w:tc>
          <w:tcPr>
            <w:tcW w:w="1134" w:type="dxa"/>
            <w:vMerge/>
            <w:tcBorders>
              <w:top w:val="nil"/>
              <w:bottom w:val="single" w:sz="4" w:space="0" w:color="auto"/>
            </w:tcBorders>
            <w:shd w:val="clear" w:color="auto" w:fill="auto"/>
            <w:vAlign w:val="center"/>
          </w:tcPr>
          <w:p w:rsidR="004B12D7" w:rsidRPr="00711B4E" w:rsidRDefault="004B12D7" w:rsidP="00451D51">
            <w:pPr>
              <w:jc w:val="center"/>
              <w:rPr>
                <w:b/>
                <w:bCs/>
                <w:sz w:val="18"/>
                <w:szCs w:val="18"/>
              </w:rPr>
            </w:pPr>
          </w:p>
        </w:tc>
        <w:tc>
          <w:tcPr>
            <w:tcW w:w="1134" w:type="dxa"/>
            <w:vMerge/>
            <w:tcBorders>
              <w:top w:val="nil"/>
              <w:bottom w:val="single" w:sz="4" w:space="0" w:color="auto"/>
            </w:tcBorders>
            <w:shd w:val="clear" w:color="auto" w:fill="auto"/>
            <w:vAlign w:val="center"/>
          </w:tcPr>
          <w:p w:rsidR="004B12D7" w:rsidRPr="00711B4E" w:rsidRDefault="004B12D7" w:rsidP="00451D51">
            <w:pPr>
              <w:jc w:val="center"/>
              <w:rPr>
                <w:b/>
                <w:bCs/>
                <w:sz w:val="18"/>
                <w:szCs w:val="18"/>
              </w:rPr>
            </w:pPr>
          </w:p>
        </w:tc>
      </w:tr>
      <w:tr w:rsidR="004B12D7" w:rsidRPr="00711B4E" w:rsidTr="00B057B9">
        <w:trPr>
          <w:trHeight w:val="340"/>
          <w:jc w:val="center"/>
        </w:trPr>
        <w:tc>
          <w:tcPr>
            <w:tcW w:w="1097" w:type="dxa"/>
            <w:tcBorders>
              <w:top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Amo,p</w:t>
            </w:r>
          </w:p>
        </w:tc>
        <w:tc>
          <w:tcPr>
            <w:tcW w:w="1030" w:type="dxa"/>
            <w:tcBorders>
              <w:top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0–26</w:t>
            </w:r>
          </w:p>
        </w:tc>
        <w:tc>
          <w:tcPr>
            <w:tcW w:w="992" w:type="dxa"/>
            <w:tcBorders>
              <w:top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5.81</w:t>
            </w:r>
          </w:p>
        </w:tc>
        <w:tc>
          <w:tcPr>
            <w:tcW w:w="992" w:type="dxa"/>
            <w:tcBorders>
              <w:top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7.1</w:t>
            </w:r>
          </w:p>
        </w:tc>
        <w:tc>
          <w:tcPr>
            <w:tcW w:w="992" w:type="dxa"/>
            <w:tcBorders>
              <w:top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0.16</w:t>
            </w:r>
          </w:p>
        </w:tc>
        <w:tc>
          <w:tcPr>
            <w:tcW w:w="993" w:type="dxa"/>
            <w:tcBorders>
              <w:top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2.67</w:t>
            </w:r>
          </w:p>
        </w:tc>
        <w:tc>
          <w:tcPr>
            <w:tcW w:w="1134" w:type="dxa"/>
            <w:tcBorders>
              <w:top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4.0</w:t>
            </w:r>
          </w:p>
        </w:tc>
        <w:tc>
          <w:tcPr>
            <w:tcW w:w="1134" w:type="dxa"/>
            <w:tcBorders>
              <w:top w:val="single" w:sz="4" w:space="0" w:color="auto"/>
            </w:tcBorders>
            <w:shd w:val="clear" w:color="auto" w:fill="auto"/>
            <w:noWrap/>
            <w:vAlign w:val="center"/>
          </w:tcPr>
          <w:p w:rsidR="004B12D7" w:rsidRPr="00711B4E" w:rsidRDefault="004B12D7" w:rsidP="00451D51">
            <w:pPr>
              <w:jc w:val="center"/>
              <w:rPr>
                <w:sz w:val="18"/>
                <w:szCs w:val="18"/>
              </w:rPr>
            </w:pPr>
            <w:r w:rsidRPr="00711B4E">
              <w:rPr>
                <w:sz w:val="18"/>
                <w:szCs w:val="18"/>
              </w:rPr>
              <w:t>32.3</w:t>
            </w:r>
          </w:p>
        </w:tc>
      </w:tr>
      <w:tr w:rsidR="004B12D7" w:rsidRPr="00711B4E" w:rsidTr="00B057B9">
        <w:trPr>
          <w:trHeight w:val="340"/>
          <w:jc w:val="center"/>
        </w:trPr>
        <w:tc>
          <w:tcPr>
            <w:tcW w:w="1097" w:type="dxa"/>
            <w:shd w:val="clear" w:color="auto" w:fill="auto"/>
            <w:noWrap/>
            <w:vAlign w:val="center"/>
          </w:tcPr>
          <w:p w:rsidR="004B12D7" w:rsidRPr="00711B4E" w:rsidRDefault="004B12D7" w:rsidP="00451D51">
            <w:pPr>
              <w:jc w:val="center"/>
              <w:rPr>
                <w:sz w:val="18"/>
                <w:szCs w:val="18"/>
              </w:rPr>
            </w:pPr>
            <w:r w:rsidRPr="00711B4E">
              <w:rPr>
                <w:sz w:val="18"/>
                <w:szCs w:val="18"/>
              </w:rPr>
              <w:t>Amo,p</w:t>
            </w:r>
          </w:p>
        </w:tc>
        <w:tc>
          <w:tcPr>
            <w:tcW w:w="1030" w:type="dxa"/>
            <w:shd w:val="clear" w:color="auto" w:fill="auto"/>
            <w:noWrap/>
            <w:vAlign w:val="center"/>
          </w:tcPr>
          <w:p w:rsidR="004B12D7" w:rsidRPr="00711B4E" w:rsidRDefault="004B12D7" w:rsidP="00451D51">
            <w:pPr>
              <w:jc w:val="center"/>
              <w:rPr>
                <w:sz w:val="18"/>
                <w:szCs w:val="18"/>
              </w:rPr>
            </w:pPr>
            <w:r w:rsidRPr="00711B4E">
              <w:rPr>
                <w:sz w:val="18"/>
                <w:szCs w:val="18"/>
              </w:rPr>
              <w:t>26–75</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6.39</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7.56</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0.25</w:t>
            </w:r>
          </w:p>
        </w:tc>
        <w:tc>
          <w:tcPr>
            <w:tcW w:w="993" w:type="dxa"/>
            <w:shd w:val="clear" w:color="auto" w:fill="auto"/>
            <w:noWrap/>
            <w:vAlign w:val="center"/>
          </w:tcPr>
          <w:p w:rsidR="004B12D7" w:rsidRPr="00711B4E" w:rsidRDefault="004B12D7" w:rsidP="00451D51">
            <w:pPr>
              <w:jc w:val="center"/>
              <w:rPr>
                <w:sz w:val="18"/>
                <w:szCs w:val="18"/>
              </w:rPr>
            </w:pPr>
            <w:r w:rsidRPr="00711B4E">
              <w:rPr>
                <w:sz w:val="18"/>
                <w:szCs w:val="18"/>
              </w:rPr>
              <w:t>1.66</w:t>
            </w:r>
          </w:p>
        </w:tc>
        <w:tc>
          <w:tcPr>
            <w:tcW w:w="1134" w:type="dxa"/>
            <w:shd w:val="clear" w:color="auto" w:fill="auto"/>
            <w:noWrap/>
            <w:vAlign w:val="center"/>
          </w:tcPr>
          <w:p w:rsidR="004B12D7" w:rsidRPr="00711B4E" w:rsidRDefault="004B12D7" w:rsidP="00451D51">
            <w:pPr>
              <w:jc w:val="center"/>
              <w:rPr>
                <w:sz w:val="18"/>
                <w:szCs w:val="18"/>
              </w:rPr>
            </w:pPr>
            <w:r w:rsidRPr="00711B4E">
              <w:rPr>
                <w:sz w:val="18"/>
                <w:szCs w:val="18"/>
              </w:rPr>
              <w:t>2.6</w:t>
            </w:r>
          </w:p>
        </w:tc>
        <w:tc>
          <w:tcPr>
            <w:tcW w:w="1134" w:type="dxa"/>
            <w:shd w:val="clear" w:color="auto" w:fill="auto"/>
            <w:noWrap/>
            <w:vAlign w:val="center"/>
          </w:tcPr>
          <w:p w:rsidR="004B12D7" w:rsidRPr="00711B4E" w:rsidRDefault="004B12D7" w:rsidP="00451D51">
            <w:pPr>
              <w:jc w:val="center"/>
              <w:rPr>
                <w:sz w:val="18"/>
                <w:szCs w:val="18"/>
              </w:rPr>
            </w:pPr>
            <w:r w:rsidRPr="00711B4E">
              <w:rPr>
                <w:sz w:val="18"/>
                <w:szCs w:val="18"/>
              </w:rPr>
              <w:t>19.1</w:t>
            </w:r>
          </w:p>
        </w:tc>
      </w:tr>
      <w:tr w:rsidR="004B12D7" w:rsidRPr="00711B4E" w:rsidTr="00B057B9">
        <w:trPr>
          <w:trHeight w:val="340"/>
          <w:jc w:val="center"/>
        </w:trPr>
        <w:tc>
          <w:tcPr>
            <w:tcW w:w="1097" w:type="dxa"/>
            <w:shd w:val="clear" w:color="auto" w:fill="auto"/>
            <w:noWrap/>
            <w:vAlign w:val="center"/>
          </w:tcPr>
          <w:p w:rsidR="004B12D7" w:rsidRPr="00711B4E" w:rsidRDefault="004B12D7" w:rsidP="00451D51">
            <w:pPr>
              <w:jc w:val="center"/>
              <w:rPr>
                <w:sz w:val="18"/>
                <w:szCs w:val="18"/>
              </w:rPr>
            </w:pPr>
            <w:r w:rsidRPr="00711B4E">
              <w:rPr>
                <w:sz w:val="18"/>
                <w:szCs w:val="18"/>
              </w:rPr>
              <w:t>AC</w:t>
            </w:r>
          </w:p>
        </w:tc>
        <w:tc>
          <w:tcPr>
            <w:tcW w:w="1030" w:type="dxa"/>
            <w:shd w:val="clear" w:color="auto" w:fill="auto"/>
            <w:noWrap/>
            <w:vAlign w:val="center"/>
          </w:tcPr>
          <w:p w:rsidR="004B12D7" w:rsidRPr="00711B4E" w:rsidRDefault="004B12D7" w:rsidP="00451D51">
            <w:pPr>
              <w:jc w:val="center"/>
              <w:rPr>
                <w:sz w:val="18"/>
                <w:szCs w:val="18"/>
              </w:rPr>
            </w:pPr>
            <w:r w:rsidRPr="00711B4E">
              <w:rPr>
                <w:sz w:val="18"/>
                <w:szCs w:val="18"/>
              </w:rPr>
              <w:t>75–108</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7.29</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8.45</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23.57</w:t>
            </w:r>
          </w:p>
        </w:tc>
        <w:tc>
          <w:tcPr>
            <w:tcW w:w="993" w:type="dxa"/>
            <w:shd w:val="clear" w:color="auto" w:fill="auto"/>
            <w:noWrap/>
            <w:vAlign w:val="center"/>
          </w:tcPr>
          <w:p w:rsidR="004B12D7" w:rsidRPr="00711B4E" w:rsidRDefault="004B12D7" w:rsidP="00451D51">
            <w:pPr>
              <w:jc w:val="center"/>
              <w:rPr>
                <w:sz w:val="18"/>
                <w:szCs w:val="18"/>
              </w:rPr>
            </w:pPr>
            <w:r w:rsidRPr="00711B4E">
              <w:rPr>
                <w:sz w:val="18"/>
                <w:szCs w:val="18"/>
              </w:rPr>
              <w:t>1.01</w:t>
            </w:r>
          </w:p>
        </w:tc>
        <w:tc>
          <w:tcPr>
            <w:tcW w:w="1134" w:type="dxa"/>
            <w:shd w:val="clear" w:color="auto" w:fill="auto"/>
            <w:noWrap/>
            <w:vAlign w:val="center"/>
          </w:tcPr>
          <w:p w:rsidR="004B12D7" w:rsidRPr="00711B4E" w:rsidRDefault="004B12D7" w:rsidP="00451D51">
            <w:pPr>
              <w:jc w:val="center"/>
              <w:rPr>
                <w:sz w:val="18"/>
                <w:szCs w:val="18"/>
              </w:rPr>
            </w:pPr>
            <w:r w:rsidRPr="00711B4E">
              <w:rPr>
                <w:sz w:val="18"/>
                <w:szCs w:val="18"/>
              </w:rPr>
              <w:t>1.2</w:t>
            </w:r>
          </w:p>
        </w:tc>
        <w:tc>
          <w:tcPr>
            <w:tcW w:w="1134" w:type="dxa"/>
            <w:shd w:val="clear" w:color="auto" w:fill="auto"/>
            <w:noWrap/>
            <w:vAlign w:val="center"/>
          </w:tcPr>
          <w:p w:rsidR="004B12D7" w:rsidRPr="00711B4E" w:rsidRDefault="004B12D7" w:rsidP="00451D51">
            <w:pPr>
              <w:jc w:val="center"/>
              <w:rPr>
                <w:sz w:val="18"/>
                <w:szCs w:val="18"/>
              </w:rPr>
            </w:pPr>
            <w:r w:rsidRPr="00711B4E">
              <w:rPr>
                <w:sz w:val="18"/>
                <w:szCs w:val="18"/>
              </w:rPr>
              <w:t>12.7</w:t>
            </w:r>
          </w:p>
        </w:tc>
      </w:tr>
      <w:tr w:rsidR="004B12D7" w:rsidRPr="00711B4E" w:rsidTr="00B057B9">
        <w:trPr>
          <w:trHeight w:val="340"/>
          <w:jc w:val="center"/>
        </w:trPr>
        <w:tc>
          <w:tcPr>
            <w:tcW w:w="1097" w:type="dxa"/>
            <w:shd w:val="clear" w:color="auto" w:fill="auto"/>
            <w:noWrap/>
            <w:vAlign w:val="center"/>
          </w:tcPr>
          <w:p w:rsidR="004B12D7" w:rsidRPr="00711B4E" w:rsidRDefault="004B12D7" w:rsidP="00451D51">
            <w:pPr>
              <w:jc w:val="center"/>
              <w:rPr>
                <w:sz w:val="18"/>
                <w:szCs w:val="18"/>
              </w:rPr>
            </w:pPr>
            <w:r w:rsidRPr="00711B4E">
              <w:rPr>
                <w:sz w:val="18"/>
                <w:szCs w:val="18"/>
              </w:rPr>
              <w:t>Cgso</w:t>
            </w:r>
          </w:p>
        </w:tc>
        <w:tc>
          <w:tcPr>
            <w:tcW w:w="1030" w:type="dxa"/>
            <w:shd w:val="clear" w:color="auto" w:fill="auto"/>
            <w:noWrap/>
            <w:vAlign w:val="center"/>
          </w:tcPr>
          <w:p w:rsidR="004B12D7" w:rsidRPr="00711B4E" w:rsidRDefault="004B12D7" w:rsidP="00451D51">
            <w:pPr>
              <w:jc w:val="center"/>
              <w:rPr>
                <w:sz w:val="18"/>
                <w:szCs w:val="18"/>
              </w:rPr>
            </w:pPr>
            <w:r w:rsidRPr="00711B4E">
              <w:rPr>
                <w:sz w:val="18"/>
                <w:szCs w:val="18"/>
              </w:rPr>
              <w:t>108–150</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7.36</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8.56</w:t>
            </w:r>
          </w:p>
        </w:tc>
        <w:tc>
          <w:tcPr>
            <w:tcW w:w="992" w:type="dxa"/>
            <w:shd w:val="clear" w:color="auto" w:fill="auto"/>
            <w:noWrap/>
            <w:vAlign w:val="center"/>
          </w:tcPr>
          <w:p w:rsidR="004B12D7" w:rsidRPr="00711B4E" w:rsidRDefault="004B12D7" w:rsidP="00451D51">
            <w:pPr>
              <w:jc w:val="center"/>
              <w:rPr>
                <w:sz w:val="18"/>
                <w:szCs w:val="18"/>
              </w:rPr>
            </w:pPr>
            <w:r w:rsidRPr="00711B4E">
              <w:rPr>
                <w:sz w:val="18"/>
                <w:szCs w:val="18"/>
              </w:rPr>
              <w:t>28.62</w:t>
            </w:r>
          </w:p>
        </w:tc>
        <w:tc>
          <w:tcPr>
            <w:tcW w:w="993" w:type="dxa"/>
            <w:shd w:val="clear" w:color="auto" w:fill="auto"/>
            <w:noWrap/>
            <w:vAlign w:val="center"/>
          </w:tcPr>
          <w:p w:rsidR="004B12D7" w:rsidRPr="00711B4E" w:rsidRDefault="004B12D7" w:rsidP="00451D51">
            <w:pPr>
              <w:jc w:val="center"/>
              <w:rPr>
                <w:sz w:val="18"/>
                <w:szCs w:val="18"/>
              </w:rPr>
            </w:pPr>
            <w:r w:rsidRPr="00711B4E">
              <w:rPr>
                <w:sz w:val="18"/>
                <w:szCs w:val="18"/>
              </w:rPr>
              <w:t>0.86</w:t>
            </w:r>
          </w:p>
        </w:tc>
        <w:tc>
          <w:tcPr>
            <w:tcW w:w="1134" w:type="dxa"/>
            <w:shd w:val="clear" w:color="auto" w:fill="auto"/>
            <w:noWrap/>
            <w:vAlign w:val="center"/>
          </w:tcPr>
          <w:p w:rsidR="004B12D7" w:rsidRPr="00711B4E" w:rsidRDefault="004B12D7" w:rsidP="00451D51">
            <w:pPr>
              <w:jc w:val="center"/>
              <w:rPr>
                <w:sz w:val="18"/>
                <w:szCs w:val="18"/>
              </w:rPr>
            </w:pPr>
            <w:r w:rsidRPr="00711B4E">
              <w:rPr>
                <w:sz w:val="18"/>
                <w:szCs w:val="18"/>
              </w:rPr>
              <w:t>8.0</w:t>
            </w:r>
          </w:p>
        </w:tc>
        <w:tc>
          <w:tcPr>
            <w:tcW w:w="1134" w:type="dxa"/>
            <w:shd w:val="clear" w:color="auto" w:fill="auto"/>
            <w:noWrap/>
            <w:vAlign w:val="center"/>
          </w:tcPr>
          <w:p w:rsidR="004B12D7" w:rsidRPr="00711B4E" w:rsidRDefault="004B12D7" w:rsidP="00451D51">
            <w:pPr>
              <w:jc w:val="center"/>
              <w:rPr>
                <w:sz w:val="18"/>
                <w:szCs w:val="18"/>
              </w:rPr>
            </w:pPr>
            <w:r w:rsidRPr="00711B4E">
              <w:rPr>
                <w:sz w:val="18"/>
                <w:szCs w:val="18"/>
              </w:rPr>
              <w:t>11.8</w:t>
            </w:r>
          </w:p>
        </w:tc>
      </w:tr>
    </w:tbl>
    <w:p w:rsidR="004B12D7" w:rsidRPr="00711B4E" w:rsidRDefault="004B12D7" w:rsidP="00711B4E">
      <w:pPr>
        <w:ind w:firstLine="426"/>
        <w:outlineLvl w:val="0"/>
        <w:rPr>
          <w:sz w:val="22"/>
          <w:szCs w:val="22"/>
          <w:lang w:val="en-US"/>
        </w:rPr>
      </w:pPr>
    </w:p>
    <w:p w:rsidR="004B12D7" w:rsidRPr="00711B4E" w:rsidRDefault="004B12D7" w:rsidP="00711B4E">
      <w:pPr>
        <w:ind w:firstLine="426"/>
        <w:jc w:val="both"/>
        <w:rPr>
          <w:sz w:val="22"/>
          <w:szCs w:val="22"/>
          <w:lang w:val="en-US"/>
        </w:rPr>
      </w:pPr>
      <w:r w:rsidRPr="00711B4E">
        <w:rPr>
          <w:sz w:val="22"/>
          <w:szCs w:val="22"/>
          <w:lang w:val="en-US"/>
        </w:rPr>
        <w:t>Three conceptually different harvesters were used for chamomile harvesting and all the treatments were under the same harvester working regime (the moving speed and number of rotations of a picking device). The harvester A is a self-propelled harvester, an adapted version of Zmaj “Univerzal” grain harvester (Brkić et al., 1998). The harvester working width is 3.6 m, number of picking rotor rotations is 230 min</w:t>
      </w:r>
      <w:r w:rsidRPr="00711B4E">
        <w:rPr>
          <w:sz w:val="22"/>
          <w:szCs w:val="22"/>
          <w:vertAlign w:val="superscript"/>
          <w:lang w:val="en-US"/>
        </w:rPr>
        <w:t>-1</w:t>
      </w:r>
      <w:r w:rsidRPr="00711B4E">
        <w:rPr>
          <w:sz w:val="22"/>
          <w:szCs w:val="22"/>
          <w:lang w:val="en-US"/>
        </w:rPr>
        <w:t>,</w:t>
      </w:r>
      <w:r w:rsidRPr="00711B4E">
        <w:rPr>
          <w:sz w:val="22"/>
          <w:szCs w:val="22"/>
          <w:vertAlign w:val="superscript"/>
          <w:lang w:val="en-US"/>
        </w:rPr>
        <w:t xml:space="preserve"> </w:t>
      </w:r>
      <w:r w:rsidRPr="00711B4E">
        <w:rPr>
          <w:sz w:val="22"/>
          <w:szCs w:val="22"/>
          <w:lang w:val="en-US"/>
        </w:rPr>
        <w:t>and the harvester moving speed is 0.43 m</w:t>
      </w:r>
      <w:r w:rsidRPr="00711B4E">
        <w:rPr>
          <w:sz w:val="22"/>
          <w:szCs w:val="22"/>
          <w:lang w:val="en-US"/>
        </w:rPr>
        <w:sym w:font="Symbol" w:char="F0D7"/>
      </w:r>
      <w:r w:rsidRPr="00711B4E">
        <w:rPr>
          <w:sz w:val="22"/>
          <w:szCs w:val="22"/>
          <w:lang w:val="en-US"/>
        </w:rPr>
        <w:t>s</w:t>
      </w:r>
      <w:r w:rsidRPr="00711B4E">
        <w:rPr>
          <w:sz w:val="22"/>
          <w:szCs w:val="22"/>
          <w:vertAlign w:val="superscript"/>
          <w:lang w:val="en-US"/>
        </w:rPr>
        <w:t>-1</w:t>
      </w:r>
      <w:r w:rsidRPr="00711B4E">
        <w:rPr>
          <w:sz w:val="22"/>
          <w:szCs w:val="22"/>
          <w:lang w:val="en-US"/>
        </w:rPr>
        <w:t>. The harvester B is a tractor mounted harvester “NB 2004” (Pajić et al., 2007), powered by tractor (IMT 560). The harvester working width is 2 m, number of picking rotor rotations is 220 min</w:t>
      </w:r>
      <w:r w:rsidRPr="00711B4E">
        <w:rPr>
          <w:sz w:val="22"/>
          <w:szCs w:val="22"/>
          <w:vertAlign w:val="superscript"/>
          <w:lang w:val="en-US"/>
        </w:rPr>
        <w:t>-1</w:t>
      </w:r>
      <w:r w:rsidRPr="00711B4E">
        <w:rPr>
          <w:sz w:val="22"/>
          <w:szCs w:val="22"/>
          <w:lang w:val="en-US"/>
        </w:rPr>
        <w:t>, and the harvester moving speed is 0.52 m</w:t>
      </w:r>
      <w:r w:rsidRPr="00711B4E">
        <w:rPr>
          <w:sz w:val="22"/>
          <w:szCs w:val="22"/>
          <w:lang w:val="en-US"/>
        </w:rPr>
        <w:sym w:font="Symbol" w:char="F0D7"/>
      </w:r>
      <w:r w:rsidRPr="00711B4E">
        <w:rPr>
          <w:sz w:val="22"/>
          <w:szCs w:val="22"/>
          <w:lang w:val="en-US"/>
        </w:rPr>
        <w:t>s</w:t>
      </w:r>
      <w:r w:rsidRPr="00711B4E">
        <w:rPr>
          <w:sz w:val="22"/>
          <w:szCs w:val="22"/>
          <w:vertAlign w:val="superscript"/>
          <w:lang w:val="en-US"/>
        </w:rPr>
        <w:t>-1</w:t>
      </w:r>
      <w:r w:rsidRPr="00711B4E">
        <w:rPr>
          <w:sz w:val="22"/>
          <w:szCs w:val="22"/>
          <w:lang w:val="en-US"/>
        </w:rPr>
        <w:t>. The harvester C is a semi-mounted harvester “VB 2002” (Pajić et al., 2009), powered by tractor (</w:t>
      </w:r>
      <w:smartTag w:uri="urn:schemas-microsoft-com:office:smarttags" w:element="stockticker">
        <w:r w:rsidRPr="00711B4E">
          <w:rPr>
            <w:sz w:val="22"/>
            <w:szCs w:val="22"/>
            <w:lang w:val="en-US"/>
          </w:rPr>
          <w:t>MTZ</w:t>
        </w:r>
      </w:smartTag>
      <w:r w:rsidRPr="00711B4E">
        <w:rPr>
          <w:sz w:val="22"/>
          <w:szCs w:val="22"/>
          <w:lang w:val="en-US"/>
        </w:rPr>
        <w:t xml:space="preserve"> 82.1). The harvester working width is 2 m, number of picking rotor rotations is 205 min</w:t>
      </w:r>
      <w:r w:rsidRPr="00711B4E">
        <w:rPr>
          <w:sz w:val="22"/>
          <w:szCs w:val="22"/>
          <w:vertAlign w:val="superscript"/>
          <w:lang w:val="en-US"/>
        </w:rPr>
        <w:t>-1</w:t>
      </w:r>
      <w:r w:rsidRPr="00711B4E">
        <w:rPr>
          <w:sz w:val="22"/>
          <w:szCs w:val="22"/>
          <w:lang w:val="en-US"/>
        </w:rPr>
        <w:t>, and the harvester moving speed is 0.54 m</w:t>
      </w:r>
      <w:r w:rsidRPr="00711B4E">
        <w:rPr>
          <w:sz w:val="22"/>
          <w:szCs w:val="22"/>
          <w:lang w:val="en-US"/>
        </w:rPr>
        <w:sym w:font="Symbol" w:char="F0D7"/>
      </w:r>
      <w:r w:rsidRPr="00711B4E">
        <w:rPr>
          <w:sz w:val="22"/>
          <w:szCs w:val="22"/>
          <w:lang w:val="en-US"/>
        </w:rPr>
        <w:t>s</w:t>
      </w:r>
      <w:r w:rsidRPr="00711B4E">
        <w:rPr>
          <w:sz w:val="22"/>
          <w:szCs w:val="22"/>
          <w:vertAlign w:val="superscript"/>
          <w:lang w:val="en-US"/>
        </w:rPr>
        <w:t>-1</w:t>
      </w:r>
      <w:r w:rsidRPr="00711B4E">
        <w:rPr>
          <w:sz w:val="22"/>
          <w:szCs w:val="22"/>
          <w:lang w:val="en-US"/>
        </w:rPr>
        <w:t>.</w:t>
      </w:r>
    </w:p>
    <w:p w:rsidR="004B12D7" w:rsidRPr="00711B4E" w:rsidRDefault="004B12D7" w:rsidP="00711B4E">
      <w:pPr>
        <w:ind w:firstLine="426"/>
        <w:jc w:val="both"/>
        <w:rPr>
          <w:sz w:val="22"/>
          <w:szCs w:val="22"/>
          <w:lang w:val="en-US"/>
        </w:rPr>
      </w:pPr>
      <w:r w:rsidRPr="00711B4E">
        <w:rPr>
          <w:sz w:val="22"/>
          <w:szCs w:val="22"/>
          <w:lang w:val="en-US"/>
        </w:rPr>
        <w:t>A detailed field study and laboratory research show that soils at the investigated localities are middle deep, belonging to automorphous, humus-accumulative soil of chernozem type. It is a variety of calcerous-clay soils (Škorić et al., 1985).</w:t>
      </w:r>
    </w:p>
    <w:p w:rsidR="004B12D7" w:rsidRPr="00711B4E" w:rsidRDefault="004B12D7" w:rsidP="00711B4E">
      <w:pPr>
        <w:ind w:firstLine="426"/>
        <w:jc w:val="both"/>
        <w:rPr>
          <w:sz w:val="22"/>
          <w:szCs w:val="22"/>
          <w:lang w:val="en-US"/>
        </w:rPr>
      </w:pPr>
      <w:r w:rsidRPr="00711B4E">
        <w:rPr>
          <w:sz w:val="22"/>
          <w:szCs w:val="22"/>
          <w:lang w:val="en-US"/>
        </w:rPr>
        <w:t>Herbal composition analysis was performed for three times from the surface of 1 m</w:t>
      </w:r>
      <w:r w:rsidRPr="00711B4E">
        <w:rPr>
          <w:sz w:val="22"/>
          <w:szCs w:val="22"/>
          <w:vertAlign w:val="superscript"/>
          <w:lang w:val="en-US"/>
        </w:rPr>
        <w:t>2</w:t>
      </w:r>
      <w:r w:rsidRPr="00711B4E">
        <w:rPr>
          <w:sz w:val="22"/>
          <w:szCs w:val="22"/>
          <w:lang w:val="en-US"/>
        </w:rPr>
        <w:t xml:space="preserve"> by the method of trial surfaces (Oljača and Dolijanović, 2003), and it is presented in Table 3. Indicators of chamomile yield were later calculated under 12% humidity. The power of tearing flower heads was established by a mechanic dynamometer “GRAMMES - Carpano et Pons”</w:t>
      </w:r>
      <w:r w:rsidR="00711B4E">
        <w:rPr>
          <w:sz w:val="22"/>
          <w:szCs w:val="22"/>
          <w:lang w:val="en-US"/>
        </w:rPr>
        <w:t>.</w:t>
      </w:r>
    </w:p>
    <w:p w:rsidR="004B12D7" w:rsidRDefault="004B12D7" w:rsidP="00711B4E">
      <w:pPr>
        <w:jc w:val="both"/>
        <w:rPr>
          <w:sz w:val="22"/>
          <w:szCs w:val="22"/>
          <w:lang w:val="en-US"/>
        </w:rPr>
      </w:pPr>
      <w:r w:rsidRPr="00711B4E">
        <w:rPr>
          <w:sz w:val="22"/>
          <w:szCs w:val="22"/>
          <w:lang w:val="en-US"/>
        </w:rPr>
        <w:lastRenderedPageBreak/>
        <w:t>Table 3. Biological and physicomechanical properties of chamomile.</w:t>
      </w:r>
    </w:p>
    <w:p w:rsidR="00711B4E" w:rsidRPr="00711B4E" w:rsidRDefault="00711B4E" w:rsidP="00711B4E">
      <w:pPr>
        <w:ind w:firstLine="426"/>
        <w:jc w:val="both"/>
        <w:rPr>
          <w:sz w:val="22"/>
          <w:szCs w:val="22"/>
          <w:lang w:val="en-US"/>
        </w:rPr>
      </w:pPr>
    </w:p>
    <w:tbl>
      <w:tblPr>
        <w:tblW w:w="7371" w:type="dxa"/>
        <w:jc w:val="center"/>
        <w:tblBorders>
          <w:top w:val="single" w:sz="4" w:space="0" w:color="auto"/>
          <w:bottom w:val="single" w:sz="4" w:space="0" w:color="auto"/>
        </w:tblBorders>
        <w:tblLayout w:type="fixed"/>
        <w:tblCellMar>
          <w:left w:w="28" w:type="dxa"/>
          <w:right w:w="28" w:type="dxa"/>
        </w:tblCellMar>
        <w:tblLook w:val="0000"/>
      </w:tblPr>
      <w:tblGrid>
        <w:gridCol w:w="868"/>
        <w:gridCol w:w="578"/>
        <w:gridCol w:w="433"/>
        <w:gridCol w:w="434"/>
        <w:gridCol w:w="433"/>
        <w:gridCol w:w="578"/>
        <w:gridCol w:w="289"/>
        <w:gridCol w:w="578"/>
        <w:gridCol w:w="578"/>
        <w:gridCol w:w="578"/>
        <w:gridCol w:w="578"/>
        <w:gridCol w:w="723"/>
        <w:gridCol w:w="723"/>
      </w:tblGrid>
      <w:tr w:rsidR="004B12D7" w:rsidRPr="00C65444" w:rsidTr="00711B4E">
        <w:trPr>
          <w:trHeight w:val="454"/>
          <w:jc w:val="center"/>
        </w:trPr>
        <w:tc>
          <w:tcPr>
            <w:tcW w:w="851" w:type="dxa"/>
            <w:vMerge w:val="restart"/>
            <w:tcBorders>
              <w:top w:val="single" w:sz="4" w:space="0" w:color="auto"/>
              <w:bottom w:val="nil"/>
            </w:tcBorders>
            <w:shd w:val="clear" w:color="auto" w:fill="auto"/>
            <w:noWrap/>
            <w:vAlign w:val="center"/>
          </w:tcPr>
          <w:p w:rsidR="004B12D7" w:rsidRPr="00711B4E" w:rsidRDefault="004B12D7" w:rsidP="00451D51">
            <w:pPr>
              <w:jc w:val="center"/>
              <w:rPr>
                <w:bCs/>
                <w:sz w:val="18"/>
                <w:szCs w:val="18"/>
              </w:rPr>
            </w:pPr>
            <w:r w:rsidRPr="00711B4E">
              <w:rPr>
                <w:bCs/>
                <w:sz w:val="18"/>
                <w:szCs w:val="18"/>
              </w:rPr>
              <w:t>Year</w:t>
            </w:r>
          </w:p>
        </w:tc>
        <w:tc>
          <w:tcPr>
            <w:tcW w:w="567" w:type="dxa"/>
            <w:vMerge w:val="restart"/>
            <w:tcBorders>
              <w:top w:val="single" w:sz="4" w:space="0" w:color="auto"/>
              <w:bottom w:val="nil"/>
            </w:tcBorders>
            <w:shd w:val="clear" w:color="auto" w:fill="auto"/>
            <w:vAlign w:val="center"/>
          </w:tcPr>
          <w:p w:rsidR="004B12D7" w:rsidRPr="00711B4E" w:rsidRDefault="004B12D7" w:rsidP="00451D51">
            <w:pPr>
              <w:jc w:val="center"/>
              <w:rPr>
                <w:bCs/>
                <w:sz w:val="18"/>
                <w:szCs w:val="18"/>
              </w:rPr>
            </w:pPr>
            <w:r w:rsidRPr="00711B4E">
              <w:rPr>
                <w:bCs/>
                <w:sz w:val="18"/>
                <w:szCs w:val="18"/>
              </w:rPr>
              <w:t>HC</w:t>
            </w:r>
            <w:r w:rsidRPr="00711B4E">
              <w:rPr>
                <w:bCs/>
                <w:sz w:val="18"/>
                <w:szCs w:val="18"/>
                <w:vertAlign w:val="superscript"/>
              </w:rPr>
              <w:t>*</w:t>
            </w:r>
          </w:p>
        </w:tc>
        <w:tc>
          <w:tcPr>
            <w:tcW w:w="1276" w:type="dxa"/>
            <w:gridSpan w:val="3"/>
            <w:tcBorders>
              <w:top w:val="single" w:sz="4" w:space="0" w:color="auto"/>
              <w:bottom w:val="nil"/>
              <w:right w:val="nil"/>
            </w:tcBorders>
            <w:shd w:val="clear" w:color="auto" w:fill="auto"/>
            <w:vAlign w:val="center"/>
          </w:tcPr>
          <w:p w:rsidR="004B12D7" w:rsidRPr="00711B4E" w:rsidRDefault="004B12D7" w:rsidP="00451D51">
            <w:pPr>
              <w:jc w:val="center"/>
              <w:rPr>
                <w:bCs/>
                <w:sz w:val="18"/>
                <w:szCs w:val="18"/>
              </w:rPr>
            </w:pPr>
            <w:r w:rsidRPr="00711B4E">
              <w:rPr>
                <w:bCs/>
                <w:sz w:val="18"/>
                <w:szCs w:val="18"/>
              </w:rPr>
              <w:t>Plant height</w:t>
            </w:r>
            <w:r w:rsidRPr="00711B4E">
              <w:rPr>
                <w:bCs/>
                <w:sz w:val="18"/>
                <w:szCs w:val="18"/>
              </w:rPr>
              <w:br/>
            </w:r>
            <w:r w:rsidRPr="00711B4E">
              <w:rPr>
                <w:sz w:val="18"/>
                <w:szCs w:val="18"/>
              </w:rPr>
              <w:t>(cm)</w:t>
            </w:r>
          </w:p>
        </w:tc>
        <w:tc>
          <w:tcPr>
            <w:tcW w:w="1417" w:type="dxa"/>
            <w:gridSpan w:val="3"/>
            <w:tcBorders>
              <w:top w:val="single" w:sz="4" w:space="0" w:color="auto"/>
              <w:left w:val="nil"/>
              <w:bottom w:val="nil"/>
              <w:right w:val="nil"/>
            </w:tcBorders>
            <w:shd w:val="clear" w:color="auto" w:fill="auto"/>
            <w:vAlign w:val="center"/>
          </w:tcPr>
          <w:p w:rsidR="004B12D7" w:rsidRPr="00711B4E" w:rsidRDefault="004B12D7" w:rsidP="00451D51">
            <w:pPr>
              <w:jc w:val="center"/>
              <w:rPr>
                <w:bCs/>
                <w:sz w:val="18"/>
                <w:szCs w:val="18"/>
              </w:rPr>
            </w:pPr>
            <w:r w:rsidRPr="00711B4E">
              <w:rPr>
                <w:bCs/>
                <w:sz w:val="18"/>
                <w:szCs w:val="18"/>
              </w:rPr>
              <w:t>Number of flowers per plant</w:t>
            </w:r>
          </w:p>
        </w:tc>
        <w:tc>
          <w:tcPr>
            <w:tcW w:w="1701" w:type="dxa"/>
            <w:gridSpan w:val="3"/>
            <w:tcBorders>
              <w:top w:val="single" w:sz="4" w:space="0" w:color="auto"/>
              <w:left w:val="nil"/>
              <w:bottom w:val="nil"/>
              <w:right w:val="nil"/>
            </w:tcBorders>
            <w:shd w:val="clear" w:color="auto" w:fill="auto"/>
            <w:vAlign w:val="center"/>
          </w:tcPr>
          <w:p w:rsidR="004B12D7" w:rsidRPr="00711B4E" w:rsidRDefault="004B12D7" w:rsidP="00451D51">
            <w:pPr>
              <w:jc w:val="center"/>
              <w:rPr>
                <w:bCs/>
                <w:sz w:val="18"/>
                <w:szCs w:val="18"/>
              </w:rPr>
            </w:pPr>
            <w:r w:rsidRPr="00711B4E">
              <w:rPr>
                <w:bCs/>
                <w:sz w:val="18"/>
                <w:szCs w:val="18"/>
              </w:rPr>
              <w:t>Power of</w:t>
            </w:r>
          </w:p>
          <w:p w:rsidR="004B12D7" w:rsidRPr="00711B4E" w:rsidRDefault="004B12D7" w:rsidP="00711B4E">
            <w:pPr>
              <w:jc w:val="center"/>
              <w:rPr>
                <w:bCs/>
                <w:sz w:val="18"/>
                <w:szCs w:val="18"/>
              </w:rPr>
            </w:pPr>
            <w:r w:rsidRPr="00711B4E">
              <w:rPr>
                <w:bCs/>
                <w:sz w:val="18"/>
                <w:szCs w:val="18"/>
              </w:rPr>
              <w:t xml:space="preserve">tearing flowers </w:t>
            </w:r>
            <w:r w:rsidRPr="00711B4E">
              <w:rPr>
                <w:sz w:val="18"/>
                <w:szCs w:val="18"/>
              </w:rPr>
              <w:t>(N)</w:t>
            </w:r>
          </w:p>
        </w:tc>
        <w:tc>
          <w:tcPr>
            <w:tcW w:w="1418" w:type="dxa"/>
            <w:gridSpan w:val="2"/>
            <w:tcBorders>
              <w:top w:val="single" w:sz="4" w:space="0" w:color="auto"/>
              <w:left w:val="nil"/>
              <w:bottom w:val="nil"/>
            </w:tcBorders>
            <w:shd w:val="clear" w:color="auto" w:fill="auto"/>
            <w:vAlign w:val="center"/>
          </w:tcPr>
          <w:p w:rsidR="004B12D7" w:rsidRPr="00711B4E" w:rsidRDefault="004B12D7" w:rsidP="00451D51">
            <w:pPr>
              <w:jc w:val="center"/>
              <w:rPr>
                <w:bCs/>
                <w:sz w:val="18"/>
                <w:szCs w:val="18"/>
              </w:rPr>
            </w:pPr>
            <w:r w:rsidRPr="00711B4E">
              <w:rPr>
                <w:bCs/>
                <w:sz w:val="18"/>
                <w:szCs w:val="18"/>
              </w:rPr>
              <w:t>Biological yield</w:t>
            </w:r>
            <w:r w:rsidRPr="00711B4E">
              <w:rPr>
                <w:bCs/>
                <w:sz w:val="18"/>
                <w:szCs w:val="18"/>
              </w:rPr>
              <w:br/>
            </w:r>
            <w:r w:rsidRPr="00711B4E">
              <w:rPr>
                <w:sz w:val="18"/>
                <w:szCs w:val="18"/>
              </w:rPr>
              <w:t>(kg</w:t>
            </w:r>
            <w:r w:rsidRPr="00711B4E">
              <w:rPr>
                <w:sz w:val="18"/>
                <w:szCs w:val="18"/>
              </w:rPr>
              <w:sym w:font="Symbol" w:char="F0D7"/>
            </w:r>
            <w:r w:rsidRPr="00711B4E">
              <w:rPr>
                <w:sz w:val="18"/>
                <w:szCs w:val="18"/>
              </w:rPr>
              <w:t>ha</w:t>
            </w:r>
            <w:r w:rsidRPr="00711B4E">
              <w:rPr>
                <w:sz w:val="18"/>
                <w:szCs w:val="18"/>
                <w:vertAlign w:val="superscript"/>
              </w:rPr>
              <w:t>-1</w:t>
            </w:r>
            <w:r w:rsidRPr="00711B4E">
              <w:rPr>
                <w:sz w:val="18"/>
                <w:szCs w:val="18"/>
              </w:rPr>
              <w:t>)</w:t>
            </w:r>
          </w:p>
        </w:tc>
      </w:tr>
      <w:tr w:rsidR="004B12D7" w:rsidRPr="00C65444" w:rsidTr="00711B4E">
        <w:trPr>
          <w:cantSplit/>
          <w:trHeight w:val="624"/>
          <w:jc w:val="center"/>
        </w:trPr>
        <w:tc>
          <w:tcPr>
            <w:tcW w:w="851" w:type="dxa"/>
            <w:vMerge/>
            <w:tcBorders>
              <w:top w:val="nil"/>
              <w:bottom w:val="single" w:sz="4" w:space="0" w:color="auto"/>
            </w:tcBorders>
            <w:shd w:val="clear" w:color="auto" w:fill="auto"/>
            <w:vAlign w:val="center"/>
          </w:tcPr>
          <w:p w:rsidR="004B12D7" w:rsidRPr="00711B4E" w:rsidRDefault="004B12D7" w:rsidP="00451D51">
            <w:pPr>
              <w:jc w:val="center"/>
              <w:rPr>
                <w:sz w:val="18"/>
                <w:szCs w:val="18"/>
              </w:rPr>
            </w:pPr>
          </w:p>
        </w:tc>
        <w:tc>
          <w:tcPr>
            <w:tcW w:w="567" w:type="dxa"/>
            <w:vMerge/>
            <w:tcBorders>
              <w:top w:val="nil"/>
              <w:bottom w:val="single" w:sz="4" w:space="0" w:color="auto"/>
            </w:tcBorders>
            <w:shd w:val="clear" w:color="auto" w:fill="auto"/>
            <w:vAlign w:val="center"/>
          </w:tcPr>
          <w:p w:rsidR="004B12D7" w:rsidRPr="00711B4E" w:rsidRDefault="004B12D7" w:rsidP="00451D51">
            <w:pPr>
              <w:jc w:val="center"/>
              <w:rPr>
                <w:sz w:val="18"/>
                <w:szCs w:val="18"/>
              </w:rPr>
            </w:pPr>
          </w:p>
        </w:tc>
        <w:tc>
          <w:tcPr>
            <w:tcW w:w="425" w:type="dxa"/>
            <w:tcBorders>
              <w:top w:val="nil"/>
              <w:bottom w:val="single" w:sz="4" w:space="0" w:color="auto"/>
            </w:tcBorders>
            <w:shd w:val="clear" w:color="auto" w:fill="auto"/>
            <w:noWrap/>
            <w:textDirection w:val="tbRl"/>
            <w:vAlign w:val="center"/>
          </w:tcPr>
          <w:p w:rsidR="004B12D7" w:rsidRPr="00711B4E" w:rsidRDefault="004B12D7" w:rsidP="00451D51">
            <w:pPr>
              <w:ind w:left="113" w:right="113"/>
              <w:jc w:val="center"/>
              <w:rPr>
                <w:sz w:val="18"/>
                <w:szCs w:val="18"/>
              </w:rPr>
            </w:pPr>
            <w:r w:rsidRPr="00711B4E">
              <w:rPr>
                <w:sz w:val="18"/>
                <w:szCs w:val="18"/>
              </w:rPr>
              <w:t>max</w:t>
            </w:r>
          </w:p>
        </w:tc>
        <w:tc>
          <w:tcPr>
            <w:tcW w:w="426" w:type="dxa"/>
            <w:tcBorders>
              <w:top w:val="nil"/>
              <w:bottom w:val="single" w:sz="4" w:space="0" w:color="auto"/>
            </w:tcBorders>
            <w:shd w:val="clear" w:color="auto" w:fill="auto"/>
            <w:noWrap/>
            <w:textDirection w:val="tbRl"/>
            <w:vAlign w:val="center"/>
          </w:tcPr>
          <w:p w:rsidR="004B12D7" w:rsidRPr="00711B4E" w:rsidRDefault="004B12D7" w:rsidP="00451D51">
            <w:pPr>
              <w:ind w:left="113" w:right="113"/>
              <w:jc w:val="center"/>
              <w:rPr>
                <w:sz w:val="18"/>
                <w:szCs w:val="18"/>
              </w:rPr>
            </w:pPr>
            <w:r w:rsidRPr="00711B4E">
              <w:rPr>
                <w:sz w:val="18"/>
                <w:szCs w:val="18"/>
              </w:rPr>
              <w:t>min</w:t>
            </w:r>
          </w:p>
        </w:tc>
        <w:tc>
          <w:tcPr>
            <w:tcW w:w="425" w:type="dxa"/>
            <w:tcBorders>
              <w:top w:val="nil"/>
              <w:bottom w:val="single" w:sz="4" w:space="0" w:color="auto"/>
              <w:right w:val="nil"/>
            </w:tcBorders>
            <w:shd w:val="clear" w:color="auto" w:fill="auto"/>
            <w:noWrap/>
            <w:textDirection w:val="tbRl"/>
            <w:vAlign w:val="center"/>
          </w:tcPr>
          <w:p w:rsidR="004B12D7" w:rsidRPr="00711B4E" w:rsidRDefault="004B12D7" w:rsidP="00451D51">
            <w:pPr>
              <w:ind w:left="113" w:right="113"/>
              <w:jc w:val="center"/>
              <w:rPr>
                <w:sz w:val="18"/>
                <w:szCs w:val="18"/>
              </w:rPr>
            </w:pPr>
            <w:r w:rsidRPr="00711B4E">
              <w:rPr>
                <w:sz w:val="18"/>
                <w:szCs w:val="18"/>
              </w:rPr>
              <w:t>mean</w:t>
            </w:r>
          </w:p>
        </w:tc>
        <w:tc>
          <w:tcPr>
            <w:tcW w:w="567" w:type="dxa"/>
            <w:tcBorders>
              <w:top w:val="nil"/>
              <w:left w:val="nil"/>
              <w:bottom w:val="single" w:sz="4" w:space="0" w:color="auto"/>
            </w:tcBorders>
            <w:shd w:val="clear" w:color="auto" w:fill="auto"/>
            <w:noWrap/>
            <w:textDirection w:val="tbRl"/>
            <w:vAlign w:val="center"/>
          </w:tcPr>
          <w:p w:rsidR="004B12D7" w:rsidRPr="00711B4E" w:rsidRDefault="004B12D7" w:rsidP="00451D51">
            <w:pPr>
              <w:ind w:left="113" w:right="113"/>
              <w:jc w:val="center"/>
              <w:rPr>
                <w:sz w:val="18"/>
                <w:szCs w:val="18"/>
              </w:rPr>
            </w:pPr>
            <w:r w:rsidRPr="00711B4E">
              <w:rPr>
                <w:sz w:val="18"/>
                <w:szCs w:val="18"/>
              </w:rPr>
              <w:t>max</w:t>
            </w:r>
          </w:p>
        </w:tc>
        <w:tc>
          <w:tcPr>
            <w:tcW w:w="283" w:type="dxa"/>
            <w:tcBorders>
              <w:top w:val="nil"/>
              <w:bottom w:val="single" w:sz="4" w:space="0" w:color="auto"/>
            </w:tcBorders>
            <w:shd w:val="clear" w:color="auto" w:fill="auto"/>
            <w:noWrap/>
            <w:textDirection w:val="tbRl"/>
            <w:vAlign w:val="center"/>
          </w:tcPr>
          <w:p w:rsidR="004B12D7" w:rsidRPr="00711B4E" w:rsidRDefault="004B12D7" w:rsidP="00451D51">
            <w:pPr>
              <w:ind w:left="113" w:right="113"/>
              <w:jc w:val="center"/>
              <w:rPr>
                <w:sz w:val="18"/>
                <w:szCs w:val="18"/>
              </w:rPr>
            </w:pPr>
            <w:r w:rsidRPr="00711B4E">
              <w:rPr>
                <w:sz w:val="18"/>
                <w:szCs w:val="18"/>
              </w:rPr>
              <w:t>min</w:t>
            </w:r>
          </w:p>
        </w:tc>
        <w:tc>
          <w:tcPr>
            <w:tcW w:w="567" w:type="dxa"/>
            <w:tcBorders>
              <w:top w:val="nil"/>
              <w:bottom w:val="single" w:sz="4" w:space="0" w:color="auto"/>
              <w:right w:val="nil"/>
            </w:tcBorders>
            <w:shd w:val="clear" w:color="auto" w:fill="auto"/>
            <w:noWrap/>
            <w:textDirection w:val="tbRl"/>
            <w:vAlign w:val="center"/>
          </w:tcPr>
          <w:p w:rsidR="004B12D7" w:rsidRPr="00711B4E" w:rsidRDefault="004B12D7" w:rsidP="00451D51">
            <w:pPr>
              <w:ind w:left="113" w:right="113"/>
              <w:jc w:val="center"/>
              <w:rPr>
                <w:color w:val="FF00FF"/>
                <w:sz w:val="18"/>
                <w:szCs w:val="18"/>
              </w:rPr>
            </w:pPr>
            <w:r w:rsidRPr="00711B4E">
              <w:rPr>
                <w:sz w:val="18"/>
                <w:szCs w:val="18"/>
              </w:rPr>
              <w:t>mean</w:t>
            </w:r>
          </w:p>
        </w:tc>
        <w:tc>
          <w:tcPr>
            <w:tcW w:w="567" w:type="dxa"/>
            <w:tcBorders>
              <w:top w:val="nil"/>
              <w:left w:val="nil"/>
              <w:bottom w:val="single" w:sz="4" w:space="0" w:color="auto"/>
            </w:tcBorders>
            <w:shd w:val="clear" w:color="auto" w:fill="auto"/>
            <w:noWrap/>
            <w:textDirection w:val="tbRl"/>
            <w:vAlign w:val="center"/>
          </w:tcPr>
          <w:p w:rsidR="004B12D7" w:rsidRPr="00711B4E" w:rsidRDefault="004B12D7" w:rsidP="00451D51">
            <w:pPr>
              <w:ind w:left="113" w:right="113"/>
              <w:jc w:val="center"/>
              <w:rPr>
                <w:sz w:val="18"/>
                <w:szCs w:val="18"/>
              </w:rPr>
            </w:pPr>
            <w:r w:rsidRPr="00711B4E">
              <w:rPr>
                <w:sz w:val="18"/>
                <w:szCs w:val="18"/>
              </w:rPr>
              <w:t>max</w:t>
            </w:r>
          </w:p>
        </w:tc>
        <w:tc>
          <w:tcPr>
            <w:tcW w:w="567" w:type="dxa"/>
            <w:tcBorders>
              <w:top w:val="nil"/>
              <w:bottom w:val="single" w:sz="4" w:space="0" w:color="auto"/>
            </w:tcBorders>
            <w:shd w:val="clear" w:color="auto" w:fill="auto"/>
            <w:noWrap/>
            <w:textDirection w:val="tbRl"/>
            <w:vAlign w:val="center"/>
          </w:tcPr>
          <w:p w:rsidR="004B12D7" w:rsidRPr="00711B4E" w:rsidRDefault="004B12D7" w:rsidP="00451D51">
            <w:pPr>
              <w:ind w:left="113" w:right="113"/>
              <w:jc w:val="center"/>
              <w:rPr>
                <w:sz w:val="18"/>
                <w:szCs w:val="18"/>
              </w:rPr>
            </w:pPr>
            <w:r w:rsidRPr="00711B4E">
              <w:rPr>
                <w:sz w:val="18"/>
                <w:szCs w:val="18"/>
              </w:rPr>
              <w:t>min</w:t>
            </w:r>
          </w:p>
        </w:tc>
        <w:tc>
          <w:tcPr>
            <w:tcW w:w="567" w:type="dxa"/>
            <w:tcBorders>
              <w:top w:val="nil"/>
              <w:bottom w:val="single" w:sz="4" w:space="0" w:color="auto"/>
              <w:right w:val="nil"/>
            </w:tcBorders>
            <w:shd w:val="clear" w:color="auto" w:fill="auto"/>
            <w:noWrap/>
            <w:textDirection w:val="tbRl"/>
            <w:vAlign w:val="center"/>
          </w:tcPr>
          <w:p w:rsidR="004B12D7" w:rsidRPr="00711B4E" w:rsidRDefault="004B12D7" w:rsidP="00451D51">
            <w:pPr>
              <w:ind w:left="113" w:right="113"/>
              <w:jc w:val="center"/>
              <w:rPr>
                <w:color w:val="FF00FF"/>
                <w:sz w:val="18"/>
                <w:szCs w:val="18"/>
              </w:rPr>
            </w:pPr>
            <w:r w:rsidRPr="00711B4E">
              <w:rPr>
                <w:sz w:val="18"/>
                <w:szCs w:val="18"/>
              </w:rPr>
              <w:t>mean</w:t>
            </w:r>
          </w:p>
        </w:tc>
        <w:tc>
          <w:tcPr>
            <w:tcW w:w="709" w:type="dxa"/>
            <w:tcBorders>
              <w:top w:val="nil"/>
              <w:left w:val="nil"/>
              <w:bottom w:val="single" w:sz="4" w:space="0" w:color="auto"/>
            </w:tcBorders>
            <w:shd w:val="clear" w:color="auto" w:fill="auto"/>
            <w:noWrap/>
            <w:textDirection w:val="tbRl"/>
            <w:vAlign w:val="center"/>
          </w:tcPr>
          <w:p w:rsidR="004B12D7" w:rsidRPr="00711B4E" w:rsidRDefault="004B12D7" w:rsidP="00451D51">
            <w:pPr>
              <w:ind w:left="113" w:right="113"/>
              <w:jc w:val="center"/>
              <w:rPr>
                <w:sz w:val="18"/>
                <w:szCs w:val="18"/>
              </w:rPr>
            </w:pPr>
            <w:r w:rsidRPr="00711B4E">
              <w:rPr>
                <w:sz w:val="18"/>
                <w:szCs w:val="18"/>
              </w:rPr>
              <w:t>fresh</w:t>
            </w:r>
          </w:p>
        </w:tc>
        <w:tc>
          <w:tcPr>
            <w:tcW w:w="709" w:type="dxa"/>
            <w:tcBorders>
              <w:top w:val="nil"/>
              <w:bottom w:val="single" w:sz="4" w:space="0" w:color="auto"/>
            </w:tcBorders>
            <w:shd w:val="clear" w:color="auto" w:fill="auto"/>
            <w:textDirection w:val="tbRl"/>
            <w:vAlign w:val="center"/>
          </w:tcPr>
          <w:p w:rsidR="004B12D7" w:rsidRPr="00711B4E" w:rsidRDefault="004B12D7" w:rsidP="00451D51">
            <w:pPr>
              <w:ind w:left="113" w:right="113"/>
              <w:jc w:val="center"/>
              <w:rPr>
                <w:color w:val="FF00FF"/>
                <w:sz w:val="18"/>
                <w:szCs w:val="18"/>
              </w:rPr>
            </w:pPr>
            <w:r w:rsidRPr="00711B4E">
              <w:rPr>
                <w:sz w:val="18"/>
                <w:szCs w:val="18"/>
              </w:rPr>
              <w:t>dry</w:t>
            </w:r>
            <w:r w:rsidRPr="00711B4E">
              <w:rPr>
                <w:sz w:val="18"/>
                <w:szCs w:val="18"/>
                <w:vertAlign w:val="superscript"/>
              </w:rPr>
              <w:t>**</w:t>
            </w:r>
          </w:p>
        </w:tc>
      </w:tr>
      <w:tr w:rsidR="004B12D7" w:rsidRPr="00C65444" w:rsidTr="00B057B9">
        <w:trPr>
          <w:trHeight w:val="283"/>
          <w:jc w:val="center"/>
        </w:trPr>
        <w:tc>
          <w:tcPr>
            <w:tcW w:w="851" w:type="dxa"/>
            <w:tcBorders>
              <w:top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2005/06</w:t>
            </w:r>
          </w:p>
        </w:tc>
        <w:tc>
          <w:tcPr>
            <w:tcW w:w="567" w:type="dxa"/>
            <w:tcBorders>
              <w:top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342</w:t>
            </w:r>
          </w:p>
        </w:tc>
        <w:tc>
          <w:tcPr>
            <w:tcW w:w="425" w:type="dxa"/>
            <w:tcBorders>
              <w:top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82</w:t>
            </w:r>
          </w:p>
        </w:tc>
        <w:tc>
          <w:tcPr>
            <w:tcW w:w="426" w:type="dxa"/>
            <w:tcBorders>
              <w:top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52</w:t>
            </w:r>
          </w:p>
        </w:tc>
        <w:tc>
          <w:tcPr>
            <w:tcW w:w="425" w:type="dxa"/>
            <w:tcBorders>
              <w:top w:val="single" w:sz="4" w:space="0" w:color="auto"/>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59</w:t>
            </w:r>
          </w:p>
        </w:tc>
        <w:tc>
          <w:tcPr>
            <w:tcW w:w="567" w:type="dxa"/>
            <w:tcBorders>
              <w:top w:val="single" w:sz="4" w:space="0" w:color="auto"/>
              <w:left w:val="nil"/>
            </w:tcBorders>
            <w:shd w:val="clear" w:color="auto" w:fill="auto"/>
            <w:noWrap/>
            <w:vAlign w:val="center"/>
          </w:tcPr>
          <w:p w:rsidR="004B12D7" w:rsidRPr="00C65444" w:rsidRDefault="004B12D7" w:rsidP="00451D51">
            <w:pPr>
              <w:jc w:val="center"/>
              <w:rPr>
                <w:sz w:val="18"/>
                <w:szCs w:val="18"/>
              </w:rPr>
            </w:pPr>
            <w:r w:rsidRPr="00C65444">
              <w:rPr>
                <w:sz w:val="18"/>
                <w:szCs w:val="18"/>
              </w:rPr>
              <w:t>25</w:t>
            </w:r>
          </w:p>
        </w:tc>
        <w:tc>
          <w:tcPr>
            <w:tcW w:w="283" w:type="dxa"/>
            <w:tcBorders>
              <w:top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3</w:t>
            </w:r>
          </w:p>
        </w:tc>
        <w:tc>
          <w:tcPr>
            <w:tcW w:w="567" w:type="dxa"/>
            <w:tcBorders>
              <w:top w:val="single" w:sz="4" w:space="0" w:color="auto"/>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9</w:t>
            </w:r>
          </w:p>
        </w:tc>
        <w:tc>
          <w:tcPr>
            <w:tcW w:w="567" w:type="dxa"/>
            <w:tcBorders>
              <w:top w:val="single" w:sz="4" w:space="0" w:color="auto"/>
              <w:left w:val="nil"/>
            </w:tcBorders>
            <w:shd w:val="clear" w:color="auto" w:fill="auto"/>
            <w:noWrap/>
            <w:vAlign w:val="center"/>
          </w:tcPr>
          <w:p w:rsidR="004B12D7" w:rsidRPr="00C65444" w:rsidRDefault="004B12D7" w:rsidP="00451D51">
            <w:pPr>
              <w:jc w:val="center"/>
              <w:rPr>
                <w:sz w:val="18"/>
                <w:szCs w:val="18"/>
              </w:rPr>
            </w:pPr>
            <w:r w:rsidRPr="00C65444">
              <w:rPr>
                <w:sz w:val="18"/>
                <w:szCs w:val="18"/>
              </w:rPr>
              <w:t>7.5</w:t>
            </w:r>
          </w:p>
        </w:tc>
        <w:tc>
          <w:tcPr>
            <w:tcW w:w="567" w:type="dxa"/>
            <w:tcBorders>
              <w:top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1.2</w:t>
            </w:r>
          </w:p>
        </w:tc>
        <w:tc>
          <w:tcPr>
            <w:tcW w:w="567" w:type="dxa"/>
            <w:tcBorders>
              <w:top w:val="single" w:sz="4" w:space="0" w:color="auto"/>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3.6</w:t>
            </w:r>
          </w:p>
        </w:tc>
        <w:tc>
          <w:tcPr>
            <w:tcW w:w="709" w:type="dxa"/>
            <w:tcBorders>
              <w:top w:val="single" w:sz="4" w:space="0" w:color="auto"/>
              <w:left w:val="nil"/>
            </w:tcBorders>
            <w:shd w:val="clear" w:color="auto" w:fill="auto"/>
            <w:noWrap/>
            <w:vAlign w:val="center"/>
          </w:tcPr>
          <w:p w:rsidR="004B12D7" w:rsidRPr="00C65444" w:rsidRDefault="004B12D7" w:rsidP="00451D51">
            <w:pPr>
              <w:jc w:val="center"/>
              <w:rPr>
                <w:sz w:val="18"/>
                <w:szCs w:val="18"/>
              </w:rPr>
            </w:pPr>
            <w:r w:rsidRPr="00C65444">
              <w:rPr>
                <w:sz w:val="18"/>
                <w:szCs w:val="18"/>
              </w:rPr>
              <w:t>5,520</w:t>
            </w:r>
          </w:p>
        </w:tc>
        <w:tc>
          <w:tcPr>
            <w:tcW w:w="709" w:type="dxa"/>
            <w:tcBorders>
              <w:top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890</w:t>
            </w:r>
          </w:p>
        </w:tc>
      </w:tr>
      <w:tr w:rsidR="004B12D7" w:rsidRPr="00C65444" w:rsidTr="00B057B9">
        <w:trPr>
          <w:trHeight w:val="283"/>
          <w:jc w:val="center"/>
        </w:trPr>
        <w:tc>
          <w:tcPr>
            <w:tcW w:w="851" w:type="dxa"/>
            <w:shd w:val="clear" w:color="auto" w:fill="auto"/>
            <w:noWrap/>
            <w:vAlign w:val="center"/>
          </w:tcPr>
          <w:p w:rsidR="004B12D7" w:rsidRPr="00C65444" w:rsidRDefault="004B12D7" w:rsidP="00451D51">
            <w:pPr>
              <w:jc w:val="center"/>
              <w:rPr>
                <w:sz w:val="18"/>
                <w:szCs w:val="18"/>
              </w:rPr>
            </w:pPr>
            <w:r w:rsidRPr="00C65444">
              <w:rPr>
                <w:sz w:val="18"/>
                <w:szCs w:val="18"/>
              </w:rPr>
              <w:t>2006/07</w:t>
            </w:r>
          </w:p>
        </w:tc>
        <w:tc>
          <w:tcPr>
            <w:tcW w:w="567" w:type="dxa"/>
            <w:shd w:val="clear" w:color="auto" w:fill="auto"/>
            <w:noWrap/>
            <w:vAlign w:val="center"/>
          </w:tcPr>
          <w:p w:rsidR="004B12D7" w:rsidRPr="00C65444" w:rsidRDefault="004B12D7" w:rsidP="00451D51">
            <w:pPr>
              <w:jc w:val="center"/>
              <w:rPr>
                <w:sz w:val="18"/>
                <w:szCs w:val="18"/>
              </w:rPr>
            </w:pPr>
            <w:r w:rsidRPr="00C65444">
              <w:rPr>
                <w:sz w:val="18"/>
                <w:szCs w:val="18"/>
              </w:rPr>
              <w:t>518</w:t>
            </w:r>
          </w:p>
        </w:tc>
        <w:tc>
          <w:tcPr>
            <w:tcW w:w="425" w:type="dxa"/>
            <w:shd w:val="clear" w:color="auto" w:fill="auto"/>
            <w:noWrap/>
            <w:vAlign w:val="center"/>
          </w:tcPr>
          <w:p w:rsidR="004B12D7" w:rsidRPr="00C65444" w:rsidRDefault="004B12D7" w:rsidP="00451D51">
            <w:pPr>
              <w:jc w:val="center"/>
              <w:rPr>
                <w:sz w:val="18"/>
                <w:szCs w:val="18"/>
              </w:rPr>
            </w:pPr>
            <w:r w:rsidRPr="00C65444">
              <w:rPr>
                <w:sz w:val="18"/>
                <w:szCs w:val="18"/>
              </w:rPr>
              <w:t>74</w:t>
            </w:r>
          </w:p>
        </w:tc>
        <w:tc>
          <w:tcPr>
            <w:tcW w:w="426" w:type="dxa"/>
            <w:shd w:val="clear" w:color="auto" w:fill="auto"/>
            <w:noWrap/>
            <w:vAlign w:val="center"/>
          </w:tcPr>
          <w:p w:rsidR="004B12D7" w:rsidRPr="00C65444" w:rsidRDefault="004B12D7" w:rsidP="00451D51">
            <w:pPr>
              <w:jc w:val="center"/>
              <w:rPr>
                <w:sz w:val="18"/>
                <w:szCs w:val="18"/>
              </w:rPr>
            </w:pPr>
            <w:r w:rsidRPr="00C65444">
              <w:rPr>
                <w:sz w:val="18"/>
                <w:szCs w:val="18"/>
              </w:rPr>
              <w:t>56</w:t>
            </w:r>
          </w:p>
        </w:tc>
        <w:tc>
          <w:tcPr>
            <w:tcW w:w="425" w:type="dxa"/>
            <w:tcBorders>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66</w:t>
            </w:r>
          </w:p>
        </w:tc>
        <w:tc>
          <w:tcPr>
            <w:tcW w:w="567" w:type="dxa"/>
            <w:tcBorders>
              <w:left w:val="nil"/>
            </w:tcBorders>
            <w:shd w:val="clear" w:color="auto" w:fill="auto"/>
            <w:noWrap/>
            <w:vAlign w:val="center"/>
          </w:tcPr>
          <w:p w:rsidR="004B12D7" w:rsidRPr="00C65444" w:rsidRDefault="004B12D7" w:rsidP="00451D51">
            <w:pPr>
              <w:jc w:val="center"/>
              <w:rPr>
                <w:sz w:val="18"/>
                <w:szCs w:val="18"/>
              </w:rPr>
            </w:pPr>
            <w:r w:rsidRPr="00C65444">
              <w:rPr>
                <w:sz w:val="18"/>
                <w:szCs w:val="18"/>
              </w:rPr>
              <w:t>30</w:t>
            </w:r>
          </w:p>
        </w:tc>
        <w:tc>
          <w:tcPr>
            <w:tcW w:w="283" w:type="dxa"/>
            <w:shd w:val="clear" w:color="auto" w:fill="auto"/>
            <w:noWrap/>
            <w:vAlign w:val="center"/>
          </w:tcPr>
          <w:p w:rsidR="004B12D7" w:rsidRPr="00C65444" w:rsidRDefault="004B12D7" w:rsidP="00451D51">
            <w:pPr>
              <w:jc w:val="center"/>
              <w:rPr>
                <w:sz w:val="18"/>
                <w:szCs w:val="18"/>
              </w:rPr>
            </w:pPr>
            <w:r w:rsidRPr="00C65444">
              <w:rPr>
                <w:sz w:val="18"/>
                <w:szCs w:val="18"/>
              </w:rPr>
              <w:t>5</w:t>
            </w:r>
          </w:p>
        </w:tc>
        <w:tc>
          <w:tcPr>
            <w:tcW w:w="567" w:type="dxa"/>
            <w:tcBorders>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12</w:t>
            </w:r>
          </w:p>
        </w:tc>
        <w:tc>
          <w:tcPr>
            <w:tcW w:w="567" w:type="dxa"/>
            <w:tcBorders>
              <w:left w:val="nil"/>
            </w:tcBorders>
            <w:shd w:val="clear" w:color="auto" w:fill="auto"/>
            <w:noWrap/>
            <w:vAlign w:val="center"/>
          </w:tcPr>
          <w:p w:rsidR="004B12D7" w:rsidRPr="00C65444" w:rsidRDefault="004B12D7" w:rsidP="00451D51">
            <w:pPr>
              <w:jc w:val="center"/>
              <w:rPr>
                <w:sz w:val="18"/>
                <w:szCs w:val="18"/>
              </w:rPr>
            </w:pPr>
            <w:r w:rsidRPr="00C65444">
              <w:rPr>
                <w:sz w:val="18"/>
                <w:szCs w:val="18"/>
              </w:rPr>
              <w:t>8.6</w:t>
            </w:r>
          </w:p>
        </w:tc>
        <w:tc>
          <w:tcPr>
            <w:tcW w:w="567" w:type="dxa"/>
            <w:shd w:val="clear" w:color="auto" w:fill="auto"/>
            <w:noWrap/>
            <w:vAlign w:val="center"/>
          </w:tcPr>
          <w:p w:rsidR="004B12D7" w:rsidRPr="00C65444" w:rsidRDefault="004B12D7" w:rsidP="00451D51">
            <w:pPr>
              <w:jc w:val="center"/>
              <w:rPr>
                <w:sz w:val="18"/>
                <w:szCs w:val="18"/>
              </w:rPr>
            </w:pPr>
            <w:r w:rsidRPr="00C65444">
              <w:rPr>
                <w:sz w:val="18"/>
                <w:szCs w:val="18"/>
              </w:rPr>
              <w:t>1.8</w:t>
            </w:r>
          </w:p>
        </w:tc>
        <w:tc>
          <w:tcPr>
            <w:tcW w:w="567" w:type="dxa"/>
            <w:tcBorders>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4.6</w:t>
            </w:r>
          </w:p>
        </w:tc>
        <w:tc>
          <w:tcPr>
            <w:tcW w:w="709" w:type="dxa"/>
            <w:tcBorders>
              <w:left w:val="nil"/>
            </w:tcBorders>
            <w:shd w:val="clear" w:color="auto" w:fill="auto"/>
            <w:noWrap/>
            <w:vAlign w:val="center"/>
          </w:tcPr>
          <w:p w:rsidR="004B12D7" w:rsidRPr="00C65444" w:rsidRDefault="004B12D7" w:rsidP="00451D51">
            <w:pPr>
              <w:jc w:val="center"/>
              <w:rPr>
                <w:sz w:val="18"/>
                <w:szCs w:val="18"/>
              </w:rPr>
            </w:pPr>
            <w:r w:rsidRPr="00C65444">
              <w:rPr>
                <w:sz w:val="18"/>
                <w:szCs w:val="18"/>
              </w:rPr>
              <w:t>6,370</w:t>
            </w:r>
          </w:p>
        </w:tc>
        <w:tc>
          <w:tcPr>
            <w:tcW w:w="709" w:type="dxa"/>
            <w:shd w:val="clear" w:color="auto" w:fill="auto"/>
            <w:noWrap/>
            <w:vAlign w:val="center"/>
          </w:tcPr>
          <w:p w:rsidR="004B12D7" w:rsidRPr="00C65444" w:rsidRDefault="004B12D7" w:rsidP="00451D51">
            <w:pPr>
              <w:jc w:val="center"/>
              <w:rPr>
                <w:sz w:val="18"/>
                <w:szCs w:val="18"/>
              </w:rPr>
            </w:pPr>
            <w:r w:rsidRPr="00C65444">
              <w:rPr>
                <w:sz w:val="18"/>
                <w:szCs w:val="18"/>
              </w:rPr>
              <w:t>1,010</w:t>
            </w:r>
          </w:p>
        </w:tc>
      </w:tr>
      <w:tr w:rsidR="004B12D7" w:rsidRPr="00C65444" w:rsidTr="00B057B9">
        <w:trPr>
          <w:trHeight w:val="283"/>
          <w:jc w:val="center"/>
        </w:trPr>
        <w:tc>
          <w:tcPr>
            <w:tcW w:w="851" w:type="dxa"/>
            <w:shd w:val="clear" w:color="auto" w:fill="auto"/>
            <w:noWrap/>
            <w:vAlign w:val="center"/>
          </w:tcPr>
          <w:p w:rsidR="004B12D7" w:rsidRPr="00C65444" w:rsidRDefault="004B12D7" w:rsidP="00451D51">
            <w:pPr>
              <w:jc w:val="center"/>
              <w:rPr>
                <w:sz w:val="18"/>
                <w:szCs w:val="18"/>
              </w:rPr>
            </w:pPr>
            <w:r w:rsidRPr="00C65444">
              <w:rPr>
                <w:sz w:val="18"/>
                <w:szCs w:val="18"/>
              </w:rPr>
              <w:t>2008/09</w:t>
            </w:r>
          </w:p>
        </w:tc>
        <w:tc>
          <w:tcPr>
            <w:tcW w:w="567" w:type="dxa"/>
            <w:shd w:val="clear" w:color="auto" w:fill="auto"/>
            <w:noWrap/>
            <w:vAlign w:val="center"/>
          </w:tcPr>
          <w:p w:rsidR="004B12D7" w:rsidRPr="00C65444" w:rsidRDefault="004B12D7" w:rsidP="00451D51">
            <w:pPr>
              <w:jc w:val="center"/>
              <w:rPr>
                <w:sz w:val="18"/>
                <w:szCs w:val="18"/>
              </w:rPr>
            </w:pPr>
            <w:r w:rsidRPr="00C65444">
              <w:rPr>
                <w:sz w:val="18"/>
                <w:szCs w:val="18"/>
              </w:rPr>
              <w:t>411</w:t>
            </w:r>
          </w:p>
        </w:tc>
        <w:tc>
          <w:tcPr>
            <w:tcW w:w="425" w:type="dxa"/>
            <w:tcBorders>
              <w:bottom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93</w:t>
            </w:r>
          </w:p>
        </w:tc>
        <w:tc>
          <w:tcPr>
            <w:tcW w:w="426" w:type="dxa"/>
            <w:tcBorders>
              <w:bottom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48</w:t>
            </w:r>
          </w:p>
        </w:tc>
        <w:tc>
          <w:tcPr>
            <w:tcW w:w="425" w:type="dxa"/>
            <w:tcBorders>
              <w:bottom w:val="single" w:sz="4" w:space="0" w:color="auto"/>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71</w:t>
            </w:r>
          </w:p>
        </w:tc>
        <w:tc>
          <w:tcPr>
            <w:tcW w:w="567" w:type="dxa"/>
            <w:tcBorders>
              <w:left w:val="nil"/>
              <w:bottom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24</w:t>
            </w:r>
          </w:p>
        </w:tc>
        <w:tc>
          <w:tcPr>
            <w:tcW w:w="283" w:type="dxa"/>
            <w:tcBorders>
              <w:bottom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1</w:t>
            </w:r>
          </w:p>
        </w:tc>
        <w:tc>
          <w:tcPr>
            <w:tcW w:w="567" w:type="dxa"/>
            <w:tcBorders>
              <w:bottom w:val="single" w:sz="4" w:space="0" w:color="auto"/>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14</w:t>
            </w:r>
          </w:p>
        </w:tc>
        <w:tc>
          <w:tcPr>
            <w:tcW w:w="567" w:type="dxa"/>
            <w:tcBorders>
              <w:left w:val="nil"/>
              <w:bottom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7.5</w:t>
            </w:r>
          </w:p>
        </w:tc>
        <w:tc>
          <w:tcPr>
            <w:tcW w:w="567" w:type="dxa"/>
            <w:tcBorders>
              <w:bottom w:val="single" w:sz="4" w:space="0" w:color="auto"/>
            </w:tcBorders>
            <w:shd w:val="clear" w:color="auto" w:fill="auto"/>
            <w:noWrap/>
            <w:vAlign w:val="center"/>
          </w:tcPr>
          <w:p w:rsidR="004B12D7" w:rsidRPr="00C65444" w:rsidRDefault="004B12D7" w:rsidP="00451D51">
            <w:pPr>
              <w:jc w:val="center"/>
              <w:rPr>
                <w:sz w:val="18"/>
                <w:szCs w:val="18"/>
              </w:rPr>
            </w:pPr>
            <w:r w:rsidRPr="00C65444">
              <w:rPr>
                <w:sz w:val="18"/>
                <w:szCs w:val="18"/>
              </w:rPr>
              <w:t>4.3</w:t>
            </w:r>
          </w:p>
        </w:tc>
        <w:tc>
          <w:tcPr>
            <w:tcW w:w="567" w:type="dxa"/>
            <w:tcBorders>
              <w:bottom w:val="single" w:sz="4" w:space="0" w:color="auto"/>
              <w:right w:val="nil"/>
            </w:tcBorders>
            <w:shd w:val="clear" w:color="auto" w:fill="auto"/>
            <w:noWrap/>
            <w:vAlign w:val="center"/>
          </w:tcPr>
          <w:p w:rsidR="004B12D7" w:rsidRPr="00C65444" w:rsidRDefault="004B12D7" w:rsidP="00451D51">
            <w:pPr>
              <w:jc w:val="center"/>
              <w:rPr>
                <w:sz w:val="18"/>
                <w:szCs w:val="18"/>
              </w:rPr>
            </w:pPr>
            <w:r w:rsidRPr="00C65444">
              <w:rPr>
                <w:sz w:val="18"/>
                <w:szCs w:val="18"/>
              </w:rPr>
              <w:t>4.9</w:t>
            </w:r>
          </w:p>
        </w:tc>
        <w:tc>
          <w:tcPr>
            <w:tcW w:w="709" w:type="dxa"/>
            <w:tcBorders>
              <w:left w:val="nil"/>
            </w:tcBorders>
            <w:shd w:val="clear" w:color="auto" w:fill="auto"/>
            <w:noWrap/>
            <w:vAlign w:val="center"/>
          </w:tcPr>
          <w:p w:rsidR="004B12D7" w:rsidRPr="00C65444" w:rsidRDefault="004B12D7" w:rsidP="00451D51">
            <w:pPr>
              <w:jc w:val="center"/>
              <w:rPr>
                <w:sz w:val="18"/>
                <w:szCs w:val="18"/>
              </w:rPr>
            </w:pPr>
            <w:r w:rsidRPr="00C65444">
              <w:rPr>
                <w:sz w:val="18"/>
                <w:szCs w:val="18"/>
              </w:rPr>
              <w:t>9,510</w:t>
            </w:r>
          </w:p>
        </w:tc>
        <w:tc>
          <w:tcPr>
            <w:tcW w:w="709" w:type="dxa"/>
            <w:shd w:val="clear" w:color="auto" w:fill="auto"/>
            <w:noWrap/>
            <w:vAlign w:val="center"/>
          </w:tcPr>
          <w:p w:rsidR="004B12D7" w:rsidRPr="00C65444" w:rsidRDefault="004B12D7" w:rsidP="00451D51">
            <w:pPr>
              <w:jc w:val="center"/>
              <w:rPr>
                <w:sz w:val="18"/>
                <w:szCs w:val="18"/>
              </w:rPr>
            </w:pPr>
            <w:r w:rsidRPr="00C65444">
              <w:rPr>
                <w:sz w:val="18"/>
                <w:szCs w:val="18"/>
              </w:rPr>
              <w:t>1,620</w:t>
            </w:r>
          </w:p>
        </w:tc>
      </w:tr>
    </w:tbl>
    <w:p w:rsidR="004B12D7" w:rsidRPr="00F27653" w:rsidRDefault="004B12D7" w:rsidP="00711B4E">
      <w:pPr>
        <w:spacing w:before="40"/>
        <w:rPr>
          <w:sz w:val="18"/>
          <w:szCs w:val="18"/>
        </w:rPr>
      </w:pPr>
      <w:r w:rsidRPr="00F27653">
        <w:rPr>
          <w:sz w:val="18"/>
          <w:szCs w:val="18"/>
          <w:vertAlign w:val="superscript"/>
          <w:lang w:val="en-US"/>
        </w:rPr>
        <w:t>*</w:t>
      </w:r>
      <w:r w:rsidRPr="00F27653">
        <w:rPr>
          <w:sz w:val="18"/>
          <w:szCs w:val="18"/>
          <w:lang w:val="en-US"/>
        </w:rPr>
        <w:t xml:space="preserve"> HC </w:t>
      </w:r>
      <w:r>
        <w:rPr>
          <w:sz w:val="18"/>
          <w:szCs w:val="18"/>
          <w:lang w:val="en-US"/>
        </w:rPr>
        <w:t>–</w:t>
      </w:r>
      <w:r w:rsidRPr="00F27653">
        <w:rPr>
          <w:sz w:val="18"/>
          <w:szCs w:val="18"/>
          <w:lang w:val="en-US"/>
        </w:rPr>
        <w:t xml:space="preserve"> </w:t>
      </w:r>
      <w:r w:rsidRPr="00F27653">
        <w:rPr>
          <w:sz w:val="18"/>
          <w:szCs w:val="18"/>
        </w:rPr>
        <w:t>Herbal composition</w:t>
      </w:r>
      <w:r w:rsidRPr="00F27653">
        <w:rPr>
          <w:b/>
          <w:bCs/>
          <w:sz w:val="18"/>
          <w:szCs w:val="18"/>
        </w:rPr>
        <w:t xml:space="preserve"> </w:t>
      </w:r>
      <w:r w:rsidRPr="00F27653">
        <w:rPr>
          <w:sz w:val="18"/>
          <w:szCs w:val="18"/>
        </w:rPr>
        <w:t>(number of plants per m</w:t>
      </w:r>
      <w:r w:rsidRPr="00F27653">
        <w:rPr>
          <w:sz w:val="18"/>
          <w:szCs w:val="18"/>
          <w:vertAlign w:val="superscript"/>
        </w:rPr>
        <w:t>2</w:t>
      </w:r>
      <w:r w:rsidRPr="00F27653">
        <w:rPr>
          <w:sz w:val="18"/>
          <w:szCs w:val="18"/>
        </w:rPr>
        <w:t>).</w:t>
      </w:r>
    </w:p>
    <w:p w:rsidR="004B12D7" w:rsidRPr="00F27653" w:rsidRDefault="004B12D7" w:rsidP="00711B4E">
      <w:pPr>
        <w:rPr>
          <w:sz w:val="18"/>
          <w:szCs w:val="18"/>
        </w:rPr>
      </w:pPr>
      <w:r w:rsidRPr="00F27653">
        <w:rPr>
          <w:sz w:val="18"/>
          <w:szCs w:val="18"/>
          <w:vertAlign w:val="superscript"/>
        </w:rPr>
        <w:t>**</w:t>
      </w:r>
      <w:r w:rsidRPr="00F27653">
        <w:rPr>
          <w:sz w:val="18"/>
          <w:szCs w:val="18"/>
        </w:rPr>
        <w:t xml:space="preserve"> Dry (12% humidity).</w:t>
      </w:r>
    </w:p>
    <w:p w:rsidR="004B12D7" w:rsidRPr="00B057B9" w:rsidRDefault="004B12D7" w:rsidP="00711B4E">
      <w:pPr>
        <w:ind w:firstLine="708"/>
        <w:jc w:val="both"/>
        <w:rPr>
          <w:sz w:val="16"/>
          <w:szCs w:val="16"/>
          <w:lang w:val="en-US"/>
        </w:rPr>
      </w:pPr>
    </w:p>
    <w:p w:rsidR="004B12D7" w:rsidRPr="00711B4E" w:rsidRDefault="004B12D7" w:rsidP="00711B4E">
      <w:pPr>
        <w:ind w:firstLine="426"/>
        <w:jc w:val="both"/>
        <w:rPr>
          <w:sz w:val="22"/>
          <w:szCs w:val="22"/>
          <w:lang w:val="en-US"/>
        </w:rPr>
      </w:pPr>
      <w:r w:rsidRPr="00711B4E">
        <w:rPr>
          <w:sz w:val="22"/>
          <w:szCs w:val="22"/>
          <w:lang w:val="en-US"/>
        </w:rPr>
        <w:t>The optimum chamomile harvesting period in agroecological conditions of Serbia is from 1 May to 30 May, and chamomile was harvested during this period in the research. The first harvest was 240 days after sowing, and the two follow up harvests were at intervals of 10 days after the previous one (T1 – 240 days after chamomile sowing date, T2 – 250 days, T3 – 260 days). Flowering index (IC) was used for deciding on the time for harvest (Franz et al., 1978), and it is presented in Table 4, according to the Eq. (1).</w:t>
      </w:r>
    </w:p>
    <w:p w:rsidR="004B12D7" w:rsidRPr="00711B4E" w:rsidRDefault="004B12D7" w:rsidP="00711B4E">
      <w:pPr>
        <w:ind w:firstLine="708"/>
        <w:jc w:val="both"/>
        <w:rPr>
          <w:sz w:val="16"/>
          <w:szCs w:val="16"/>
          <w:lang w:val="en-US"/>
        </w:rPr>
      </w:pPr>
    </w:p>
    <w:p w:rsidR="004B12D7" w:rsidRPr="00711B4E" w:rsidRDefault="004B12D7" w:rsidP="00711B4E">
      <w:pPr>
        <w:ind w:left="426"/>
        <w:jc w:val="right"/>
        <w:outlineLvl w:val="0"/>
        <w:rPr>
          <w:sz w:val="22"/>
          <w:szCs w:val="22"/>
        </w:rPr>
      </w:pPr>
      <w:r w:rsidRPr="00711B4E">
        <w:rPr>
          <w:position w:val="-24"/>
          <w:sz w:val="22"/>
          <w:szCs w:val="22"/>
        </w:rPr>
        <w:object w:dxaOrig="1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31.3pt" o:ole="">
            <v:imagedata r:id="rId8" o:title=""/>
          </v:shape>
          <o:OLEObject Type="Embed" ProgID="Equation.3" ShapeID="_x0000_i1025" DrawAspect="Content" ObjectID="_1528619260" r:id="rId9"/>
        </w:object>
      </w:r>
      <w:r w:rsidRPr="00711B4E">
        <w:rPr>
          <w:sz w:val="22"/>
          <w:szCs w:val="22"/>
        </w:rPr>
        <w:tab/>
      </w:r>
      <w:r w:rsidRPr="00711B4E">
        <w:rPr>
          <w:sz w:val="22"/>
          <w:szCs w:val="22"/>
        </w:rPr>
        <w:tab/>
      </w:r>
      <w:r w:rsidRPr="00711B4E">
        <w:rPr>
          <w:sz w:val="22"/>
          <w:szCs w:val="22"/>
        </w:rPr>
        <w:tab/>
      </w:r>
      <w:r w:rsidRPr="00711B4E">
        <w:rPr>
          <w:sz w:val="22"/>
          <w:szCs w:val="22"/>
        </w:rPr>
        <w:tab/>
      </w:r>
      <w:r w:rsidRPr="00711B4E">
        <w:rPr>
          <w:sz w:val="22"/>
          <w:szCs w:val="22"/>
        </w:rPr>
        <w:tab/>
      </w:r>
      <w:r w:rsidRPr="00711B4E">
        <w:rPr>
          <w:sz w:val="22"/>
          <w:szCs w:val="22"/>
        </w:rPr>
        <w:tab/>
      </w:r>
      <w:r w:rsidR="00711B4E">
        <w:rPr>
          <w:sz w:val="22"/>
          <w:szCs w:val="22"/>
        </w:rPr>
        <w:tab/>
      </w:r>
      <w:r w:rsidR="00711B4E">
        <w:rPr>
          <w:sz w:val="22"/>
          <w:szCs w:val="22"/>
        </w:rPr>
        <w:tab/>
      </w:r>
      <w:r w:rsidRPr="00711B4E">
        <w:rPr>
          <w:sz w:val="22"/>
          <w:szCs w:val="22"/>
        </w:rPr>
        <w:tab/>
      </w:r>
      <w:r w:rsidRPr="00711B4E">
        <w:rPr>
          <w:sz w:val="22"/>
          <w:szCs w:val="22"/>
        </w:rPr>
        <w:tab/>
      </w:r>
      <w:r w:rsidR="00711B4E">
        <w:rPr>
          <w:sz w:val="22"/>
          <w:szCs w:val="22"/>
        </w:rPr>
        <w:tab/>
      </w:r>
      <w:r w:rsidRPr="00711B4E">
        <w:rPr>
          <w:sz w:val="22"/>
          <w:szCs w:val="22"/>
        </w:rPr>
        <w:t>(1)</w:t>
      </w:r>
    </w:p>
    <w:p w:rsidR="004B12D7" w:rsidRPr="00711B4E" w:rsidRDefault="004B12D7" w:rsidP="00711B4E">
      <w:pPr>
        <w:ind w:firstLine="708"/>
        <w:jc w:val="both"/>
        <w:rPr>
          <w:i/>
          <w:sz w:val="22"/>
          <w:szCs w:val="22"/>
          <w:lang w:val="en-US"/>
        </w:rPr>
      </w:pPr>
      <w:r w:rsidRPr="00711B4E">
        <w:rPr>
          <w:i/>
          <w:sz w:val="22"/>
          <w:szCs w:val="22"/>
          <w:lang w:val="en-US"/>
        </w:rPr>
        <w:t>IC – flowering index,</w:t>
      </w:r>
    </w:p>
    <w:p w:rsidR="004B12D7" w:rsidRPr="00711B4E" w:rsidRDefault="004B12D7" w:rsidP="00711B4E">
      <w:pPr>
        <w:ind w:firstLine="708"/>
        <w:jc w:val="both"/>
        <w:rPr>
          <w:i/>
          <w:sz w:val="22"/>
          <w:szCs w:val="22"/>
          <w:lang w:val="en-US"/>
        </w:rPr>
      </w:pPr>
      <w:r w:rsidRPr="00711B4E">
        <w:rPr>
          <w:i/>
          <w:sz w:val="22"/>
          <w:szCs w:val="22"/>
          <w:lang w:val="en-US"/>
        </w:rPr>
        <w:t>Kn – buds which have not bloomed (%),</w:t>
      </w:r>
    </w:p>
    <w:p w:rsidR="004B12D7" w:rsidRPr="00711B4E" w:rsidRDefault="004B12D7" w:rsidP="00711B4E">
      <w:pPr>
        <w:ind w:firstLine="708"/>
        <w:jc w:val="both"/>
        <w:rPr>
          <w:i/>
          <w:sz w:val="22"/>
          <w:szCs w:val="22"/>
          <w:lang w:val="en-US"/>
        </w:rPr>
      </w:pPr>
      <w:r w:rsidRPr="00711B4E">
        <w:rPr>
          <w:i/>
          <w:sz w:val="22"/>
          <w:szCs w:val="22"/>
          <w:lang w:val="en-US"/>
        </w:rPr>
        <w:t>eB – flowers to be harvested (%),</w:t>
      </w:r>
    </w:p>
    <w:p w:rsidR="004B12D7" w:rsidRPr="00711B4E" w:rsidRDefault="004B12D7" w:rsidP="00711B4E">
      <w:pPr>
        <w:ind w:firstLine="708"/>
        <w:jc w:val="both"/>
        <w:rPr>
          <w:i/>
          <w:sz w:val="22"/>
          <w:szCs w:val="22"/>
          <w:lang w:val="en-US"/>
        </w:rPr>
      </w:pPr>
      <w:r w:rsidRPr="00711B4E">
        <w:rPr>
          <w:i/>
          <w:sz w:val="22"/>
          <w:szCs w:val="22"/>
          <w:lang w:val="en-US"/>
        </w:rPr>
        <w:t>V – flowers near the end of blooming (%).</w:t>
      </w:r>
    </w:p>
    <w:p w:rsidR="004B12D7" w:rsidRPr="00711B4E" w:rsidRDefault="004B12D7" w:rsidP="00711B4E">
      <w:pPr>
        <w:jc w:val="both"/>
        <w:rPr>
          <w:sz w:val="22"/>
          <w:szCs w:val="22"/>
        </w:rPr>
      </w:pPr>
    </w:p>
    <w:p w:rsidR="004B12D7" w:rsidRDefault="004B12D7" w:rsidP="00711B4E">
      <w:pPr>
        <w:jc w:val="both"/>
        <w:rPr>
          <w:sz w:val="22"/>
          <w:szCs w:val="22"/>
          <w:lang w:val="en-US"/>
        </w:rPr>
      </w:pPr>
      <w:r w:rsidRPr="00711B4E">
        <w:rPr>
          <w:sz w:val="22"/>
          <w:szCs w:val="22"/>
          <w:lang w:val="en-US"/>
        </w:rPr>
        <w:t>Table 4. Chamomile flowering index parameters depending on harvesting time.</w:t>
      </w:r>
    </w:p>
    <w:p w:rsidR="00711B4E" w:rsidRPr="00711B4E" w:rsidRDefault="00711B4E" w:rsidP="00711B4E">
      <w:pPr>
        <w:jc w:val="both"/>
        <w:rPr>
          <w:sz w:val="22"/>
          <w:szCs w:val="22"/>
          <w:lang w:val="en-US"/>
        </w:rPr>
      </w:pPr>
    </w:p>
    <w:tbl>
      <w:tblPr>
        <w:tblW w:w="7371" w:type="dxa"/>
        <w:jc w:val="center"/>
        <w:tblBorders>
          <w:top w:val="single" w:sz="4" w:space="0" w:color="auto"/>
          <w:bottom w:val="single" w:sz="4" w:space="0" w:color="auto"/>
        </w:tblBorders>
        <w:tblCellMar>
          <w:left w:w="28" w:type="dxa"/>
          <w:right w:w="28" w:type="dxa"/>
        </w:tblCellMar>
        <w:tblLook w:val="01E0"/>
      </w:tblPr>
      <w:tblGrid>
        <w:gridCol w:w="1208"/>
        <w:gridCol w:w="600"/>
        <w:gridCol w:w="1274"/>
        <w:gridCol w:w="1209"/>
        <w:gridCol w:w="712"/>
        <w:gridCol w:w="712"/>
        <w:gridCol w:w="712"/>
        <w:gridCol w:w="944"/>
      </w:tblGrid>
      <w:tr w:rsidR="004B12D7" w:rsidRPr="00F27653" w:rsidTr="00B057B9">
        <w:trPr>
          <w:trHeight w:val="283"/>
          <w:jc w:val="center"/>
        </w:trPr>
        <w:tc>
          <w:tcPr>
            <w:tcW w:w="1217"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Sowing date</w:t>
            </w:r>
          </w:p>
        </w:tc>
        <w:tc>
          <w:tcPr>
            <w:tcW w:w="1891" w:type="dxa"/>
            <w:gridSpan w:val="2"/>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Harvesting date</w:t>
            </w:r>
          </w:p>
        </w:tc>
        <w:tc>
          <w:tcPr>
            <w:tcW w:w="1217"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Vegetative period</w:t>
            </w:r>
          </w:p>
        </w:tc>
        <w:tc>
          <w:tcPr>
            <w:tcW w:w="717" w:type="dxa"/>
            <w:tcBorders>
              <w:top w:val="single" w:sz="4" w:space="0" w:color="auto"/>
              <w:bottom w:val="single" w:sz="4" w:space="0" w:color="auto"/>
            </w:tcBorders>
            <w:vAlign w:val="center"/>
          </w:tcPr>
          <w:p w:rsidR="004B12D7" w:rsidRPr="00711B4E" w:rsidRDefault="004B12D7" w:rsidP="00451D51">
            <w:pPr>
              <w:jc w:val="center"/>
              <w:rPr>
                <w:sz w:val="18"/>
                <w:szCs w:val="18"/>
              </w:rPr>
            </w:pPr>
            <w:r w:rsidRPr="00711B4E">
              <w:rPr>
                <w:bCs/>
                <w:sz w:val="18"/>
                <w:szCs w:val="18"/>
              </w:rPr>
              <w:t xml:space="preserve">Kn </w:t>
            </w:r>
            <w:r w:rsidRPr="00711B4E">
              <w:rPr>
                <w:sz w:val="18"/>
                <w:szCs w:val="18"/>
              </w:rPr>
              <w:t>(%)</w:t>
            </w:r>
          </w:p>
        </w:tc>
        <w:tc>
          <w:tcPr>
            <w:tcW w:w="717" w:type="dxa"/>
            <w:tcBorders>
              <w:top w:val="single" w:sz="4" w:space="0" w:color="auto"/>
              <w:bottom w:val="single" w:sz="4" w:space="0" w:color="auto"/>
            </w:tcBorders>
            <w:vAlign w:val="center"/>
          </w:tcPr>
          <w:p w:rsidR="004B12D7" w:rsidRPr="00711B4E" w:rsidRDefault="004B12D7" w:rsidP="00451D51">
            <w:pPr>
              <w:jc w:val="center"/>
              <w:rPr>
                <w:sz w:val="18"/>
                <w:szCs w:val="18"/>
              </w:rPr>
            </w:pPr>
            <w:r w:rsidRPr="00711B4E">
              <w:rPr>
                <w:bCs/>
                <w:sz w:val="18"/>
                <w:szCs w:val="18"/>
              </w:rPr>
              <w:t>eB</w:t>
            </w:r>
            <w:r w:rsidRPr="00711B4E">
              <w:rPr>
                <w:sz w:val="18"/>
                <w:szCs w:val="18"/>
              </w:rPr>
              <w:t xml:space="preserve"> (%)</w:t>
            </w:r>
          </w:p>
        </w:tc>
        <w:tc>
          <w:tcPr>
            <w:tcW w:w="717"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V</w:t>
            </w:r>
          </w:p>
          <w:p w:rsidR="004B12D7" w:rsidRPr="00711B4E" w:rsidRDefault="004B12D7" w:rsidP="00451D51">
            <w:pPr>
              <w:jc w:val="center"/>
              <w:rPr>
                <w:sz w:val="18"/>
                <w:szCs w:val="18"/>
              </w:rPr>
            </w:pPr>
            <w:r w:rsidRPr="00711B4E">
              <w:rPr>
                <w:sz w:val="18"/>
                <w:szCs w:val="18"/>
              </w:rPr>
              <w:t>(%)</w:t>
            </w:r>
          </w:p>
        </w:tc>
        <w:tc>
          <w:tcPr>
            <w:tcW w:w="952"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IC</w:t>
            </w:r>
          </w:p>
          <w:p w:rsidR="004B12D7" w:rsidRPr="00711B4E" w:rsidRDefault="004B12D7" w:rsidP="00451D51">
            <w:pPr>
              <w:jc w:val="center"/>
              <w:rPr>
                <w:sz w:val="18"/>
                <w:szCs w:val="18"/>
              </w:rPr>
            </w:pPr>
            <w:r w:rsidRPr="00711B4E">
              <w:rPr>
                <w:sz w:val="18"/>
                <w:szCs w:val="18"/>
              </w:rPr>
              <w:t>(%)</w:t>
            </w:r>
          </w:p>
        </w:tc>
      </w:tr>
      <w:tr w:rsidR="004B12D7" w:rsidRPr="00F27653" w:rsidTr="00B057B9">
        <w:trPr>
          <w:trHeight w:val="283"/>
          <w:jc w:val="center"/>
        </w:trPr>
        <w:tc>
          <w:tcPr>
            <w:tcW w:w="1217" w:type="dxa"/>
            <w:vMerge w:val="restart"/>
            <w:tcBorders>
              <w:top w:val="single" w:sz="4" w:space="0" w:color="auto"/>
            </w:tcBorders>
            <w:vAlign w:val="center"/>
          </w:tcPr>
          <w:p w:rsidR="004B12D7" w:rsidRPr="00F27653" w:rsidRDefault="004B12D7" w:rsidP="00451D51">
            <w:pPr>
              <w:jc w:val="center"/>
              <w:rPr>
                <w:sz w:val="18"/>
                <w:szCs w:val="18"/>
              </w:rPr>
            </w:pPr>
            <w:r w:rsidRPr="00F27653">
              <w:rPr>
                <w:sz w:val="18"/>
                <w:szCs w:val="18"/>
              </w:rPr>
              <w:t>05.09.2005</w:t>
            </w:r>
          </w:p>
        </w:tc>
        <w:tc>
          <w:tcPr>
            <w:tcW w:w="608"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T1</w:t>
            </w:r>
          </w:p>
        </w:tc>
        <w:tc>
          <w:tcPr>
            <w:tcW w:w="1283"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03.05.2006</w:t>
            </w:r>
          </w:p>
        </w:tc>
        <w:tc>
          <w:tcPr>
            <w:tcW w:w="1217"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240</w:t>
            </w:r>
          </w:p>
        </w:tc>
        <w:tc>
          <w:tcPr>
            <w:tcW w:w="717"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32.28</w:t>
            </w:r>
          </w:p>
        </w:tc>
        <w:tc>
          <w:tcPr>
            <w:tcW w:w="717"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58.66</w:t>
            </w:r>
          </w:p>
        </w:tc>
        <w:tc>
          <w:tcPr>
            <w:tcW w:w="717"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9.06</w:t>
            </w:r>
          </w:p>
        </w:tc>
        <w:tc>
          <w:tcPr>
            <w:tcW w:w="952"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-0.232</w:t>
            </w:r>
          </w:p>
        </w:tc>
      </w:tr>
      <w:tr w:rsidR="004B12D7" w:rsidRPr="00F27653" w:rsidTr="00B057B9">
        <w:trPr>
          <w:trHeight w:val="283"/>
          <w:jc w:val="center"/>
        </w:trPr>
        <w:tc>
          <w:tcPr>
            <w:tcW w:w="1217" w:type="dxa"/>
            <w:vMerge/>
            <w:vAlign w:val="center"/>
          </w:tcPr>
          <w:p w:rsidR="004B12D7" w:rsidRPr="00F27653" w:rsidRDefault="004B12D7" w:rsidP="00451D51">
            <w:pPr>
              <w:jc w:val="center"/>
              <w:rPr>
                <w:sz w:val="18"/>
                <w:szCs w:val="18"/>
              </w:rPr>
            </w:pPr>
          </w:p>
        </w:tc>
        <w:tc>
          <w:tcPr>
            <w:tcW w:w="608" w:type="dxa"/>
            <w:tcBorders>
              <w:top w:val="nil"/>
              <w:bottom w:val="nil"/>
            </w:tcBorders>
            <w:vAlign w:val="center"/>
          </w:tcPr>
          <w:p w:rsidR="004B12D7" w:rsidRPr="00F27653" w:rsidRDefault="004B12D7" w:rsidP="00451D51">
            <w:pPr>
              <w:jc w:val="center"/>
              <w:rPr>
                <w:sz w:val="18"/>
                <w:szCs w:val="18"/>
              </w:rPr>
            </w:pPr>
            <w:r w:rsidRPr="00F27653">
              <w:rPr>
                <w:sz w:val="18"/>
                <w:szCs w:val="18"/>
              </w:rPr>
              <w:t>T2</w:t>
            </w:r>
          </w:p>
        </w:tc>
        <w:tc>
          <w:tcPr>
            <w:tcW w:w="1283" w:type="dxa"/>
            <w:tcBorders>
              <w:top w:val="nil"/>
              <w:bottom w:val="nil"/>
            </w:tcBorders>
            <w:vAlign w:val="center"/>
          </w:tcPr>
          <w:p w:rsidR="004B12D7" w:rsidRPr="00F27653" w:rsidRDefault="004B12D7" w:rsidP="00451D51">
            <w:pPr>
              <w:jc w:val="center"/>
              <w:rPr>
                <w:sz w:val="18"/>
                <w:szCs w:val="18"/>
              </w:rPr>
            </w:pPr>
            <w:r w:rsidRPr="00F27653">
              <w:rPr>
                <w:sz w:val="18"/>
                <w:szCs w:val="18"/>
              </w:rPr>
              <w:t>13.05.2006</w:t>
            </w:r>
          </w:p>
        </w:tc>
        <w:tc>
          <w:tcPr>
            <w:tcW w:w="1217" w:type="dxa"/>
            <w:tcBorders>
              <w:top w:val="nil"/>
              <w:bottom w:val="nil"/>
            </w:tcBorders>
            <w:vAlign w:val="center"/>
          </w:tcPr>
          <w:p w:rsidR="004B12D7" w:rsidRPr="00F27653" w:rsidRDefault="004B12D7" w:rsidP="00451D51">
            <w:pPr>
              <w:jc w:val="center"/>
              <w:rPr>
                <w:sz w:val="18"/>
                <w:szCs w:val="18"/>
              </w:rPr>
            </w:pPr>
            <w:r w:rsidRPr="00F27653">
              <w:rPr>
                <w:sz w:val="18"/>
                <w:szCs w:val="18"/>
              </w:rPr>
              <w:t>250</w:t>
            </w:r>
          </w:p>
        </w:tc>
        <w:tc>
          <w:tcPr>
            <w:tcW w:w="717" w:type="dxa"/>
            <w:tcBorders>
              <w:top w:val="nil"/>
              <w:bottom w:val="nil"/>
            </w:tcBorders>
            <w:vAlign w:val="center"/>
          </w:tcPr>
          <w:p w:rsidR="004B12D7" w:rsidRPr="00F27653" w:rsidRDefault="004B12D7" w:rsidP="00451D51">
            <w:pPr>
              <w:jc w:val="center"/>
              <w:rPr>
                <w:sz w:val="18"/>
                <w:szCs w:val="18"/>
              </w:rPr>
            </w:pPr>
            <w:r w:rsidRPr="00F27653">
              <w:rPr>
                <w:sz w:val="18"/>
                <w:szCs w:val="18"/>
              </w:rPr>
              <w:t>25.47</w:t>
            </w:r>
          </w:p>
        </w:tc>
        <w:tc>
          <w:tcPr>
            <w:tcW w:w="717" w:type="dxa"/>
            <w:tcBorders>
              <w:top w:val="nil"/>
              <w:bottom w:val="nil"/>
            </w:tcBorders>
            <w:vAlign w:val="center"/>
          </w:tcPr>
          <w:p w:rsidR="004B12D7" w:rsidRPr="00F27653" w:rsidRDefault="004B12D7" w:rsidP="00451D51">
            <w:pPr>
              <w:jc w:val="center"/>
              <w:rPr>
                <w:sz w:val="18"/>
                <w:szCs w:val="18"/>
              </w:rPr>
            </w:pPr>
            <w:r w:rsidRPr="00F27653">
              <w:rPr>
                <w:sz w:val="18"/>
                <w:szCs w:val="18"/>
              </w:rPr>
              <w:t>61.29</w:t>
            </w:r>
          </w:p>
        </w:tc>
        <w:tc>
          <w:tcPr>
            <w:tcW w:w="717" w:type="dxa"/>
            <w:tcBorders>
              <w:top w:val="nil"/>
              <w:bottom w:val="nil"/>
            </w:tcBorders>
            <w:vAlign w:val="center"/>
          </w:tcPr>
          <w:p w:rsidR="004B12D7" w:rsidRPr="00F27653" w:rsidRDefault="004B12D7" w:rsidP="00451D51">
            <w:pPr>
              <w:jc w:val="center"/>
              <w:rPr>
                <w:sz w:val="18"/>
                <w:szCs w:val="18"/>
              </w:rPr>
            </w:pPr>
            <w:r w:rsidRPr="00F27653">
              <w:rPr>
                <w:sz w:val="18"/>
                <w:szCs w:val="18"/>
              </w:rPr>
              <w:t>13.24</w:t>
            </w:r>
          </w:p>
        </w:tc>
        <w:tc>
          <w:tcPr>
            <w:tcW w:w="952" w:type="dxa"/>
            <w:tcBorders>
              <w:top w:val="nil"/>
              <w:bottom w:val="nil"/>
            </w:tcBorders>
            <w:vAlign w:val="center"/>
          </w:tcPr>
          <w:p w:rsidR="004B12D7" w:rsidRPr="00F27653" w:rsidRDefault="004B12D7" w:rsidP="00451D51">
            <w:pPr>
              <w:jc w:val="center"/>
              <w:rPr>
                <w:sz w:val="18"/>
                <w:szCs w:val="18"/>
              </w:rPr>
            </w:pPr>
            <w:r w:rsidRPr="00F27653">
              <w:rPr>
                <w:sz w:val="18"/>
                <w:szCs w:val="18"/>
              </w:rPr>
              <w:t>-0.122</w:t>
            </w:r>
          </w:p>
        </w:tc>
      </w:tr>
      <w:tr w:rsidR="004B12D7" w:rsidRPr="00F27653" w:rsidTr="00B057B9">
        <w:trPr>
          <w:trHeight w:val="283"/>
          <w:jc w:val="center"/>
        </w:trPr>
        <w:tc>
          <w:tcPr>
            <w:tcW w:w="1217" w:type="dxa"/>
            <w:vMerge/>
            <w:vAlign w:val="center"/>
          </w:tcPr>
          <w:p w:rsidR="004B12D7" w:rsidRPr="00F27653" w:rsidRDefault="004B12D7" w:rsidP="00451D51">
            <w:pPr>
              <w:jc w:val="center"/>
              <w:rPr>
                <w:sz w:val="18"/>
                <w:szCs w:val="18"/>
              </w:rPr>
            </w:pPr>
          </w:p>
        </w:tc>
        <w:tc>
          <w:tcPr>
            <w:tcW w:w="608"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T3</w:t>
            </w:r>
          </w:p>
        </w:tc>
        <w:tc>
          <w:tcPr>
            <w:tcW w:w="1283"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23.05.2006</w:t>
            </w:r>
          </w:p>
        </w:tc>
        <w:tc>
          <w:tcPr>
            <w:tcW w:w="1217"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260</w:t>
            </w:r>
          </w:p>
        </w:tc>
        <w:tc>
          <w:tcPr>
            <w:tcW w:w="717"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12.53</w:t>
            </w:r>
          </w:p>
        </w:tc>
        <w:tc>
          <w:tcPr>
            <w:tcW w:w="717"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72.33</w:t>
            </w:r>
          </w:p>
        </w:tc>
        <w:tc>
          <w:tcPr>
            <w:tcW w:w="717"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15.14</w:t>
            </w:r>
          </w:p>
        </w:tc>
        <w:tc>
          <w:tcPr>
            <w:tcW w:w="952"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+0.026</w:t>
            </w:r>
          </w:p>
        </w:tc>
      </w:tr>
      <w:tr w:rsidR="004B12D7" w:rsidRPr="00F27653" w:rsidTr="00B057B9">
        <w:trPr>
          <w:trHeight w:val="283"/>
          <w:jc w:val="center"/>
        </w:trPr>
        <w:tc>
          <w:tcPr>
            <w:tcW w:w="1217" w:type="dxa"/>
            <w:vMerge w:val="restart"/>
            <w:vAlign w:val="center"/>
          </w:tcPr>
          <w:p w:rsidR="004B12D7" w:rsidRPr="00F27653" w:rsidRDefault="004B12D7" w:rsidP="00451D51">
            <w:pPr>
              <w:jc w:val="center"/>
              <w:rPr>
                <w:sz w:val="18"/>
                <w:szCs w:val="18"/>
              </w:rPr>
            </w:pPr>
            <w:r w:rsidRPr="00F27653">
              <w:rPr>
                <w:sz w:val="18"/>
                <w:szCs w:val="18"/>
              </w:rPr>
              <w:t>08.09.2006</w:t>
            </w:r>
          </w:p>
        </w:tc>
        <w:tc>
          <w:tcPr>
            <w:tcW w:w="608"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T1</w:t>
            </w:r>
          </w:p>
        </w:tc>
        <w:tc>
          <w:tcPr>
            <w:tcW w:w="1283"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06.05.2007</w:t>
            </w:r>
          </w:p>
        </w:tc>
        <w:tc>
          <w:tcPr>
            <w:tcW w:w="1217"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240</w:t>
            </w:r>
          </w:p>
        </w:tc>
        <w:tc>
          <w:tcPr>
            <w:tcW w:w="717"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23.83</w:t>
            </w:r>
          </w:p>
        </w:tc>
        <w:tc>
          <w:tcPr>
            <w:tcW w:w="717"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62.49</w:t>
            </w:r>
          </w:p>
        </w:tc>
        <w:tc>
          <w:tcPr>
            <w:tcW w:w="717"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13.68</w:t>
            </w:r>
          </w:p>
        </w:tc>
        <w:tc>
          <w:tcPr>
            <w:tcW w:w="952" w:type="dxa"/>
            <w:tcBorders>
              <w:top w:val="single" w:sz="4" w:space="0" w:color="auto"/>
              <w:bottom w:val="nil"/>
            </w:tcBorders>
            <w:vAlign w:val="center"/>
          </w:tcPr>
          <w:p w:rsidR="004B12D7" w:rsidRPr="00F27653" w:rsidRDefault="004B12D7" w:rsidP="00451D51">
            <w:pPr>
              <w:jc w:val="center"/>
              <w:rPr>
                <w:sz w:val="18"/>
                <w:szCs w:val="18"/>
              </w:rPr>
            </w:pPr>
            <w:r w:rsidRPr="00F27653">
              <w:rPr>
                <w:sz w:val="18"/>
                <w:szCs w:val="18"/>
              </w:rPr>
              <w:t>-0.102</w:t>
            </w:r>
          </w:p>
        </w:tc>
      </w:tr>
      <w:tr w:rsidR="004B12D7" w:rsidRPr="00F27653" w:rsidTr="00B057B9">
        <w:trPr>
          <w:trHeight w:val="283"/>
          <w:jc w:val="center"/>
        </w:trPr>
        <w:tc>
          <w:tcPr>
            <w:tcW w:w="1217" w:type="dxa"/>
            <w:vMerge/>
            <w:vAlign w:val="center"/>
          </w:tcPr>
          <w:p w:rsidR="004B12D7" w:rsidRPr="00F27653" w:rsidRDefault="004B12D7" w:rsidP="00451D51">
            <w:pPr>
              <w:jc w:val="center"/>
              <w:rPr>
                <w:sz w:val="18"/>
                <w:szCs w:val="18"/>
              </w:rPr>
            </w:pPr>
          </w:p>
        </w:tc>
        <w:tc>
          <w:tcPr>
            <w:tcW w:w="608" w:type="dxa"/>
            <w:tcBorders>
              <w:top w:val="nil"/>
              <w:bottom w:val="nil"/>
            </w:tcBorders>
            <w:vAlign w:val="center"/>
          </w:tcPr>
          <w:p w:rsidR="004B12D7" w:rsidRPr="00F27653" w:rsidRDefault="004B12D7" w:rsidP="00451D51">
            <w:pPr>
              <w:jc w:val="center"/>
              <w:rPr>
                <w:sz w:val="18"/>
                <w:szCs w:val="18"/>
              </w:rPr>
            </w:pPr>
            <w:r w:rsidRPr="00F27653">
              <w:rPr>
                <w:sz w:val="18"/>
                <w:szCs w:val="18"/>
              </w:rPr>
              <w:t>T2</w:t>
            </w:r>
          </w:p>
        </w:tc>
        <w:tc>
          <w:tcPr>
            <w:tcW w:w="1283" w:type="dxa"/>
            <w:tcBorders>
              <w:top w:val="nil"/>
              <w:bottom w:val="nil"/>
            </w:tcBorders>
            <w:vAlign w:val="center"/>
          </w:tcPr>
          <w:p w:rsidR="004B12D7" w:rsidRPr="00F27653" w:rsidRDefault="004B12D7" w:rsidP="00451D51">
            <w:pPr>
              <w:jc w:val="center"/>
              <w:rPr>
                <w:sz w:val="18"/>
                <w:szCs w:val="18"/>
              </w:rPr>
            </w:pPr>
            <w:r w:rsidRPr="00F27653">
              <w:rPr>
                <w:sz w:val="18"/>
                <w:szCs w:val="18"/>
              </w:rPr>
              <w:t>16.05.2007</w:t>
            </w:r>
          </w:p>
        </w:tc>
        <w:tc>
          <w:tcPr>
            <w:tcW w:w="1217" w:type="dxa"/>
            <w:tcBorders>
              <w:top w:val="nil"/>
              <w:bottom w:val="nil"/>
            </w:tcBorders>
            <w:vAlign w:val="center"/>
          </w:tcPr>
          <w:p w:rsidR="004B12D7" w:rsidRPr="00F27653" w:rsidRDefault="004B12D7" w:rsidP="00451D51">
            <w:pPr>
              <w:jc w:val="center"/>
              <w:rPr>
                <w:sz w:val="18"/>
                <w:szCs w:val="18"/>
              </w:rPr>
            </w:pPr>
            <w:r w:rsidRPr="00F27653">
              <w:rPr>
                <w:sz w:val="18"/>
                <w:szCs w:val="18"/>
              </w:rPr>
              <w:t>250</w:t>
            </w:r>
          </w:p>
        </w:tc>
        <w:tc>
          <w:tcPr>
            <w:tcW w:w="717" w:type="dxa"/>
            <w:tcBorders>
              <w:top w:val="nil"/>
              <w:bottom w:val="nil"/>
            </w:tcBorders>
            <w:vAlign w:val="center"/>
          </w:tcPr>
          <w:p w:rsidR="004B12D7" w:rsidRPr="00F27653" w:rsidRDefault="004B12D7" w:rsidP="00451D51">
            <w:pPr>
              <w:jc w:val="center"/>
              <w:rPr>
                <w:sz w:val="18"/>
                <w:szCs w:val="18"/>
              </w:rPr>
            </w:pPr>
            <w:r w:rsidRPr="00F27653">
              <w:rPr>
                <w:sz w:val="18"/>
                <w:szCs w:val="18"/>
              </w:rPr>
              <w:t>18.14</w:t>
            </w:r>
          </w:p>
        </w:tc>
        <w:tc>
          <w:tcPr>
            <w:tcW w:w="717" w:type="dxa"/>
            <w:tcBorders>
              <w:top w:val="nil"/>
              <w:bottom w:val="nil"/>
            </w:tcBorders>
            <w:vAlign w:val="center"/>
          </w:tcPr>
          <w:p w:rsidR="004B12D7" w:rsidRPr="00F27653" w:rsidRDefault="004B12D7" w:rsidP="00451D51">
            <w:pPr>
              <w:jc w:val="center"/>
              <w:rPr>
                <w:sz w:val="18"/>
                <w:szCs w:val="18"/>
              </w:rPr>
            </w:pPr>
            <w:r w:rsidRPr="00F27653">
              <w:rPr>
                <w:sz w:val="18"/>
                <w:szCs w:val="18"/>
              </w:rPr>
              <w:t>67.34</w:t>
            </w:r>
          </w:p>
        </w:tc>
        <w:tc>
          <w:tcPr>
            <w:tcW w:w="717" w:type="dxa"/>
            <w:tcBorders>
              <w:top w:val="nil"/>
              <w:bottom w:val="nil"/>
            </w:tcBorders>
            <w:vAlign w:val="center"/>
          </w:tcPr>
          <w:p w:rsidR="004B12D7" w:rsidRPr="00F27653" w:rsidRDefault="004B12D7" w:rsidP="00451D51">
            <w:pPr>
              <w:jc w:val="center"/>
              <w:rPr>
                <w:sz w:val="18"/>
                <w:szCs w:val="18"/>
              </w:rPr>
            </w:pPr>
            <w:r w:rsidRPr="00F27653">
              <w:rPr>
                <w:sz w:val="18"/>
                <w:szCs w:val="18"/>
              </w:rPr>
              <w:t>14.52</w:t>
            </w:r>
          </w:p>
        </w:tc>
        <w:tc>
          <w:tcPr>
            <w:tcW w:w="952" w:type="dxa"/>
            <w:tcBorders>
              <w:top w:val="nil"/>
              <w:bottom w:val="nil"/>
            </w:tcBorders>
            <w:vAlign w:val="center"/>
          </w:tcPr>
          <w:p w:rsidR="004B12D7" w:rsidRPr="00F27653" w:rsidRDefault="004B12D7" w:rsidP="00451D51">
            <w:pPr>
              <w:jc w:val="center"/>
              <w:rPr>
                <w:sz w:val="18"/>
                <w:szCs w:val="18"/>
              </w:rPr>
            </w:pPr>
            <w:r w:rsidRPr="00F27653">
              <w:rPr>
                <w:sz w:val="18"/>
                <w:szCs w:val="18"/>
              </w:rPr>
              <w:t>-0.036</w:t>
            </w:r>
          </w:p>
        </w:tc>
      </w:tr>
      <w:tr w:rsidR="004B12D7" w:rsidRPr="00F27653" w:rsidTr="00B057B9">
        <w:trPr>
          <w:trHeight w:val="283"/>
          <w:jc w:val="center"/>
        </w:trPr>
        <w:tc>
          <w:tcPr>
            <w:tcW w:w="1217" w:type="dxa"/>
            <w:vMerge/>
            <w:vAlign w:val="center"/>
          </w:tcPr>
          <w:p w:rsidR="004B12D7" w:rsidRPr="00F27653" w:rsidRDefault="004B12D7" w:rsidP="00451D51">
            <w:pPr>
              <w:jc w:val="center"/>
              <w:rPr>
                <w:sz w:val="18"/>
                <w:szCs w:val="18"/>
              </w:rPr>
            </w:pPr>
          </w:p>
        </w:tc>
        <w:tc>
          <w:tcPr>
            <w:tcW w:w="608"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T3</w:t>
            </w:r>
          </w:p>
        </w:tc>
        <w:tc>
          <w:tcPr>
            <w:tcW w:w="1283"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26.05.2007</w:t>
            </w:r>
          </w:p>
        </w:tc>
        <w:tc>
          <w:tcPr>
            <w:tcW w:w="1217"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260</w:t>
            </w:r>
          </w:p>
        </w:tc>
        <w:tc>
          <w:tcPr>
            <w:tcW w:w="717"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11.06</w:t>
            </w:r>
          </w:p>
        </w:tc>
        <w:tc>
          <w:tcPr>
            <w:tcW w:w="717"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74.42</w:t>
            </w:r>
          </w:p>
        </w:tc>
        <w:tc>
          <w:tcPr>
            <w:tcW w:w="717"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14.52</w:t>
            </w:r>
          </w:p>
        </w:tc>
        <w:tc>
          <w:tcPr>
            <w:tcW w:w="952" w:type="dxa"/>
            <w:tcBorders>
              <w:top w:val="nil"/>
              <w:bottom w:val="single" w:sz="4" w:space="0" w:color="auto"/>
            </w:tcBorders>
            <w:vAlign w:val="center"/>
          </w:tcPr>
          <w:p w:rsidR="004B12D7" w:rsidRPr="00F27653" w:rsidRDefault="004B12D7" w:rsidP="00451D51">
            <w:pPr>
              <w:jc w:val="center"/>
              <w:rPr>
                <w:sz w:val="18"/>
                <w:szCs w:val="18"/>
              </w:rPr>
            </w:pPr>
            <w:r w:rsidRPr="00F27653">
              <w:rPr>
                <w:sz w:val="18"/>
                <w:szCs w:val="18"/>
              </w:rPr>
              <w:t>+0.035</w:t>
            </w:r>
          </w:p>
        </w:tc>
      </w:tr>
      <w:tr w:rsidR="004B12D7" w:rsidRPr="00F27653" w:rsidTr="00B057B9">
        <w:trPr>
          <w:trHeight w:val="283"/>
          <w:jc w:val="center"/>
        </w:trPr>
        <w:tc>
          <w:tcPr>
            <w:tcW w:w="1217" w:type="dxa"/>
            <w:vMerge w:val="restart"/>
            <w:vAlign w:val="center"/>
          </w:tcPr>
          <w:p w:rsidR="004B12D7" w:rsidRPr="00F27653" w:rsidRDefault="004B12D7" w:rsidP="00451D51">
            <w:pPr>
              <w:jc w:val="center"/>
              <w:rPr>
                <w:sz w:val="18"/>
                <w:szCs w:val="18"/>
              </w:rPr>
            </w:pPr>
            <w:r w:rsidRPr="00F27653">
              <w:rPr>
                <w:sz w:val="18"/>
                <w:szCs w:val="18"/>
              </w:rPr>
              <w:t>03.09.2008</w:t>
            </w:r>
          </w:p>
        </w:tc>
        <w:tc>
          <w:tcPr>
            <w:tcW w:w="608" w:type="dxa"/>
            <w:tcBorders>
              <w:top w:val="single" w:sz="4" w:space="0" w:color="auto"/>
            </w:tcBorders>
            <w:vAlign w:val="center"/>
          </w:tcPr>
          <w:p w:rsidR="004B12D7" w:rsidRPr="00F27653" w:rsidRDefault="004B12D7" w:rsidP="00451D51">
            <w:pPr>
              <w:jc w:val="center"/>
              <w:rPr>
                <w:sz w:val="18"/>
                <w:szCs w:val="18"/>
              </w:rPr>
            </w:pPr>
            <w:r w:rsidRPr="00F27653">
              <w:rPr>
                <w:sz w:val="18"/>
                <w:szCs w:val="18"/>
              </w:rPr>
              <w:t>T1</w:t>
            </w:r>
          </w:p>
        </w:tc>
        <w:tc>
          <w:tcPr>
            <w:tcW w:w="1283" w:type="dxa"/>
            <w:tcBorders>
              <w:top w:val="single" w:sz="4" w:space="0" w:color="auto"/>
            </w:tcBorders>
            <w:vAlign w:val="center"/>
          </w:tcPr>
          <w:p w:rsidR="004B12D7" w:rsidRPr="00F27653" w:rsidRDefault="004B12D7" w:rsidP="00451D51">
            <w:pPr>
              <w:jc w:val="center"/>
              <w:rPr>
                <w:sz w:val="18"/>
                <w:szCs w:val="18"/>
              </w:rPr>
            </w:pPr>
            <w:r w:rsidRPr="00F27653">
              <w:rPr>
                <w:sz w:val="18"/>
                <w:szCs w:val="18"/>
              </w:rPr>
              <w:t>01.05.2009</w:t>
            </w:r>
          </w:p>
        </w:tc>
        <w:tc>
          <w:tcPr>
            <w:tcW w:w="1217" w:type="dxa"/>
            <w:tcBorders>
              <w:top w:val="single" w:sz="4" w:space="0" w:color="auto"/>
            </w:tcBorders>
            <w:vAlign w:val="center"/>
          </w:tcPr>
          <w:p w:rsidR="004B12D7" w:rsidRPr="00F27653" w:rsidRDefault="004B12D7" w:rsidP="00451D51">
            <w:pPr>
              <w:jc w:val="center"/>
              <w:rPr>
                <w:sz w:val="18"/>
                <w:szCs w:val="18"/>
              </w:rPr>
            </w:pPr>
            <w:r w:rsidRPr="00F27653">
              <w:rPr>
                <w:sz w:val="18"/>
                <w:szCs w:val="18"/>
              </w:rPr>
              <w:t>240</w:t>
            </w:r>
          </w:p>
        </w:tc>
        <w:tc>
          <w:tcPr>
            <w:tcW w:w="717" w:type="dxa"/>
            <w:tcBorders>
              <w:top w:val="single" w:sz="4" w:space="0" w:color="auto"/>
            </w:tcBorders>
            <w:vAlign w:val="center"/>
          </w:tcPr>
          <w:p w:rsidR="004B12D7" w:rsidRPr="00F27653" w:rsidRDefault="004B12D7" w:rsidP="00451D51">
            <w:pPr>
              <w:jc w:val="center"/>
              <w:rPr>
                <w:sz w:val="18"/>
                <w:szCs w:val="18"/>
              </w:rPr>
            </w:pPr>
            <w:r w:rsidRPr="00F27653">
              <w:rPr>
                <w:sz w:val="18"/>
                <w:szCs w:val="18"/>
              </w:rPr>
              <w:t>31.18</w:t>
            </w:r>
          </w:p>
        </w:tc>
        <w:tc>
          <w:tcPr>
            <w:tcW w:w="717" w:type="dxa"/>
            <w:tcBorders>
              <w:top w:val="single" w:sz="4" w:space="0" w:color="auto"/>
            </w:tcBorders>
            <w:vAlign w:val="center"/>
          </w:tcPr>
          <w:p w:rsidR="004B12D7" w:rsidRPr="00F27653" w:rsidRDefault="004B12D7" w:rsidP="00451D51">
            <w:pPr>
              <w:jc w:val="center"/>
              <w:rPr>
                <w:sz w:val="18"/>
                <w:szCs w:val="18"/>
              </w:rPr>
            </w:pPr>
            <w:r w:rsidRPr="00F27653">
              <w:rPr>
                <w:sz w:val="18"/>
                <w:szCs w:val="18"/>
              </w:rPr>
              <w:t>61.03</w:t>
            </w:r>
          </w:p>
        </w:tc>
        <w:tc>
          <w:tcPr>
            <w:tcW w:w="717" w:type="dxa"/>
            <w:tcBorders>
              <w:top w:val="single" w:sz="4" w:space="0" w:color="auto"/>
            </w:tcBorders>
            <w:vAlign w:val="center"/>
          </w:tcPr>
          <w:p w:rsidR="004B12D7" w:rsidRPr="00F27653" w:rsidRDefault="004B12D7" w:rsidP="00451D51">
            <w:pPr>
              <w:jc w:val="center"/>
              <w:rPr>
                <w:sz w:val="18"/>
                <w:szCs w:val="18"/>
              </w:rPr>
            </w:pPr>
            <w:r w:rsidRPr="00F27653">
              <w:rPr>
                <w:sz w:val="18"/>
                <w:szCs w:val="18"/>
              </w:rPr>
              <w:t>7.79</w:t>
            </w:r>
          </w:p>
        </w:tc>
        <w:tc>
          <w:tcPr>
            <w:tcW w:w="952" w:type="dxa"/>
            <w:tcBorders>
              <w:top w:val="single" w:sz="4" w:space="0" w:color="auto"/>
            </w:tcBorders>
            <w:vAlign w:val="center"/>
          </w:tcPr>
          <w:p w:rsidR="004B12D7" w:rsidRPr="00F27653" w:rsidRDefault="004B12D7" w:rsidP="00451D51">
            <w:pPr>
              <w:jc w:val="center"/>
              <w:rPr>
                <w:sz w:val="18"/>
                <w:szCs w:val="18"/>
              </w:rPr>
            </w:pPr>
            <w:r w:rsidRPr="00F27653">
              <w:rPr>
                <w:sz w:val="18"/>
                <w:szCs w:val="18"/>
              </w:rPr>
              <w:t>-0.234</w:t>
            </w:r>
          </w:p>
        </w:tc>
      </w:tr>
      <w:tr w:rsidR="004B12D7" w:rsidRPr="00F27653" w:rsidTr="00B057B9">
        <w:trPr>
          <w:trHeight w:val="283"/>
          <w:jc w:val="center"/>
        </w:trPr>
        <w:tc>
          <w:tcPr>
            <w:tcW w:w="1217" w:type="dxa"/>
            <w:vMerge/>
            <w:vAlign w:val="center"/>
          </w:tcPr>
          <w:p w:rsidR="004B12D7" w:rsidRPr="00F27653" w:rsidRDefault="004B12D7" w:rsidP="00451D51">
            <w:pPr>
              <w:jc w:val="center"/>
              <w:rPr>
                <w:sz w:val="18"/>
                <w:szCs w:val="18"/>
              </w:rPr>
            </w:pPr>
          </w:p>
        </w:tc>
        <w:tc>
          <w:tcPr>
            <w:tcW w:w="608" w:type="dxa"/>
            <w:vAlign w:val="center"/>
          </w:tcPr>
          <w:p w:rsidR="004B12D7" w:rsidRPr="00F27653" w:rsidRDefault="004B12D7" w:rsidP="00451D51">
            <w:pPr>
              <w:jc w:val="center"/>
              <w:rPr>
                <w:sz w:val="18"/>
                <w:szCs w:val="18"/>
              </w:rPr>
            </w:pPr>
            <w:r w:rsidRPr="00F27653">
              <w:rPr>
                <w:sz w:val="18"/>
                <w:szCs w:val="18"/>
              </w:rPr>
              <w:t>T2</w:t>
            </w:r>
          </w:p>
        </w:tc>
        <w:tc>
          <w:tcPr>
            <w:tcW w:w="1283" w:type="dxa"/>
            <w:vAlign w:val="center"/>
          </w:tcPr>
          <w:p w:rsidR="004B12D7" w:rsidRPr="00F27653" w:rsidRDefault="004B12D7" w:rsidP="00451D51">
            <w:pPr>
              <w:jc w:val="center"/>
              <w:rPr>
                <w:sz w:val="18"/>
                <w:szCs w:val="18"/>
              </w:rPr>
            </w:pPr>
            <w:r w:rsidRPr="00F27653">
              <w:rPr>
                <w:sz w:val="18"/>
                <w:szCs w:val="18"/>
              </w:rPr>
              <w:t>11.05.2009</w:t>
            </w:r>
          </w:p>
        </w:tc>
        <w:tc>
          <w:tcPr>
            <w:tcW w:w="1217" w:type="dxa"/>
            <w:vAlign w:val="center"/>
          </w:tcPr>
          <w:p w:rsidR="004B12D7" w:rsidRPr="00F27653" w:rsidRDefault="004B12D7" w:rsidP="00451D51">
            <w:pPr>
              <w:jc w:val="center"/>
              <w:rPr>
                <w:sz w:val="18"/>
                <w:szCs w:val="18"/>
              </w:rPr>
            </w:pPr>
            <w:r w:rsidRPr="00F27653">
              <w:rPr>
                <w:sz w:val="18"/>
                <w:szCs w:val="18"/>
              </w:rPr>
              <w:t>250</w:t>
            </w:r>
          </w:p>
        </w:tc>
        <w:tc>
          <w:tcPr>
            <w:tcW w:w="717" w:type="dxa"/>
            <w:vAlign w:val="center"/>
          </w:tcPr>
          <w:p w:rsidR="004B12D7" w:rsidRPr="00F27653" w:rsidRDefault="004B12D7" w:rsidP="00451D51">
            <w:pPr>
              <w:jc w:val="center"/>
              <w:rPr>
                <w:sz w:val="18"/>
                <w:szCs w:val="18"/>
              </w:rPr>
            </w:pPr>
            <w:r w:rsidRPr="00F27653">
              <w:rPr>
                <w:sz w:val="18"/>
                <w:szCs w:val="18"/>
              </w:rPr>
              <w:t>25.56</w:t>
            </w:r>
          </w:p>
        </w:tc>
        <w:tc>
          <w:tcPr>
            <w:tcW w:w="717" w:type="dxa"/>
            <w:vAlign w:val="center"/>
          </w:tcPr>
          <w:p w:rsidR="004B12D7" w:rsidRPr="00F27653" w:rsidRDefault="004B12D7" w:rsidP="00451D51">
            <w:pPr>
              <w:jc w:val="center"/>
              <w:rPr>
                <w:sz w:val="18"/>
                <w:szCs w:val="18"/>
              </w:rPr>
            </w:pPr>
            <w:r w:rsidRPr="00F27653">
              <w:rPr>
                <w:sz w:val="18"/>
                <w:szCs w:val="18"/>
              </w:rPr>
              <w:t>64.22</w:t>
            </w:r>
          </w:p>
        </w:tc>
        <w:tc>
          <w:tcPr>
            <w:tcW w:w="717" w:type="dxa"/>
            <w:vAlign w:val="center"/>
          </w:tcPr>
          <w:p w:rsidR="004B12D7" w:rsidRPr="00F27653" w:rsidRDefault="004B12D7" w:rsidP="00451D51">
            <w:pPr>
              <w:jc w:val="center"/>
              <w:rPr>
                <w:sz w:val="18"/>
                <w:szCs w:val="18"/>
              </w:rPr>
            </w:pPr>
            <w:r w:rsidRPr="00F27653">
              <w:rPr>
                <w:sz w:val="18"/>
                <w:szCs w:val="18"/>
              </w:rPr>
              <w:t>10.22</w:t>
            </w:r>
          </w:p>
        </w:tc>
        <w:tc>
          <w:tcPr>
            <w:tcW w:w="952" w:type="dxa"/>
            <w:vAlign w:val="center"/>
          </w:tcPr>
          <w:p w:rsidR="004B12D7" w:rsidRPr="00F27653" w:rsidRDefault="004B12D7" w:rsidP="00451D51">
            <w:pPr>
              <w:jc w:val="center"/>
              <w:rPr>
                <w:sz w:val="18"/>
                <w:szCs w:val="18"/>
              </w:rPr>
            </w:pPr>
            <w:r w:rsidRPr="00F27653">
              <w:rPr>
                <w:sz w:val="18"/>
                <w:szCs w:val="18"/>
              </w:rPr>
              <w:t>-0.153</w:t>
            </w:r>
          </w:p>
        </w:tc>
      </w:tr>
      <w:tr w:rsidR="004B12D7" w:rsidRPr="00F27653" w:rsidTr="00B057B9">
        <w:trPr>
          <w:trHeight w:val="283"/>
          <w:jc w:val="center"/>
        </w:trPr>
        <w:tc>
          <w:tcPr>
            <w:tcW w:w="1217" w:type="dxa"/>
            <w:vMerge/>
            <w:vAlign w:val="center"/>
          </w:tcPr>
          <w:p w:rsidR="004B12D7" w:rsidRPr="00F27653" w:rsidRDefault="004B12D7" w:rsidP="00451D51">
            <w:pPr>
              <w:jc w:val="center"/>
              <w:rPr>
                <w:sz w:val="18"/>
                <w:szCs w:val="18"/>
              </w:rPr>
            </w:pPr>
          </w:p>
        </w:tc>
        <w:tc>
          <w:tcPr>
            <w:tcW w:w="608" w:type="dxa"/>
            <w:vAlign w:val="center"/>
          </w:tcPr>
          <w:p w:rsidR="004B12D7" w:rsidRPr="00F27653" w:rsidRDefault="004B12D7" w:rsidP="00451D51">
            <w:pPr>
              <w:jc w:val="center"/>
              <w:rPr>
                <w:sz w:val="18"/>
                <w:szCs w:val="18"/>
              </w:rPr>
            </w:pPr>
            <w:r w:rsidRPr="00F27653">
              <w:rPr>
                <w:sz w:val="18"/>
                <w:szCs w:val="18"/>
              </w:rPr>
              <w:t>T3</w:t>
            </w:r>
          </w:p>
        </w:tc>
        <w:tc>
          <w:tcPr>
            <w:tcW w:w="1283" w:type="dxa"/>
            <w:vAlign w:val="center"/>
          </w:tcPr>
          <w:p w:rsidR="004B12D7" w:rsidRPr="00F27653" w:rsidRDefault="004B12D7" w:rsidP="00451D51">
            <w:pPr>
              <w:jc w:val="center"/>
              <w:rPr>
                <w:sz w:val="18"/>
                <w:szCs w:val="18"/>
              </w:rPr>
            </w:pPr>
            <w:r w:rsidRPr="00F27653">
              <w:rPr>
                <w:sz w:val="18"/>
                <w:szCs w:val="18"/>
              </w:rPr>
              <w:t>21.05.2009</w:t>
            </w:r>
          </w:p>
        </w:tc>
        <w:tc>
          <w:tcPr>
            <w:tcW w:w="1217" w:type="dxa"/>
            <w:vAlign w:val="center"/>
          </w:tcPr>
          <w:p w:rsidR="004B12D7" w:rsidRPr="00F27653" w:rsidRDefault="004B12D7" w:rsidP="00451D51">
            <w:pPr>
              <w:jc w:val="center"/>
              <w:rPr>
                <w:sz w:val="18"/>
                <w:szCs w:val="18"/>
              </w:rPr>
            </w:pPr>
            <w:r w:rsidRPr="00F27653">
              <w:rPr>
                <w:sz w:val="18"/>
                <w:szCs w:val="18"/>
              </w:rPr>
              <w:t>260</w:t>
            </w:r>
          </w:p>
        </w:tc>
        <w:tc>
          <w:tcPr>
            <w:tcW w:w="717" w:type="dxa"/>
            <w:vAlign w:val="center"/>
          </w:tcPr>
          <w:p w:rsidR="004B12D7" w:rsidRPr="00F27653" w:rsidRDefault="004B12D7" w:rsidP="00451D51">
            <w:pPr>
              <w:jc w:val="center"/>
              <w:rPr>
                <w:sz w:val="18"/>
                <w:szCs w:val="18"/>
              </w:rPr>
            </w:pPr>
            <w:r w:rsidRPr="00F27653">
              <w:rPr>
                <w:sz w:val="18"/>
                <w:szCs w:val="18"/>
              </w:rPr>
              <w:t>19.30</w:t>
            </w:r>
          </w:p>
        </w:tc>
        <w:tc>
          <w:tcPr>
            <w:tcW w:w="717" w:type="dxa"/>
            <w:vAlign w:val="center"/>
          </w:tcPr>
          <w:p w:rsidR="004B12D7" w:rsidRPr="00F27653" w:rsidRDefault="004B12D7" w:rsidP="00451D51">
            <w:pPr>
              <w:jc w:val="center"/>
              <w:rPr>
                <w:sz w:val="18"/>
                <w:szCs w:val="18"/>
              </w:rPr>
            </w:pPr>
            <w:r w:rsidRPr="00F27653">
              <w:rPr>
                <w:sz w:val="18"/>
                <w:szCs w:val="18"/>
              </w:rPr>
              <w:t>70.53</w:t>
            </w:r>
          </w:p>
        </w:tc>
        <w:tc>
          <w:tcPr>
            <w:tcW w:w="717" w:type="dxa"/>
            <w:vAlign w:val="center"/>
          </w:tcPr>
          <w:p w:rsidR="004B12D7" w:rsidRPr="00F27653" w:rsidRDefault="004B12D7" w:rsidP="00451D51">
            <w:pPr>
              <w:jc w:val="center"/>
              <w:rPr>
                <w:sz w:val="18"/>
                <w:szCs w:val="18"/>
              </w:rPr>
            </w:pPr>
            <w:r w:rsidRPr="00F27653">
              <w:rPr>
                <w:sz w:val="18"/>
                <w:szCs w:val="18"/>
              </w:rPr>
              <w:t>10.17</w:t>
            </w:r>
          </w:p>
        </w:tc>
        <w:tc>
          <w:tcPr>
            <w:tcW w:w="952" w:type="dxa"/>
            <w:vAlign w:val="center"/>
          </w:tcPr>
          <w:p w:rsidR="004B12D7" w:rsidRPr="00F27653" w:rsidRDefault="004B12D7" w:rsidP="00451D51">
            <w:pPr>
              <w:jc w:val="center"/>
              <w:rPr>
                <w:sz w:val="18"/>
                <w:szCs w:val="18"/>
              </w:rPr>
            </w:pPr>
            <w:r w:rsidRPr="00F27653">
              <w:rPr>
                <w:sz w:val="18"/>
                <w:szCs w:val="18"/>
              </w:rPr>
              <w:t>-0.091</w:t>
            </w:r>
          </w:p>
        </w:tc>
      </w:tr>
    </w:tbl>
    <w:p w:rsidR="004B12D7" w:rsidRPr="00711B4E" w:rsidRDefault="004B12D7" w:rsidP="00711B4E">
      <w:pPr>
        <w:autoSpaceDE w:val="0"/>
        <w:autoSpaceDN w:val="0"/>
        <w:adjustRightInd w:val="0"/>
        <w:ind w:firstLine="425"/>
        <w:jc w:val="both"/>
        <w:rPr>
          <w:sz w:val="22"/>
          <w:szCs w:val="22"/>
          <w:lang w:val="en-US"/>
        </w:rPr>
      </w:pPr>
      <w:r w:rsidRPr="00711B4E">
        <w:rPr>
          <w:sz w:val="22"/>
          <w:szCs w:val="22"/>
          <w:lang w:val="en-US"/>
        </w:rPr>
        <w:lastRenderedPageBreak/>
        <w:t>Quality of harvested chamomile was defined according to the regulations of SRPS E.B3.015:1963 Standard, and it was divided into 4 categories according to the market value, re</w:t>
      </w:r>
      <w:r w:rsidR="00711B4E">
        <w:rPr>
          <w:sz w:val="22"/>
          <w:szCs w:val="22"/>
          <w:lang w:val="en-US"/>
        </w:rPr>
        <w:t>spectively.</w:t>
      </w:r>
    </w:p>
    <w:p w:rsidR="004B12D7" w:rsidRPr="00711B4E" w:rsidRDefault="004B12D7" w:rsidP="00711B4E">
      <w:pPr>
        <w:ind w:firstLine="425"/>
        <w:jc w:val="both"/>
        <w:rPr>
          <w:sz w:val="22"/>
          <w:szCs w:val="22"/>
          <w:lang w:val="en-US"/>
        </w:rPr>
      </w:pPr>
      <w:r w:rsidRPr="00711B4E">
        <w:rPr>
          <w:sz w:val="22"/>
          <w:szCs w:val="22"/>
          <w:lang w:val="en-US"/>
        </w:rPr>
        <w:t>Percentage of particular categories was established by collecting three samples from the harvested mass per each treatment and separating particular categories, thereby establishing weight percentage of each category of the harvested chamomile relative to the total sample. Average values of particular categories were established in weight percentages. The sample size was 81.9 measurements per each treatment. Four dependent variables (category I, category II, category III and category IV) were used for description, as well as two independent variables (</w:t>
      </w:r>
      <w:r w:rsidR="00711B4E">
        <w:rPr>
          <w:sz w:val="22"/>
          <w:szCs w:val="22"/>
          <w:lang w:val="en-US"/>
        </w:rPr>
        <w:t>harvester and harvesting time).</w:t>
      </w:r>
    </w:p>
    <w:p w:rsidR="004B12D7" w:rsidRPr="00711B4E" w:rsidRDefault="004B12D7" w:rsidP="00711B4E">
      <w:pPr>
        <w:ind w:firstLine="425"/>
        <w:jc w:val="both"/>
        <w:rPr>
          <w:sz w:val="22"/>
          <w:szCs w:val="22"/>
          <w:lang w:val="en-US"/>
        </w:rPr>
      </w:pPr>
      <w:r w:rsidRPr="00711B4E">
        <w:rPr>
          <w:sz w:val="22"/>
          <w:szCs w:val="22"/>
          <w:lang w:val="en-US"/>
        </w:rPr>
        <w:t>The results obtained during research were statistically calculated with the use of two-factor multivariate analysis of variance (MANOVA) so as to verify the influence of harvesting time and harvester type on the obtained quality of harvested chamomile. All the statistical analyses were done in “SPSS Statistics”</w:t>
      </w:r>
      <w:r w:rsidR="00711B4E">
        <w:rPr>
          <w:sz w:val="22"/>
          <w:szCs w:val="22"/>
          <w:lang w:val="en-US"/>
        </w:rPr>
        <w:t xml:space="preserve"> program, version 17.0.</w:t>
      </w:r>
    </w:p>
    <w:p w:rsidR="004B12D7" w:rsidRPr="00B057B9" w:rsidRDefault="004B12D7" w:rsidP="00711B4E">
      <w:pPr>
        <w:jc w:val="center"/>
        <w:rPr>
          <w:sz w:val="16"/>
          <w:szCs w:val="16"/>
          <w:lang w:val="en-US"/>
        </w:rPr>
      </w:pPr>
    </w:p>
    <w:p w:rsidR="004B12D7" w:rsidRPr="00711B4E" w:rsidRDefault="004B12D7" w:rsidP="00711B4E">
      <w:pPr>
        <w:jc w:val="center"/>
        <w:rPr>
          <w:b/>
          <w:sz w:val="22"/>
          <w:szCs w:val="22"/>
          <w:lang w:val="en-US"/>
        </w:rPr>
      </w:pPr>
      <w:r w:rsidRPr="00711B4E">
        <w:rPr>
          <w:b/>
          <w:sz w:val="22"/>
          <w:szCs w:val="22"/>
          <w:lang w:val="en-US"/>
        </w:rPr>
        <w:t>Results and discussion</w:t>
      </w:r>
    </w:p>
    <w:p w:rsidR="004B12D7" w:rsidRPr="00B057B9" w:rsidRDefault="004B12D7" w:rsidP="00711B4E">
      <w:pPr>
        <w:jc w:val="center"/>
        <w:rPr>
          <w:sz w:val="16"/>
          <w:szCs w:val="16"/>
          <w:lang w:val="en-US"/>
        </w:rPr>
      </w:pPr>
    </w:p>
    <w:p w:rsidR="004B12D7" w:rsidRPr="00711B4E" w:rsidRDefault="004B12D7" w:rsidP="00711B4E">
      <w:pPr>
        <w:ind w:firstLine="425"/>
        <w:jc w:val="both"/>
        <w:rPr>
          <w:bCs/>
          <w:sz w:val="22"/>
          <w:szCs w:val="22"/>
          <w:lang w:val="en-US"/>
        </w:rPr>
      </w:pPr>
      <w:r w:rsidRPr="00711B4E">
        <w:rPr>
          <w:bCs/>
          <w:sz w:val="22"/>
          <w:szCs w:val="22"/>
          <w:lang w:val="en-US"/>
        </w:rPr>
        <w:t xml:space="preserve">Two-factor </w:t>
      </w:r>
      <w:r w:rsidRPr="00711B4E">
        <w:rPr>
          <w:sz w:val="22"/>
          <w:szCs w:val="22"/>
          <w:lang w:val="en-US"/>
        </w:rPr>
        <w:t>multivariate</w:t>
      </w:r>
      <w:r w:rsidRPr="00711B4E">
        <w:rPr>
          <w:bCs/>
          <w:sz w:val="22"/>
          <w:szCs w:val="22"/>
          <w:lang w:val="en-US"/>
        </w:rPr>
        <w:t xml:space="preserve"> analysis was performed to investigate the influence of harvester type and harvesting time on the obtained quality. The acquired data were described by statistical indicators presented in Tables 5, 6 and 7. Hypotheses on normality, linearity, atypical points and homogeneity of variance were tested by a preliminary investigation, whereby no significant violation of th</w:t>
      </w:r>
      <w:r w:rsidR="00711B4E">
        <w:rPr>
          <w:bCs/>
          <w:sz w:val="22"/>
          <w:szCs w:val="22"/>
          <w:lang w:val="en-US"/>
        </w:rPr>
        <w:t>ese assumptions was discovered.</w:t>
      </w:r>
    </w:p>
    <w:p w:rsidR="004B12D7" w:rsidRPr="00B057B9" w:rsidRDefault="004B12D7" w:rsidP="00711B4E">
      <w:pPr>
        <w:ind w:firstLine="425"/>
        <w:rPr>
          <w:sz w:val="16"/>
          <w:szCs w:val="16"/>
          <w:lang w:val="en-US"/>
        </w:rPr>
      </w:pPr>
    </w:p>
    <w:p w:rsidR="004B12D7" w:rsidRDefault="004B12D7" w:rsidP="00711B4E">
      <w:pPr>
        <w:rPr>
          <w:sz w:val="22"/>
          <w:szCs w:val="22"/>
          <w:lang w:val="en-US"/>
        </w:rPr>
      </w:pPr>
      <w:r w:rsidRPr="00711B4E">
        <w:rPr>
          <w:sz w:val="22"/>
          <w:szCs w:val="22"/>
          <w:lang w:val="en-US"/>
        </w:rPr>
        <w:t>Table 5. Average values and deviations of harvested chamomile quality categories obtained by the harvester A (%).</w:t>
      </w:r>
    </w:p>
    <w:p w:rsidR="00711B4E" w:rsidRPr="00B057B9" w:rsidRDefault="00711B4E" w:rsidP="00711B4E">
      <w:pPr>
        <w:rPr>
          <w:sz w:val="16"/>
          <w:szCs w:val="16"/>
          <w:lang w:val="en-US"/>
        </w:rPr>
      </w:pPr>
    </w:p>
    <w:tbl>
      <w:tblPr>
        <w:tblW w:w="7371" w:type="dxa"/>
        <w:jc w:val="center"/>
        <w:tblBorders>
          <w:top w:val="single" w:sz="4" w:space="0" w:color="auto"/>
          <w:bottom w:val="single" w:sz="4" w:space="0" w:color="auto"/>
        </w:tblBorders>
        <w:tblLayout w:type="fixed"/>
        <w:tblCellMar>
          <w:left w:w="28" w:type="dxa"/>
          <w:right w:w="28" w:type="dxa"/>
        </w:tblCellMar>
        <w:tblLook w:val="00A0"/>
      </w:tblPr>
      <w:tblGrid>
        <w:gridCol w:w="1403"/>
        <w:gridCol w:w="1299"/>
        <w:gridCol w:w="1551"/>
        <w:gridCol w:w="1643"/>
        <w:gridCol w:w="1475"/>
      </w:tblGrid>
      <w:tr w:rsidR="004B12D7" w:rsidRPr="00711B4E" w:rsidTr="00711B4E">
        <w:trPr>
          <w:trHeight w:val="454"/>
          <w:jc w:val="center"/>
        </w:trPr>
        <w:tc>
          <w:tcPr>
            <w:tcW w:w="1350"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Harvesting time</w:t>
            </w:r>
          </w:p>
        </w:tc>
        <w:tc>
          <w:tcPr>
            <w:tcW w:w="1249"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DV</w:t>
            </w:r>
          </w:p>
        </w:tc>
        <w:tc>
          <w:tcPr>
            <w:tcW w:w="1491"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Mean</w:t>
            </w:r>
            <w:r w:rsidR="00711B4E" w:rsidRPr="00711B4E">
              <w:rPr>
                <w:bCs/>
                <w:sz w:val="18"/>
                <w:szCs w:val="18"/>
              </w:rPr>
              <w:t xml:space="preserve"> ±</w:t>
            </w:r>
          </w:p>
          <w:p w:rsidR="004B12D7" w:rsidRPr="00711B4E" w:rsidRDefault="004B12D7" w:rsidP="00451D51">
            <w:pPr>
              <w:jc w:val="center"/>
              <w:rPr>
                <w:bCs/>
                <w:sz w:val="18"/>
                <w:szCs w:val="18"/>
              </w:rPr>
            </w:pPr>
            <w:r w:rsidRPr="00711B4E">
              <w:rPr>
                <w:bCs/>
                <w:sz w:val="18"/>
                <w:szCs w:val="18"/>
              </w:rPr>
              <w:t>Std. error</w:t>
            </w:r>
          </w:p>
        </w:tc>
        <w:tc>
          <w:tcPr>
            <w:tcW w:w="1580"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 xml:space="preserve">Range </w:t>
            </w:r>
            <w:r w:rsidRPr="00711B4E">
              <w:rPr>
                <w:bCs/>
                <w:sz w:val="18"/>
                <w:szCs w:val="18"/>
              </w:rPr>
              <w:br/>
              <w:t>(x</w:t>
            </w:r>
            <w:r w:rsidRPr="00711B4E">
              <w:rPr>
                <w:bCs/>
                <w:sz w:val="18"/>
                <w:szCs w:val="18"/>
                <w:vertAlign w:val="subscript"/>
              </w:rPr>
              <w:t>min</w:t>
            </w:r>
            <w:r w:rsidRPr="00711B4E">
              <w:rPr>
                <w:bCs/>
                <w:sz w:val="18"/>
                <w:szCs w:val="18"/>
              </w:rPr>
              <w:t>–x</w:t>
            </w:r>
            <w:r w:rsidRPr="00711B4E">
              <w:rPr>
                <w:bCs/>
                <w:sz w:val="18"/>
                <w:szCs w:val="18"/>
                <w:vertAlign w:val="subscript"/>
              </w:rPr>
              <w:t>max</w:t>
            </w:r>
            <w:r w:rsidRPr="00711B4E">
              <w:rPr>
                <w:bCs/>
                <w:sz w:val="18"/>
                <w:szCs w:val="18"/>
              </w:rPr>
              <w:t>)</w:t>
            </w:r>
          </w:p>
        </w:tc>
        <w:tc>
          <w:tcPr>
            <w:tcW w:w="1418"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Standard deviation</w:t>
            </w:r>
          </w:p>
        </w:tc>
      </w:tr>
      <w:tr w:rsidR="004B12D7" w:rsidRPr="00711B4E" w:rsidTr="00B057B9">
        <w:trPr>
          <w:trHeight w:val="238"/>
          <w:jc w:val="center"/>
        </w:trPr>
        <w:tc>
          <w:tcPr>
            <w:tcW w:w="1350" w:type="dxa"/>
            <w:vMerge w:val="restart"/>
            <w:tcBorders>
              <w:top w:val="single" w:sz="4" w:space="0" w:color="auto"/>
            </w:tcBorders>
            <w:vAlign w:val="center"/>
          </w:tcPr>
          <w:p w:rsidR="004B12D7" w:rsidRPr="00711B4E" w:rsidRDefault="004B12D7" w:rsidP="00451D51">
            <w:pPr>
              <w:jc w:val="center"/>
              <w:rPr>
                <w:sz w:val="18"/>
                <w:szCs w:val="18"/>
              </w:rPr>
            </w:pPr>
            <w:r w:rsidRPr="00711B4E">
              <w:rPr>
                <w:sz w:val="18"/>
                <w:szCs w:val="18"/>
              </w:rPr>
              <w:t>T1</w:t>
            </w:r>
          </w:p>
        </w:tc>
        <w:tc>
          <w:tcPr>
            <w:tcW w:w="1249" w:type="dxa"/>
            <w:tcBorders>
              <w:top w:val="single" w:sz="4" w:space="0" w:color="auto"/>
              <w:bottom w:val="nil"/>
            </w:tcBorders>
            <w:vAlign w:val="center"/>
          </w:tcPr>
          <w:p w:rsidR="004B12D7" w:rsidRPr="00711B4E" w:rsidRDefault="004B12D7" w:rsidP="00451D51">
            <w:pPr>
              <w:jc w:val="center"/>
              <w:rPr>
                <w:sz w:val="18"/>
                <w:szCs w:val="18"/>
              </w:rPr>
            </w:pPr>
            <w:r w:rsidRPr="00711B4E">
              <w:rPr>
                <w:sz w:val="18"/>
                <w:szCs w:val="18"/>
              </w:rPr>
              <w:t>category I</w:t>
            </w:r>
          </w:p>
        </w:tc>
        <w:tc>
          <w:tcPr>
            <w:tcW w:w="1491" w:type="dxa"/>
            <w:tcBorders>
              <w:top w:val="single" w:sz="4" w:space="0" w:color="auto"/>
              <w:bottom w:val="nil"/>
            </w:tcBorders>
            <w:vAlign w:val="center"/>
          </w:tcPr>
          <w:p w:rsidR="004B12D7" w:rsidRPr="00711B4E" w:rsidRDefault="004B12D7" w:rsidP="00451D51">
            <w:pPr>
              <w:jc w:val="center"/>
              <w:rPr>
                <w:sz w:val="18"/>
                <w:szCs w:val="18"/>
              </w:rPr>
            </w:pPr>
            <w:r w:rsidRPr="00711B4E">
              <w:rPr>
                <w:sz w:val="18"/>
                <w:szCs w:val="18"/>
              </w:rPr>
              <w:t>54.8 ± 3.5</w:t>
            </w:r>
          </w:p>
        </w:tc>
        <w:tc>
          <w:tcPr>
            <w:tcW w:w="1580" w:type="dxa"/>
            <w:tcBorders>
              <w:top w:val="single" w:sz="4" w:space="0" w:color="auto"/>
              <w:bottom w:val="nil"/>
            </w:tcBorders>
            <w:vAlign w:val="center"/>
          </w:tcPr>
          <w:p w:rsidR="004B12D7" w:rsidRPr="00711B4E" w:rsidRDefault="004B12D7" w:rsidP="00451D51">
            <w:pPr>
              <w:jc w:val="center"/>
              <w:rPr>
                <w:sz w:val="18"/>
                <w:szCs w:val="18"/>
              </w:rPr>
            </w:pPr>
            <w:r w:rsidRPr="00711B4E">
              <w:rPr>
                <w:sz w:val="18"/>
                <w:szCs w:val="18"/>
              </w:rPr>
              <w:t>41.2–71.7</w:t>
            </w:r>
          </w:p>
        </w:tc>
        <w:tc>
          <w:tcPr>
            <w:tcW w:w="1418" w:type="dxa"/>
            <w:tcBorders>
              <w:top w:val="single" w:sz="4" w:space="0" w:color="auto"/>
              <w:bottom w:val="nil"/>
            </w:tcBorders>
            <w:vAlign w:val="center"/>
          </w:tcPr>
          <w:p w:rsidR="004B12D7" w:rsidRPr="00711B4E" w:rsidRDefault="004B12D7" w:rsidP="00451D51">
            <w:pPr>
              <w:jc w:val="center"/>
              <w:rPr>
                <w:sz w:val="18"/>
                <w:szCs w:val="18"/>
              </w:rPr>
            </w:pPr>
            <w:r w:rsidRPr="00711B4E">
              <w:rPr>
                <w:sz w:val="18"/>
                <w:szCs w:val="18"/>
              </w:rPr>
              <w:t>10.45</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tcBorders>
              <w:top w:val="nil"/>
              <w:bottom w:val="nil"/>
            </w:tcBorders>
            <w:vAlign w:val="center"/>
          </w:tcPr>
          <w:p w:rsidR="004B12D7" w:rsidRPr="00711B4E" w:rsidRDefault="004B12D7" w:rsidP="00451D51">
            <w:pPr>
              <w:jc w:val="center"/>
              <w:rPr>
                <w:sz w:val="18"/>
                <w:szCs w:val="18"/>
              </w:rPr>
            </w:pPr>
            <w:r w:rsidRPr="00711B4E">
              <w:rPr>
                <w:sz w:val="18"/>
                <w:szCs w:val="18"/>
              </w:rPr>
              <w:t>category II</w:t>
            </w:r>
          </w:p>
        </w:tc>
        <w:tc>
          <w:tcPr>
            <w:tcW w:w="1491" w:type="dxa"/>
            <w:tcBorders>
              <w:top w:val="nil"/>
              <w:bottom w:val="nil"/>
            </w:tcBorders>
            <w:vAlign w:val="center"/>
          </w:tcPr>
          <w:p w:rsidR="004B12D7" w:rsidRPr="00711B4E" w:rsidRDefault="004B12D7" w:rsidP="00451D51">
            <w:pPr>
              <w:jc w:val="center"/>
              <w:rPr>
                <w:sz w:val="18"/>
                <w:szCs w:val="18"/>
              </w:rPr>
            </w:pPr>
            <w:r w:rsidRPr="00711B4E">
              <w:rPr>
                <w:sz w:val="18"/>
                <w:szCs w:val="18"/>
              </w:rPr>
              <w:t>26.4 ± 1.5</w:t>
            </w:r>
          </w:p>
        </w:tc>
        <w:tc>
          <w:tcPr>
            <w:tcW w:w="1580" w:type="dxa"/>
            <w:tcBorders>
              <w:top w:val="nil"/>
              <w:bottom w:val="nil"/>
            </w:tcBorders>
            <w:vAlign w:val="center"/>
          </w:tcPr>
          <w:p w:rsidR="004B12D7" w:rsidRPr="00711B4E" w:rsidRDefault="004B12D7" w:rsidP="00451D51">
            <w:pPr>
              <w:jc w:val="center"/>
              <w:rPr>
                <w:sz w:val="18"/>
                <w:szCs w:val="18"/>
              </w:rPr>
            </w:pPr>
            <w:r w:rsidRPr="00711B4E">
              <w:rPr>
                <w:sz w:val="18"/>
                <w:szCs w:val="18"/>
              </w:rPr>
              <w:t>20.2–32.6</w:t>
            </w:r>
          </w:p>
        </w:tc>
        <w:tc>
          <w:tcPr>
            <w:tcW w:w="1418" w:type="dxa"/>
            <w:tcBorders>
              <w:top w:val="nil"/>
              <w:bottom w:val="nil"/>
            </w:tcBorders>
            <w:vAlign w:val="center"/>
          </w:tcPr>
          <w:p w:rsidR="004B12D7" w:rsidRPr="00711B4E" w:rsidRDefault="004B12D7" w:rsidP="00451D51">
            <w:pPr>
              <w:jc w:val="center"/>
              <w:rPr>
                <w:sz w:val="18"/>
                <w:szCs w:val="18"/>
              </w:rPr>
            </w:pPr>
            <w:r w:rsidRPr="00711B4E">
              <w:rPr>
                <w:sz w:val="18"/>
                <w:szCs w:val="18"/>
              </w:rPr>
              <w:t>4.57</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tcBorders>
              <w:top w:val="nil"/>
              <w:bottom w:val="nil"/>
            </w:tcBorders>
            <w:vAlign w:val="center"/>
          </w:tcPr>
          <w:p w:rsidR="004B12D7" w:rsidRPr="00711B4E" w:rsidRDefault="004B12D7" w:rsidP="00451D51">
            <w:pPr>
              <w:jc w:val="center"/>
              <w:rPr>
                <w:sz w:val="18"/>
                <w:szCs w:val="18"/>
              </w:rPr>
            </w:pPr>
            <w:r w:rsidRPr="00711B4E">
              <w:rPr>
                <w:sz w:val="18"/>
                <w:szCs w:val="18"/>
              </w:rPr>
              <w:t>category III</w:t>
            </w:r>
          </w:p>
        </w:tc>
        <w:tc>
          <w:tcPr>
            <w:tcW w:w="1491" w:type="dxa"/>
            <w:tcBorders>
              <w:top w:val="nil"/>
              <w:bottom w:val="nil"/>
            </w:tcBorders>
            <w:vAlign w:val="center"/>
          </w:tcPr>
          <w:p w:rsidR="004B12D7" w:rsidRPr="00711B4E" w:rsidRDefault="004B12D7" w:rsidP="00451D51">
            <w:pPr>
              <w:jc w:val="center"/>
              <w:rPr>
                <w:sz w:val="18"/>
                <w:szCs w:val="18"/>
              </w:rPr>
            </w:pPr>
            <w:r w:rsidRPr="00711B4E">
              <w:rPr>
                <w:sz w:val="18"/>
                <w:szCs w:val="18"/>
              </w:rPr>
              <w:t>15.4 ± 2.9</w:t>
            </w:r>
          </w:p>
        </w:tc>
        <w:tc>
          <w:tcPr>
            <w:tcW w:w="1580" w:type="dxa"/>
            <w:tcBorders>
              <w:top w:val="nil"/>
              <w:bottom w:val="nil"/>
            </w:tcBorders>
            <w:vAlign w:val="center"/>
          </w:tcPr>
          <w:p w:rsidR="004B12D7" w:rsidRPr="00711B4E" w:rsidRDefault="004B12D7" w:rsidP="00451D51">
            <w:pPr>
              <w:jc w:val="center"/>
              <w:rPr>
                <w:sz w:val="18"/>
                <w:szCs w:val="18"/>
              </w:rPr>
            </w:pPr>
            <w:r w:rsidRPr="00711B4E">
              <w:rPr>
                <w:sz w:val="18"/>
                <w:szCs w:val="18"/>
              </w:rPr>
              <w:t>1.0–29.1</w:t>
            </w:r>
          </w:p>
        </w:tc>
        <w:tc>
          <w:tcPr>
            <w:tcW w:w="1418" w:type="dxa"/>
            <w:tcBorders>
              <w:top w:val="nil"/>
              <w:bottom w:val="nil"/>
            </w:tcBorders>
            <w:vAlign w:val="center"/>
          </w:tcPr>
          <w:p w:rsidR="004B12D7" w:rsidRPr="00711B4E" w:rsidRDefault="004B12D7" w:rsidP="00451D51">
            <w:pPr>
              <w:jc w:val="center"/>
              <w:rPr>
                <w:sz w:val="18"/>
                <w:szCs w:val="18"/>
              </w:rPr>
            </w:pPr>
            <w:r w:rsidRPr="00711B4E">
              <w:rPr>
                <w:sz w:val="18"/>
                <w:szCs w:val="18"/>
              </w:rPr>
              <w:t>8.76</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tcBorders>
              <w:top w:val="nil"/>
              <w:bottom w:val="single" w:sz="4" w:space="0" w:color="auto"/>
            </w:tcBorders>
            <w:vAlign w:val="center"/>
          </w:tcPr>
          <w:p w:rsidR="004B12D7" w:rsidRPr="00711B4E" w:rsidRDefault="004B12D7" w:rsidP="00451D51">
            <w:pPr>
              <w:jc w:val="center"/>
              <w:rPr>
                <w:sz w:val="18"/>
                <w:szCs w:val="18"/>
              </w:rPr>
            </w:pPr>
            <w:r w:rsidRPr="00711B4E">
              <w:rPr>
                <w:sz w:val="18"/>
                <w:szCs w:val="18"/>
              </w:rPr>
              <w:t>category IV</w:t>
            </w:r>
          </w:p>
        </w:tc>
        <w:tc>
          <w:tcPr>
            <w:tcW w:w="1491" w:type="dxa"/>
            <w:tcBorders>
              <w:top w:val="nil"/>
              <w:bottom w:val="single" w:sz="4" w:space="0" w:color="auto"/>
            </w:tcBorders>
            <w:vAlign w:val="center"/>
          </w:tcPr>
          <w:p w:rsidR="004B12D7" w:rsidRPr="00711B4E" w:rsidRDefault="004B12D7" w:rsidP="00451D51">
            <w:pPr>
              <w:jc w:val="center"/>
              <w:rPr>
                <w:sz w:val="18"/>
                <w:szCs w:val="18"/>
              </w:rPr>
            </w:pPr>
            <w:r w:rsidRPr="00711B4E">
              <w:rPr>
                <w:sz w:val="18"/>
                <w:szCs w:val="18"/>
              </w:rPr>
              <w:t>3.3 ± 0.7</w:t>
            </w:r>
          </w:p>
        </w:tc>
        <w:tc>
          <w:tcPr>
            <w:tcW w:w="1580" w:type="dxa"/>
            <w:tcBorders>
              <w:top w:val="nil"/>
              <w:bottom w:val="single" w:sz="4" w:space="0" w:color="auto"/>
            </w:tcBorders>
            <w:vAlign w:val="center"/>
          </w:tcPr>
          <w:p w:rsidR="004B12D7" w:rsidRPr="00711B4E" w:rsidRDefault="004B12D7" w:rsidP="00451D51">
            <w:pPr>
              <w:jc w:val="center"/>
              <w:rPr>
                <w:sz w:val="18"/>
                <w:szCs w:val="18"/>
              </w:rPr>
            </w:pPr>
            <w:r w:rsidRPr="00711B4E">
              <w:rPr>
                <w:sz w:val="18"/>
                <w:szCs w:val="18"/>
              </w:rPr>
              <w:t>0.3–5.6</w:t>
            </w:r>
          </w:p>
        </w:tc>
        <w:tc>
          <w:tcPr>
            <w:tcW w:w="1418" w:type="dxa"/>
            <w:tcBorders>
              <w:top w:val="nil"/>
              <w:bottom w:val="single" w:sz="4" w:space="0" w:color="auto"/>
            </w:tcBorders>
            <w:vAlign w:val="center"/>
          </w:tcPr>
          <w:p w:rsidR="004B12D7" w:rsidRPr="00711B4E" w:rsidRDefault="004B12D7" w:rsidP="00451D51">
            <w:pPr>
              <w:jc w:val="center"/>
              <w:rPr>
                <w:sz w:val="18"/>
                <w:szCs w:val="18"/>
              </w:rPr>
            </w:pPr>
            <w:r w:rsidRPr="00711B4E">
              <w:rPr>
                <w:sz w:val="18"/>
                <w:szCs w:val="18"/>
              </w:rPr>
              <w:t>1.99</w:t>
            </w:r>
          </w:p>
        </w:tc>
      </w:tr>
      <w:tr w:rsidR="004B12D7" w:rsidRPr="00711B4E" w:rsidTr="00B057B9">
        <w:trPr>
          <w:trHeight w:val="238"/>
          <w:jc w:val="center"/>
        </w:trPr>
        <w:tc>
          <w:tcPr>
            <w:tcW w:w="1350" w:type="dxa"/>
            <w:vMerge w:val="restart"/>
            <w:vAlign w:val="center"/>
          </w:tcPr>
          <w:p w:rsidR="004B12D7" w:rsidRPr="00711B4E" w:rsidRDefault="004B12D7" w:rsidP="00451D51">
            <w:pPr>
              <w:jc w:val="center"/>
              <w:rPr>
                <w:sz w:val="18"/>
                <w:szCs w:val="18"/>
              </w:rPr>
            </w:pPr>
            <w:r w:rsidRPr="00711B4E">
              <w:rPr>
                <w:sz w:val="18"/>
                <w:szCs w:val="18"/>
              </w:rPr>
              <w:t>T2</w:t>
            </w:r>
          </w:p>
        </w:tc>
        <w:tc>
          <w:tcPr>
            <w:tcW w:w="1249" w:type="dxa"/>
            <w:tcBorders>
              <w:top w:val="single" w:sz="4" w:space="0" w:color="auto"/>
              <w:bottom w:val="nil"/>
            </w:tcBorders>
            <w:vAlign w:val="center"/>
          </w:tcPr>
          <w:p w:rsidR="004B12D7" w:rsidRPr="00711B4E" w:rsidRDefault="004B12D7" w:rsidP="00451D51">
            <w:pPr>
              <w:jc w:val="center"/>
              <w:rPr>
                <w:sz w:val="18"/>
                <w:szCs w:val="18"/>
              </w:rPr>
            </w:pPr>
            <w:r w:rsidRPr="00711B4E">
              <w:rPr>
                <w:sz w:val="18"/>
                <w:szCs w:val="18"/>
              </w:rPr>
              <w:t>category I</w:t>
            </w:r>
          </w:p>
        </w:tc>
        <w:tc>
          <w:tcPr>
            <w:tcW w:w="1491" w:type="dxa"/>
            <w:tcBorders>
              <w:top w:val="single" w:sz="4" w:space="0" w:color="auto"/>
              <w:bottom w:val="nil"/>
            </w:tcBorders>
            <w:vAlign w:val="center"/>
          </w:tcPr>
          <w:p w:rsidR="004B12D7" w:rsidRPr="00711B4E" w:rsidRDefault="004B12D7" w:rsidP="00451D51">
            <w:pPr>
              <w:jc w:val="center"/>
              <w:rPr>
                <w:sz w:val="18"/>
                <w:szCs w:val="18"/>
              </w:rPr>
            </w:pPr>
            <w:r w:rsidRPr="00711B4E">
              <w:rPr>
                <w:sz w:val="18"/>
                <w:szCs w:val="18"/>
              </w:rPr>
              <w:t>51.0 ± 2.7</w:t>
            </w:r>
          </w:p>
        </w:tc>
        <w:tc>
          <w:tcPr>
            <w:tcW w:w="1580" w:type="dxa"/>
            <w:tcBorders>
              <w:top w:val="single" w:sz="4" w:space="0" w:color="auto"/>
              <w:bottom w:val="nil"/>
            </w:tcBorders>
            <w:vAlign w:val="center"/>
          </w:tcPr>
          <w:p w:rsidR="004B12D7" w:rsidRPr="00711B4E" w:rsidRDefault="004B12D7" w:rsidP="00451D51">
            <w:pPr>
              <w:jc w:val="center"/>
              <w:rPr>
                <w:sz w:val="18"/>
                <w:szCs w:val="18"/>
              </w:rPr>
            </w:pPr>
            <w:r w:rsidRPr="00711B4E">
              <w:rPr>
                <w:sz w:val="18"/>
                <w:szCs w:val="18"/>
              </w:rPr>
              <w:t>38.1–62.8</w:t>
            </w:r>
          </w:p>
        </w:tc>
        <w:tc>
          <w:tcPr>
            <w:tcW w:w="1418" w:type="dxa"/>
            <w:tcBorders>
              <w:top w:val="single" w:sz="4" w:space="0" w:color="auto"/>
              <w:bottom w:val="nil"/>
            </w:tcBorders>
            <w:vAlign w:val="center"/>
          </w:tcPr>
          <w:p w:rsidR="004B12D7" w:rsidRPr="00711B4E" w:rsidRDefault="004B12D7" w:rsidP="00451D51">
            <w:pPr>
              <w:jc w:val="center"/>
              <w:rPr>
                <w:sz w:val="18"/>
                <w:szCs w:val="18"/>
              </w:rPr>
            </w:pPr>
            <w:r w:rsidRPr="00711B4E">
              <w:rPr>
                <w:sz w:val="18"/>
                <w:szCs w:val="18"/>
              </w:rPr>
              <w:t>7.99</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tcBorders>
              <w:top w:val="nil"/>
              <w:bottom w:val="nil"/>
            </w:tcBorders>
            <w:vAlign w:val="center"/>
          </w:tcPr>
          <w:p w:rsidR="004B12D7" w:rsidRPr="00711B4E" w:rsidRDefault="004B12D7" w:rsidP="00451D51">
            <w:pPr>
              <w:jc w:val="center"/>
              <w:rPr>
                <w:sz w:val="18"/>
                <w:szCs w:val="18"/>
              </w:rPr>
            </w:pPr>
            <w:r w:rsidRPr="00711B4E">
              <w:rPr>
                <w:sz w:val="18"/>
                <w:szCs w:val="18"/>
              </w:rPr>
              <w:t>category II</w:t>
            </w:r>
          </w:p>
        </w:tc>
        <w:tc>
          <w:tcPr>
            <w:tcW w:w="1491" w:type="dxa"/>
            <w:tcBorders>
              <w:top w:val="nil"/>
              <w:bottom w:val="nil"/>
            </w:tcBorders>
            <w:vAlign w:val="center"/>
          </w:tcPr>
          <w:p w:rsidR="004B12D7" w:rsidRPr="00711B4E" w:rsidRDefault="004B12D7" w:rsidP="00451D51">
            <w:pPr>
              <w:jc w:val="center"/>
              <w:rPr>
                <w:sz w:val="18"/>
                <w:szCs w:val="18"/>
              </w:rPr>
            </w:pPr>
            <w:r w:rsidRPr="00711B4E">
              <w:rPr>
                <w:sz w:val="18"/>
                <w:szCs w:val="18"/>
              </w:rPr>
              <w:t>28.5 ± 1.2</w:t>
            </w:r>
          </w:p>
        </w:tc>
        <w:tc>
          <w:tcPr>
            <w:tcW w:w="1580" w:type="dxa"/>
            <w:tcBorders>
              <w:top w:val="nil"/>
              <w:bottom w:val="nil"/>
            </w:tcBorders>
            <w:vAlign w:val="center"/>
          </w:tcPr>
          <w:p w:rsidR="004B12D7" w:rsidRPr="00711B4E" w:rsidRDefault="004B12D7" w:rsidP="00451D51">
            <w:pPr>
              <w:jc w:val="center"/>
              <w:rPr>
                <w:sz w:val="18"/>
                <w:szCs w:val="18"/>
              </w:rPr>
            </w:pPr>
            <w:r w:rsidRPr="00711B4E">
              <w:rPr>
                <w:sz w:val="18"/>
                <w:szCs w:val="18"/>
              </w:rPr>
              <w:t>24.1–36.0</w:t>
            </w:r>
          </w:p>
        </w:tc>
        <w:tc>
          <w:tcPr>
            <w:tcW w:w="1418" w:type="dxa"/>
            <w:tcBorders>
              <w:top w:val="nil"/>
              <w:bottom w:val="nil"/>
            </w:tcBorders>
            <w:vAlign w:val="center"/>
          </w:tcPr>
          <w:p w:rsidR="004B12D7" w:rsidRPr="00711B4E" w:rsidRDefault="004B12D7" w:rsidP="00451D51">
            <w:pPr>
              <w:jc w:val="center"/>
              <w:rPr>
                <w:sz w:val="18"/>
                <w:szCs w:val="18"/>
              </w:rPr>
            </w:pPr>
            <w:r w:rsidRPr="00711B4E">
              <w:rPr>
                <w:sz w:val="18"/>
                <w:szCs w:val="18"/>
              </w:rPr>
              <w:t>3.65</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tcBorders>
              <w:top w:val="nil"/>
              <w:bottom w:val="nil"/>
            </w:tcBorders>
            <w:vAlign w:val="center"/>
          </w:tcPr>
          <w:p w:rsidR="004B12D7" w:rsidRPr="00711B4E" w:rsidRDefault="004B12D7" w:rsidP="00451D51">
            <w:pPr>
              <w:jc w:val="center"/>
              <w:rPr>
                <w:sz w:val="18"/>
                <w:szCs w:val="18"/>
              </w:rPr>
            </w:pPr>
            <w:r w:rsidRPr="00711B4E">
              <w:rPr>
                <w:sz w:val="18"/>
                <w:szCs w:val="18"/>
              </w:rPr>
              <w:t>category III</w:t>
            </w:r>
          </w:p>
        </w:tc>
        <w:tc>
          <w:tcPr>
            <w:tcW w:w="1491" w:type="dxa"/>
            <w:tcBorders>
              <w:top w:val="nil"/>
              <w:bottom w:val="nil"/>
            </w:tcBorders>
            <w:vAlign w:val="center"/>
          </w:tcPr>
          <w:p w:rsidR="004B12D7" w:rsidRPr="00711B4E" w:rsidRDefault="004B12D7" w:rsidP="00451D51">
            <w:pPr>
              <w:jc w:val="center"/>
              <w:rPr>
                <w:sz w:val="18"/>
                <w:szCs w:val="18"/>
              </w:rPr>
            </w:pPr>
            <w:r w:rsidRPr="00711B4E">
              <w:rPr>
                <w:sz w:val="18"/>
                <w:szCs w:val="18"/>
              </w:rPr>
              <w:t>17.0 ± 3.3</w:t>
            </w:r>
          </w:p>
        </w:tc>
        <w:tc>
          <w:tcPr>
            <w:tcW w:w="1580" w:type="dxa"/>
            <w:tcBorders>
              <w:top w:val="nil"/>
              <w:bottom w:val="nil"/>
            </w:tcBorders>
            <w:vAlign w:val="center"/>
          </w:tcPr>
          <w:p w:rsidR="004B12D7" w:rsidRPr="00711B4E" w:rsidRDefault="004B12D7" w:rsidP="00451D51">
            <w:pPr>
              <w:jc w:val="center"/>
              <w:rPr>
                <w:sz w:val="18"/>
                <w:szCs w:val="18"/>
              </w:rPr>
            </w:pPr>
            <w:r w:rsidRPr="00711B4E">
              <w:rPr>
                <w:sz w:val="18"/>
                <w:szCs w:val="18"/>
              </w:rPr>
              <w:t>5.5–33.7</w:t>
            </w:r>
          </w:p>
        </w:tc>
        <w:tc>
          <w:tcPr>
            <w:tcW w:w="1418" w:type="dxa"/>
            <w:tcBorders>
              <w:top w:val="nil"/>
              <w:bottom w:val="nil"/>
            </w:tcBorders>
            <w:vAlign w:val="center"/>
          </w:tcPr>
          <w:p w:rsidR="004B12D7" w:rsidRPr="00711B4E" w:rsidRDefault="004B12D7" w:rsidP="00451D51">
            <w:pPr>
              <w:jc w:val="center"/>
              <w:rPr>
                <w:sz w:val="18"/>
                <w:szCs w:val="18"/>
              </w:rPr>
            </w:pPr>
            <w:r w:rsidRPr="00711B4E">
              <w:rPr>
                <w:sz w:val="18"/>
                <w:szCs w:val="18"/>
              </w:rPr>
              <w:t>9.88</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tcBorders>
              <w:top w:val="nil"/>
              <w:bottom w:val="single" w:sz="4" w:space="0" w:color="auto"/>
            </w:tcBorders>
            <w:vAlign w:val="center"/>
          </w:tcPr>
          <w:p w:rsidR="004B12D7" w:rsidRPr="00711B4E" w:rsidRDefault="004B12D7" w:rsidP="00451D51">
            <w:pPr>
              <w:jc w:val="center"/>
              <w:rPr>
                <w:sz w:val="18"/>
                <w:szCs w:val="18"/>
              </w:rPr>
            </w:pPr>
            <w:r w:rsidRPr="00711B4E">
              <w:rPr>
                <w:sz w:val="18"/>
                <w:szCs w:val="18"/>
              </w:rPr>
              <w:t>category IV</w:t>
            </w:r>
          </w:p>
        </w:tc>
        <w:tc>
          <w:tcPr>
            <w:tcW w:w="1491" w:type="dxa"/>
            <w:tcBorders>
              <w:top w:val="nil"/>
              <w:bottom w:val="single" w:sz="4" w:space="0" w:color="auto"/>
            </w:tcBorders>
            <w:vAlign w:val="center"/>
          </w:tcPr>
          <w:p w:rsidR="004B12D7" w:rsidRPr="00711B4E" w:rsidRDefault="004B12D7" w:rsidP="00451D51">
            <w:pPr>
              <w:jc w:val="center"/>
              <w:rPr>
                <w:sz w:val="18"/>
                <w:szCs w:val="18"/>
              </w:rPr>
            </w:pPr>
            <w:r w:rsidRPr="00711B4E">
              <w:rPr>
                <w:sz w:val="18"/>
                <w:szCs w:val="18"/>
              </w:rPr>
              <w:t>3.4 ± 0.6</w:t>
            </w:r>
          </w:p>
        </w:tc>
        <w:tc>
          <w:tcPr>
            <w:tcW w:w="1580" w:type="dxa"/>
            <w:tcBorders>
              <w:top w:val="nil"/>
              <w:bottom w:val="single" w:sz="4" w:space="0" w:color="auto"/>
            </w:tcBorders>
            <w:vAlign w:val="center"/>
          </w:tcPr>
          <w:p w:rsidR="004B12D7" w:rsidRPr="00711B4E" w:rsidRDefault="004B12D7" w:rsidP="00451D51">
            <w:pPr>
              <w:jc w:val="center"/>
              <w:rPr>
                <w:sz w:val="18"/>
                <w:szCs w:val="18"/>
              </w:rPr>
            </w:pPr>
            <w:r w:rsidRPr="00711B4E">
              <w:rPr>
                <w:sz w:val="18"/>
                <w:szCs w:val="18"/>
              </w:rPr>
              <w:t>1.6–5.9</w:t>
            </w:r>
          </w:p>
        </w:tc>
        <w:tc>
          <w:tcPr>
            <w:tcW w:w="1418" w:type="dxa"/>
            <w:tcBorders>
              <w:top w:val="nil"/>
              <w:bottom w:val="single" w:sz="4" w:space="0" w:color="auto"/>
            </w:tcBorders>
            <w:vAlign w:val="center"/>
          </w:tcPr>
          <w:p w:rsidR="004B12D7" w:rsidRPr="00711B4E" w:rsidRDefault="004B12D7" w:rsidP="00451D51">
            <w:pPr>
              <w:jc w:val="center"/>
              <w:rPr>
                <w:sz w:val="18"/>
                <w:szCs w:val="18"/>
              </w:rPr>
            </w:pPr>
            <w:r w:rsidRPr="00711B4E">
              <w:rPr>
                <w:sz w:val="18"/>
                <w:szCs w:val="18"/>
              </w:rPr>
              <w:t>1.66</w:t>
            </w:r>
          </w:p>
        </w:tc>
      </w:tr>
      <w:tr w:rsidR="004B12D7" w:rsidRPr="00711B4E" w:rsidTr="00B057B9">
        <w:trPr>
          <w:trHeight w:val="238"/>
          <w:jc w:val="center"/>
        </w:trPr>
        <w:tc>
          <w:tcPr>
            <w:tcW w:w="1350" w:type="dxa"/>
            <w:vMerge w:val="restart"/>
            <w:vAlign w:val="center"/>
          </w:tcPr>
          <w:p w:rsidR="004B12D7" w:rsidRPr="00711B4E" w:rsidRDefault="004B12D7" w:rsidP="00451D51">
            <w:pPr>
              <w:jc w:val="center"/>
              <w:rPr>
                <w:sz w:val="18"/>
                <w:szCs w:val="18"/>
              </w:rPr>
            </w:pPr>
            <w:r w:rsidRPr="00711B4E">
              <w:rPr>
                <w:sz w:val="18"/>
                <w:szCs w:val="18"/>
              </w:rPr>
              <w:t>T3</w:t>
            </w:r>
          </w:p>
        </w:tc>
        <w:tc>
          <w:tcPr>
            <w:tcW w:w="1249" w:type="dxa"/>
            <w:tcBorders>
              <w:top w:val="single" w:sz="4" w:space="0" w:color="auto"/>
            </w:tcBorders>
            <w:vAlign w:val="center"/>
          </w:tcPr>
          <w:p w:rsidR="004B12D7" w:rsidRPr="00711B4E" w:rsidRDefault="004B12D7" w:rsidP="00451D51">
            <w:pPr>
              <w:jc w:val="center"/>
              <w:rPr>
                <w:sz w:val="18"/>
                <w:szCs w:val="18"/>
              </w:rPr>
            </w:pPr>
            <w:r w:rsidRPr="00711B4E">
              <w:rPr>
                <w:sz w:val="18"/>
                <w:szCs w:val="18"/>
              </w:rPr>
              <w:t>category I</w:t>
            </w:r>
          </w:p>
        </w:tc>
        <w:tc>
          <w:tcPr>
            <w:tcW w:w="1491" w:type="dxa"/>
            <w:tcBorders>
              <w:top w:val="single" w:sz="4" w:space="0" w:color="auto"/>
            </w:tcBorders>
            <w:vAlign w:val="center"/>
          </w:tcPr>
          <w:p w:rsidR="004B12D7" w:rsidRPr="00711B4E" w:rsidRDefault="004B12D7" w:rsidP="00451D51">
            <w:pPr>
              <w:jc w:val="center"/>
              <w:rPr>
                <w:sz w:val="18"/>
                <w:szCs w:val="18"/>
              </w:rPr>
            </w:pPr>
            <w:r w:rsidRPr="00711B4E">
              <w:rPr>
                <w:sz w:val="18"/>
                <w:szCs w:val="18"/>
              </w:rPr>
              <w:t>47.5 ± 2.5</w:t>
            </w:r>
          </w:p>
        </w:tc>
        <w:tc>
          <w:tcPr>
            <w:tcW w:w="1580" w:type="dxa"/>
            <w:tcBorders>
              <w:top w:val="single" w:sz="4" w:space="0" w:color="auto"/>
            </w:tcBorders>
            <w:vAlign w:val="center"/>
          </w:tcPr>
          <w:p w:rsidR="004B12D7" w:rsidRPr="00711B4E" w:rsidRDefault="004B12D7" w:rsidP="00451D51">
            <w:pPr>
              <w:jc w:val="center"/>
              <w:rPr>
                <w:sz w:val="18"/>
                <w:szCs w:val="18"/>
              </w:rPr>
            </w:pPr>
            <w:r w:rsidRPr="00711B4E">
              <w:rPr>
                <w:sz w:val="18"/>
                <w:szCs w:val="18"/>
              </w:rPr>
              <w:t>37.6–58.1</w:t>
            </w:r>
          </w:p>
        </w:tc>
        <w:tc>
          <w:tcPr>
            <w:tcW w:w="1418" w:type="dxa"/>
            <w:tcBorders>
              <w:top w:val="single" w:sz="4" w:space="0" w:color="auto"/>
            </w:tcBorders>
            <w:vAlign w:val="center"/>
          </w:tcPr>
          <w:p w:rsidR="004B12D7" w:rsidRPr="00711B4E" w:rsidRDefault="004B12D7" w:rsidP="00451D51">
            <w:pPr>
              <w:jc w:val="center"/>
              <w:rPr>
                <w:sz w:val="18"/>
                <w:szCs w:val="18"/>
              </w:rPr>
            </w:pPr>
            <w:r w:rsidRPr="00711B4E">
              <w:rPr>
                <w:sz w:val="18"/>
                <w:szCs w:val="18"/>
              </w:rPr>
              <w:t>7.42</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vAlign w:val="center"/>
          </w:tcPr>
          <w:p w:rsidR="004B12D7" w:rsidRPr="00711B4E" w:rsidRDefault="004B12D7" w:rsidP="00451D51">
            <w:pPr>
              <w:jc w:val="center"/>
              <w:rPr>
                <w:sz w:val="18"/>
                <w:szCs w:val="18"/>
              </w:rPr>
            </w:pPr>
            <w:r w:rsidRPr="00711B4E">
              <w:rPr>
                <w:sz w:val="18"/>
                <w:szCs w:val="18"/>
              </w:rPr>
              <w:t>category II</w:t>
            </w:r>
          </w:p>
        </w:tc>
        <w:tc>
          <w:tcPr>
            <w:tcW w:w="1491" w:type="dxa"/>
            <w:vAlign w:val="center"/>
          </w:tcPr>
          <w:p w:rsidR="004B12D7" w:rsidRPr="00711B4E" w:rsidRDefault="004B12D7" w:rsidP="00451D51">
            <w:pPr>
              <w:jc w:val="center"/>
              <w:rPr>
                <w:sz w:val="18"/>
                <w:szCs w:val="18"/>
              </w:rPr>
            </w:pPr>
            <w:r w:rsidRPr="00711B4E">
              <w:rPr>
                <w:sz w:val="18"/>
                <w:szCs w:val="18"/>
              </w:rPr>
              <w:t>32.2 ± 1.8</w:t>
            </w:r>
          </w:p>
        </w:tc>
        <w:tc>
          <w:tcPr>
            <w:tcW w:w="1580" w:type="dxa"/>
            <w:vAlign w:val="center"/>
          </w:tcPr>
          <w:p w:rsidR="004B12D7" w:rsidRPr="00711B4E" w:rsidRDefault="004B12D7" w:rsidP="00451D51">
            <w:pPr>
              <w:jc w:val="center"/>
              <w:rPr>
                <w:sz w:val="18"/>
                <w:szCs w:val="18"/>
              </w:rPr>
            </w:pPr>
            <w:r w:rsidRPr="00711B4E">
              <w:rPr>
                <w:sz w:val="18"/>
                <w:szCs w:val="18"/>
              </w:rPr>
              <w:t>24.8–40.6</w:t>
            </w:r>
          </w:p>
        </w:tc>
        <w:tc>
          <w:tcPr>
            <w:tcW w:w="1418" w:type="dxa"/>
            <w:vAlign w:val="center"/>
          </w:tcPr>
          <w:p w:rsidR="004B12D7" w:rsidRPr="00711B4E" w:rsidRDefault="004B12D7" w:rsidP="00451D51">
            <w:pPr>
              <w:jc w:val="center"/>
              <w:rPr>
                <w:sz w:val="18"/>
                <w:szCs w:val="18"/>
              </w:rPr>
            </w:pPr>
            <w:r w:rsidRPr="00711B4E">
              <w:rPr>
                <w:sz w:val="18"/>
                <w:szCs w:val="18"/>
              </w:rPr>
              <w:t>5.52</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vAlign w:val="center"/>
          </w:tcPr>
          <w:p w:rsidR="004B12D7" w:rsidRPr="00711B4E" w:rsidRDefault="004B12D7" w:rsidP="00451D51">
            <w:pPr>
              <w:jc w:val="center"/>
              <w:rPr>
                <w:sz w:val="18"/>
                <w:szCs w:val="18"/>
              </w:rPr>
            </w:pPr>
            <w:r w:rsidRPr="00711B4E">
              <w:rPr>
                <w:sz w:val="18"/>
                <w:szCs w:val="18"/>
              </w:rPr>
              <w:t>category III</w:t>
            </w:r>
          </w:p>
        </w:tc>
        <w:tc>
          <w:tcPr>
            <w:tcW w:w="1491" w:type="dxa"/>
            <w:vAlign w:val="center"/>
          </w:tcPr>
          <w:p w:rsidR="004B12D7" w:rsidRPr="00711B4E" w:rsidRDefault="004B12D7" w:rsidP="00451D51">
            <w:pPr>
              <w:jc w:val="center"/>
              <w:rPr>
                <w:sz w:val="18"/>
                <w:szCs w:val="18"/>
              </w:rPr>
            </w:pPr>
            <w:r w:rsidRPr="00711B4E">
              <w:rPr>
                <w:sz w:val="18"/>
                <w:szCs w:val="18"/>
              </w:rPr>
              <w:t>17.5 ± 3.0</w:t>
            </w:r>
          </w:p>
        </w:tc>
        <w:tc>
          <w:tcPr>
            <w:tcW w:w="1580" w:type="dxa"/>
            <w:vAlign w:val="center"/>
          </w:tcPr>
          <w:p w:rsidR="004B12D7" w:rsidRPr="00711B4E" w:rsidRDefault="004B12D7" w:rsidP="00451D51">
            <w:pPr>
              <w:jc w:val="center"/>
              <w:rPr>
                <w:sz w:val="18"/>
                <w:szCs w:val="18"/>
              </w:rPr>
            </w:pPr>
            <w:r w:rsidRPr="00711B4E">
              <w:rPr>
                <w:sz w:val="18"/>
                <w:szCs w:val="18"/>
              </w:rPr>
              <w:t>5.2–34.9</w:t>
            </w:r>
          </w:p>
        </w:tc>
        <w:tc>
          <w:tcPr>
            <w:tcW w:w="1418" w:type="dxa"/>
            <w:vAlign w:val="center"/>
          </w:tcPr>
          <w:p w:rsidR="004B12D7" w:rsidRPr="00711B4E" w:rsidRDefault="004B12D7" w:rsidP="00451D51">
            <w:pPr>
              <w:jc w:val="center"/>
              <w:rPr>
                <w:sz w:val="18"/>
                <w:szCs w:val="18"/>
              </w:rPr>
            </w:pPr>
            <w:r w:rsidRPr="00711B4E">
              <w:rPr>
                <w:sz w:val="18"/>
                <w:szCs w:val="18"/>
              </w:rPr>
              <w:t>8.87</w:t>
            </w:r>
          </w:p>
        </w:tc>
      </w:tr>
      <w:tr w:rsidR="004B12D7" w:rsidRPr="00711B4E" w:rsidTr="00B057B9">
        <w:trPr>
          <w:trHeight w:val="238"/>
          <w:jc w:val="center"/>
        </w:trPr>
        <w:tc>
          <w:tcPr>
            <w:tcW w:w="1350" w:type="dxa"/>
            <w:vMerge/>
            <w:vAlign w:val="center"/>
          </w:tcPr>
          <w:p w:rsidR="004B12D7" w:rsidRPr="00711B4E" w:rsidRDefault="004B12D7" w:rsidP="00451D51">
            <w:pPr>
              <w:jc w:val="center"/>
              <w:rPr>
                <w:sz w:val="18"/>
                <w:szCs w:val="18"/>
              </w:rPr>
            </w:pPr>
          </w:p>
        </w:tc>
        <w:tc>
          <w:tcPr>
            <w:tcW w:w="1249" w:type="dxa"/>
            <w:vAlign w:val="center"/>
          </w:tcPr>
          <w:p w:rsidR="004B12D7" w:rsidRPr="00711B4E" w:rsidRDefault="004B12D7" w:rsidP="00451D51">
            <w:pPr>
              <w:jc w:val="center"/>
              <w:rPr>
                <w:sz w:val="18"/>
                <w:szCs w:val="18"/>
              </w:rPr>
            </w:pPr>
            <w:r w:rsidRPr="00711B4E">
              <w:rPr>
                <w:sz w:val="18"/>
                <w:szCs w:val="18"/>
              </w:rPr>
              <w:t>category IV</w:t>
            </w:r>
          </w:p>
        </w:tc>
        <w:tc>
          <w:tcPr>
            <w:tcW w:w="1491" w:type="dxa"/>
            <w:vAlign w:val="center"/>
          </w:tcPr>
          <w:p w:rsidR="004B12D7" w:rsidRPr="00711B4E" w:rsidRDefault="004B12D7" w:rsidP="00451D51">
            <w:pPr>
              <w:jc w:val="center"/>
              <w:rPr>
                <w:sz w:val="18"/>
                <w:szCs w:val="18"/>
              </w:rPr>
            </w:pPr>
            <w:r w:rsidRPr="00711B4E">
              <w:rPr>
                <w:sz w:val="18"/>
                <w:szCs w:val="18"/>
              </w:rPr>
              <w:t>2.6 ± 0.5</w:t>
            </w:r>
          </w:p>
        </w:tc>
        <w:tc>
          <w:tcPr>
            <w:tcW w:w="1580" w:type="dxa"/>
            <w:vAlign w:val="center"/>
          </w:tcPr>
          <w:p w:rsidR="004B12D7" w:rsidRPr="00711B4E" w:rsidRDefault="004B12D7" w:rsidP="00451D51">
            <w:pPr>
              <w:jc w:val="center"/>
              <w:rPr>
                <w:sz w:val="18"/>
                <w:szCs w:val="18"/>
              </w:rPr>
            </w:pPr>
            <w:r w:rsidRPr="00711B4E">
              <w:rPr>
                <w:sz w:val="18"/>
                <w:szCs w:val="18"/>
              </w:rPr>
              <w:t>0.4–4.2</w:t>
            </w:r>
          </w:p>
        </w:tc>
        <w:tc>
          <w:tcPr>
            <w:tcW w:w="1418" w:type="dxa"/>
            <w:vAlign w:val="center"/>
          </w:tcPr>
          <w:p w:rsidR="004B12D7" w:rsidRPr="00711B4E" w:rsidRDefault="004B12D7" w:rsidP="00451D51">
            <w:pPr>
              <w:jc w:val="center"/>
              <w:rPr>
                <w:sz w:val="18"/>
                <w:szCs w:val="18"/>
              </w:rPr>
            </w:pPr>
            <w:r w:rsidRPr="00711B4E">
              <w:rPr>
                <w:sz w:val="18"/>
                <w:szCs w:val="18"/>
              </w:rPr>
              <w:t>1.36</w:t>
            </w:r>
          </w:p>
        </w:tc>
      </w:tr>
    </w:tbl>
    <w:p w:rsidR="004B12D7" w:rsidRDefault="004B12D7" w:rsidP="00711B4E">
      <w:pPr>
        <w:jc w:val="both"/>
        <w:rPr>
          <w:sz w:val="22"/>
          <w:szCs w:val="22"/>
          <w:lang w:val="en-US"/>
        </w:rPr>
      </w:pPr>
      <w:r w:rsidRPr="00711B4E">
        <w:rPr>
          <w:sz w:val="22"/>
          <w:szCs w:val="22"/>
          <w:lang w:val="en-US"/>
        </w:rPr>
        <w:lastRenderedPageBreak/>
        <w:t>Table 6. Average values and deviations of harvested chamomile quality categories obtained by the harvester B (%).</w:t>
      </w:r>
    </w:p>
    <w:p w:rsidR="00711B4E" w:rsidRPr="00B057B9" w:rsidRDefault="00711B4E" w:rsidP="00711B4E">
      <w:pPr>
        <w:jc w:val="both"/>
        <w:rPr>
          <w:sz w:val="22"/>
          <w:szCs w:val="22"/>
          <w:lang w:val="en-US"/>
        </w:rPr>
      </w:pPr>
    </w:p>
    <w:tbl>
      <w:tblPr>
        <w:tblW w:w="7371" w:type="dxa"/>
        <w:jc w:val="center"/>
        <w:tblBorders>
          <w:top w:val="single" w:sz="4" w:space="0" w:color="auto"/>
          <w:bottom w:val="single" w:sz="4" w:space="0" w:color="auto"/>
        </w:tblBorders>
        <w:tblLayout w:type="fixed"/>
        <w:tblCellMar>
          <w:left w:w="28" w:type="dxa"/>
          <w:right w:w="28" w:type="dxa"/>
        </w:tblCellMar>
        <w:tblLook w:val="00A0"/>
      </w:tblPr>
      <w:tblGrid>
        <w:gridCol w:w="1404"/>
        <w:gridCol w:w="1302"/>
        <w:gridCol w:w="1547"/>
        <w:gridCol w:w="1643"/>
        <w:gridCol w:w="1475"/>
      </w:tblGrid>
      <w:tr w:rsidR="004B12D7" w:rsidRPr="00EF6C9E" w:rsidTr="00711B4E">
        <w:trPr>
          <w:trHeight w:val="454"/>
          <w:jc w:val="center"/>
        </w:trPr>
        <w:tc>
          <w:tcPr>
            <w:tcW w:w="1350"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Harvesting time</w:t>
            </w:r>
          </w:p>
        </w:tc>
        <w:tc>
          <w:tcPr>
            <w:tcW w:w="1252"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DV</w:t>
            </w:r>
          </w:p>
        </w:tc>
        <w:tc>
          <w:tcPr>
            <w:tcW w:w="1488"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Mean</w:t>
            </w:r>
            <w:r w:rsidR="00711B4E">
              <w:rPr>
                <w:bCs/>
                <w:sz w:val="18"/>
                <w:szCs w:val="18"/>
              </w:rPr>
              <w:t xml:space="preserve"> </w:t>
            </w:r>
            <w:r w:rsidR="00711B4E" w:rsidRPr="00711B4E">
              <w:rPr>
                <w:bCs/>
                <w:sz w:val="18"/>
                <w:szCs w:val="18"/>
              </w:rPr>
              <w:t>±</w:t>
            </w:r>
          </w:p>
          <w:p w:rsidR="004B12D7" w:rsidRPr="00711B4E" w:rsidRDefault="004B12D7" w:rsidP="00451D51">
            <w:pPr>
              <w:jc w:val="center"/>
              <w:rPr>
                <w:bCs/>
                <w:sz w:val="18"/>
                <w:szCs w:val="18"/>
              </w:rPr>
            </w:pPr>
            <w:r w:rsidRPr="00711B4E">
              <w:rPr>
                <w:bCs/>
                <w:sz w:val="18"/>
                <w:szCs w:val="18"/>
              </w:rPr>
              <w:t>Std. error</w:t>
            </w:r>
          </w:p>
        </w:tc>
        <w:tc>
          <w:tcPr>
            <w:tcW w:w="1580"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 xml:space="preserve">Range </w:t>
            </w:r>
            <w:r w:rsidRPr="00711B4E">
              <w:rPr>
                <w:bCs/>
                <w:sz w:val="18"/>
                <w:szCs w:val="18"/>
              </w:rPr>
              <w:br/>
              <w:t>(x</w:t>
            </w:r>
            <w:r w:rsidRPr="00711B4E">
              <w:rPr>
                <w:bCs/>
                <w:sz w:val="18"/>
                <w:szCs w:val="18"/>
                <w:vertAlign w:val="subscript"/>
              </w:rPr>
              <w:t>min</w:t>
            </w:r>
            <w:r w:rsidRPr="00711B4E">
              <w:rPr>
                <w:bCs/>
                <w:sz w:val="18"/>
                <w:szCs w:val="18"/>
              </w:rPr>
              <w:t>–x</w:t>
            </w:r>
            <w:r w:rsidRPr="00711B4E">
              <w:rPr>
                <w:bCs/>
                <w:sz w:val="18"/>
                <w:szCs w:val="18"/>
                <w:vertAlign w:val="subscript"/>
              </w:rPr>
              <w:t>max</w:t>
            </w:r>
            <w:r w:rsidRPr="00711B4E">
              <w:rPr>
                <w:bCs/>
                <w:sz w:val="18"/>
                <w:szCs w:val="18"/>
              </w:rPr>
              <w:t>)</w:t>
            </w:r>
          </w:p>
        </w:tc>
        <w:tc>
          <w:tcPr>
            <w:tcW w:w="1418" w:type="dxa"/>
            <w:tcBorders>
              <w:top w:val="single" w:sz="4" w:space="0" w:color="auto"/>
              <w:bottom w:val="single" w:sz="4" w:space="0" w:color="auto"/>
            </w:tcBorders>
            <w:vAlign w:val="center"/>
          </w:tcPr>
          <w:p w:rsidR="004B12D7" w:rsidRPr="00711B4E" w:rsidRDefault="004B12D7" w:rsidP="00451D51">
            <w:pPr>
              <w:jc w:val="center"/>
              <w:rPr>
                <w:bCs/>
                <w:sz w:val="18"/>
                <w:szCs w:val="18"/>
              </w:rPr>
            </w:pPr>
            <w:r w:rsidRPr="00711B4E">
              <w:rPr>
                <w:bCs/>
                <w:sz w:val="18"/>
                <w:szCs w:val="18"/>
              </w:rPr>
              <w:t>Standard deviation</w:t>
            </w:r>
          </w:p>
        </w:tc>
      </w:tr>
      <w:tr w:rsidR="004B12D7" w:rsidRPr="00EF6C9E" w:rsidTr="00B057B9">
        <w:trPr>
          <w:trHeight w:val="255"/>
          <w:jc w:val="center"/>
        </w:trPr>
        <w:tc>
          <w:tcPr>
            <w:tcW w:w="1350" w:type="dxa"/>
            <w:vMerge w:val="restart"/>
            <w:tcBorders>
              <w:top w:val="single" w:sz="4" w:space="0" w:color="auto"/>
            </w:tcBorders>
            <w:vAlign w:val="center"/>
          </w:tcPr>
          <w:p w:rsidR="004B12D7" w:rsidRPr="00EF6C9E" w:rsidRDefault="004B12D7" w:rsidP="00451D51">
            <w:pPr>
              <w:jc w:val="center"/>
              <w:rPr>
                <w:sz w:val="18"/>
                <w:szCs w:val="18"/>
              </w:rPr>
            </w:pPr>
            <w:r w:rsidRPr="00EF6C9E">
              <w:rPr>
                <w:sz w:val="18"/>
                <w:szCs w:val="18"/>
              </w:rPr>
              <w:t>T1</w:t>
            </w:r>
          </w:p>
        </w:tc>
        <w:tc>
          <w:tcPr>
            <w:tcW w:w="1252" w:type="dxa"/>
            <w:tcBorders>
              <w:top w:val="single" w:sz="4" w:space="0" w:color="auto"/>
              <w:bottom w:val="nil"/>
            </w:tcBorders>
            <w:vAlign w:val="center"/>
          </w:tcPr>
          <w:p w:rsidR="004B12D7" w:rsidRPr="00EF6C9E" w:rsidRDefault="004B12D7" w:rsidP="00451D51">
            <w:pPr>
              <w:jc w:val="center"/>
              <w:rPr>
                <w:sz w:val="18"/>
                <w:szCs w:val="18"/>
              </w:rPr>
            </w:pPr>
            <w:r>
              <w:rPr>
                <w:sz w:val="18"/>
                <w:szCs w:val="18"/>
              </w:rPr>
              <w:t>category I</w:t>
            </w:r>
          </w:p>
        </w:tc>
        <w:tc>
          <w:tcPr>
            <w:tcW w:w="1488" w:type="dxa"/>
            <w:tcBorders>
              <w:top w:val="single" w:sz="4" w:space="0" w:color="auto"/>
              <w:bottom w:val="nil"/>
            </w:tcBorders>
            <w:vAlign w:val="center"/>
          </w:tcPr>
          <w:p w:rsidR="004B12D7" w:rsidRPr="00EF6C9E" w:rsidRDefault="004B12D7" w:rsidP="00451D51">
            <w:pPr>
              <w:jc w:val="center"/>
              <w:rPr>
                <w:sz w:val="18"/>
                <w:szCs w:val="18"/>
              </w:rPr>
            </w:pPr>
            <w:r w:rsidRPr="00EF6C9E">
              <w:rPr>
                <w:sz w:val="18"/>
                <w:szCs w:val="18"/>
              </w:rPr>
              <w:t>50.3 ± 3.1</w:t>
            </w:r>
          </w:p>
        </w:tc>
        <w:tc>
          <w:tcPr>
            <w:tcW w:w="1580" w:type="dxa"/>
            <w:tcBorders>
              <w:top w:val="single" w:sz="4" w:space="0" w:color="auto"/>
              <w:bottom w:val="nil"/>
            </w:tcBorders>
            <w:vAlign w:val="center"/>
          </w:tcPr>
          <w:p w:rsidR="004B12D7" w:rsidRPr="00EF6C9E" w:rsidRDefault="004B12D7" w:rsidP="00451D51">
            <w:pPr>
              <w:jc w:val="center"/>
              <w:rPr>
                <w:sz w:val="18"/>
                <w:szCs w:val="18"/>
              </w:rPr>
            </w:pPr>
            <w:r w:rsidRPr="00EF6C9E">
              <w:rPr>
                <w:sz w:val="18"/>
                <w:szCs w:val="18"/>
              </w:rPr>
              <w:t>39.6</w:t>
            </w:r>
            <w:r>
              <w:rPr>
                <w:sz w:val="18"/>
                <w:szCs w:val="18"/>
              </w:rPr>
              <w:t>–</w:t>
            </w:r>
            <w:r w:rsidRPr="00EF6C9E">
              <w:rPr>
                <w:sz w:val="18"/>
                <w:szCs w:val="18"/>
              </w:rPr>
              <w:t>67.1</w:t>
            </w:r>
          </w:p>
        </w:tc>
        <w:tc>
          <w:tcPr>
            <w:tcW w:w="1418" w:type="dxa"/>
            <w:tcBorders>
              <w:top w:val="single" w:sz="4" w:space="0" w:color="auto"/>
              <w:bottom w:val="nil"/>
            </w:tcBorders>
            <w:vAlign w:val="center"/>
          </w:tcPr>
          <w:p w:rsidR="004B12D7" w:rsidRPr="00EF6C9E" w:rsidRDefault="004B12D7" w:rsidP="00451D51">
            <w:pPr>
              <w:jc w:val="center"/>
              <w:rPr>
                <w:sz w:val="18"/>
                <w:szCs w:val="18"/>
              </w:rPr>
            </w:pPr>
            <w:r w:rsidRPr="00EF6C9E">
              <w:rPr>
                <w:sz w:val="18"/>
                <w:szCs w:val="18"/>
              </w:rPr>
              <w:t>9.3</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tcBorders>
              <w:top w:val="nil"/>
              <w:bottom w:val="nil"/>
            </w:tcBorders>
            <w:vAlign w:val="center"/>
          </w:tcPr>
          <w:p w:rsidR="004B12D7" w:rsidRPr="00EF6C9E" w:rsidRDefault="004B12D7" w:rsidP="00451D51">
            <w:pPr>
              <w:jc w:val="center"/>
              <w:rPr>
                <w:sz w:val="18"/>
                <w:szCs w:val="18"/>
              </w:rPr>
            </w:pPr>
            <w:r>
              <w:rPr>
                <w:sz w:val="18"/>
                <w:szCs w:val="18"/>
              </w:rPr>
              <w:t>category II</w:t>
            </w:r>
          </w:p>
        </w:tc>
        <w:tc>
          <w:tcPr>
            <w:tcW w:w="1488" w:type="dxa"/>
            <w:tcBorders>
              <w:top w:val="nil"/>
              <w:bottom w:val="nil"/>
            </w:tcBorders>
            <w:vAlign w:val="center"/>
          </w:tcPr>
          <w:p w:rsidR="004B12D7" w:rsidRPr="00EF6C9E" w:rsidRDefault="004B12D7" w:rsidP="00451D51">
            <w:pPr>
              <w:jc w:val="center"/>
              <w:rPr>
                <w:sz w:val="18"/>
                <w:szCs w:val="18"/>
              </w:rPr>
            </w:pPr>
            <w:r w:rsidRPr="00EF6C9E">
              <w:rPr>
                <w:sz w:val="18"/>
                <w:szCs w:val="18"/>
              </w:rPr>
              <w:t>29.5 ± 1.9</w:t>
            </w:r>
          </w:p>
        </w:tc>
        <w:tc>
          <w:tcPr>
            <w:tcW w:w="1580" w:type="dxa"/>
            <w:tcBorders>
              <w:top w:val="nil"/>
              <w:bottom w:val="nil"/>
            </w:tcBorders>
            <w:vAlign w:val="center"/>
          </w:tcPr>
          <w:p w:rsidR="004B12D7" w:rsidRPr="00EF6C9E" w:rsidRDefault="004B12D7" w:rsidP="00451D51">
            <w:pPr>
              <w:jc w:val="center"/>
              <w:rPr>
                <w:sz w:val="18"/>
                <w:szCs w:val="18"/>
              </w:rPr>
            </w:pPr>
            <w:r w:rsidRPr="00EF6C9E">
              <w:rPr>
                <w:sz w:val="18"/>
                <w:szCs w:val="18"/>
              </w:rPr>
              <w:t>20.1</w:t>
            </w:r>
            <w:r>
              <w:rPr>
                <w:sz w:val="18"/>
                <w:szCs w:val="18"/>
              </w:rPr>
              <w:t>–</w:t>
            </w:r>
            <w:r w:rsidRPr="00EF6C9E">
              <w:rPr>
                <w:sz w:val="18"/>
                <w:szCs w:val="18"/>
              </w:rPr>
              <w:t>38.2</w:t>
            </w:r>
          </w:p>
        </w:tc>
        <w:tc>
          <w:tcPr>
            <w:tcW w:w="1418" w:type="dxa"/>
            <w:tcBorders>
              <w:top w:val="nil"/>
              <w:bottom w:val="nil"/>
            </w:tcBorders>
            <w:vAlign w:val="center"/>
          </w:tcPr>
          <w:p w:rsidR="004B12D7" w:rsidRPr="00EF6C9E" w:rsidRDefault="004B12D7" w:rsidP="00451D51">
            <w:pPr>
              <w:jc w:val="center"/>
              <w:rPr>
                <w:sz w:val="18"/>
                <w:szCs w:val="18"/>
              </w:rPr>
            </w:pPr>
            <w:r w:rsidRPr="00EF6C9E">
              <w:rPr>
                <w:sz w:val="18"/>
                <w:szCs w:val="18"/>
              </w:rPr>
              <w:t>5.8</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tcBorders>
              <w:top w:val="nil"/>
              <w:bottom w:val="nil"/>
            </w:tcBorders>
            <w:vAlign w:val="center"/>
          </w:tcPr>
          <w:p w:rsidR="004B12D7" w:rsidRPr="00EF6C9E" w:rsidRDefault="004B12D7" w:rsidP="00451D51">
            <w:pPr>
              <w:jc w:val="center"/>
              <w:rPr>
                <w:sz w:val="18"/>
                <w:szCs w:val="18"/>
              </w:rPr>
            </w:pPr>
            <w:r>
              <w:rPr>
                <w:sz w:val="18"/>
                <w:szCs w:val="18"/>
              </w:rPr>
              <w:t>category III</w:t>
            </w:r>
          </w:p>
        </w:tc>
        <w:tc>
          <w:tcPr>
            <w:tcW w:w="1488" w:type="dxa"/>
            <w:tcBorders>
              <w:top w:val="nil"/>
              <w:bottom w:val="nil"/>
            </w:tcBorders>
            <w:vAlign w:val="center"/>
          </w:tcPr>
          <w:p w:rsidR="004B12D7" w:rsidRPr="00EF6C9E" w:rsidRDefault="004B12D7" w:rsidP="00451D51">
            <w:pPr>
              <w:jc w:val="center"/>
              <w:rPr>
                <w:sz w:val="18"/>
                <w:szCs w:val="18"/>
              </w:rPr>
            </w:pPr>
            <w:r w:rsidRPr="00EF6C9E">
              <w:rPr>
                <w:sz w:val="18"/>
                <w:szCs w:val="18"/>
              </w:rPr>
              <w:t>16.4 ± 3.4</w:t>
            </w:r>
          </w:p>
        </w:tc>
        <w:tc>
          <w:tcPr>
            <w:tcW w:w="1580" w:type="dxa"/>
            <w:tcBorders>
              <w:top w:val="nil"/>
              <w:bottom w:val="nil"/>
            </w:tcBorders>
            <w:vAlign w:val="center"/>
          </w:tcPr>
          <w:p w:rsidR="004B12D7" w:rsidRPr="00EF6C9E" w:rsidRDefault="004B12D7" w:rsidP="00451D51">
            <w:pPr>
              <w:jc w:val="center"/>
              <w:rPr>
                <w:sz w:val="18"/>
                <w:szCs w:val="18"/>
              </w:rPr>
            </w:pPr>
            <w:r w:rsidRPr="00EF6C9E">
              <w:rPr>
                <w:sz w:val="18"/>
                <w:szCs w:val="18"/>
              </w:rPr>
              <w:t>1.0</w:t>
            </w:r>
            <w:r>
              <w:rPr>
                <w:sz w:val="18"/>
                <w:szCs w:val="18"/>
              </w:rPr>
              <w:t>–</w:t>
            </w:r>
            <w:r w:rsidRPr="00EF6C9E">
              <w:rPr>
                <w:sz w:val="18"/>
                <w:szCs w:val="18"/>
              </w:rPr>
              <w:t>33.1</w:t>
            </w:r>
          </w:p>
        </w:tc>
        <w:tc>
          <w:tcPr>
            <w:tcW w:w="1418" w:type="dxa"/>
            <w:tcBorders>
              <w:top w:val="nil"/>
              <w:bottom w:val="nil"/>
            </w:tcBorders>
            <w:vAlign w:val="center"/>
          </w:tcPr>
          <w:p w:rsidR="004B12D7" w:rsidRPr="00EF6C9E" w:rsidRDefault="004B12D7" w:rsidP="00451D51">
            <w:pPr>
              <w:jc w:val="center"/>
              <w:rPr>
                <w:sz w:val="18"/>
                <w:szCs w:val="18"/>
              </w:rPr>
            </w:pPr>
            <w:r w:rsidRPr="00EF6C9E">
              <w:rPr>
                <w:sz w:val="18"/>
                <w:szCs w:val="18"/>
              </w:rPr>
              <w:t>10.1</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tcBorders>
              <w:top w:val="nil"/>
              <w:bottom w:val="single" w:sz="4" w:space="0" w:color="auto"/>
            </w:tcBorders>
            <w:vAlign w:val="center"/>
          </w:tcPr>
          <w:p w:rsidR="004B12D7" w:rsidRPr="00EF6C9E" w:rsidRDefault="004B12D7" w:rsidP="00451D51">
            <w:pPr>
              <w:jc w:val="center"/>
              <w:rPr>
                <w:sz w:val="18"/>
                <w:szCs w:val="18"/>
              </w:rPr>
            </w:pPr>
            <w:r>
              <w:rPr>
                <w:sz w:val="18"/>
                <w:szCs w:val="18"/>
              </w:rPr>
              <w:t>category IV</w:t>
            </w:r>
          </w:p>
        </w:tc>
        <w:tc>
          <w:tcPr>
            <w:tcW w:w="1488" w:type="dxa"/>
            <w:tcBorders>
              <w:top w:val="nil"/>
              <w:bottom w:val="single" w:sz="4" w:space="0" w:color="auto"/>
            </w:tcBorders>
            <w:vAlign w:val="center"/>
          </w:tcPr>
          <w:p w:rsidR="004B12D7" w:rsidRPr="00EF6C9E" w:rsidRDefault="004B12D7" w:rsidP="00451D51">
            <w:pPr>
              <w:jc w:val="center"/>
              <w:rPr>
                <w:sz w:val="18"/>
                <w:szCs w:val="18"/>
              </w:rPr>
            </w:pPr>
            <w:r w:rsidRPr="00EF6C9E">
              <w:rPr>
                <w:sz w:val="18"/>
                <w:szCs w:val="18"/>
              </w:rPr>
              <w:t>3.7 ± 0.6</w:t>
            </w:r>
          </w:p>
        </w:tc>
        <w:tc>
          <w:tcPr>
            <w:tcW w:w="1580" w:type="dxa"/>
            <w:tcBorders>
              <w:top w:val="nil"/>
              <w:bottom w:val="single" w:sz="4" w:space="0" w:color="auto"/>
            </w:tcBorders>
            <w:vAlign w:val="center"/>
          </w:tcPr>
          <w:p w:rsidR="004B12D7" w:rsidRPr="00EF6C9E" w:rsidRDefault="004B12D7" w:rsidP="00451D51">
            <w:pPr>
              <w:jc w:val="center"/>
              <w:rPr>
                <w:sz w:val="18"/>
                <w:szCs w:val="18"/>
              </w:rPr>
            </w:pPr>
            <w:r w:rsidRPr="00EF6C9E">
              <w:rPr>
                <w:sz w:val="18"/>
                <w:szCs w:val="18"/>
              </w:rPr>
              <w:t>0.8</w:t>
            </w:r>
            <w:r>
              <w:rPr>
                <w:sz w:val="18"/>
                <w:szCs w:val="18"/>
              </w:rPr>
              <w:t>–</w:t>
            </w:r>
            <w:r w:rsidRPr="00EF6C9E">
              <w:rPr>
                <w:sz w:val="18"/>
                <w:szCs w:val="18"/>
              </w:rPr>
              <w:t>6.4</w:t>
            </w:r>
          </w:p>
        </w:tc>
        <w:tc>
          <w:tcPr>
            <w:tcW w:w="1418" w:type="dxa"/>
            <w:tcBorders>
              <w:top w:val="nil"/>
              <w:bottom w:val="single" w:sz="4" w:space="0" w:color="auto"/>
            </w:tcBorders>
            <w:vAlign w:val="center"/>
          </w:tcPr>
          <w:p w:rsidR="004B12D7" w:rsidRPr="00EF6C9E" w:rsidRDefault="004B12D7" w:rsidP="00451D51">
            <w:pPr>
              <w:jc w:val="center"/>
              <w:rPr>
                <w:sz w:val="18"/>
                <w:szCs w:val="18"/>
              </w:rPr>
            </w:pPr>
            <w:r w:rsidRPr="00EF6C9E">
              <w:rPr>
                <w:sz w:val="18"/>
                <w:szCs w:val="18"/>
              </w:rPr>
              <w:t>1.7</w:t>
            </w:r>
          </w:p>
        </w:tc>
      </w:tr>
      <w:tr w:rsidR="004B12D7" w:rsidRPr="00EF6C9E" w:rsidTr="00B057B9">
        <w:trPr>
          <w:trHeight w:val="255"/>
          <w:jc w:val="center"/>
        </w:trPr>
        <w:tc>
          <w:tcPr>
            <w:tcW w:w="1350" w:type="dxa"/>
            <w:vMerge w:val="restart"/>
            <w:vAlign w:val="center"/>
          </w:tcPr>
          <w:p w:rsidR="004B12D7" w:rsidRPr="00EF6C9E" w:rsidRDefault="004B12D7" w:rsidP="00451D51">
            <w:pPr>
              <w:jc w:val="center"/>
              <w:rPr>
                <w:sz w:val="18"/>
                <w:szCs w:val="18"/>
              </w:rPr>
            </w:pPr>
            <w:r w:rsidRPr="00EF6C9E">
              <w:rPr>
                <w:sz w:val="18"/>
                <w:szCs w:val="18"/>
              </w:rPr>
              <w:t>T2</w:t>
            </w:r>
          </w:p>
        </w:tc>
        <w:tc>
          <w:tcPr>
            <w:tcW w:w="1252" w:type="dxa"/>
            <w:tcBorders>
              <w:top w:val="single" w:sz="4" w:space="0" w:color="auto"/>
              <w:bottom w:val="nil"/>
            </w:tcBorders>
            <w:vAlign w:val="center"/>
          </w:tcPr>
          <w:p w:rsidR="004B12D7" w:rsidRPr="00EF6C9E" w:rsidRDefault="004B12D7" w:rsidP="00451D51">
            <w:pPr>
              <w:jc w:val="center"/>
              <w:rPr>
                <w:sz w:val="18"/>
                <w:szCs w:val="18"/>
              </w:rPr>
            </w:pPr>
            <w:r>
              <w:rPr>
                <w:sz w:val="18"/>
                <w:szCs w:val="18"/>
              </w:rPr>
              <w:t>category I</w:t>
            </w:r>
          </w:p>
        </w:tc>
        <w:tc>
          <w:tcPr>
            <w:tcW w:w="1488" w:type="dxa"/>
            <w:tcBorders>
              <w:top w:val="single" w:sz="4" w:space="0" w:color="auto"/>
              <w:bottom w:val="nil"/>
            </w:tcBorders>
            <w:vAlign w:val="center"/>
          </w:tcPr>
          <w:p w:rsidR="004B12D7" w:rsidRPr="00EF6C9E" w:rsidRDefault="004B12D7" w:rsidP="00451D51">
            <w:pPr>
              <w:jc w:val="center"/>
              <w:rPr>
                <w:sz w:val="18"/>
                <w:szCs w:val="18"/>
              </w:rPr>
            </w:pPr>
            <w:r w:rsidRPr="00EF6C9E">
              <w:rPr>
                <w:sz w:val="18"/>
                <w:szCs w:val="18"/>
              </w:rPr>
              <w:t>47.3 ± 1.6</w:t>
            </w:r>
          </w:p>
        </w:tc>
        <w:tc>
          <w:tcPr>
            <w:tcW w:w="1580" w:type="dxa"/>
            <w:tcBorders>
              <w:top w:val="single" w:sz="4" w:space="0" w:color="auto"/>
              <w:bottom w:val="nil"/>
            </w:tcBorders>
            <w:vAlign w:val="center"/>
          </w:tcPr>
          <w:p w:rsidR="004B12D7" w:rsidRPr="00EF6C9E" w:rsidRDefault="004B12D7" w:rsidP="00451D51">
            <w:pPr>
              <w:jc w:val="center"/>
              <w:rPr>
                <w:sz w:val="18"/>
                <w:szCs w:val="18"/>
              </w:rPr>
            </w:pPr>
            <w:r w:rsidRPr="00EF6C9E">
              <w:rPr>
                <w:sz w:val="18"/>
                <w:szCs w:val="18"/>
              </w:rPr>
              <w:t>40.1</w:t>
            </w:r>
            <w:r>
              <w:rPr>
                <w:sz w:val="18"/>
                <w:szCs w:val="18"/>
              </w:rPr>
              <w:t>–</w:t>
            </w:r>
            <w:r w:rsidRPr="00EF6C9E">
              <w:rPr>
                <w:sz w:val="18"/>
                <w:szCs w:val="18"/>
              </w:rPr>
              <w:t>54.6</w:t>
            </w:r>
          </w:p>
        </w:tc>
        <w:tc>
          <w:tcPr>
            <w:tcW w:w="1418" w:type="dxa"/>
            <w:tcBorders>
              <w:top w:val="single" w:sz="4" w:space="0" w:color="auto"/>
              <w:bottom w:val="nil"/>
            </w:tcBorders>
            <w:vAlign w:val="center"/>
          </w:tcPr>
          <w:p w:rsidR="004B12D7" w:rsidRPr="00EF6C9E" w:rsidRDefault="004B12D7" w:rsidP="00451D51">
            <w:pPr>
              <w:jc w:val="center"/>
              <w:rPr>
                <w:sz w:val="18"/>
                <w:szCs w:val="18"/>
              </w:rPr>
            </w:pPr>
            <w:r w:rsidRPr="00EF6C9E">
              <w:rPr>
                <w:sz w:val="18"/>
                <w:szCs w:val="18"/>
              </w:rPr>
              <w:t>4.7</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tcBorders>
              <w:top w:val="nil"/>
              <w:bottom w:val="nil"/>
            </w:tcBorders>
            <w:vAlign w:val="center"/>
          </w:tcPr>
          <w:p w:rsidR="004B12D7" w:rsidRPr="00EF6C9E" w:rsidRDefault="004B12D7" w:rsidP="00451D51">
            <w:pPr>
              <w:jc w:val="center"/>
              <w:rPr>
                <w:sz w:val="18"/>
                <w:szCs w:val="18"/>
              </w:rPr>
            </w:pPr>
            <w:r>
              <w:rPr>
                <w:sz w:val="18"/>
                <w:szCs w:val="18"/>
              </w:rPr>
              <w:t>category II</w:t>
            </w:r>
          </w:p>
        </w:tc>
        <w:tc>
          <w:tcPr>
            <w:tcW w:w="1488" w:type="dxa"/>
            <w:tcBorders>
              <w:top w:val="nil"/>
              <w:bottom w:val="nil"/>
            </w:tcBorders>
            <w:vAlign w:val="center"/>
          </w:tcPr>
          <w:p w:rsidR="004B12D7" w:rsidRPr="00EF6C9E" w:rsidRDefault="004B12D7" w:rsidP="00451D51">
            <w:pPr>
              <w:jc w:val="center"/>
              <w:rPr>
                <w:sz w:val="18"/>
                <w:szCs w:val="18"/>
              </w:rPr>
            </w:pPr>
            <w:r w:rsidRPr="00EF6C9E">
              <w:rPr>
                <w:sz w:val="18"/>
                <w:szCs w:val="18"/>
              </w:rPr>
              <w:t>29.3 ± 1.2</w:t>
            </w:r>
          </w:p>
        </w:tc>
        <w:tc>
          <w:tcPr>
            <w:tcW w:w="1580" w:type="dxa"/>
            <w:tcBorders>
              <w:top w:val="nil"/>
              <w:bottom w:val="nil"/>
            </w:tcBorders>
            <w:vAlign w:val="center"/>
          </w:tcPr>
          <w:p w:rsidR="004B12D7" w:rsidRPr="00EF6C9E" w:rsidRDefault="004B12D7" w:rsidP="00451D51">
            <w:pPr>
              <w:jc w:val="center"/>
              <w:rPr>
                <w:sz w:val="18"/>
                <w:szCs w:val="18"/>
              </w:rPr>
            </w:pPr>
            <w:r w:rsidRPr="00EF6C9E">
              <w:rPr>
                <w:sz w:val="18"/>
                <w:szCs w:val="18"/>
              </w:rPr>
              <w:t>24.2</w:t>
            </w:r>
            <w:r>
              <w:rPr>
                <w:sz w:val="18"/>
                <w:szCs w:val="18"/>
              </w:rPr>
              <w:t>–</w:t>
            </w:r>
            <w:r w:rsidRPr="00EF6C9E">
              <w:rPr>
                <w:sz w:val="18"/>
                <w:szCs w:val="18"/>
              </w:rPr>
              <w:t>33.4</w:t>
            </w:r>
          </w:p>
        </w:tc>
        <w:tc>
          <w:tcPr>
            <w:tcW w:w="1418" w:type="dxa"/>
            <w:tcBorders>
              <w:top w:val="nil"/>
              <w:bottom w:val="nil"/>
            </w:tcBorders>
            <w:vAlign w:val="center"/>
          </w:tcPr>
          <w:p w:rsidR="004B12D7" w:rsidRPr="00EF6C9E" w:rsidRDefault="004B12D7" w:rsidP="00451D51">
            <w:pPr>
              <w:jc w:val="center"/>
              <w:rPr>
                <w:sz w:val="18"/>
                <w:szCs w:val="18"/>
              </w:rPr>
            </w:pPr>
            <w:r w:rsidRPr="00EF6C9E">
              <w:rPr>
                <w:sz w:val="18"/>
                <w:szCs w:val="18"/>
              </w:rPr>
              <w:t>3.5</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tcBorders>
              <w:top w:val="nil"/>
              <w:bottom w:val="nil"/>
            </w:tcBorders>
            <w:vAlign w:val="center"/>
          </w:tcPr>
          <w:p w:rsidR="004B12D7" w:rsidRPr="00EF6C9E" w:rsidRDefault="004B12D7" w:rsidP="00451D51">
            <w:pPr>
              <w:jc w:val="center"/>
              <w:rPr>
                <w:sz w:val="18"/>
                <w:szCs w:val="18"/>
              </w:rPr>
            </w:pPr>
            <w:r>
              <w:rPr>
                <w:sz w:val="18"/>
                <w:szCs w:val="18"/>
              </w:rPr>
              <w:t>category III</w:t>
            </w:r>
          </w:p>
        </w:tc>
        <w:tc>
          <w:tcPr>
            <w:tcW w:w="1488" w:type="dxa"/>
            <w:tcBorders>
              <w:top w:val="nil"/>
              <w:bottom w:val="nil"/>
            </w:tcBorders>
            <w:vAlign w:val="center"/>
          </w:tcPr>
          <w:p w:rsidR="004B12D7" w:rsidRPr="00EF6C9E" w:rsidRDefault="004B12D7" w:rsidP="00451D51">
            <w:pPr>
              <w:jc w:val="center"/>
              <w:rPr>
                <w:sz w:val="18"/>
                <w:szCs w:val="18"/>
              </w:rPr>
            </w:pPr>
            <w:r w:rsidRPr="00EF6C9E">
              <w:rPr>
                <w:sz w:val="18"/>
                <w:szCs w:val="18"/>
              </w:rPr>
              <w:t>19.8 ± 2.4</w:t>
            </w:r>
          </w:p>
        </w:tc>
        <w:tc>
          <w:tcPr>
            <w:tcW w:w="1580" w:type="dxa"/>
            <w:tcBorders>
              <w:top w:val="nil"/>
              <w:bottom w:val="nil"/>
            </w:tcBorders>
            <w:vAlign w:val="center"/>
          </w:tcPr>
          <w:p w:rsidR="004B12D7" w:rsidRPr="00EF6C9E" w:rsidRDefault="004B12D7" w:rsidP="00451D51">
            <w:pPr>
              <w:jc w:val="center"/>
              <w:rPr>
                <w:sz w:val="18"/>
                <w:szCs w:val="18"/>
              </w:rPr>
            </w:pPr>
            <w:r w:rsidRPr="00EF6C9E">
              <w:rPr>
                <w:sz w:val="18"/>
                <w:szCs w:val="18"/>
              </w:rPr>
              <w:t>7.1</w:t>
            </w:r>
            <w:r>
              <w:rPr>
                <w:sz w:val="18"/>
                <w:szCs w:val="18"/>
              </w:rPr>
              <w:t>–</w:t>
            </w:r>
            <w:r w:rsidRPr="00EF6C9E">
              <w:rPr>
                <w:sz w:val="18"/>
                <w:szCs w:val="18"/>
              </w:rPr>
              <w:t>31.9</w:t>
            </w:r>
          </w:p>
        </w:tc>
        <w:tc>
          <w:tcPr>
            <w:tcW w:w="1418" w:type="dxa"/>
            <w:tcBorders>
              <w:top w:val="nil"/>
              <w:bottom w:val="nil"/>
            </w:tcBorders>
            <w:vAlign w:val="center"/>
          </w:tcPr>
          <w:p w:rsidR="004B12D7" w:rsidRPr="00EF6C9E" w:rsidRDefault="004B12D7" w:rsidP="00451D51">
            <w:pPr>
              <w:jc w:val="center"/>
              <w:rPr>
                <w:sz w:val="18"/>
                <w:szCs w:val="18"/>
              </w:rPr>
            </w:pPr>
            <w:r w:rsidRPr="00EF6C9E">
              <w:rPr>
                <w:sz w:val="18"/>
                <w:szCs w:val="18"/>
              </w:rPr>
              <w:t>7.2</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tcBorders>
              <w:top w:val="nil"/>
              <w:bottom w:val="single" w:sz="4" w:space="0" w:color="auto"/>
            </w:tcBorders>
            <w:vAlign w:val="center"/>
          </w:tcPr>
          <w:p w:rsidR="004B12D7" w:rsidRPr="00EF6C9E" w:rsidRDefault="004B12D7" w:rsidP="00451D51">
            <w:pPr>
              <w:jc w:val="center"/>
              <w:rPr>
                <w:sz w:val="18"/>
                <w:szCs w:val="18"/>
              </w:rPr>
            </w:pPr>
            <w:r>
              <w:rPr>
                <w:sz w:val="18"/>
                <w:szCs w:val="18"/>
              </w:rPr>
              <w:t>category IV</w:t>
            </w:r>
          </w:p>
        </w:tc>
        <w:tc>
          <w:tcPr>
            <w:tcW w:w="1488" w:type="dxa"/>
            <w:tcBorders>
              <w:top w:val="nil"/>
              <w:bottom w:val="single" w:sz="4" w:space="0" w:color="auto"/>
            </w:tcBorders>
            <w:vAlign w:val="center"/>
          </w:tcPr>
          <w:p w:rsidR="004B12D7" w:rsidRPr="00EF6C9E" w:rsidRDefault="004B12D7" w:rsidP="00451D51">
            <w:pPr>
              <w:jc w:val="center"/>
              <w:rPr>
                <w:sz w:val="18"/>
                <w:szCs w:val="18"/>
              </w:rPr>
            </w:pPr>
            <w:r w:rsidRPr="00EF6C9E">
              <w:rPr>
                <w:sz w:val="18"/>
                <w:szCs w:val="18"/>
              </w:rPr>
              <w:t>3.8 ± 0.8</w:t>
            </w:r>
          </w:p>
        </w:tc>
        <w:tc>
          <w:tcPr>
            <w:tcW w:w="1580" w:type="dxa"/>
            <w:tcBorders>
              <w:top w:val="nil"/>
              <w:bottom w:val="single" w:sz="4" w:space="0" w:color="auto"/>
            </w:tcBorders>
            <w:vAlign w:val="center"/>
          </w:tcPr>
          <w:p w:rsidR="004B12D7" w:rsidRPr="00EF6C9E" w:rsidRDefault="004B12D7" w:rsidP="00451D51">
            <w:pPr>
              <w:jc w:val="center"/>
              <w:rPr>
                <w:sz w:val="18"/>
                <w:szCs w:val="18"/>
              </w:rPr>
            </w:pPr>
            <w:r w:rsidRPr="00EF6C9E">
              <w:rPr>
                <w:sz w:val="18"/>
                <w:szCs w:val="18"/>
              </w:rPr>
              <w:t>1.0</w:t>
            </w:r>
            <w:r>
              <w:rPr>
                <w:sz w:val="18"/>
                <w:szCs w:val="18"/>
              </w:rPr>
              <w:t>–</w:t>
            </w:r>
            <w:r w:rsidRPr="00EF6C9E">
              <w:rPr>
                <w:sz w:val="18"/>
                <w:szCs w:val="18"/>
              </w:rPr>
              <w:t>7.5</w:t>
            </w:r>
          </w:p>
        </w:tc>
        <w:tc>
          <w:tcPr>
            <w:tcW w:w="1418" w:type="dxa"/>
            <w:tcBorders>
              <w:top w:val="nil"/>
              <w:bottom w:val="single" w:sz="4" w:space="0" w:color="auto"/>
            </w:tcBorders>
            <w:vAlign w:val="center"/>
          </w:tcPr>
          <w:p w:rsidR="004B12D7" w:rsidRPr="00EF6C9E" w:rsidRDefault="004B12D7" w:rsidP="00451D51">
            <w:pPr>
              <w:jc w:val="center"/>
              <w:rPr>
                <w:sz w:val="18"/>
                <w:szCs w:val="18"/>
              </w:rPr>
            </w:pPr>
            <w:r w:rsidRPr="00EF6C9E">
              <w:rPr>
                <w:sz w:val="18"/>
                <w:szCs w:val="18"/>
              </w:rPr>
              <w:t>2.4</w:t>
            </w:r>
          </w:p>
        </w:tc>
      </w:tr>
      <w:tr w:rsidR="004B12D7" w:rsidRPr="00EF6C9E" w:rsidTr="00B057B9">
        <w:trPr>
          <w:trHeight w:val="255"/>
          <w:jc w:val="center"/>
        </w:trPr>
        <w:tc>
          <w:tcPr>
            <w:tcW w:w="1350" w:type="dxa"/>
            <w:vMerge w:val="restart"/>
            <w:vAlign w:val="center"/>
          </w:tcPr>
          <w:p w:rsidR="004B12D7" w:rsidRPr="00EF6C9E" w:rsidRDefault="004B12D7" w:rsidP="00451D51">
            <w:pPr>
              <w:jc w:val="center"/>
              <w:rPr>
                <w:sz w:val="18"/>
                <w:szCs w:val="18"/>
              </w:rPr>
            </w:pPr>
            <w:r w:rsidRPr="00EF6C9E">
              <w:rPr>
                <w:sz w:val="18"/>
                <w:szCs w:val="18"/>
              </w:rPr>
              <w:t>T3</w:t>
            </w:r>
          </w:p>
        </w:tc>
        <w:tc>
          <w:tcPr>
            <w:tcW w:w="1252" w:type="dxa"/>
            <w:tcBorders>
              <w:top w:val="single" w:sz="4" w:space="0" w:color="auto"/>
            </w:tcBorders>
            <w:vAlign w:val="center"/>
          </w:tcPr>
          <w:p w:rsidR="004B12D7" w:rsidRPr="00EF6C9E" w:rsidRDefault="004B12D7" w:rsidP="00451D51">
            <w:pPr>
              <w:jc w:val="center"/>
              <w:rPr>
                <w:sz w:val="18"/>
                <w:szCs w:val="18"/>
              </w:rPr>
            </w:pPr>
            <w:r>
              <w:rPr>
                <w:sz w:val="18"/>
                <w:szCs w:val="18"/>
              </w:rPr>
              <w:t>category I</w:t>
            </w:r>
          </w:p>
        </w:tc>
        <w:tc>
          <w:tcPr>
            <w:tcW w:w="1488" w:type="dxa"/>
            <w:tcBorders>
              <w:top w:val="single" w:sz="4" w:space="0" w:color="auto"/>
            </w:tcBorders>
            <w:vAlign w:val="center"/>
          </w:tcPr>
          <w:p w:rsidR="004B12D7" w:rsidRPr="00EF6C9E" w:rsidRDefault="004B12D7" w:rsidP="00451D51">
            <w:pPr>
              <w:jc w:val="center"/>
              <w:rPr>
                <w:sz w:val="18"/>
                <w:szCs w:val="18"/>
              </w:rPr>
            </w:pPr>
            <w:r w:rsidRPr="00EF6C9E">
              <w:rPr>
                <w:sz w:val="18"/>
                <w:szCs w:val="18"/>
              </w:rPr>
              <w:t>48.1 ± 2.4</w:t>
            </w:r>
          </w:p>
        </w:tc>
        <w:tc>
          <w:tcPr>
            <w:tcW w:w="1580" w:type="dxa"/>
            <w:tcBorders>
              <w:top w:val="single" w:sz="4" w:space="0" w:color="auto"/>
            </w:tcBorders>
            <w:vAlign w:val="center"/>
          </w:tcPr>
          <w:p w:rsidR="004B12D7" w:rsidRPr="00EF6C9E" w:rsidRDefault="004B12D7" w:rsidP="00451D51">
            <w:pPr>
              <w:jc w:val="center"/>
              <w:rPr>
                <w:sz w:val="18"/>
                <w:szCs w:val="18"/>
              </w:rPr>
            </w:pPr>
            <w:r w:rsidRPr="00EF6C9E">
              <w:rPr>
                <w:sz w:val="18"/>
                <w:szCs w:val="18"/>
              </w:rPr>
              <w:t>37.2</w:t>
            </w:r>
            <w:r>
              <w:rPr>
                <w:sz w:val="18"/>
                <w:szCs w:val="18"/>
              </w:rPr>
              <w:t>–</w:t>
            </w:r>
            <w:r w:rsidRPr="00EF6C9E">
              <w:rPr>
                <w:sz w:val="18"/>
                <w:szCs w:val="18"/>
              </w:rPr>
              <w:t>59.6</w:t>
            </w:r>
          </w:p>
        </w:tc>
        <w:tc>
          <w:tcPr>
            <w:tcW w:w="1418" w:type="dxa"/>
            <w:tcBorders>
              <w:top w:val="single" w:sz="4" w:space="0" w:color="auto"/>
            </w:tcBorders>
            <w:vAlign w:val="center"/>
          </w:tcPr>
          <w:p w:rsidR="004B12D7" w:rsidRPr="00EF6C9E" w:rsidRDefault="004B12D7" w:rsidP="00451D51">
            <w:pPr>
              <w:jc w:val="center"/>
              <w:rPr>
                <w:sz w:val="18"/>
                <w:szCs w:val="18"/>
              </w:rPr>
            </w:pPr>
            <w:r w:rsidRPr="00EF6C9E">
              <w:rPr>
                <w:sz w:val="18"/>
                <w:szCs w:val="18"/>
              </w:rPr>
              <w:t>7.3</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vAlign w:val="center"/>
          </w:tcPr>
          <w:p w:rsidR="004B12D7" w:rsidRPr="00EF6C9E" w:rsidRDefault="004B12D7" w:rsidP="00451D51">
            <w:pPr>
              <w:jc w:val="center"/>
              <w:rPr>
                <w:sz w:val="18"/>
                <w:szCs w:val="18"/>
              </w:rPr>
            </w:pPr>
            <w:r>
              <w:rPr>
                <w:sz w:val="18"/>
                <w:szCs w:val="18"/>
              </w:rPr>
              <w:t>category II</w:t>
            </w:r>
          </w:p>
        </w:tc>
        <w:tc>
          <w:tcPr>
            <w:tcW w:w="1488" w:type="dxa"/>
            <w:vAlign w:val="center"/>
          </w:tcPr>
          <w:p w:rsidR="004B12D7" w:rsidRPr="00EF6C9E" w:rsidRDefault="004B12D7" w:rsidP="00451D51">
            <w:pPr>
              <w:jc w:val="center"/>
              <w:rPr>
                <w:sz w:val="18"/>
                <w:szCs w:val="18"/>
              </w:rPr>
            </w:pPr>
            <w:r w:rsidRPr="00EF6C9E">
              <w:rPr>
                <w:sz w:val="18"/>
                <w:szCs w:val="18"/>
              </w:rPr>
              <w:t>34.8 ± 2.5</w:t>
            </w:r>
          </w:p>
        </w:tc>
        <w:tc>
          <w:tcPr>
            <w:tcW w:w="1580" w:type="dxa"/>
            <w:vAlign w:val="center"/>
          </w:tcPr>
          <w:p w:rsidR="004B12D7" w:rsidRPr="00EF6C9E" w:rsidRDefault="004B12D7" w:rsidP="00451D51">
            <w:pPr>
              <w:jc w:val="center"/>
              <w:rPr>
                <w:sz w:val="18"/>
                <w:szCs w:val="18"/>
              </w:rPr>
            </w:pPr>
            <w:r w:rsidRPr="00EF6C9E">
              <w:rPr>
                <w:sz w:val="18"/>
                <w:szCs w:val="18"/>
              </w:rPr>
              <w:t>26.7</w:t>
            </w:r>
            <w:r>
              <w:rPr>
                <w:sz w:val="18"/>
                <w:szCs w:val="18"/>
              </w:rPr>
              <w:t>–</w:t>
            </w:r>
            <w:r w:rsidRPr="00EF6C9E">
              <w:rPr>
                <w:sz w:val="18"/>
                <w:szCs w:val="18"/>
              </w:rPr>
              <w:t>48.7</w:t>
            </w:r>
          </w:p>
        </w:tc>
        <w:tc>
          <w:tcPr>
            <w:tcW w:w="1418" w:type="dxa"/>
            <w:vAlign w:val="center"/>
          </w:tcPr>
          <w:p w:rsidR="004B12D7" w:rsidRPr="00EF6C9E" w:rsidRDefault="004B12D7" w:rsidP="00451D51">
            <w:pPr>
              <w:jc w:val="center"/>
              <w:rPr>
                <w:sz w:val="18"/>
                <w:szCs w:val="18"/>
              </w:rPr>
            </w:pPr>
            <w:r w:rsidRPr="00EF6C9E">
              <w:rPr>
                <w:sz w:val="18"/>
                <w:szCs w:val="18"/>
              </w:rPr>
              <w:t>7.6</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vAlign w:val="center"/>
          </w:tcPr>
          <w:p w:rsidR="004B12D7" w:rsidRPr="00EF6C9E" w:rsidRDefault="004B12D7" w:rsidP="00451D51">
            <w:pPr>
              <w:jc w:val="center"/>
              <w:rPr>
                <w:sz w:val="18"/>
                <w:szCs w:val="18"/>
              </w:rPr>
            </w:pPr>
            <w:r>
              <w:rPr>
                <w:sz w:val="18"/>
                <w:szCs w:val="18"/>
              </w:rPr>
              <w:t>category III</w:t>
            </w:r>
          </w:p>
        </w:tc>
        <w:tc>
          <w:tcPr>
            <w:tcW w:w="1488" w:type="dxa"/>
            <w:vAlign w:val="center"/>
          </w:tcPr>
          <w:p w:rsidR="004B12D7" w:rsidRPr="00EF6C9E" w:rsidRDefault="004B12D7" w:rsidP="00451D51">
            <w:pPr>
              <w:jc w:val="center"/>
              <w:rPr>
                <w:sz w:val="18"/>
                <w:szCs w:val="18"/>
              </w:rPr>
            </w:pPr>
            <w:r w:rsidRPr="00EF6C9E">
              <w:rPr>
                <w:sz w:val="18"/>
                <w:szCs w:val="18"/>
              </w:rPr>
              <w:t>12.8 ± 2.5</w:t>
            </w:r>
          </w:p>
        </w:tc>
        <w:tc>
          <w:tcPr>
            <w:tcW w:w="1580" w:type="dxa"/>
            <w:vAlign w:val="center"/>
          </w:tcPr>
          <w:p w:rsidR="004B12D7" w:rsidRPr="00EF6C9E" w:rsidRDefault="004B12D7" w:rsidP="00451D51">
            <w:pPr>
              <w:jc w:val="center"/>
              <w:rPr>
                <w:sz w:val="18"/>
                <w:szCs w:val="18"/>
              </w:rPr>
            </w:pPr>
            <w:r w:rsidRPr="00EF6C9E">
              <w:rPr>
                <w:sz w:val="18"/>
                <w:szCs w:val="18"/>
              </w:rPr>
              <w:t>1.6</w:t>
            </w:r>
            <w:r>
              <w:rPr>
                <w:sz w:val="18"/>
                <w:szCs w:val="18"/>
              </w:rPr>
              <w:t>–</w:t>
            </w:r>
            <w:r w:rsidRPr="00EF6C9E">
              <w:rPr>
                <w:sz w:val="18"/>
                <w:szCs w:val="18"/>
              </w:rPr>
              <w:t>23.5</w:t>
            </w:r>
          </w:p>
        </w:tc>
        <w:tc>
          <w:tcPr>
            <w:tcW w:w="1418" w:type="dxa"/>
            <w:vAlign w:val="center"/>
          </w:tcPr>
          <w:p w:rsidR="004B12D7" w:rsidRPr="00EF6C9E" w:rsidRDefault="004B12D7" w:rsidP="00451D51">
            <w:pPr>
              <w:jc w:val="center"/>
              <w:rPr>
                <w:sz w:val="18"/>
                <w:szCs w:val="18"/>
              </w:rPr>
            </w:pPr>
            <w:r w:rsidRPr="00EF6C9E">
              <w:rPr>
                <w:sz w:val="18"/>
                <w:szCs w:val="18"/>
              </w:rPr>
              <w:t>7.4</w:t>
            </w:r>
          </w:p>
        </w:tc>
      </w:tr>
      <w:tr w:rsidR="004B12D7" w:rsidRPr="00EF6C9E" w:rsidTr="00B057B9">
        <w:trPr>
          <w:trHeight w:val="255"/>
          <w:jc w:val="center"/>
        </w:trPr>
        <w:tc>
          <w:tcPr>
            <w:tcW w:w="1350" w:type="dxa"/>
            <w:vMerge/>
            <w:vAlign w:val="center"/>
          </w:tcPr>
          <w:p w:rsidR="004B12D7" w:rsidRPr="00EF6C9E" w:rsidRDefault="004B12D7" w:rsidP="00451D51">
            <w:pPr>
              <w:jc w:val="center"/>
              <w:rPr>
                <w:sz w:val="18"/>
                <w:szCs w:val="18"/>
              </w:rPr>
            </w:pPr>
          </w:p>
        </w:tc>
        <w:tc>
          <w:tcPr>
            <w:tcW w:w="1252" w:type="dxa"/>
            <w:vAlign w:val="center"/>
          </w:tcPr>
          <w:p w:rsidR="004B12D7" w:rsidRPr="00EF6C9E" w:rsidRDefault="004B12D7" w:rsidP="00451D51">
            <w:pPr>
              <w:jc w:val="center"/>
              <w:rPr>
                <w:sz w:val="18"/>
                <w:szCs w:val="18"/>
              </w:rPr>
            </w:pPr>
            <w:r>
              <w:rPr>
                <w:sz w:val="18"/>
                <w:szCs w:val="18"/>
              </w:rPr>
              <w:t>category IV</w:t>
            </w:r>
          </w:p>
        </w:tc>
        <w:tc>
          <w:tcPr>
            <w:tcW w:w="1488" w:type="dxa"/>
            <w:vAlign w:val="center"/>
          </w:tcPr>
          <w:p w:rsidR="004B12D7" w:rsidRPr="00EF6C9E" w:rsidRDefault="004B12D7" w:rsidP="00451D51">
            <w:pPr>
              <w:jc w:val="center"/>
              <w:rPr>
                <w:sz w:val="18"/>
                <w:szCs w:val="18"/>
              </w:rPr>
            </w:pPr>
            <w:r w:rsidRPr="00EF6C9E">
              <w:rPr>
                <w:sz w:val="18"/>
                <w:szCs w:val="18"/>
              </w:rPr>
              <w:t>4.2 ± 0.7</w:t>
            </w:r>
          </w:p>
        </w:tc>
        <w:tc>
          <w:tcPr>
            <w:tcW w:w="1580" w:type="dxa"/>
            <w:vAlign w:val="center"/>
          </w:tcPr>
          <w:p w:rsidR="004B12D7" w:rsidRPr="00EF6C9E" w:rsidRDefault="004B12D7" w:rsidP="00451D51">
            <w:pPr>
              <w:jc w:val="center"/>
              <w:rPr>
                <w:sz w:val="18"/>
                <w:szCs w:val="18"/>
              </w:rPr>
            </w:pPr>
            <w:r w:rsidRPr="00EF6C9E">
              <w:rPr>
                <w:sz w:val="18"/>
                <w:szCs w:val="18"/>
              </w:rPr>
              <w:t>2.1</w:t>
            </w:r>
            <w:r>
              <w:rPr>
                <w:sz w:val="18"/>
                <w:szCs w:val="18"/>
              </w:rPr>
              <w:t>–</w:t>
            </w:r>
            <w:r w:rsidRPr="00EF6C9E">
              <w:rPr>
                <w:sz w:val="18"/>
                <w:szCs w:val="18"/>
              </w:rPr>
              <w:t>8.9</w:t>
            </w:r>
          </w:p>
        </w:tc>
        <w:tc>
          <w:tcPr>
            <w:tcW w:w="1418" w:type="dxa"/>
            <w:vAlign w:val="center"/>
          </w:tcPr>
          <w:p w:rsidR="004B12D7" w:rsidRPr="00EF6C9E" w:rsidRDefault="004B12D7" w:rsidP="00451D51">
            <w:pPr>
              <w:jc w:val="center"/>
              <w:rPr>
                <w:sz w:val="18"/>
                <w:szCs w:val="18"/>
              </w:rPr>
            </w:pPr>
            <w:r w:rsidRPr="00EF6C9E">
              <w:rPr>
                <w:sz w:val="18"/>
                <w:szCs w:val="18"/>
              </w:rPr>
              <w:t>2.1</w:t>
            </w:r>
          </w:p>
        </w:tc>
      </w:tr>
    </w:tbl>
    <w:p w:rsidR="004B12D7" w:rsidRPr="00711B4E" w:rsidRDefault="004B12D7" w:rsidP="00711B4E">
      <w:pPr>
        <w:autoSpaceDE w:val="0"/>
        <w:autoSpaceDN w:val="0"/>
        <w:adjustRightInd w:val="0"/>
        <w:ind w:firstLine="425"/>
        <w:jc w:val="both"/>
        <w:rPr>
          <w:sz w:val="22"/>
          <w:szCs w:val="22"/>
          <w:lang w:val="en-US"/>
        </w:rPr>
      </w:pPr>
    </w:p>
    <w:p w:rsidR="004B12D7" w:rsidRPr="00711B4E" w:rsidRDefault="004B12D7" w:rsidP="00711B4E">
      <w:pPr>
        <w:autoSpaceDE w:val="0"/>
        <w:autoSpaceDN w:val="0"/>
        <w:adjustRightInd w:val="0"/>
        <w:ind w:firstLine="425"/>
        <w:jc w:val="both"/>
        <w:rPr>
          <w:sz w:val="22"/>
          <w:szCs w:val="22"/>
          <w:lang w:val="en-US"/>
        </w:rPr>
      </w:pPr>
      <w:r w:rsidRPr="00711B4E">
        <w:rPr>
          <w:sz w:val="22"/>
          <w:szCs w:val="22"/>
          <w:lang w:val="en-US"/>
        </w:rPr>
        <w:t>Regarding all three types of harvesters, high values of standard deviation can be noticed, which indicates a great dispersion of the obtained data values. These high deviations are caused by unequal conditions of chamomile growing at the microlocality (Frany et al., 1983; Franz et al., 1983; Radanović et al., 2003; Tomić et al., 2004).</w:t>
      </w:r>
    </w:p>
    <w:p w:rsidR="00711B4E" w:rsidRPr="00B057B9" w:rsidRDefault="00711B4E" w:rsidP="00711B4E">
      <w:pPr>
        <w:jc w:val="both"/>
        <w:rPr>
          <w:sz w:val="22"/>
          <w:szCs w:val="22"/>
          <w:lang w:val="en-US"/>
        </w:rPr>
      </w:pPr>
    </w:p>
    <w:p w:rsidR="004B12D7" w:rsidRDefault="004B12D7" w:rsidP="00711B4E">
      <w:pPr>
        <w:jc w:val="both"/>
        <w:rPr>
          <w:sz w:val="22"/>
          <w:szCs w:val="22"/>
          <w:lang w:val="en-US"/>
        </w:rPr>
      </w:pPr>
      <w:r w:rsidRPr="00711B4E">
        <w:rPr>
          <w:sz w:val="22"/>
          <w:szCs w:val="22"/>
          <w:lang w:val="en-US"/>
        </w:rPr>
        <w:t>Table 7. Average values and deviations of harvested chamomile quality categories obtained by the harvester C (%).</w:t>
      </w:r>
    </w:p>
    <w:p w:rsidR="00711B4E" w:rsidRPr="00B057B9" w:rsidRDefault="00711B4E" w:rsidP="00711B4E">
      <w:pPr>
        <w:ind w:firstLine="425"/>
        <w:jc w:val="both"/>
        <w:rPr>
          <w:sz w:val="22"/>
          <w:szCs w:val="22"/>
          <w:lang w:val="en-US"/>
        </w:rPr>
      </w:pPr>
    </w:p>
    <w:tbl>
      <w:tblPr>
        <w:tblW w:w="7371" w:type="dxa"/>
        <w:jc w:val="center"/>
        <w:tblCellMar>
          <w:left w:w="28" w:type="dxa"/>
          <w:right w:w="28" w:type="dxa"/>
        </w:tblCellMar>
        <w:tblLook w:val="00A0"/>
      </w:tblPr>
      <w:tblGrid>
        <w:gridCol w:w="1383"/>
        <w:gridCol w:w="1279"/>
        <w:gridCol w:w="1527"/>
        <w:gridCol w:w="1685"/>
        <w:gridCol w:w="1497"/>
      </w:tblGrid>
      <w:tr w:rsidR="004B12D7" w:rsidRPr="00EF6C9E" w:rsidTr="00711B4E">
        <w:trPr>
          <w:trHeight w:val="454"/>
          <w:jc w:val="center"/>
        </w:trPr>
        <w:tc>
          <w:tcPr>
            <w:tcW w:w="1350" w:type="dxa"/>
            <w:tcBorders>
              <w:top w:val="single" w:sz="4" w:space="0" w:color="auto"/>
              <w:bottom w:val="single" w:sz="4" w:space="0" w:color="auto"/>
            </w:tcBorders>
            <w:vAlign w:val="center"/>
          </w:tcPr>
          <w:p w:rsidR="004B12D7" w:rsidRPr="00711B4E" w:rsidRDefault="004B12D7" w:rsidP="00711B4E">
            <w:pPr>
              <w:jc w:val="center"/>
              <w:rPr>
                <w:bCs/>
                <w:sz w:val="18"/>
                <w:szCs w:val="18"/>
              </w:rPr>
            </w:pPr>
            <w:r w:rsidRPr="00711B4E">
              <w:rPr>
                <w:bCs/>
                <w:sz w:val="18"/>
                <w:szCs w:val="18"/>
              </w:rPr>
              <w:t>Harvesting time</w:t>
            </w:r>
          </w:p>
        </w:tc>
        <w:tc>
          <w:tcPr>
            <w:tcW w:w="1249" w:type="dxa"/>
            <w:tcBorders>
              <w:top w:val="single" w:sz="4" w:space="0" w:color="auto"/>
              <w:bottom w:val="single" w:sz="4" w:space="0" w:color="auto"/>
            </w:tcBorders>
            <w:vAlign w:val="center"/>
          </w:tcPr>
          <w:p w:rsidR="004B12D7" w:rsidRPr="00711B4E" w:rsidRDefault="004B12D7" w:rsidP="00711B4E">
            <w:pPr>
              <w:jc w:val="center"/>
              <w:rPr>
                <w:bCs/>
                <w:sz w:val="18"/>
                <w:szCs w:val="18"/>
              </w:rPr>
            </w:pPr>
            <w:r w:rsidRPr="00711B4E">
              <w:rPr>
                <w:bCs/>
                <w:sz w:val="18"/>
                <w:szCs w:val="18"/>
              </w:rPr>
              <w:t>DV</w:t>
            </w:r>
          </w:p>
        </w:tc>
        <w:tc>
          <w:tcPr>
            <w:tcW w:w="1491" w:type="dxa"/>
            <w:tcBorders>
              <w:top w:val="single" w:sz="4" w:space="0" w:color="auto"/>
              <w:bottom w:val="single" w:sz="4" w:space="0" w:color="auto"/>
            </w:tcBorders>
            <w:vAlign w:val="center"/>
          </w:tcPr>
          <w:p w:rsidR="004B12D7" w:rsidRPr="00711B4E" w:rsidRDefault="004B12D7" w:rsidP="00711B4E">
            <w:pPr>
              <w:jc w:val="center"/>
              <w:rPr>
                <w:bCs/>
                <w:sz w:val="18"/>
                <w:szCs w:val="18"/>
              </w:rPr>
            </w:pPr>
            <w:r w:rsidRPr="00711B4E">
              <w:rPr>
                <w:bCs/>
                <w:sz w:val="18"/>
                <w:szCs w:val="18"/>
              </w:rPr>
              <w:t>Mean</w:t>
            </w:r>
            <w:r w:rsidR="00711B4E">
              <w:rPr>
                <w:bCs/>
                <w:sz w:val="18"/>
                <w:szCs w:val="18"/>
              </w:rPr>
              <w:t xml:space="preserve"> </w:t>
            </w:r>
            <w:r w:rsidR="00711B4E" w:rsidRPr="00711B4E">
              <w:rPr>
                <w:bCs/>
                <w:sz w:val="18"/>
                <w:szCs w:val="18"/>
              </w:rPr>
              <w:t>±</w:t>
            </w:r>
          </w:p>
          <w:p w:rsidR="004B12D7" w:rsidRPr="00711B4E" w:rsidRDefault="004B12D7" w:rsidP="00711B4E">
            <w:pPr>
              <w:jc w:val="center"/>
              <w:rPr>
                <w:bCs/>
                <w:sz w:val="18"/>
                <w:szCs w:val="18"/>
              </w:rPr>
            </w:pPr>
            <w:r w:rsidRPr="00711B4E">
              <w:rPr>
                <w:bCs/>
                <w:sz w:val="18"/>
                <w:szCs w:val="18"/>
              </w:rPr>
              <w:t>Std. error</w:t>
            </w:r>
          </w:p>
        </w:tc>
        <w:tc>
          <w:tcPr>
            <w:tcW w:w="1645" w:type="dxa"/>
            <w:tcBorders>
              <w:top w:val="single" w:sz="4" w:space="0" w:color="auto"/>
              <w:bottom w:val="single" w:sz="4" w:space="0" w:color="auto"/>
            </w:tcBorders>
            <w:vAlign w:val="center"/>
          </w:tcPr>
          <w:p w:rsidR="004B12D7" w:rsidRPr="00711B4E" w:rsidRDefault="004B12D7" w:rsidP="00711B4E">
            <w:pPr>
              <w:jc w:val="center"/>
              <w:rPr>
                <w:bCs/>
                <w:sz w:val="18"/>
                <w:szCs w:val="18"/>
              </w:rPr>
            </w:pPr>
            <w:r w:rsidRPr="00711B4E">
              <w:rPr>
                <w:bCs/>
                <w:sz w:val="18"/>
                <w:szCs w:val="18"/>
              </w:rPr>
              <w:t xml:space="preserve">Range </w:t>
            </w:r>
            <w:r w:rsidRPr="00711B4E">
              <w:rPr>
                <w:bCs/>
                <w:sz w:val="18"/>
                <w:szCs w:val="18"/>
              </w:rPr>
              <w:br/>
              <w:t>(x</w:t>
            </w:r>
            <w:r w:rsidRPr="00711B4E">
              <w:rPr>
                <w:bCs/>
                <w:sz w:val="18"/>
                <w:szCs w:val="18"/>
                <w:vertAlign w:val="subscript"/>
              </w:rPr>
              <w:t>min</w:t>
            </w:r>
            <w:r w:rsidRPr="00711B4E">
              <w:rPr>
                <w:bCs/>
                <w:sz w:val="18"/>
                <w:szCs w:val="18"/>
              </w:rPr>
              <w:t>–x</w:t>
            </w:r>
            <w:r w:rsidRPr="00711B4E">
              <w:rPr>
                <w:bCs/>
                <w:sz w:val="18"/>
                <w:szCs w:val="18"/>
                <w:vertAlign w:val="subscript"/>
              </w:rPr>
              <w:t>max</w:t>
            </w:r>
            <w:r w:rsidRPr="00711B4E">
              <w:rPr>
                <w:bCs/>
                <w:sz w:val="18"/>
                <w:szCs w:val="18"/>
              </w:rPr>
              <w:t>)</w:t>
            </w:r>
          </w:p>
        </w:tc>
        <w:tc>
          <w:tcPr>
            <w:tcW w:w="1461" w:type="dxa"/>
            <w:tcBorders>
              <w:top w:val="single" w:sz="4" w:space="0" w:color="auto"/>
              <w:bottom w:val="single" w:sz="4" w:space="0" w:color="auto"/>
            </w:tcBorders>
            <w:vAlign w:val="center"/>
          </w:tcPr>
          <w:p w:rsidR="004B12D7" w:rsidRPr="00711B4E" w:rsidRDefault="004B12D7" w:rsidP="00711B4E">
            <w:pPr>
              <w:jc w:val="center"/>
              <w:rPr>
                <w:bCs/>
                <w:sz w:val="18"/>
                <w:szCs w:val="18"/>
              </w:rPr>
            </w:pPr>
            <w:r w:rsidRPr="00711B4E">
              <w:rPr>
                <w:bCs/>
                <w:sz w:val="18"/>
                <w:szCs w:val="18"/>
              </w:rPr>
              <w:t>Standard deviation</w:t>
            </w:r>
          </w:p>
        </w:tc>
      </w:tr>
      <w:tr w:rsidR="004B12D7" w:rsidRPr="00EF6C9E" w:rsidTr="00B057B9">
        <w:trPr>
          <w:trHeight w:val="255"/>
          <w:jc w:val="center"/>
        </w:trPr>
        <w:tc>
          <w:tcPr>
            <w:tcW w:w="1350" w:type="dxa"/>
            <w:vMerge w:val="restart"/>
            <w:tcBorders>
              <w:top w:val="single" w:sz="4" w:space="0" w:color="auto"/>
            </w:tcBorders>
            <w:vAlign w:val="center"/>
          </w:tcPr>
          <w:p w:rsidR="004B12D7" w:rsidRPr="00EF6C9E" w:rsidRDefault="004B12D7" w:rsidP="00711B4E">
            <w:pPr>
              <w:jc w:val="center"/>
              <w:rPr>
                <w:sz w:val="18"/>
                <w:szCs w:val="18"/>
              </w:rPr>
            </w:pPr>
            <w:r w:rsidRPr="00EF6C9E">
              <w:rPr>
                <w:sz w:val="18"/>
                <w:szCs w:val="18"/>
              </w:rPr>
              <w:t>T1</w:t>
            </w:r>
          </w:p>
        </w:tc>
        <w:tc>
          <w:tcPr>
            <w:tcW w:w="1249" w:type="dxa"/>
            <w:tcBorders>
              <w:top w:val="single" w:sz="4" w:space="0" w:color="auto"/>
            </w:tcBorders>
            <w:vAlign w:val="center"/>
          </w:tcPr>
          <w:p w:rsidR="004B12D7" w:rsidRPr="00EF6C9E" w:rsidRDefault="004B12D7" w:rsidP="00711B4E">
            <w:pPr>
              <w:jc w:val="center"/>
              <w:rPr>
                <w:sz w:val="18"/>
                <w:szCs w:val="18"/>
              </w:rPr>
            </w:pPr>
            <w:r>
              <w:rPr>
                <w:sz w:val="18"/>
                <w:szCs w:val="18"/>
              </w:rPr>
              <w:t>category I</w:t>
            </w:r>
          </w:p>
        </w:tc>
        <w:tc>
          <w:tcPr>
            <w:tcW w:w="1491"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41.2 ± 2.8</w:t>
            </w:r>
          </w:p>
        </w:tc>
        <w:tc>
          <w:tcPr>
            <w:tcW w:w="1645"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30.1</w:t>
            </w:r>
            <w:r>
              <w:rPr>
                <w:sz w:val="18"/>
                <w:szCs w:val="18"/>
              </w:rPr>
              <w:t>–</w:t>
            </w:r>
            <w:r w:rsidRPr="00EF6C9E">
              <w:rPr>
                <w:sz w:val="18"/>
                <w:szCs w:val="18"/>
              </w:rPr>
              <w:t>56.4</w:t>
            </w:r>
          </w:p>
        </w:tc>
        <w:tc>
          <w:tcPr>
            <w:tcW w:w="1461"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8.3</w:t>
            </w:r>
          </w:p>
        </w:tc>
      </w:tr>
      <w:tr w:rsidR="004B12D7" w:rsidRPr="00EF6C9E" w:rsidTr="00B057B9">
        <w:trPr>
          <w:trHeight w:val="255"/>
          <w:jc w:val="center"/>
        </w:trPr>
        <w:tc>
          <w:tcPr>
            <w:tcW w:w="1350" w:type="dxa"/>
            <w:vMerge/>
            <w:vAlign w:val="center"/>
          </w:tcPr>
          <w:p w:rsidR="004B12D7" w:rsidRPr="00EF6C9E" w:rsidRDefault="004B12D7" w:rsidP="00711B4E">
            <w:pPr>
              <w:jc w:val="center"/>
              <w:rPr>
                <w:sz w:val="18"/>
                <w:szCs w:val="18"/>
              </w:rPr>
            </w:pPr>
          </w:p>
        </w:tc>
        <w:tc>
          <w:tcPr>
            <w:tcW w:w="1249" w:type="dxa"/>
            <w:vAlign w:val="center"/>
          </w:tcPr>
          <w:p w:rsidR="004B12D7" w:rsidRPr="00EF6C9E" w:rsidRDefault="004B12D7" w:rsidP="00711B4E">
            <w:pPr>
              <w:jc w:val="center"/>
              <w:rPr>
                <w:sz w:val="18"/>
                <w:szCs w:val="18"/>
              </w:rPr>
            </w:pPr>
            <w:r>
              <w:rPr>
                <w:sz w:val="18"/>
                <w:szCs w:val="18"/>
              </w:rPr>
              <w:t>category II</w:t>
            </w:r>
          </w:p>
        </w:tc>
        <w:tc>
          <w:tcPr>
            <w:tcW w:w="1491" w:type="dxa"/>
            <w:vAlign w:val="center"/>
          </w:tcPr>
          <w:p w:rsidR="004B12D7" w:rsidRPr="00EF6C9E" w:rsidRDefault="004B12D7" w:rsidP="00711B4E">
            <w:pPr>
              <w:jc w:val="center"/>
              <w:rPr>
                <w:sz w:val="18"/>
                <w:szCs w:val="18"/>
              </w:rPr>
            </w:pPr>
            <w:r w:rsidRPr="00EF6C9E">
              <w:rPr>
                <w:sz w:val="18"/>
                <w:szCs w:val="18"/>
              </w:rPr>
              <w:t>34.6 ± 2.9</w:t>
            </w:r>
          </w:p>
        </w:tc>
        <w:tc>
          <w:tcPr>
            <w:tcW w:w="1645" w:type="dxa"/>
            <w:vAlign w:val="center"/>
          </w:tcPr>
          <w:p w:rsidR="004B12D7" w:rsidRPr="00EF6C9E" w:rsidRDefault="004B12D7" w:rsidP="00711B4E">
            <w:pPr>
              <w:jc w:val="center"/>
              <w:rPr>
                <w:sz w:val="18"/>
                <w:szCs w:val="18"/>
              </w:rPr>
            </w:pPr>
            <w:r w:rsidRPr="00EF6C9E">
              <w:rPr>
                <w:sz w:val="18"/>
                <w:szCs w:val="18"/>
              </w:rPr>
              <w:t>22.0</w:t>
            </w:r>
            <w:r>
              <w:rPr>
                <w:sz w:val="18"/>
                <w:szCs w:val="18"/>
              </w:rPr>
              <w:t>–</w:t>
            </w:r>
            <w:r w:rsidRPr="00EF6C9E">
              <w:rPr>
                <w:sz w:val="18"/>
                <w:szCs w:val="18"/>
              </w:rPr>
              <w:t>49.0</w:t>
            </w:r>
          </w:p>
        </w:tc>
        <w:tc>
          <w:tcPr>
            <w:tcW w:w="1461" w:type="dxa"/>
            <w:vAlign w:val="center"/>
          </w:tcPr>
          <w:p w:rsidR="004B12D7" w:rsidRPr="00EF6C9E" w:rsidRDefault="004B12D7" w:rsidP="00711B4E">
            <w:pPr>
              <w:jc w:val="center"/>
              <w:rPr>
                <w:sz w:val="18"/>
                <w:szCs w:val="18"/>
              </w:rPr>
            </w:pPr>
            <w:r w:rsidRPr="00EF6C9E">
              <w:rPr>
                <w:sz w:val="18"/>
                <w:szCs w:val="18"/>
              </w:rPr>
              <w:t>8.6</w:t>
            </w:r>
          </w:p>
        </w:tc>
      </w:tr>
      <w:tr w:rsidR="004B12D7" w:rsidRPr="00EF6C9E" w:rsidTr="00B057B9">
        <w:trPr>
          <w:trHeight w:val="255"/>
          <w:jc w:val="center"/>
        </w:trPr>
        <w:tc>
          <w:tcPr>
            <w:tcW w:w="1350" w:type="dxa"/>
            <w:vMerge/>
            <w:vAlign w:val="center"/>
          </w:tcPr>
          <w:p w:rsidR="004B12D7" w:rsidRPr="00EF6C9E" w:rsidRDefault="004B12D7" w:rsidP="00711B4E">
            <w:pPr>
              <w:jc w:val="center"/>
              <w:rPr>
                <w:sz w:val="18"/>
                <w:szCs w:val="18"/>
              </w:rPr>
            </w:pPr>
          </w:p>
        </w:tc>
        <w:tc>
          <w:tcPr>
            <w:tcW w:w="1249" w:type="dxa"/>
            <w:vAlign w:val="center"/>
          </w:tcPr>
          <w:p w:rsidR="004B12D7" w:rsidRPr="00EF6C9E" w:rsidRDefault="004B12D7" w:rsidP="00711B4E">
            <w:pPr>
              <w:jc w:val="center"/>
              <w:rPr>
                <w:sz w:val="18"/>
                <w:szCs w:val="18"/>
              </w:rPr>
            </w:pPr>
            <w:r>
              <w:rPr>
                <w:sz w:val="18"/>
                <w:szCs w:val="18"/>
              </w:rPr>
              <w:t>category III</w:t>
            </w:r>
          </w:p>
        </w:tc>
        <w:tc>
          <w:tcPr>
            <w:tcW w:w="1491" w:type="dxa"/>
            <w:vAlign w:val="center"/>
          </w:tcPr>
          <w:p w:rsidR="004B12D7" w:rsidRPr="00EF6C9E" w:rsidRDefault="004B12D7" w:rsidP="00711B4E">
            <w:pPr>
              <w:jc w:val="center"/>
              <w:rPr>
                <w:sz w:val="18"/>
                <w:szCs w:val="18"/>
              </w:rPr>
            </w:pPr>
            <w:r w:rsidRPr="00EF6C9E">
              <w:rPr>
                <w:sz w:val="18"/>
                <w:szCs w:val="18"/>
              </w:rPr>
              <w:t>18.3 ± 4.4</w:t>
            </w:r>
          </w:p>
        </w:tc>
        <w:tc>
          <w:tcPr>
            <w:tcW w:w="1645" w:type="dxa"/>
            <w:vAlign w:val="center"/>
          </w:tcPr>
          <w:p w:rsidR="004B12D7" w:rsidRPr="00EF6C9E" w:rsidRDefault="004B12D7" w:rsidP="00711B4E">
            <w:pPr>
              <w:jc w:val="center"/>
              <w:rPr>
                <w:sz w:val="18"/>
                <w:szCs w:val="18"/>
              </w:rPr>
            </w:pPr>
            <w:r w:rsidRPr="00EF6C9E">
              <w:rPr>
                <w:sz w:val="18"/>
                <w:szCs w:val="18"/>
              </w:rPr>
              <w:t>1.9</w:t>
            </w:r>
            <w:r>
              <w:rPr>
                <w:sz w:val="18"/>
                <w:szCs w:val="18"/>
              </w:rPr>
              <w:t>–</w:t>
            </w:r>
            <w:r w:rsidRPr="00EF6C9E">
              <w:rPr>
                <w:sz w:val="18"/>
                <w:szCs w:val="18"/>
              </w:rPr>
              <w:t>40.2</w:t>
            </w:r>
          </w:p>
        </w:tc>
        <w:tc>
          <w:tcPr>
            <w:tcW w:w="1461" w:type="dxa"/>
            <w:vAlign w:val="center"/>
          </w:tcPr>
          <w:p w:rsidR="004B12D7" w:rsidRPr="00EF6C9E" w:rsidRDefault="004B12D7" w:rsidP="00711B4E">
            <w:pPr>
              <w:jc w:val="center"/>
              <w:rPr>
                <w:sz w:val="18"/>
                <w:szCs w:val="18"/>
              </w:rPr>
            </w:pPr>
            <w:r w:rsidRPr="00EF6C9E">
              <w:rPr>
                <w:sz w:val="18"/>
                <w:szCs w:val="18"/>
              </w:rPr>
              <w:t>13.2</w:t>
            </w:r>
          </w:p>
        </w:tc>
      </w:tr>
      <w:tr w:rsidR="004B12D7" w:rsidRPr="00EF6C9E" w:rsidTr="00B057B9">
        <w:trPr>
          <w:trHeight w:val="255"/>
          <w:jc w:val="center"/>
        </w:trPr>
        <w:tc>
          <w:tcPr>
            <w:tcW w:w="1350" w:type="dxa"/>
            <w:vMerge/>
            <w:vAlign w:val="center"/>
          </w:tcPr>
          <w:p w:rsidR="004B12D7" w:rsidRPr="00EF6C9E" w:rsidRDefault="004B12D7" w:rsidP="00711B4E">
            <w:pPr>
              <w:jc w:val="center"/>
              <w:rPr>
                <w:sz w:val="18"/>
                <w:szCs w:val="18"/>
              </w:rPr>
            </w:pPr>
          </w:p>
        </w:tc>
        <w:tc>
          <w:tcPr>
            <w:tcW w:w="1249" w:type="dxa"/>
            <w:tcBorders>
              <w:bottom w:val="single" w:sz="4" w:space="0" w:color="auto"/>
            </w:tcBorders>
            <w:vAlign w:val="center"/>
          </w:tcPr>
          <w:p w:rsidR="004B12D7" w:rsidRPr="00EF6C9E" w:rsidRDefault="004B12D7" w:rsidP="00711B4E">
            <w:pPr>
              <w:jc w:val="center"/>
              <w:rPr>
                <w:sz w:val="18"/>
                <w:szCs w:val="18"/>
              </w:rPr>
            </w:pPr>
            <w:r>
              <w:rPr>
                <w:sz w:val="18"/>
                <w:szCs w:val="18"/>
              </w:rPr>
              <w:t>category IV</w:t>
            </w:r>
          </w:p>
        </w:tc>
        <w:tc>
          <w:tcPr>
            <w:tcW w:w="1491"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5.7 ± 1.3</w:t>
            </w:r>
          </w:p>
        </w:tc>
        <w:tc>
          <w:tcPr>
            <w:tcW w:w="1645"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1.1</w:t>
            </w:r>
            <w:r>
              <w:rPr>
                <w:sz w:val="18"/>
                <w:szCs w:val="18"/>
              </w:rPr>
              <w:t>–</w:t>
            </w:r>
            <w:r w:rsidRPr="00EF6C9E">
              <w:rPr>
                <w:sz w:val="18"/>
                <w:szCs w:val="18"/>
              </w:rPr>
              <w:t>13.4</w:t>
            </w:r>
          </w:p>
        </w:tc>
        <w:tc>
          <w:tcPr>
            <w:tcW w:w="1461"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3.8</w:t>
            </w:r>
          </w:p>
        </w:tc>
      </w:tr>
      <w:tr w:rsidR="004B12D7" w:rsidRPr="00EF6C9E" w:rsidTr="00B057B9">
        <w:trPr>
          <w:trHeight w:val="255"/>
          <w:jc w:val="center"/>
        </w:trPr>
        <w:tc>
          <w:tcPr>
            <w:tcW w:w="1350" w:type="dxa"/>
            <w:vMerge w:val="restart"/>
            <w:vAlign w:val="center"/>
          </w:tcPr>
          <w:p w:rsidR="004B12D7" w:rsidRPr="00EF6C9E" w:rsidRDefault="004B12D7" w:rsidP="00711B4E">
            <w:pPr>
              <w:jc w:val="center"/>
              <w:rPr>
                <w:sz w:val="18"/>
                <w:szCs w:val="18"/>
              </w:rPr>
            </w:pPr>
            <w:r w:rsidRPr="00EF6C9E">
              <w:rPr>
                <w:sz w:val="18"/>
                <w:szCs w:val="18"/>
              </w:rPr>
              <w:t>T2</w:t>
            </w:r>
          </w:p>
        </w:tc>
        <w:tc>
          <w:tcPr>
            <w:tcW w:w="1249" w:type="dxa"/>
            <w:tcBorders>
              <w:top w:val="single" w:sz="4" w:space="0" w:color="auto"/>
            </w:tcBorders>
            <w:vAlign w:val="center"/>
          </w:tcPr>
          <w:p w:rsidR="004B12D7" w:rsidRPr="00EF6C9E" w:rsidRDefault="004B12D7" w:rsidP="00711B4E">
            <w:pPr>
              <w:jc w:val="center"/>
              <w:rPr>
                <w:sz w:val="18"/>
                <w:szCs w:val="18"/>
              </w:rPr>
            </w:pPr>
            <w:r>
              <w:rPr>
                <w:sz w:val="18"/>
                <w:szCs w:val="18"/>
              </w:rPr>
              <w:t>category I</w:t>
            </w:r>
          </w:p>
        </w:tc>
        <w:tc>
          <w:tcPr>
            <w:tcW w:w="1491"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38.6 ± 1.5</w:t>
            </w:r>
          </w:p>
        </w:tc>
        <w:tc>
          <w:tcPr>
            <w:tcW w:w="1645"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32.2</w:t>
            </w:r>
            <w:r>
              <w:rPr>
                <w:sz w:val="18"/>
                <w:szCs w:val="18"/>
              </w:rPr>
              <w:t>–</w:t>
            </w:r>
            <w:r w:rsidRPr="00EF6C9E">
              <w:rPr>
                <w:sz w:val="18"/>
                <w:szCs w:val="18"/>
              </w:rPr>
              <w:t>44.7</w:t>
            </w:r>
          </w:p>
        </w:tc>
        <w:tc>
          <w:tcPr>
            <w:tcW w:w="1461"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4.4</w:t>
            </w:r>
          </w:p>
        </w:tc>
      </w:tr>
      <w:tr w:rsidR="004B12D7" w:rsidRPr="00EF6C9E" w:rsidTr="00B057B9">
        <w:trPr>
          <w:trHeight w:val="255"/>
          <w:jc w:val="center"/>
        </w:trPr>
        <w:tc>
          <w:tcPr>
            <w:tcW w:w="1350" w:type="dxa"/>
            <w:vMerge/>
            <w:vAlign w:val="center"/>
          </w:tcPr>
          <w:p w:rsidR="004B12D7" w:rsidRPr="00EF6C9E" w:rsidRDefault="004B12D7" w:rsidP="00711B4E">
            <w:pPr>
              <w:jc w:val="center"/>
              <w:rPr>
                <w:sz w:val="18"/>
                <w:szCs w:val="18"/>
              </w:rPr>
            </w:pPr>
          </w:p>
        </w:tc>
        <w:tc>
          <w:tcPr>
            <w:tcW w:w="1249" w:type="dxa"/>
            <w:vAlign w:val="center"/>
          </w:tcPr>
          <w:p w:rsidR="004B12D7" w:rsidRPr="00EF6C9E" w:rsidRDefault="004B12D7" w:rsidP="00711B4E">
            <w:pPr>
              <w:jc w:val="center"/>
              <w:rPr>
                <w:sz w:val="18"/>
                <w:szCs w:val="18"/>
              </w:rPr>
            </w:pPr>
            <w:r>
              <w:rPr>
                <w:sz w:val="18"/>
                <w:szCs w:val="18"/>
              </w:rPr>
              <w:t>category II</w:t>
            </w:r>
          </w:p>
        </w:tc>
        <w:tc>
          <w:tcPr>
            <w:tcW w:w="1491" w:type="dxa"/>
            <w:vAlign w:val="center"/>
          </w:tcPr>
          <w:p w:rsidR="004B12D7" w:rsidRPr="00EF6C9E" w:rsidRDefault="004B12D7" w:rsidP="00711B4E">
            <w:pPr>
              <w:jc w:val="center"/>
              <w:rPr>
                <w:sz w:val="18"/>
                <w:szCs w:val="18"/>
              </w:rPr>
            </w:pPr>
            <w:r w:rsidRPr="00EF6C9E">
              <w:rPr>
                <w:sz w:val="18"/>
                <w:szCs w:val="18"/>
              </w:rPr>
              <w:t>37.8 ± 2.4</w:t>
            </w:r>
          </w:p>
        </w:tc>
        <w:tc>
          <w:tcPr>
            <w:tcW w:w="1645" w:type="dxa"/>
            <w:vAlign w:val="center"/>
          </w:tcPr>
          <w:p w:rsidR="004B12D7" w:rsidRPr="00EF6C9E" w:rsidRDefault="004B12D7" w:rsidP="00711B4E">
            <w:pPr>
              <w:jc w:val="center"/>
              <w:rPr>
                <w:sz w:val="18"/>
                <w:szCs w:val="18"/>
              </w:rPr>
            </w:pPr>
            <w:r w:rsidRPr="00EF6C9E">
              <w:rPr>
                <w:sz w:val="18"/>
                <w:szCs w:val="18"/>
              </w:rPr>
              <w:t>29.0</w:t>
            </w:r>
            <w:r>
              <w:rPr>
                <w:sz w:val="18"/>
                <w:szCs w:val="18"/>
              </w:rPr>
              <w:t>–</w:t>
            </w:r>
            <w:r w:rsidRPr="00EF6C9E">
              <w:rPr>
                <w:sz w:val="18"/>
                <w:szCs w:val="18"/>
              </w:rPr>
              <w:t>47.3</w:t>
            </w:r>
          </w:p>
        </w:tc>
        <w:tc>
          <w:tcPr>
            <w:tcW w:w="1461" w:type="dxa"/>
            <w:vAlign w:val="center"/>
          </w:tcPr>
          <w:p w:rsidR="004B12D7" w:rsidRPr="00EF6C9E" w:rsidRDefault="004B12D7" w:rsidP="00711B4E">
            <w:pPr>
              <w:jc w:val="center"/>
              <w:rPr>
                <w:sz w:val="18"/>
                <w:szCs w:val="18"/>
              </w:rPr>
            </w:pPr>
            <w:r w:rsidRPr="00EF6C9E">
              <w:rPr>
                <w:sz w:val="18"/>
                <w:szCs w:val="18"/>
              </w:rPr>
              <w:t>7.1</w:t>
            </w:r>
          </w:p>
        </w:tc>
      </w:tr>
      <w:tr w:rsidR="004B12D7" w:rsidRPr="00EF6C9E" w:rsidTr="00B057B9">
        <w:trPr>
          <w:trHeight w:val="255"/>
          <w:jc w:val="center"/>
        </w:trPr>
        <w:tc>
          <w:tcPr>
            <w:tcW w:w="1350" w:type="dxa"/>
            <w:vMerge/>
            <w:vAlign w:val="center"/>
          </w:tcPr>
          <w:p w:rsidR="004B12D7" w:rsidRPr="00EF6C9E" w:rsidRDefault="004B12D7" w:rsidP="00711B4E">
            <w:pPr>
              <w:jc w:val="center"/>
              <w:rPr>
                <w:sz w:val="18"/>
                <w:szCs w:val="18"/>
              </w:rPr>
            </w:pPr>
          </w:p>
        </w:tc>
        <w:tc>
          <w:tcPr>
            <w:tcW w:w="1249" w:type="dxa"/>
            <w:vAlign w:val="center"/>
          </w:tcPr>
          <w:p w:rsidR="004B12D7" w:rsidRPr="00EF6C9E" w:rsidRDefault="004B12D7" w:rsidP="00711B4E">
            <w:pPr>
              <w:jc w:val="center"/>
              <w:rPr>
                <w:sz w:val="18"/>
                <w:szCs w:val="18"/>
              </w:rPr>
            </w:pPr>
            <w:r>
              <w:rPr>
                <w:sz w:val="18"/>
                <w:szCs w:val="18"/>
              </w:rPr>
              <w:t>category III</w:t>
            </w:r>
          </w:p>
        </w:tc>
        <w:tc>
          <w:tcPr>
            <w:tcW w:w="1491" w:type="dxa"/>
            <w:vAlign w:val="center"/>
          </w:tcPr>
          <w:p w:rsidR="004B12D7" w:rsidRPr="00EF6C9E" w:rsidRDefault="004B12D7" w:rsidP="00711B4E">
            <w:pPr>
              <w:jc w:val="center"/>
              <w:rPr>
                <w:sz w:val="18"/>
                <w:szCs w:val="18"/>
              </w:rPr>
            </w:pPr>
            <w:r w:rsidRPr="00EF6C9E">
              <w:rPr>
                <w:sz w:val="18"/>
                <w:szCs w:val="18"/>
              </w:rPr>
              <w:t>18.3 ± 3.5</w:t>
            </w:r>
          </w:p>
        </w:tc>
        <w:tc>
          <w:tcPr>
            <w:tcW w:w="1645" w:type="dxa"/>
            <w:vAlign w:val="center"/>
          </w:tcPr>
          <w:p w:rsidR="004B12D7" w:rsidRPr="00EF6C9E" w:rsidRDefault="004B12D7" w:rsidP="00711B4E">
            <w:pPr>
              <w:jc w:val="center"/>
              <w:rPr>
                <w:sz w:val="18"/>
                <w:szCs w:val="18"/>
              </w:rPr>
            </w:pPr>
            <w:r w:rsidRPr="00EF6C9E">
              <w:rPr>
                <w:sz w:val="18"/>
                <w:szCs w:val="18"/>
              </w:rPr>
              <w:t>7.6</w:t>
            </w:r>
            <w:r>
              <w:rPr>
                <w:sz w:val="18"/>
                <w:szCs w:val="18"/>
              </w:rPr>
              <w:t>–</w:t>
            </w:r>
            <w:r w:rsidRPr="00EF6C9E">
              <w:rPr>
                <w:sz w:val="18"/>
                <w:szCs w:val="18"/>
              </w:rPr>
              <w:t>32.9</w:t>
            </w:r>
          </w:p>
        </w:tc>
        <w:tc>
          <w:tcPr>
            <w:tcW w:w="1461" w:type="dxa"/>
            <w:vAlign w:val="center"/>
          </w:tcPr>
          <w:p w:rsidR="004B12D7" w:rsidRPr="00EF6C9E" w:rsidRDefault="004B12D7" w:rsidP="00711B4E">
            <w:pPr>
              <w:jc w:val="center"/>
              <w:rPr>
                <w:sz w:val="18"/>
                <w:szCs w:val="18"/>
              </w:rPr>
            </w:pPr>
            <w:r w:rsidRPr="00EF6C9E">
              <w:rPr>
                <w:sz w:val="18"/>
                <w:szCs w:val="18"/>
              </w:rPr>
              <w:t>10.6</w:t>
            </w:r>
          </w:p>
        </w:tc>
      </w:tr>
      <w:tr w:rsidR="004B12D7" w:rsidRPr="00EF6C9E" w:rsidTr="00B057B9">
        <w:trPr>
          <w:trHeight w:val="255"/>
          <w:jc w:val="center"/>
        </w:trPr>
        <w:tc>
          <w:tcPr>
            <w:tcW w:w="1350" w:type="dxa"/>
            <w:vMerge/>
            <w:vAlign w:val="center"/>
          </w:tcPr>
          <w:p w:rsidR="004B12D7" w:rsidRPr="00EF6C9E" w:rsidRDefault="004B12D7" w:rsidP="00711B4E">
            <w:pPr>
              <w:jc w:val="center"/>
              <w:rPr>
                <w:sz w:val="18"/>
                <w:szCs w:val="18"/>
              </w:rPr>
            </w:pPr>
          </w:p>
        </w:tc>
        <w:tc>
          <w:tcPr>
            <w:tcW w:w="1249" w:type="dxa"/>
            <w:tcBorders>
              <w:bottom w:val="single" w:sz="4" w:space="0" w:color="auto"/>
            </w:tcBorders>
            <w:vAlign w:val="center"/>
          </w:tcPr>
          <w:p w:rsidR="004B12D7" w:rsidRPr="00EF6C9E" w:rsidRDefault="004B12D7" w:rsidP="00711B4E">
            <w:pPr>
              <w:jc w:val="center"/>
              <w:rPr>
                <w:sz w:val="18"/>
                <w:szCs w:val="18"/>
              </w:rPr>
            </w:pPr>
            <w:r>
              <w:rPr>
                <w:sz w:val="18"/>
                <w:szCs w:val="18"/>
              </w:rPr>
              <w:t>category IV</w:t>
            </w:r>
          </w:p>
        </w:tc>
        <w:tc>
          <w:tcPr>
            <w:tcW w:w="1491"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5.1 ± 0.6</w:t>
            </w:r>
          </w:p>
        </w:tc>
        <w:tc>
          <w:tcPr>
            <w:tcW w:w="1645"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3.6</w:t>
            </w:r>
            <w:r>
              <w:rPr>
                <w:sz w:val="18"/>
                <w:szCs w:val="18"/>
              </w:rPr>
              <w:t>–</w:t>
            </w:r>
            <w:r w:rsidRPr="00EF6C9E">
              <w:rPr>
                <w:sz w:val="18"/>
                <w:szCs w:val="18"/>
              </w:rPr>
              <w:t>9.3</w:t>
            </w:r>
          </w:p>
        </w:tc>
        <w:tc>
          <w:tcPr>
            <w:tcW w:w="1461"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1.9</w:t>
            </w:r>
          </w:p>
        </w:tc>
      </w:tr>
      <w:tr w:rsidR="004B12D7" w:rsidRPr="00EF6C9E" w:rsidTr="00B057B9">
        <w:trPr>
          <w:trHeight w:val="255"/>
          <w:jc w:val="center"/>
        </w:trPr>
        <w:tc>
          <w:tcPr>
            <w:tcW w:w="1350" w:type="dxa"/>
            <w:vMerge w:val="restart"/>
            <w:vAlign w:val="center"/>
          </w:tcPr>
          <w:p w:rsidR="004B12D7" w:rsidRPr="00EF6C9E" w:rsidRDefault="004B12D7" w:rsidP="00711B4E">
            <w:pPr>
              <w:jc w:val="center"/>
              <w:rPr>
                <w:sz w:val="18"/>
                <w:szCs w:val="18"/>
              </w:rPr>
            </w:pPr>
            <w:r w:rsidRPr="00EF6C9E">
              <w:rPr>
                <w:sz w:val="18"/>
                <w:szCs w:val="18"/>
              </w:rPr>
              <w:t>T3</w:t>
            </w:r>
          </w:p>
        </w:tc>
        <w:tc>
          <w:tcPr>
            <w:tcW w:w="1249" w:type="dxa"/>
            <w:tcBorders>
              <w:top w:val="single" w:sz="4" w:space="0" w:color="auto"/>
            </w:tcBorders>
            <w:vAlign w:val="center"/>
          </w:tcPr>
          <w:p w:rsidR="004B12D7" w:rsidRPr="00EF6C9E" w:rsidRDefault="004B12D7" w:rsidP="00711B4E">
            <w:pPr>
              <w:jc w:val="center"/>
              <w:rPr>
                <w:sz w:val="18"/>
                <w:szCs w:val="18"/>
              </w:rPr>
            </w:pPr>
            <w:r>
              <w:rPr>
                <w:sz w:val="18"/>
                <w:szCs w:val="18"/>
              </w:rPr>
              <w:t>category I</w:t>
            </w:r>
          </w:p>
        </w:tc>
        <w:tc>
          <w:tcPr>
            <w:tcW w:w="1491"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42.9 ± 1.7</w:t>
            </w:r>
          </w:p>
        </w:tc>
        <w:tc>
          <w:tcPr>
            <w:tcW w:w="1645"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36.2</w:t>
            </w:r>
            <w:r>
              <w:rPr>
                <w:sz w:val="18"/>
                <w:szCs w:val="18"/>
              </w:rPr>
              <w:t>–</w:t>
            </w:r>
            <w:r w:rsidRPr="00EF6C9E">
              <w:rPr>
                <w:sz w:val="18"/>
                <w:szCs w:val="18"/>
              </w:rPr>
              <w:t>51.6</w:t>
            </w:r>
          </w:p>
        </w:tc>
        <w:tc>
          <w:tcPr>
            <w:tcW w:w="1461" w:type="dxa"/>
            <w:tcBorders>
              <w:top w:val="single" w:sz="4" w:space="0" w:color="auto"/>
            </w:tcBorders>
            <w:vAlign w:val="center"/>
          </w:tcPr>
          <w:p w:rsidR="004B12D7" w:rsidRPr="00EF6C9E" w:rsidRDefault="004B12D7" w:rsidP="00711B4E">
            <w:pPr>
              <w:jc w:val="center"/>
              <w:rPr>
                <w:sz w:val="18"/>
                <w:szCs w:val="18"/>
              </w:rPr>
            </w:pPr>
            <w:r w:rsidRPr="00EF6C9E">
              <w:rPr>
                <w:sz w:val="18"/>
                <w:szCs w:val="18"/>
              </w:rPr>
              <w:t>5.1</w:t>
            </w:r>
          </w:p>
        </w:tc>
      </w:tr>
      <w:tr w:rsidR="004B12D7" w:rsidRPr="00EF6C9E" w:rsidTr="00B057B9">
        <w:trPr>
          <w:trHeight w:val="255"/>
          <w:jc w:val="center"/>
        </w:trPr>
        <w:tc>
          <w:tcPr>
            <w:tcW w:w="1350" w:type="dxa"/>
            <w:vMerge/>
            <w:vAlign w:val="center"/>
          </w:tcPr>
          <w:p w:rsidR="004B12D7" w:rsidRPr="00EF6C9E" w:rsidRDefault="004B12D7" w:rsidP="00711B4E">
            <w:pPr>
              <w:jc w:val="center"/>
              <w:rPr>
                <w:sz w:val="18"/>
                <w:szCs w:val="18"/>
              </w:rPr>
            </w:pPr>
          </w:p>
        </w:tc>
        <w:tc>
          <w:tcPr>
            <w:tcW w:w="1249" w:type="dxa"/>
            <w:vAlign w:val="center"/>
          </w:tcPr>
          <w:p w:rsidR="004B12D7" w:rsidRPr="00EF6C9E" w:rsidRDefault="004B12D7" w:rsidP="00711B4E">
            <w:pPr>
              <w:jc w:val="center"/>
              <w:rPr>
                <w:sz w:val="18"/>
                <w:szCs w:val="18"/>
              </w:rPr>
            </w:pPr>
            <w:r>
              <w:rPr>
                <w:sz w:val="18"/>
                <w:szCs w:val="18"/>
              </w:rPr>
              <w:t>category II</w:t>
            </w:r>
          </w:p>
        </w:tc>
        <w:tc>
          <w:tcPr>
            <w:tcW w:w="1491" w:type="dxa"/>
            <w:vAlign w:val="center"/>
          </w:tcPr>
          <w:p w:rsidR="004B12D7" w:rsidRPr="00EF6C9E" w:rsidRDefault="004B12D7" w:rsidP="00711B4E">
            <w:pPr>
              <w:jc w:val="center"/>
              <w:rPr>
                <w:sz w:val="18"/>
                <w:szCs w:val="18"/>
              </w:rPr>
            </w:pPr>
            <w:r w:rsidRPr="00EF6C9E">
              <w:rPr>
                <w:sz w:val="18"/>
                <w:szCs w:val="18"/>
              </w:rPr>
              <w:t>32.9 ± 3.0</w:t>
            </w:r>
          </w:p>
        </w:tc>
        <w:tc>
          <w:tcPr>
            <w:tcW w:w="1645" w:type="dxa"/>
            <w:vAlign w:val="center"/>
          </w:tcPr>
          <w:p w:rsidR="004B12D7" w:rsidRPr="00EF6C9E" w:rsidRDefault="004B12D7" w:rsidP="00711B4E">
            <w:pPr>
              <w:jc w:val="center"/>
              <w:rPr>
                <w:sz w:val="18"/>
                <w:szCs w:val="18"/>
              </w:rPr>
            </w:pPr>
            <w:r w:rsidRPr="00EF6C9E">
              <w:rPr>
                <w:sz w:val="18"/>
                <w:szCs w:val="18"/>
              </w:rPr>
              <w:t>20.9</w:t>
            </w:r>
            <w:r>
              <w:rPr>
                <w:sz w:val="18"/>
                <w:szCs w:val="18"/>
              </w:rPr>
              <w:t>–</w:t>
            </w:r>
            <w:r w:rsidRPr="00EF6C9E">
              <w:rPr>
                <w:sz w:val="18"/>
                <w:szCs w:val="18"/>
              </w:rPr>
              <w:t>44.6</w:t>
            </w:r>
          </w:p>
        </w:tc>
        <w:tc>
          <w:tcPr>
            <w:tcW w:w="1461" w:type="dxa"/>
            <w:vAlign w:val="center"/>
          </w:tcPr>
          <w:p w:rsidR="004B12D7" w:rsidRPr="00EF6C9E" w:rsidRDefault="004B12D7" w:rsidP="00711B4E">
            <w:pPr>
              <w:jc w:val="center"/>
              <w:rPr>
                <w:sz w:val="18"/>
                <w:szCs w:val="18"/>
              </w:rPr>
            </w:pPr>
            <w:r w:rsidRPr="00EF6C9E">
              <w:rPr>
                <w:sz w:val="18"/>
                <w:szCs w:val="18"/>
              </w:rPr>
              <w:t>9.1</w:t>
            </w:r>
          </w:p>
        </w:tc>
      </w:tr>
      <w:tr w:rsidR="004B12D7" w:rsidRPr="00EF6C9E" w:rsidTr="00B057B9">
        <w:trPr>
          <w:trHeight w:val="255"/>
          <w:jc w:val="center"/>
        </w:trPr>
        <w:tc>
          <w:tcPr>
            <w:tcW w:w="1350" w:type="dxa"/>
            <w:vMerge/>
            <w:vAlign w:val="center"/>
          </w:tcPr>
          <w:p w:rsidR="004B12D7" w:rsidRPr="00EF6C9E" w:rsidRDefault="004B12D7" w:rsidP="00711B4E">
            <w:pPr>
              <w:jc w:val="center"/>
              <w:rPr>
                <w:sz w:val="18"/>
                <w:szCs w:val="18"/>
              </w:rPr>
            </w:pPr>
          </w:p>
        </w:tc>
        <w:tc>
          <w:tcPr>
            <w:tcW w:w="1249" w:type="dxa"/>
            <w:vAlign w:val="center"/>
          </w:tcPr>
          <w:p w:rsidR="004B12D7" w:rsidRPr="00EF6C9E" w:rsidRDefault="004B12D7" w:rsidP="00711B4E">
            <w:pPr>
              <w:jc w:val="center"/>
              <w:rPr>
                <w:sz w:val="18"/>
                <w:szCs w:val="18"/>
              </w:rPr>
            </w:pPr>
            <w:r>
              <w:rPr>
                <w:sz w:val="18"/>
                <w:szCs w:val="18"/>
              </w:rPr>
              <w:t>category III</w:t>
            </w:r>
          </w:p>
        </w:tc>
        <w:tc>
          <w:tcPr>
            <w:tcW w:w="1491" w:type="dxa"/>
            <w:vAlign w:val="center"/>
          </w:tcPr>
          <w:p w:rsidR="004B12D7" w:rsidRPr="00EF6C9E" w:rsidRDefault="004B12D7" w:rsidP="00711B4E">
            <w:pPr>
              <w:jc w:val="center"/>
              <w:rPr>
                <w:sz w:val="18"/>
                <w:szCs w:val="18"/>
              </w:rPr>
            </w:pPr>
            <w:r w:rsidRPr="00EF6C9E">
              <w:rPr>
                <w:sz w:val="18"/>
                <w:szCs w:val="18"/>
              </w:rPr>
              <w:t>18.1 ± 4.2</w:t>
            </w:r>
          </w:p>
        </w:tc>
        <w:tc>
          <w:tcPr>
            <w:tcW w:w="1645" w:type="dxa"/>
            <w:vAlign w:val="center"/>
          </w:tcPr>
          <w:p w:rsidR="004B12D7" w:rsidRPr="00EF6C9E" w:rsidRDefault="004B12D7" w:rsidP="00711B4E">
            <w:pPr>
              <w:jc w:val="center"/>
              <w:rPr>
                <w:sz w:val="18"/>
                <w:szCs w:val="18"/>
              </w:rPr>
            </w:pPr>
            <w:r w:rsidRPr="00EF6C9E">
              <w:rPr>
                <w:sz w:val="18"/>
                <w:szCs w:val="18"/>
              </w:rPr>
              <w:t>4.0</w:t>
            </w:r>
            <w:r>
              <w:rPr>
                <w:sz w:val="18"/>
                <w:szCs w:val="18"/>
              </w:rPr>
              <w:t>–</w:t>
            </w:r>
            <w:r w:rsidRPr="00EF6C9E">
              <w:rPr>
                <w:sz w:val="18"/>
                <w:szCs w:val="18"/>
              </w:rPr>
              <w:t>36.4</w:t>
            </w:r>
          </w:p>
        </w:tc>
        <w:tc>
          <w:tcPr>
            <w:tcW w:w="1461" w:type="dxa"/>
            <w:vAlign w:val="center"/>
          </w:tcPr>
          <w:p w:rsidR="004B12D7" w:rsidRPr="00EF6C9E" w:rsidRDefault="004B12D7" w:rsidP="00711B4E">
            <w:pPr>
              <w:jc w:val="center"/>
              <w:rPr>
                <w:sz w:val="18"/>
                <w:szCs w:val="18"/>
              </w:rPr>
            </w:pPr>
            <w:r w:rsidRPr="00EF6C9E">
              <w:rPr>
                <w:sz w:val="18"/>
                <w:szCs w:val="18"/>
              </w:rPr>
              <w:t>12.4</w:t>
            </w:r>
          </w:p>
        </w:tc>
      </w:tr>
      <w:tr w:rsidR="004B12D7" w:rsidRPr="00EF6C9E" w:rsidTr="00B057B9">
        <w:trPr>
          <w:trHeight w:val="255"/>
          <w:jc w:val="center"/>
        </w:trPr>
        <w:tc>
          <w:tcPr>
            <w:tcW w:w="1350" w:type="dxa"/>
            <w:vMerge/>
            <w:tcBorders>
              <w:bottom w:val="single" w:sz="4" w:space="0" w:color="auto"/>
            </w:tcBorders>
            <w:vAlign w:val="center"/>
          </w:tcPr>
          <w:p w:rsidR="004B12D7" w:rsidRPr="00EF6C9E" w:rsidRDefault="004B12D7" w:rsidP="00711B4E">
            <w:pPr>
              <w:jc w:val="center"/>
              <w:rPr>
                <w:sz w:val="18"/>
                <w:szCs w:val="18"/>
              </w:rPr>
            </w:pPr>
          </w:p>
        </w:tc>
        <w:tc>
          <w:tcPr>
            <w:tcW w:w="1249" w:type="dxa"/>
            <w:tcBorders>
              <w:bottom w:val="single" w:sz="4" w:space="0" w:color="auto"/>
            </w:tcBorders>
            <w:vAlign w:val="center"/>
          </w:tcPr>
          <w:p w:rsidR="004B12D7" w:rsidRPr="00EF6C9E" w:rsidRDefault="004B12D7" w:rsidP="00711B4E">
            <w:pPr>
              <w:jc w:val="center"/>
              <w:rPr>
                <w:sz w:val="18"/>
                <w:szCs w:val="18"/>
              </w:rPr>
            </w:pPr>
            <w:r>
              <w:rPr>
                <w:sz w:val="18"/>
                <w:szCs w:val="18"/>
              </w:rPr>
              <w:t>category IV</w:t>
            </w:r>
          </w:p>
        </w:tc>
        <w:tc>
          <w:tcPr>
            <w:tcW w:w="1491"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5.8 ± 1.1</w:t>
            </w:r>
          </w:p>
        </w:tc>
        <w:tc>
          <w:tcPr>
            <w:tcW w:w="1645"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3.2</w:t>
            </w:r>
            <w:r>
              <w:rPr>
                <w:sz w:val="18"/>
                <w:szCs w:val="18"/>
              </w:rPr>
              <w:t>–</w:t>
            </w:r>
            <w:r w:rsidRPr="00EF6C9E">
              <w:rPr>
                <w:sz w:val="18"/>
                <w:szCs w:val="18"/>
              </w:rPr>
              <w:t>11.5</w:t>
            </w:r>
          </w:p>
        </w:tc>
        <w:tc>
          <w:tcPr>
            <w:tcW w:w="1461" w:type="dxa"/>
            <w:tcBorders>
              <w:bottom w:val="single" w:sz="4" w:space="0" w:color="auto"/>
            </w:tcBorders>
            <w:vAlign w:val="center"/>
          </w:tcPr>
          <w:p w:rsidR="004B12D7" w:rsidRPr="00EF6C9E" w:rsidRDefault="004B12D7" w:rsidP="00711B4E">
            <w:pPr>
              <w:jc w:val="center"/>
              <w:rPr>
                <w:sz w:val="18"/>
                <w:szCs w:val="18"/>
              </w:rPr>
            </w:pPr>
            <w:r w:rsidRPr="00EF6C9E">
              <w:rPr>
                <w:sz w:val="18"/>
                <w:szCs w:val="18"/>
              </w:rPr>
              <w:t>3.3</w:t>
            </w:r>
          </w:p>
        </w:tc>
      </w:tr>
    </w:tbl>
    <w:p w:rsidR="004B12D7" w:rsidRPr="00F71A33" w:rsidRDefault="004B12D7" w:rsidP="00261650">
      <w:pPr>
        <w:ind w:firstLine="425"/>
        <w:jc w:val="both"/>
        <w:rPr>
          <w:spacing w:val="2"/>
          <w:sz w:val="22"/>
          <w:szCs w:val="22"/>
          <w:lang w:val="en-US"/>
        </w:rPr>
      </w:pPr>
      <w:r w:rsidRPr="00F71A33">
        <w:rPr>
          <w:spacing w:val="2"/>
          <w:sz w:val="22"/>
          <w:szCs w:val="22"/>
          <w:lang w:val="en-US"/>
        </w:rPr>
        <w:lastRenderedPageBreak/>
        <w:t>Multivariate analysis presented in Table 8 does not show a statistically significant influence of interaction of the two observed factors (F=1.583, p=0.075), so the analysis of the separate influence of each independent variable (factor) was done. A statistically significant difference was noticed among samples obtained by different types of harvesters (F=5.536, p&lt;0.001, Wilks’ lambda=0.573). Since the obtained partial Eta squared indicator of the influence of harvester type was equal to 0.243, and based on the directions presented in Cohen (1988), we are of the opinion that harvester type had a very significant influence on the quality of harvested chamomile. On the other hand, the influence of harvesting time on quality of the harvested chamomile was not statistically significant (F=1.631, p=0.121).</w:t>
      </w:r>
    </w:p>
    <w:p w:rsidR="004B12D7" w:rsidRPr="00261650" w:rsidRDefault="004B12D7" w:rsidP="00261650">
      <w:pPr>
        <w:ind w:firstLine="425"/>
        <w:jc w:val="both"/>
        <w:rPr>
          <w:sz w:val="22"/>
          <w:szCs w:val="22"/>
          <w:lang w:val="en-US"/>
        </w:rPr>
      </w:pPr>
    </w:p>
    <w:p w:rsidR="004B12D7" w:rsidRDefault="004B12D7" w:rsidP="00261650">
      <w:pPr>
        <w:jc w:val="both"/>
        <w:rPr>
          <w:sz w:val="22"/>
          <w:szCs w:val="22"/>
          <w:lang w:val="en-US"/>
        </w:rPr>
      </w:pPr>
      <w:r w:rsidRPr="00261650">
        <w:rPr>
          <w:sz w:val="22"/>
          <w:szCs w:val="22"/>
          <w:lang w:val="en-US"/>
        </w:rPr>
        <w:t>Table 8. Results of MANOVA analysis of harvester type and harvesting time on quality of harvested chamomile.</w:t>
      </w:r>
    </w:p>
    <w:p w:rsidR="00261650" w:rsidRPr="00261650" w:rsidRDefault="00261650" w:rsidP="00261650">
      <w:pPr>
        <w:ind w:firstLine="425"/>
        <w:jc w:val="both"/>
        <w:rPr>
          <w:sz w:val="22"/>
          <w:szCs w:val="22"/>
          <w:lang w:val="en-US"/>
        </w:rPr>
      </w:pPr>
    </w:p>
    <w:tbl>
      <w:tblPr>
        <w:tblW w:w="7371" w:type="dxa"/>
        <w:jc w:val="center"/>
        <w:tblBorders>
          <w:top w:val="single" w:sz="4" w:space="0" w:color="auto"/>
          <w:bottom w:val="single" w:sz="4" w:space="0" w:color="auto"/>
        </w:tblBorders>
        <w:tblLayout w:type="fixed"/>
        <w:tblCellMar>
          <w:left w:w="28" w:type="dxa"/>
          <w:right w:w="28" w:type="dxa"/>
        </w:tblCellMar>
        <w:tblLook w:val="00A0"/>
      </w:tblPr>
      <w:tblGrid>
        <w:gridCol w:w="2239"/>
        <w:gridCol w:w="984"/>
        <w:gridCol w:w="717"/>
        <w:gridCol w:w="909"/>
        <w:gridCol w:w="877"/>
        <w:gridCol w:w="639"/>
        <w:gridCol w:w="1006"/>
      </w:tblGrid>
      <w:tr w:rsidR="004B12D7" w:rsidRPr="00261650" w:rsidTr="00B057B9">
        <w:trPr>
          <w:trHeight w:val="510"/>
          <w:jc w:val="center"/>
        </w:trPr>
        <w:tc>
          <w:tcPr>
            <w:tcW w:w="2689" w:type="dxa"/>
            <w:tcBorders>
              <w:top w:val="single" w:sz="4" w:space="0" w:color="auto"/>
              <w:bottom w:val="single" w:sz="4" w:space="0" w:color="auto"/>
            </w:tcBorders>
            <w:noWrap/>
            <w:vAlign w:val="center"/>
          </w:tcPr>
          <w:p w:rsidR="004B12D7" w:rsidRPr="00261650" w:rsidRDefault="004B12D7" w:rsidP="00451D51">
            <w:pPr>
              <w:jc w:val="center"/>
              <w:rPr>
                <w:bCs/>
                <w:sz w:val="18"/>
                <w:szCs w:val="18"/>
              </w:rPr>
            </w:pPr>
            <w:r w:rsidRPr="00261650">
              <w:rPr>
                <w:bCs/>
                <w:sz w:val="18"/>
                <w:szCs w:val="18"/>
              </w:rPr>
              <w:t>Factor</w:t>
            </w:r>
          </w:p>
        </w:tc>
        <w:tc>
          <w:tcPr>
            <w:tcW w:w="1173" w:type="dxa"/>
            <w:tcBorders>
              <w:top w:val="single" w:sz="4" w:space="0" w:color="auto"/>
              <w:bottom w:val="single" w:sz="4" w:space="0" w:color="auto"/>
            </w:tcBorders>
            <w:noWrap/>
            <w:vAlign w:val="center"/>
          </w:tcPr>
          <w:p w:rsidR="004B12D7" w:rsidRPr="00261650" w:rsidRDefault="004B12D7" w:rsidP="00451D51">
            <w:pPr>
              <w:jc w:val="center"/>
              <w:rPr>
                <w:bCs/>
                <w:sz w:val="18"/>
                <w:szCs w:val="18"/>
              </w:rPr>
            </w:pPr>
            <w:r w:rsidRPr="00261650">
              <w:rPr>
                <w:bCs/>
                <w:sz w:val="18"/>
                <w:szCs w:val="18"/>
              </w:rPr>
              <w:t>Wilks’ Lambda</w:t>
            </w:r>
          </w:p>
        </w:tc>
        <w:tc>
          <w:tcPr>
            <w:tcW w:w="850" w:type="dxa"/>
            <w:tcBorders>
              <w:top w:val="single" w:sz="4" w:space="0" w:color="auto"/>
              <w:bottom w:val="single" w:sz="4" w:space="0" w:color="auto"/>
            </w:tcBorders>
            <w:noWrap/>
            <w:vAlign w:val="center"/>
          </w:tcPr>
          <w:p w:rsidR="004B12D7" w:rsidRPr="00261650" w:rsidRDefault="004B12D7" w:rsidP="00451D51">
            <w:pPr>
              <w:jc w:val="center"/>
              <w:rPr>
                <w:bCs/>
                <w:sz w:val="18"/>
                <w:szCs w:val="18"/>
              </w:rPr>
            </w:pPr>
            <w:r w:rsidRPr="00261650">
              <w:rPr>
                <w:bCs/>
                <w:sz w:val="18"/>
                <w:szCs w:val="18"/>
              </w:rPr>
              <w:t>F</w:t>
            </w:r>
          </w:p>
        </w:tc>
        <w:tc>
          <w:tcPr>
            <w:tcW w:w="1082" w:type="dxa"/>
            <w:tcBorders>
              <w:top w:val="single" w:sz="4" w:space="0" w:color="auto"/>
              <w:bottom w:val="single" w:sz="4" w:space="0" w:color="auto"/>
            </w:tcBorders>
            <w:vAlign w:val="center"/>
          </w:tcPr>
          <w:p w:rsidR="004B12D7" w:rsidRPr="00261650" w:rsidRDefault="004B12D7" w:rsidP="00451D51">
            <w:pPr>
              <w:jc w:val="center"/>
              <w:rPr>
                <w:bCs/>
                <w:sz w:val="18"/>
                <w:szCs w:val="18"/>
              </w:rPr>
            </w:pPr>
            <w:r w:rsidRPr="00261650">
              <w:rPr>
                <w:bCs/>
                <w:sz w:val="18"/>
                <w:szCs w:val="18"/>
              </w:rPr>
              <w:t>Hypoth-esis df</w:t>
            </w:r>
          </w:p>
        </w:tc>
        <w:tc>
          <w:tcPr>
            <w:tcW w:w="1044" w:type="dxa"/>
            <w:tcBorders>
              <w:top w:val="single" w:sz="4" w:space="0" w:color="auto"/>
              <w:bottom w:val="single" w:sz="4" w:space="0" w:color="auto"/>
            </w:tcBorders>
            <w:vAlign w:val="center"/>
          </w:tcPr>
          <w:p w:rsidR="004B12D7" w:rsidRPr="00261650" w:rsidRDefault="004B12D7" w:rsidP="00451D51">
            <w:pPr>
              <w:jc w:val="center"/>
              <w:rPr>
                <w:bCs/>
                <w:sz w:val="18"/>
                <w:szCs w:val="18"/>
              </w:rPr>
            </w:pPr>
            <w:r w:rsidRPr="00261650">
              <w:rPr>
                <w:bCs/>
                <w:sz w:val="18"/>
                <w:szCs w:val="18"/>
              </w:rPr>
              <w:t>Error df</w:t>
            </w:r>
          </w:p>
        </w:tc>
        <w:tc>
          <w:tcPr>
            <w:tcW w:w="756" w:type="dxa"/>
            <w:tcBorders>
              <w:top w:val="single" w:sz="4" w:space="0" w:color="auto"/>
              <w:bottom w:val="single" w:sz="4" w:space="0" w:color="auto"/>
            </w:tcBorders>
            <w:vAlign w:val="center"/>
          </w:tcPr>
          <w:p w:rsidR="004B12D7" w:rsidRPr="00261650" w:rsidRDefault="004B12D7" w:rsidP="00451D51">
            <w:pPr>
              <w:jc w:val="center"/>
              <w:rPr>
                <w:bCs/>
                <w:sz w:val="18"/>
                <w:szCs w:val="18"/>
              </w:rPr>
            </w:pPr>
            <w:r w:rsidRPr="00261650">
              <w:rPr>
                <w:bCs/>
                <w:sz w:val="18"/>
                <w:szCs w:val="18"/>
              </w:rPr>
              <w:t>Sig.</w:t>
            </w:r>
          </w:p>
        </w:tc>
        <w:tc>
          <w:tcPr>
            <w:tcW w:w="1200" w:type="dxa"/>
            <w:tcBorders>
              <w:top w:val="single" w:sz="4" w:space="0" w:color="auto"/>
              <w:bottom w:val="single" w:sz="4" w:space="0" w:color="auto"/>
            </w:tcBorders>
            <w:vAlign w:val="center"/>
          </w:tcPr>
          <w:p w:rsidR="004B12D7" w:rsidRPr="00261650" w:rsidRDefault="004B12D7" w:rsidP="00451D51">
            <w:pPr>
              <w:jc w:val="center"/>
              <w:rPr>
                <w:bCs/>
                <w:sz w:val="18"/>
                <w:szCs w:val="18"/>
              </w:rPr>
            </w:pPr>
            <w:r w:rsidRPr="00261650">
              <w:rPr>
                <w:bCs/>
                <w:sz w:val="18"/>
                <w:szCs w:val="18"/>
              </w:rPr>
              <w:t>Partial Eta Squared</w:t>
            </w:r>
          </w:p>
        </w:tc>
      </w:tr>
      <w:tr w:rsidR="004B12D7" w:rsidRPr="00261650" w:rsidTr="00B057B9">
        <w:trPr>
          <w:trHeight w:val="340"/>
          <w:jc w:val="center"/>
        </w:trPr>
        <w:tc>
          <w:tcPr>
            <w:tcW w:w="2689" w:type="dxa"/>
            <w:tcBorders>
              <w:top w:val="single" w:sz="4" w:space="0" w:color="auto"/>
            </w:tcBorders>
            <w:noWrap/>
            <w:vAlign w:val="center"/>
          </w:tcPr>
          <w:p w:rsidR="004B12D7" w:rsidRPr="00261650" w:rsidRDefault="004B12D7" w:rsidP="00451D51">
            <w:pPr>
              <w:jc w:val="center"/>
              <w:rPr>
                <w:sz w:val="18"/>
                <w:szCs w:val="18"/>
              </w:rPr>
            </w:pPr>
            <w:r w:rsidRPr="00261650">
              <w:rPr>
                <w:sz w:val="18"/>
                <w:szCs w:val="18"/>
              </w:rPr>
              <w:t>harvester</w:t>
            </w:r>
          </w:p>
        </w:tc>
        <w:tc>
          <w:tcPr>
            <w:tcW w:w="1173" w:type="dxa"/>
            <w:tcBorders>
              <w:top w:val="single" w:sz="4" w:space="0" w:color="auto"/>
            </w:tcBorders>
            <w:noWrap/>
            <w:vAlign w:val="center"/>
          </w:tcPr>
          <w:p w:rsidR="004B12D7" w:rsidRPr="00261650" w:rsidRDefault="004B12D7" w:rsidP="00451D51">
            <w:pPr>
              <w:jc w:val="center"/>
              <w:rPr>
                <w:sz w:val="18"/>
                <w:szCs w:val="18"/>
              </w:rPr>
            </w:pPr>
            <w:r w:rsidRPr="00261650">
              <w:rPr>
                <w:sz w:val="18"/>
                <w:szCs w:val="18"/>
              </w:rPr>
              <w:t>0.573</w:t>
            </w:r>
          </w:p>
        </w:tc>
        <w:tc>
          <w:tcPr>
            <w:tcW w:w="850" w:type="dxa"/>
            <w:tcBorders>
              <w:top w:val="single" w:sz="4" w:space="0" w:color="auto"/>
            </w:tcBorders>
            <w:noWrap/>
            <w:vAlign w:val="center"/>
          </w:tcPr>
          <w:p w:rsidR="004B12D7" w:rsidRPr="00261650" w:rsidRDefault="004B12D7" w:rsidP="00451D51">
            <w:pPr>
              <w:jc w:val="center"/>
              <w:rPr>
                <w:sz w:val="18"/>
                <w:szCs w:val="18"/>
              </w:rPr>
            </w:pPr>
            <w:r w:rsidRPr="00261650">
              <w:rPr>
                <w:sz w:val="18"/>
                <w:szCs w:val="18"/>
              </w:rPr>
              <w:t>5.536</w:t>
            </w:r>
          </w:p>
        </w:tc>
        <w:tc>
          <w:tcPr>
            <w:tcW w:w="1082" w:type="dxa"/>
            <w:tcBorders>
              <w:top w:val="single" w:sz="4" w:space="0" w:color="auto"/>
            </w:tcBorders>
            <w:noWrap/>
            <w:vAlign w:val="center"/>
          </w:tcPr>
          <w:p w:rsidR="004B12D7" w:rsidRPr="00261650" w:rsidRDefault="004B12D7" w:rsidP="00451D51">
            <w:pPr>
              <w:jc w:val="center"/>
              <w:rPr>
                <w:sz w:val="18"/>
                <w:szCs w:val="18"/>
              </w:rPr>
            </w:pPr>
            <w:r w:rsidRPr="00261650">
              <w:rPr>
                <w:sz w:val="18"/>
                <w:szCs w:val="18"/>
              </w:rPr>
              <w:t>8.000</w:t>
            </w:r>
          </w:p>
        </w:tc>
        <w:tc>
          <w:tcPr>
            <w:tcW w:w="1044" w:type="dxa"/>
            <w:tcBorders>
              <w:top w:val="single" w:sz="4" w:space="0" w:color="auto"/>
            </w:tcBorders>
            <w:noWrap/>
            <w:vAlign w:val="center"/>
          </w:tcPr>
          <w:p w:rsidR="004B12D7" w:rsidRPr="00261650" w:rsidRDefault="004B12D7" w:rsidP="00451D51">
            <w:pPr>
              <w:jc w:val="center"/>
              <w:rPr>
                <w:sz w:val="18"/>
                <w:szCs w:val="18"/>
              </w:rPr>
            </w:pPr>
            <w:r w:rsidRPr="00261650">
              <w:rPr>
                <w:sz w:val="18"/>
                <w:szCs w:val="18"/>
              </w:rPr>
              <w:t>138.000</w:t>
            </w:r>
          </w:p>
        </w:tc>
        <w:tc>
          <w:tcPr>
            <w:tcW w:w="756" w:type="dxa"/>
            <w:tcBorders>
              <w:top w:val="single" w:sz="4" w:space="0" w:color="auto"/>
            </w:tcBorders>
            <w:noWrap/>
            <w:vAlign w:val="center"/>
          </w:tcPr>
          <w:p w:rsidR="004B12D7" w:rsidRPr="00261650" w:rsidRDefault="004B12D7" w:rsidP="00451D51">
            <w:pPr>
              <w:jc w:val="center"/>
              <w:rPr>
                <w:sz w:val="18"/>
                <w:szCs w:val="18"/>
              </w:rPr>
            </w:pPr>
            <w:r w:rsidRPr="00261650">
              <w:rPr>
                <w:sz w:val="18"/>
                <w:szCs w:val="18"/>
              </w:rPr>
              <w:t>0.000</w:t>
            </w:r>
          </w:p>
        </w:tc>
        <w:tc>
          <w:tcPr>
            <w:tcW w:w="1200" w:type="dxa"/>
            <w:tcBorders>
              <w:top w:val="single" w:sz="4" w:space="0" w:color="auto"/>
            </w:tcBorders>
            <w:noWrap/>
            <w:vAlign w:val="center"/>
          </w:tcPr>
          <w:p w:rsidR="004B12D7" w:rsidRPr="00261650" w:rsidRDefault="004B12D7" w:rsidP="00451D51">
            <w:pPr>
              <w:jc w:val="center"/>
              <w:rPr>
                <w:sz w:val="18"/>
                <w:szCs w:val="18"/>
              </w:rPr>
            </w:pPr>
            <w:r w:rsidRPr="00261650">
              <w:rPr>
                <w:sz w:val="18"/>
                <w:szCs w:val="18"/>
              </w:rPr>
              <w:t>0.243</w:t>
            </w:r>
          </w:p>
        </w:tc>
      </w:tr>
      <w:tr w:rsidR="004B12D7" w:rsidRPr="00261650" w:rsidTr="00B057B9">
        <w:trPr>
          <w:trHeight w:val="340"/>
          <w:jc w:val="center"/>
        </w:trPr>
        <w:tc>
          <w:tcPr>
            <w:tcW w:w="2689" w:type="dxa"/>
            <w:noWrap/>
            <w:vAlign w:val="center"/>
          </w:tcPr>
          <w:p w:rsidR="004B12D7" w:rsidRPr="00261650" w:rsidRDefault="004B12D7" w:rsidP="00451D51">
            <w:pPr>
              <w:jc w:val="center"/>
              <w:rPr>
                <w:sz w:val="18"/>
                <w:szCs w:val="18"/>
              </w:rPr>
            </w:pPr>
            <w:r w:rsidRPr="00261650">
              <w:rPr>
                <w:sz w:val="18"/>
                <w:szCs w:val="18"/>
              </w:rPr>
              <w:t>harvesting time</w:t>
            </w:r>
          </w:p>
        </w:tc>
        <w:tc>
          <w:tcPr>
            <w:tcW w:w="1173" w:type="dxa"/>
            <w:noWrap/>
            <w:vAlign w:val="center"/>
          </w:tcPr>
          <w:p w:rsidR="004B12D7" w:rsidRPr="00261650" w:rsidRDefault="004B12D7" w:rsidP="00451D51">
            <w:pPr>
              <w:jc w:val="center"/>
              <w:rPr>
                <w:sz w:val="18"/>
                <w:szCs w:val="18"/>
              </w:rPr>
            </w:pPr>
            <w:r w:rsidRPr="00261650">
              <w:rPr>
                <w:sz w:val="18"/>
                <w:szCs w:val="18"/>
              </w:rPr>
              <w:t>0.835</w:t>
            </w:r>
          </w:p>
        </w:tc>
        <w:tc>
          <w:tcPr>
            <w:tcW w:w="850" w:type="dxa"/>
            <w:noWrap/>
            <w:vAlign w:val="center"/>
          </w:tcPr>
          <w:p w:rsidR="004B12D7" w:rsidRPr="00261650" w:rsidRDefault="004B12D7" w:rsidP="00451D51">
            <w:pPr>
              <w:jc w:val="center"/>
              <w:rPr>
                <w:sz w:val="18"/>
                <w:szCs w:val="18"/>
              </w:rPr>
            </w:pPr>
            <w:r w:rsidRPr="00261650">
              <w:rPr>
                <w:sz w:val="18"/>
                <w:szCs w:val="18"/>
              </w:rPr>
              <w:t>1.631</w:t>
            </w:r>
          </w:p>
        </w:tc>
        <w:tc>
          <w:tcPr>
            <w:tcW w:w="1082" w:type="dxa"/>
            <w:noWrap/>
            <w:vAlign w:val="center"/>
          </w:tcPr>
          <w:p w:rsidR="004B12D7" w:rsidRPr="00261650" w:rsidRDefault="004B12D7" w:rsidP="00451D51">
            <w:pPr>
              <w:jc w:val="center"/>
              <w:rPr>
                <w:sz w:val="18"/>
                <w:szCs w:val="18"/>
              </w:rPr>
            </w:pPr>
            <w:r w:rsidRPr="00261650">
              <w:rPr>
                <w:sz w:val="18"/>
                <w:szCs w:val="18"/>
              </w:rPr>
              <w:t>8.000</w:t>
            </w:r>
          </w:p>
        </w:tc>
        <w:tc>
          <w:tcPr>
            <w:tcW w:w="1044" w:type="dxa"/>
            <w:noWrap/>
            <w:vAlign w:val="center"/>
          </w:tcPr>
          <w:p w:rsidR="004B12D7" w:rsidRPr="00261650" w:rsidRDefault="004B12D7" w:rsidP="00451D51">
            <w:pPr>
              <w:jc w:val="center"/>
              <w:rPr>
                <w:sz w:val="18"/>
                <w:szCs w:val="18"/>
              </w:rPr>
            </w:pPr>
            <w:r w:rsidRPr="00261650">
              <w:rPr>
                <w:sz w:val="18"/>
                <w:szCs w:val="18"/>
              </w:rPr>
              <w:t>138.000</w:t>
            </w:r>
          </w:p>
        </w:tc>
        <w:tc>
          <w:tcPr>
            <w:tcW w:w="756" w:type="dxa"/>
            <w:noWrap/>
            <w:vAlign w:val="center"/>
          </w:tcPr>
          <w:p w:rsidR="004B12D7" w:rsidRPr="00261650" w:rsidRDefault="004B12D7" w:rsidP="00451D51">
            <w:pPr>
              <w:jc w:val="center"/>
              <w:rPr>
                <w:sz w:val="18"/>
                <w:szCs w:val="18"/>
              </w:rPr>
            </w:pPr>
            <w:r w:rsidRPr="00261650">
              <w:rPr>
                <w:sz w:val="18"/>
                <w:szCs w:val="18"/>
              </w:rPr>
              <w:t>0.121</w:t>
            </w:r>
          </w:p>
        </w:tc>
        <w:tc>
          <w:tcPr>
            <w:tcW w:w="1200" w:type="dxa"/>
            <w:noWrap/>
            <w:vAlign w:val="center"/>
          </w:tcPr>
          <w:p w:rsidR="004B12D7" w:rsidRPr="00261650" w:rsidRDefault="004B12D7" w:rsidP="00451D51">
            <w:pPr>
              <w:jc w:val="center"/>
              <w:rPr>
                <w:sz w:val="18"/>
                <w:szCs w:val="18"/>
              </w:rPr>
            </w:pPr>
            <w:r w:rsidRPr="00261650">
              <w:rPr>
                <w:sz w:val="18"/>
                <w:szCs w:val="18"/>
              </w:rPr>
              <w:t>0.086</w:t>
            </w:r>
          </w:p>
        </w:tc>
      </w:tr>
      <w:tr w:rsidR="004B12D7" w:rsidRPr="00261650" w:rsidTr="00B057B9">
        <w:trPr>
          <w:trHeight w:val="340"/>
          <w:jc w:val="center"/>
        </w:trPr>
        <w:tc>
          <w:tcPr>
            <w:tcW w:w="2689" w:type="dxa"/>
            <w:noWrap/>
            <w:vAlign w:val="center"/>
          </w:tcPr>
          <w:p w:rsidR="004B12D7" w:rsidRPr="00261650" w:rsidRDefault="004B12D7" w:rsidP="00451D51">
            <w:pPr>
              <w:jc w:val="center"/>
              <w:rPr>
                <w:sz w:val="18"/>
                <w:szCs w:val="18"/>
              </w:rPr>
            </w:pPr>
            <w:r w:rsidRPr="00261650">
              <w:rPr>
                <w:sz w:val="18"/>
                <w:szCs w:val="18"/>
              </w:rPr>
              <w:t xml:space="preserve">harvester </w:t>
            </w:r>
            <w:r w:rsidRPr="00261650">
              <w:rPr>
                <w:sz w:val="18"/>
                <w:szCs w:val="18"/>
              </w:rPr>
              <w:sym w:font="Symbol" w:char="F0B4"/>
            </w:r>
            <w:r w:rsidRPr="00261650">
              <w:rPr>
                <w:sz w:val="18"/>
                <w:szCs w:val="18"/>
              </w:rPr>
              <w:t xml:space="preserve"> harvesting time</w:t>
            </w:r>
          </w:p>
        </w:tc>
        <w:tc>
          <w:tcPr>
            <w:tcW w:w="1173" w:type="dxa"/>
            <w:noWrap/>
            <w:vAlign w:val="center"/>
          </w:tcPr>
          <w:p w:rsidR="004B12D7" w:rsidRPr="00261650" w:rsidRDefault="004B12D7" w:rsidP="00451D51">
            <w:pPr>
              <w:jc w:val="center"/>
              <w:rPr>
                <w:sz w:val="18"/>
                <w:szCs w:val="18"/>
              </w:rPr>
            </w:pPr>
            <w:r w:rsidRPr="00261650">
              <w:rPr>
                <w:sz w:val="18"/>
                <w:szCs w:val="18"/>
              </w:rPr>
              <w:t>0.708</w:t>
            </w:r>
          </w:p>
        </w:tc>
        <w:tc>
          <w:tcPr>
            <w:tcW w:w="850" w:type="dxa"/>
            <w:noWrap/>
            <w:vAlign w:val="center"/>
          </w:tcPr>
          <w:p w:rsidR="004B12D7" w:rsidRPr="00261650" w:rsidRDefault="004B12D7" w:rsidP="00451D51">
            <w:pPr>
              <w:jc w:val="center"/>
              <w:rPr>
                <w:sz w:val="18"/>
                <w:szCs w:val="18"/>
              </w:rPr>
            </w:pPr>
            <w:r w:rsidRPr="00261650">
              <w:rPr>
                <w:sz w:val="18"/>
                <w:szCs w:val="18"/>
              </w:rPr>
              <w:t>1.583</w:t>
            </w:r>
          </w:p>
        </w:tc>
        <w:tc>
          <w:tcPr>
            <w:tcW w:w="1082" w:type="dxa"/>
            <w:noWrap/>
            <w:vAlign w:val="center"/>
          </w:tcPr>
          <w:p w:rsidR="004B12D7" w:rsidRPr="00261650" w:rsidRDefault="004B12D7" w:rsidP="00451D51">
            <w:pPr>
              <w:jc w:val="center"/>
              <w:rPr>
                <w:sz w:val="18"/>
                <w:szCs w:val="18"/>
              </w:rPr>
            </w:pPr>
            <w:r w:rsidRPr="00261650">
              <w:rPr>
                <w:sz w:val="18"/>
                <w:szCs w:val="18"/>
              </w:rPr>
              <w:t>16.000</w:t>
            </w:r>
          </w:p>
        </w:tc>
        <w:tc>
          <w:tcPr>
            <w:tcW w:w="1044" w:type="dxa"/>
            <w:noWrap/>
            <w:vAlign w:val="center"/>
          </w:tcPr>
          <w:p w:rsidR="004B12D7" w:rsidRPr="00261650" w:rsidRDefault="004B12D7" w:rsidP="00451D51">
            <w:pPr>
              <w:jc w:val="center"/>
              <w:rPr>
                <w:sz w:val="18"/>
                <w:szCs w:val="18"/>
              </w:rPr>
            </w:pPr>
            <w:r w:rsidRPr="00261650">
              <w:rPr>
                <w:sz w:val="18"/>
                <w:szCs w:val="18"/>
              </w:rPr>
              <w:t>211.436</w:t>
            </w:r>
          </w:p>
        </w:tc>
        <w:tc>
          <w:tcPr>
            <w:tcW w:w="756" w:type="dxa"/>
            <w:noWrap/>
            <w:vAlign w:val="center"/>
          </w:tcPr>
          <w:p w:rsidR="004B12D7" w:rsidRPr="00261650" w:rsidRDefault="004B12D7" w:rsidP="00451D51">
            <w:pPr>
              <w:jc w:val="center"/>
              <w:rPr>
                <w:sz w:val="18"/>
                <w:szCs w:val="18"/>
              </w:rPr>
            </w:pPr>
            <w:r w:rsidRPr="00261650">
              <w:rPr>
                <w:sz w:val="18"/>
                <w:szCs w:val="18"/>
              </w:rPr>
              <w:t>0.075</w:t>
            </w:r>
          </w:p>
        </w:tc>
        <w:tc>
          <w:tcPr>
            <w:tcW w:w="1200" w:type="dxa"/>
            <w:noWrap/>
            <w:vAlign w:val="center"/>
          </w:tcPr>
          <w:p w:rsidR="004B12D7" w:rsidRPr="00261650" w:rsidRDefault="004B12D7" w:rsidP="00451D51">
            <w:pPr>
              <w:jc w:val="center"/>
              <w:rPr>
                <w:sz w:val="18"/>
                <w:szCs w:val="18"/>
              </w:rPr>
            </w:pPr>
            <w:r w:rsidRPr="00261650">
              <w:rPr>
                <w:sz w:val="18"/>
                <w:szCs w:val="18"/>
              </w:rPr>
              <w:t>0.083</w:t>
            </w:r>
          </w:p>
        </w:tc>
      </w:tr>
    </w:tbl>
    <w:p w:rsidR="004B12D7" w:rsidRPr="00261650" w:rsidRDefault="004B12D7" w:rsidP="00261650">
      <w:pPr>
        <w:ind w:firstLine="425"/>
        <w:jc w:val="both"/>
        <w:rPr>
          <w:sz w:val="22"/>
          <w:szCs w:val="22"/>
          <w:lang w:val="en-US"/>
        </w:rPr>
      </w:pPr>
    </w:p>
    <w:p w:rsidR="004B12D7" w:rsidRPr="00F71A33" w:rsidRDefault="004B12D7" w:rsidP="00261650">
      <w:pPr>
        <w:ind w:firstLine="425"/>
        <w:jc w:val="both"/>
        <w:rPr>
          <w:spacing w:val="2"/>
          <w:sz w:val="22"/>
          <w:szCs w:val="22"/>
          <w:lang w:val="en-US"/>
        </w:rPr>
      </w:pPr>
      <w:r w:rsidRPr="00F71A33">
        <w:rPr>
          <w:spacing w:val="2"/>
          <w:sz w:val="22"/>
          <w:szCs w:val="22"/>
          <w:lang w:val="en-US"/>
        </w:rPr>
        <w:t>Indicators like these provide significant practical knowledge, such as information that there is no influence of chamomile harvesting time on quality of the harvested chamomile. In agroecological conditions of Serbia, the period of chamomile harvesting (the first harvest) lasts for 30 days, which means that from the perspective of harvested chamomile quality, harvesting can take place anytime within the prescribed agrotechnical period. This result greatly simplifies the optimization of using technical systems in the course of harvesting and processing of chamomile. On the other hand, the choice of harvester and working regime greatly influences the yield and quality of harvested chamomile, which indicates that there is need for a comprehensive study on the influence of harvester work parameters on the</w:t>
      </w:r>
      <w:r w:rsidR="00261650" w:rsidRPr="00F71A33">
        <w:rPr>
          <w:spacing w:val="2"/>
          <w:sz w:val="22"/>
          <w:szCs w:val="22"/>
          <w:lang w:val="en-US"/>
        </w:rPr>
        <w:t xml:space="preserve"> components of chamomile yield.</w:t>
      </w:r>
    </w:p>
    <w:p w:rsidR="004B12D7" w:rsidRPr="00F71A33" w:rsidRDefault="004B12D7" w:rsidP="00261650">
      <w:pPr>
        <w:ind w:firstLine="425"/>
        <w:jc w:val="both"/>
        <w:rPr>
          <w:spacing w:val="2"/>
          <w:sz w:val="22"/>
          <w:szCs w:val="22"/>
          <w:lang w:val="en-US"/>
        </w:rPr>
      </w:pPr>
      <w:r w:rsidRPr="00F71A33">
        <w:rPr>
          <w:spacing w:val="2"/>
          <w:sz w:val="22"/>
          <w:szCs w:val="22"/>
          <w:lang w:val="en-US"/>
        </w:rPr>
        <w:t>More detailed analyses on the influence of harvester type on particular dependent variables are presented in Table 9, which leads to the conclusion that harvester type had a statistically significant influence on the quantities of category I (F=13.548, p&lt;0,001), category II (F=6.131, p=0.003) and category IV (F=7.818, p=0.001). This influence was not significant for the category III (F=0.282, p=0.755).</w:t>
      </w:r>
    </w:p>
    <w:p w:rsidR="00261650" w:rsidRDefault="00261650" w:rsidP="00261650">
      <w:pPr>
        <w:ind w:firstLine="425"/>
        <w:jc w:val="center"/>
        <w:rPr>
          <w:sz w:val="22"/>
          <w:szCs w:val="22"/>
          <w:lang w:val="en-US"/>
        </w:rPr>
      </w:pPr>
    </w:p>
    <w:p w:rsidR="00261650" w:rsidRPr="00261650" w:rsidRDefault="00261650" w:rsidP="00261650">
      <w:pPr>
        <w:ind w:firstLine="425"/>
        <w:jc w:val="center"/>
        <w:rPr>
          <w:sz w:val="22"/>
          <w:szCs w:val="22"/>
          <w:lang w:val="en-US"/>
        </w:rPr>
      </w:pPr>
    </w:p>
    <w:p w:rsidR="004B12D7" w:rsidRPr="00261650" w:rsidRDefault="004B12D7" w:rsidP="00B057B9">
      <w:pPr>
        <w:jc w:val="both"/>
        <w:rPr>
          <w:sz w:val="22"/>
          <w:szCs w:val="22"/>
          <w:lang w:val="en-US"/>
        </w:rPr>
      </w:pPr>
      <w:r w:rsidRPr="00261650">
        <w:rPr>
          <w:sz w:val="22"/>
          <w:szCs w:val="22"/>
          <w:lang w:val="en-US"/>
        </w:rPr>
        <w:lastRenderedPageBreak/>
        <w:t>Table 9. Influence of harvester type on chamomile quality category – Tests of BSE</w:t>
      </w:r>
      <w:r w:rsidRPr="00261650">
        <w:rPr>
          <w:sz w:val="22"/>
          <w:szCs w:val="22"/>
          <w:vertAlign w:val="superscript"/>
          <w:lang w:val="en-US"/>
        </w:rPr>
        <w:t>*</w:t>
      </w:r>
      <w:r w:rsidRPr="00261650">
        <w:rPr>
          <w:sz w:val="22"/>
          <w:szCs w:val="22"/>
          <w:lang w:val="en-US"/>
        </w:rPr>
        <w:t>.</w:t>
      </w:r>
    </w:p>
    <w:tbl>
      <w:tblPr>
        <w:tblW w:w="7371" w:type="dxa"/>
        <w:jc w:val="center"/>
        <w:tblBorders>
          <w:top w:val="single" w:sz="4" w:space="0" w:color="auto"/>
          <w:bottom w:val="single" w:sz="4" w:space="0" w:color="auto"/>
        </w:tblBorders>
        <w:tblCellMar>
          <w:left w:w="28" w:type="dxa"/>
          <w:right w:w="28" w:type="dxa"/>
        </w:tblCellMar>
        <w:tblLook w:val="00A0"/>
      </w:tblPr>
      <w:tblGrid>
        <w:gridCol w:w="720"/>
        <w:gridCol w:w="839"/>
        <w:gridCol w:w="1134"/>
        <w:gridCol w:w="851"/>
        <w:gridCol w:w="850"/>
        <w:gridCol w:w="993"/>
        <w:gridCol w:w="850"/>
        <w:gridCol w:w="1134"/>
      </w:tblGrid>
      <w:tr w:rsidR="004B12D7" w:rsidRPr="00B057B9" w:rsidTr="00F71A33">
        <w:trPr>
          <w:trHeight w:val="567"/>
          <w:jc w:val="center"/>
        </w:trPr>
        <w:tc>
          <w:tcPr>
            <w:tcW w:w="1193"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Source</w:t>
            </w:r>
          </w:p>
        </w:tc>
        <w:tc>
          <w:tcPr>
            <w:tcW w:w="1183"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Dependent Variable</w:t>
            </w:r>
          </w:p>
        </w:tc>
        <w:tc>
          <w:tcPr>
            <w:tcW w:w="1134"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Sum of Squares</w:t>
            </w:r>
          </w:p>
        </w:tc>
        <w:tc>
          <w:tcPr>
            <w:tcW w:w="851"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df</w:t>
            </w:r>
          </w:p>
        </w:tc>
        <w:tc>
          <w:tcPr>
            <w:tcW w:w="850"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Mean Square</w:t>
            </w:r>
          </w:p>
        </w:tc>
        <w:tc>
          <w:tcPr>
            <w:tcW w:w="993"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F</w:t>
            </w:r>
          </w:p>
        </w:tc>
        <w:tc>
          <w:tcPr>
            <w:tcW w:w="850"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Sig.</w:t>
            </w:r>
          </w:p>
        </w:tc>
        <w:tc>
          <w:tcPr>
            <w:tcW w:w="1134"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Partial Eta Squared</w:t>
            </w:r>
          </w:p>
        </w:tc>
      </w:tr>
      <w:tr w:rsidR="004B12D7" w:rsidRPr="00B057B9" w:rsidTr="009D70FD">
        <w:trPr>
          <w:trHeight w:val="340"/>
          <w:jc w:val="center"/>
        </w:trPr>
        <w:tc>
          <w:tcPr>
            <w:tcW w:w="1193" w:type="dxa"/>
            <w:vMerge w:val="restart"/>
            <w:tcBorders>
              <w:top w:val="single" w:sz="4" w:space="0" w:color="auto"/>
            </w:tcBorders>
            <w:vAlign w:val="center"/>
          </w:tcPr>
          <w:p w:rsidR="004B12D7" w:rsidRPr="00B057B9" w:rsidRDefault="004B12D7" w:rsidP="00B057B9">
            <w:pPr>
              <w:jc w:val="center"/>
              <w:rPr>
                <w:sz w:val="18"/>
                <w:szCs w:val="18"/>
              </w:rPr>
            </w:pPr>
            <w:r w:rsidRPr="00B057B9">
              <w:rPr>
                <w:sz w:val="18"/>
                <w:szCs w:val="18"/>
              </w:rPr>
              <w:t>harvester</w:t>
            </w:r>
          </w:p>
        </w:tc>
        <w:tc>
          <w:tcPr>
            <w:tcW w:w="1183" w:type="dxa"/>
            <w:tcBorders>
              <w:top w:val="single" w:sz="4" w:space="0" w:color="auto"/>
            </w:tcBorders>
            <w:vAlign w:val="center"/>
          </w:tcPr>
          <w:p w:rsidR="004B12D7" w:rsidRPr="00B057B9" w:rsidRDefault="004B12D7" w:rsidP="00451D51">
            <w:pPr>
              <w:jc w:val="center"/>
              <w:rPr>
                <w:sz w:val="18"/>
                <w:szCs w:val="18"/>
              </w:rPr>
            </w:pPr>
            <w:r w:rsidRPr="00B057B9">
              <w:rPr>
                <w:sz w:val="18"/>
                <w:szCs w:val="18"/>
              </w:rPr>
              <w:t>I cat</w:t>
            </w:r>
          </w:p>
        </w:tc>
        <w:tc>
          <w:tcPr>
            <w:tcW w:w="1134" w:type="dxa"/>
            <w:tcBorders>
              <w:top w:val="single" w:sz="4" w:space="0" w:color="auto"/>
            </w:tcBorders>
            <w:noWrap/>
            <w:vAlign w:val="center"/>
          </w:tcPr>
          <w:p w:rsidR="004B12D7" w:rsidRPr="00B057B9" w:rsidRDefault="004B12D7" w:rsidP="00451D51">
            <w:pPr>
              <w:jc w:val="center"/>
              <w:rPr>
                <w:sz w:val="18"/>
                <w:szCs w:val="18"/>
              </w:rPr>
            </w:pPr>
            <w:r w:rsidRPr="00B057B9">
              <w:rPr>
                <w:sz w:val="18"/>
                <w:szCs w:val="18"/>
              </w:rPr>
              <w:t>1,522.656</w:t>
            </w:r>
          </w:p>
        </w:tc>
        <w:tc>
          <w:tcPr>
            <w:tcW w:w="851" w:type="dxa"/>
            <w:tcBorders>
              <w:top w:val="single" w:sz="4" w:space="0" w:color="auto"/>
            </w:tcBorders>
            <w:noWrap/>
            <w:vAlign w:val="center"/>
          </w:tcPr>
          <w:p w:rsidR="004B12D7" w:rsidRPr="00B057B9" w:rsidRDefault="004B12D7" w:rsidP="00451D51">
            <w:pPr>
              <w:jc w:val="center"/>
              <w:rPr>
                <w:sz w:val="18"/>
                <w:szCs w:val="18"/>
              </w:rPr>
            </w:pPr>
            <w:r w:rsidRPr="00B057B9">
              <w:rPr>
                <w:sz w:val="18"/>
                <w:szCs w:val="18"/>
              </w:rPr>
              <w:t>2</w:t>
            </w:r>
          </w:p>
        </w:tc>
        <w:tc>
          <w:tcPr>
            <w:tcW w:w="850" w:type="dxa"/>
            <w:tcBorders>
              <w:top w:val="single" w:sz="4" w:space="0" w:color="auto"/>
            </w:tcBorders>
            <w:noWrap/>
            <w:vAlign w:val="center"/>
          </w:tcPr>
          <w:p w:rsidR="004B12D7" w:rsidRPr="00B057B9" w:rsidRDefault="004B12D7" w:rsidP="00451D51">
            <w:pPr>
              <w:jc w:val="center"/>
              <w:rPr>
                <w:sz w:val="18"/>
                <w:szCs w:val="18"/>
              </w:rPr>
            </w:pPr>
            <w:r w:rsidRPr="00B057B9">
              <w:rPr>
                <w:sz w:val="18"/>
                <w:szCs w:val="18"/>
              </w:rPr>
              <w:t>761.328</w:t>
            </w:r>
          </w:p>
        </w:tc>
        <w:tc>
          <w:tcPr>
            <w:tcW w:w="993" w:type="dxa"/>
            <w:tcBorders>
              <w:top w:val="single" w:sz="4" w:space="0" w:color="auto"/>
            </w:tcBorders>
            <w:noWrap/>
            <w:vAlign w:val="center"/>
          </w:tcPr>
          <w:p w:rsidR="004B12D7" w:rsidRPr="00B057B9" w:rsidRDefault="004B12D7" w:rsidP="00451D51">
            <w:pPr>
              <w:jc w:val="center"/>
              <w:rPr>
                <w:sz w:val="18"/>
                <w:szCs w:val="18"/>
              </w:rPr>
            </w:pPr>
            <w:r w:rsidRPr="00B057B9">
              <w:rPr>
                <w:sz w:val="18"/>
                <w:szCs w:val="18"/>
              </w:rPr>
              <w:t>13.548</w:t>
            </w:r>
          </w:p>
        </w:tc>
        <w:tc>
          <w:tcPr>
            <w:tcW w:w="850" w:type="dxa"/>
            <w:tcBorders>
              <w:top w:val="single" w:sz="4" w:space="0" w:color="auto"/>
            </w:tcBorders>
            <w:noWrap/>
            <w:vAlign w:val="center"/>
          </w:tcPr>
          <w:p w:rsidR="004B12D7" w:rsidRPr="00B057B9" w:rsidRDefault="004B12D7" w:rsidP="00451D51">
            <w:pPr>
              <w:jc w:val="center"/>
              <w:rPr>
                <w:sz w:val="18"/>
                <w:szCs w:val="18"/>
              </w:rPr>
            </w:pPr>
            <w:r w:rsidRPr="00B057B9">
              <w:rPr>
                <w:sz w:val="18"/>
                <w:szCs w:val="18"/>
              </w:rPr>
              <w:t>0.000</w:t>
            </w:r>
          </w:p>
        </w:tc>
        <w:tc>
          <w:tcPr>
            <w:tcW w:w="1134" w:type="dxa"/>
            <w:tcBorders>
              <w:top w:val="single" w:sz="4" w:space="0" w:color="auto"/>
            </w:tcBorders>
            <w:noWrap/>
            <w:vAlign w:val="center"/>
          </w:tcPr>
          <w:p w:rsidR="004B12D7" w:rsidRPr="00B057B9" w:rsidRDefault="004B12D7" w:rsidP="00451D51">
            <w:pPr>
              <w:jc w:val="center"/>
              <w:rPr>
                <w:sz w:val="18"/>
                <w:szCs w:val="18"/>
              </w:rPr>
            </w:pPr>
            <w:r w:rsidRPr="00B057B9">
              <w:rPr>
                <w:sz w:val="18"/>
                <w:szCs w:val="18"/>
              </w:rPr>
              <w:t>0.273</w:t>
            </w:r>
          </w:p>
        </w:tc>
      </w:tr>
      <w:tr w:rsidR="004B12D7" w:rsidRPr="00B057B9" w:rsidTr="009D70FD">
        <w:trPr>
          <w:trHeight w:val="340"/>
          <w:jc w:val="center"/>
        </w:trPr>
        <w:tc>
          <w:tcPr>
            <w:tcW w:w="1193" w:type="dxa"/>
            <w:vMerge/>
            <w:vAlign w:val="center"/>
          </w:tcPr>
          <w:p w:rsidR="004B12D7" w:rsidRPr="00B057B9" w:rsidRDefault="004B12D7" w:rsidP="00451D51">
            <w:pPr>
              <w:jc w:val="center"/>
              <w:rPr>
                <w:sz w:val="18"/>
                <w:szCs w:val="18"/>
              </w:rPr>
            </w:pPr>
          </w:p>
        </w:tc>
        <w:tc>
          <w:tcPr>
            <w:tcW w:w="1183" w:type="dxa"/>
            <w:vAlign w:val="center"/>
          </w:tcPr>
          <w:p w:rsidR="004B12D7" w:rsidRPr="00B057B9" w:rsidRDefault="004B12D7" w:rsidP="00451D51">
            <w:pPr>
              <w:jc w:val="center"/>
              <w:rPr>
                <w:sz w:val="18"/>
                <w:szCs w:val="18"/>
              </w:rPr>
            </w:pPr>
            <w:r w:rsidRPr="00B057B9">
              <w:rPr>
                <w:sz w:val="18"/>
                <w:szCs w:val="18"/>
              </w:rPr>
              <w:t>II cat</w:t>
            </w:r>
          </w:p>
        </w:tc>
        <w:tc>
          <w:tcPr>
            <w:tcW w:w="1134" w:type="dxa"/>
            <w:noWrap/>
            <w:vAlign w:val="center"/>
          </w:tcPr>
          <w:p w:rsidR="004B12D7" w:rsidRPr="00B057B9" w:rsidRDefault="004B12D7" w:rsidP="00451D51">
            <w:pPr>
              <w:jc w:val="center"/>
              <w:rPr>
                <w:sz w:val="18"/>
                <w:szCs w:val="18"/>
              </w:rPr>
            </w:pPr>
            <w:r w:rsidRPr="00B057B9">
              <w:rPr>
                <w:sz w:val="18"/>
                <w:szCs w:val="18"/>
              </w:rPr>
              <w:t>510.995</w:t>
            </w:r>
          </w:p>
        </w:tc>
        <w:tc>
          <w:tcPr>
            <w:tcW w:w="851" w:type="dxa"/>
            <w:noWrap/>
            <w:vAlign w:val="center"/>
          </w:tcPr>
          <w:p w:rsidR="004B12D7" w:rsidRPr="00B057B9" w:rsidRDefault="004B12D7" w:rsidP="00451D51">
            <w:pPr>
              <w:jc w:val="center"/>
              <w:rPr>
                <w:sz w:val="18"/>
                <w:szCs w:val="18"/>
              </w:rPr>
            </w:pPr>
            <w:r w:rsidRPr="00B057B9">
              <w:rPr>
                <w:sz w:val="18"/>
                <w:szCs w:val="18"/>
              </w:rPr>
              <w:t>2</w:t>
            </w:r>
          </w:p>
        </w:tc>
        <w:tc>
          <w:tcPr>
            <w:tcW w:w="850" w:type="dxa"/>
            <w:noWrap/>
            <w:vAlign w:val="center"/>
          </w:tcPr>
          <w:p w:rsidR="004B12D7" w:rsidRPr="00B057B9" w:rsidRDefault="004B12D7" w:rsidP="00451D51">
            <w:pPr>
              <w:jc w:val="center"/>
              <w:rPr>
                <w:sz w:val="18"/>
                <w:szCs w:val="18"/>
              </w:rPr>
            </w:pPr>
            <w:r w:rsidRPr="00B057B9">
              <w:rPr>
                <w:sz w:val="18"/>
                <w:szCs w:val="18"/>
              </w:rPr>
              <w:t>255.498</w:t>
            </w:r>
          </w:p>
        </w:tc>
        <w:tc>
          <w:tcPr>
            <w:tcW w:w="993" w:type="dxa"/>
            <w:noWrap/>
            <w:vAlign w:val="center"/>
          </w:tcPr>
          <w:p w:rsidR="004B12D7" w:rsidRPr="00B057B9" w:rsidRDefault="004B12D7" w:rsidP="00451D51">
            <w:pPr>
              <w:jc w:val="center"/>
              <w:rPr>
                <w:sz w:val="18"/>
                <w:szCs w:val="18"/>
              </w:rPr>
            </w:pPr>
            <w:r w:rsidRPr="00B057B9">
              <w:rPr>
                <w:sz w:val="18"/>
                <w:szCs w:val="18"/>
              </w:rPr>
              <w:t>6.131</w:t>
            </w:r>
          </w:p>
        </w:tc>
        <w:tc>
          <w:tcPr>
            <w:tcW w:w="850" w:type="dxa"/>
            <w:noWrap/>
            <w:vAlign w:val="center"/>
          </w:tcPr>
          <w:p w:rsidR="004B12D7" w:rsidRPr="00B057B9" w:rsidRDefault="004B12D7" w:rsidP="00451D51">
            <w:pPr>
              <w:jc w:val="center"/>
              <w:rPr>
                <w:sz w:val="18"/>
                <w:szCs w:val="18"/>
              </w:rPr>
            </w:pPr>
            <w:r w:rsidRPr="00B057B9">
              <w:rPr>
                <w:sz w:val="18"/>
                <w:szCs w:val="18"/>
              </w:rPr>
              <w:t>0.003</w:t>
            </w:r>
          </w:p>
        </w:tc>
        <w:tc>
          <w:tcPr>
            <w:tcW w:w="1134" w:type="dxa"/>
            <w:noWrap/>
            <w:vAlign w:val="center"/>
          </w:tcPr>
          <w:p w:rsidR="004B12D7" w:rsidRPr="00B057B9" w:rsidRDefault="004B12D7" w:rsidP="00451D51">
            <w:pPr>
              <w:jc w:val="center"/>
              <w:rPr>
                <w:sz w:val="18"/>
                <w:szCs w:val="18"/>
              </w:rPr>
            </w:pPr>
            <w:r w:rsidRPr="00B057B9">
              <w:rPr>
                <w:sz w:val="18"/>
                <w:szCs w:val="18"/>
              </w:rPr>
              <w:t>0.146</w:t>
            </w:r>
          </w:p>
        </w:tc>
      </w:tr>
      <w:tr w:rsidR="004B12D7" w:rsidRPr="00B057B9" w:rsidTr="009D70FD">
        <w:trPr>
          <w:trHeight w:val="340"/>
          <w:jc w:val="center"/>
        </w:trPr>
        <w:tc>
          <w:tcPr>
            <w:tcW w:w="1193" w:type="dxa"/>
            <w:vMerge/>
            <w:vAlign w:val="center"/>
          </w:tcPr>
          <w:p w:rsidR="004B12D7" w:rsidRPr="00B057B9" w:rsidRDefault="004B12D7" w:rsidP="00451D51">
            <w:pPr>
              <w:jc w:val="center"/>
              <w:rPr>
                <w:sz w:val="18"/>
                <w:szCs w:val="18"/>
              </w:rPr>
            </w:pPr>
          </w:p>
        </w:tc>
        <w:tc>
          <w:tcPr>
            <w:tcW w:w="1183" w:type="dxa"/>
            <w:vAlign w:val="center"/>
          </w:tcPr>
          <w:p w:rsidR="004B12D7" w:rsidRPr="00B057B9" w:rsidRDefault="004B12D7" w:rsidP="00451D51">
            <w:pPr>
              <w:jc w:val="center"/>
              <w:rPr>
                <w:sz w:val="18"/>
                <w:szCs w:val="18"/>
              </w:rPr>
            </w:pPr>
            <w:r w:rsidRPr="00B057B9">
              <w:rPr>
                <w:sz w:val="18"/>
                <w:szCs w:val="18"/>
              </w:rPr>
              <w:t>III cat</w:t>
            </w:r>
          </w:p>
        </w:tc>
        <w:tc>
          <w:tcPr>
            <w:tcW w:w="1134" w:type="dxa"/>
            <w:noWrap/>
            <w:vAlign w:val="center"/>
          </w:tcPr>
          <w:p w:rsidR="004B12D7" w:rsidRPr="00B057B9" w:rsidRDefault="004B12D7" w:rsidP="00451D51">
            <w:pPr>
              <w:jc w:val="center"/>
              <w:rPr>
                <w:sz w:val="18"/>
                <w:szCs w:val="18"/>
              </w:rPr>
            </w:pPr>
            <w:r w:rsidRPr="00B057B9">
              <w:rPr>
                <w:sz w:val="18"/>
                <w:szCs w:val="18"/>
              </w:rPr>
              <w:t>56.597</w:t>
            </w:r>
          </w:p>
        </w:tc>
        <w:tc>
          <w:tcPr>
            <w:tcW w:w="851" w:type="dxa"/>
            <w:noWrap/>
            <w:vAlign w:val="center"/>
          </w:tcPr>
          <w:p w:rsidR="004B12D7" w:rsidRPr="00B057B9" w:rsidRDefault="004B12D7" w:rsidP="00451D51">
            <w:pPr>
              <w:jc w:val="center"/>
              <w:rPr>
                <w:sz w:val="18"/>
                <w:szCs w:val="18"/>
              </w:rPr>
            </w:pPr>
            <w:r w:rsidRPr="00B057B9">
              <w:rPr>
                <w:sz w:val="18"/>
                <w:szCs w:val="18"/>
              </w:rPr>
              <w:t>2</w:t>
            </w:r>
          </w:p>
        </w:tc>
        <w:tc>
          <w:tcPr>
            <w:tcW w:w="850" w:type="dxa"/>
            <w:noWrap/>
            <w:vAlign w:val="center"/>
          </w:tcPr>
          <w:p w:rsidR="004B12D7" w:rsidRPr="00B057B9" w:rsidRDefault="004B12D7" w:rsidP="00451D51">
            <w:pPr>
              <w:jc w:val="center"/>
              <w:rPr>
                <w:sz w:val="18"/>
                <w:szCs w:val="18"/>
              </w:rPr>
            </w:pPr>
            <w:r w:rsidRPr="00B057B9">
              <w:rPr>
                <w:sz w:val="18"/>
                <w:szCs w:val="18"/>
              </w:rPr>
              <w:t>28.299</w:t>
            </w:r>
          </w:p>
        </w:tc>
        <w:tc>
          <w:tcPr>
            <w:tcW w:w="993" w:type="dxa"/>
            <w:noWrap/>
            <w:vAlign w:val="center"/>
          </w:tcPr>
          <w:p w:rsidR="004B12D7" w:rsidRPr="00B057B9" w:rsidRDefault="004B12D7" w:rsidP="00451D51">
            <w:pPr>
              <w:jc w:val="center"/>
              <w:rPr>
                <w:sz w:val="18"/>
                <w:szCs w:val="18"/>
              </w:rPr>
            </w:pPr>
            <w:r w:rsidRPr="00B057B9">
              <w:rPr>
                <w:sz w:val="18"/>
                <w:szCs w:val="18"/>
              </w:rPr>
              <w:t>0.282</w:t>
            </w:r>
          </w:p>
        </w:tc>
        <w:tc>
          <w:tcPr>
            <w:tcW w:w="850" w:type="dxa"/>
            <w:noWrap/>
            <w:vAlign w:val="center"/>
          </w:tcPr>
          <w:p w:rsidR="004B12D7" w:rsidRPr="00B057B9" w:rsidRDefault="004B12D7" w:rsidP="00451D51">
            <w:pPr>
              <w:jc w:val="center"/>
              <w:rPr>
                <w:sz w:val="18"/>
                <w:szCs w:val="18"/>
              </w:rPr>
            </w:pPr>
            <w:r w:rsidRPr="00B057B9">
              <w:rPr>
                <w:sz w:val="18"/>
                <w:szCs w:val="18"/>
              </w:rPr>
              <w:t>0.755</w:t>
            </w:r>
          </w:p>
        </w:tc>
        <w:tc>
          <w:tcPr>
            <w:tcW w:w="1134" w:type="dxa"/>
            <w:noWrap/>
            <w:vAlign w:val="center"/>
          </w:tcPr>
          <w:p w:rsidR="004B12D7" w:rsidRPr="00B057B9" w:rsidRDefault="004B12D7" w:rsidP="00451D51">
            <w:pPr>
              <w:jc w:val="center"/>
              <w:rPr>
                <w:sz w:val="18"/>
                <w:szCs w:val="18"/>
              </w:rPr>
            </w:pPr>
            <w:r w:rsidRPr="00B057B9">
              <w:rPr>
                <w:sz w:val="18"/>
                <w:szCs w:val="18"/>
              </w:rPr>
              <w:t>0.008</w:t>
            </w:r>
          </w:p>
        </w:tc>
      </w:tr>
      <w:tr w:rsidR="004B12D7" w:rsidRPr="00B057B9" w:rsidTr="009D70FD">
        <w:trPr>
          <w:trHeight w:val="340"/>
          <w:jc w:val="center"/>
        </w:trPr>
        <w:tc>
          <w:tcPr>
            <w:tcW w:w="1193" w:type="dxa"/>
            <w:vMerge/>
            <w:vAlign w:val="center"/>
          </w:tcPr>
          <w:p w:rsidR="004B12D7" w:rsidRPr="00B057B9" w:rsidRDefault="004B12D7" w:rsidP="00451D51">
            <w:pPr>
              <w:jc w:val="center"/>
              <w:rPr>
                <w:sz w:val="18"/>
                <w:szCs w:val="18"/>
              </w:rPr>
            </w:pPr>
          </w:p>
        </w:tc>
        <w:tc>
          <w:tcPr>
            <w:tcW w:w="1183" w:type="dxa"/>
            <w:vAlign w:val="center"/>
          </w:tcPr>
          <w:p w:rsidR="004B12D7" w:rsidRPr="00B057B9" w:rsidRDefault="004B12D7" w:rsidP="00451D51">
            <w:pPr>
              <w:jc w:val="center"/>
              <w:rPr>
                <w:sz w:val="18"/>
                <w:szCs w:val="18"/>
              </w:rPr>
            </w:pPr>
            <w:r w:rsidRPr="00B057B9">
              <w:rPr>
                <w:sz w:val="18"/>
                <w:szCs w:val="18"/>
              </w:rPr>
              <w:t>IV cat</w:t>
            </w:r>
          </w:p>
        </w:tc>
        <w:tc>
          <w:tcPr>
            <w:tcW w:w="1134" w:type="dxa"/>
            <w:noWrap/>
            <w:vAlign w:val="center"/>
          </w:tcPr>
          <w:p w:rsidR="004B12D7" w:rsidRPr="00B057B9" w:rsidRDefault="004B12D7" w:rsidP="00451D51">
            <w:pPr>
              <w:jc w:val="center"/>
              <w:rPr>
                <w:sz w:val="18"/>
                <w:szCs w:val="18"/>
              </w:rPr>
            </w:pPr>
            <w:r w:rsidRPr="00B057B9">
              <w:rPr>
                <w:sz w:val="18"/>
                <w:szCs w:val="18"/>
              </w:rPr>
              <w:t>88.657</w:t>
            </w:r>
          </w:p>
        </w:tc>
        <w:tc>
          <w:tcPr>
            <w:tcW w:w="851" w:type="dxa"/>
            <w:noWrap/>
            <w:vAlign w:val="center"/>
          </w:tcPr>
          <w:p w:rsidR="004B12D7" w:rsidRPr="00B057B9" w:rsidRDefault="004B12D7" w:rsidP="00451D51">
            <w:pPr>
              <w:jc w:val="center"/>
              <w:rPr>
                <w:sz w:val="18"/>
                <w:szCs w:val="18"/>
              </w:rPr>
            </w:pPr>
            <w:r w:rsidRPr="00B057B9">
              <w:rPr>
                <w:sz w:val="18"/>
                <w:szCs w:val="18"/>
              </w:rPr>
              <w:t>2</w:t>
            </w:r>
          </w:p>
        </w:tc>
        <w:tc>
          <w:tcPr>
            <w:tcW w:w="850" w:type="dxa"/>
            <w:noWrap/>
            <w:vAlign w:val="center"/>
          </w:tcPr>
          <w:p w:rsidR="004B12D7" w:rsidRPr="00B057B9" w:rsidRDefault="004B12D7" w:rsidP="00451D51">
            <w:pPr>
              <w:jc w:val="center"/>
              <w:rPr>
                <w:sz w:val="18"/>
                <w:szCs w:val="18"/>
              </w:rPr>
            </w:pPr>
            <w:r w:rsidRPr="00B057B9">
              <w:rPr>
                <w:sz w:val="18"/>
                <w:szCs w:val="18"/>
              </w:rPr>
              <w:t>44.328</w:t>
            </w:r>
          </w:p>
        </w:tc>
        <w:tc>
          <w:tcPr>
            <w:tcW w:w="993" w:type="dxa"/>
            <w:noWrap/>
            <w:vAlign w:val="center"/>
          </w:tcPr>
          <w:p w:rsidR="004B12D7" w:rsidRPr="00B057B9" w:rsidRDefault="004B12D7" w:rsidP="00451D51">
            <w:pPr>
              <w:jc w:val="center"/>
              <w:rPr>
                <w:sz w:val="18"/>
                <w:szCs w:val="18"/>
              </w:rPr>
            </w:pPr>
            <w:r w:rsidRPr="00B057B9">
              <w:rPr>
                <w:sz w:val="18"/>
                <w:szCs w:val="18"/>
              </w:rPr>
              <w:t>7.818</w:t>
            </w:r>
          </w:p>
        </w:tc>
        <w:tc>
          <w:tcPr>
            <w:tcW w:w="850" w:type="dxa"/>
            <w:noWrap/>
            <w:vAlign w:val="center"/>
          </w:tcPr>
          <w:p w:rsidR="004B12D7" w:rsidRPr="00B057B9" w:rsidRDefault="004B12D7" w:rsidP="00451D51">
            <w:pPr>
              <w:jc w:val="center"/>
              <w:rPr>
                <w:sz w:val="18"/>
                <w:szCs w:val="18"/>
              </w:rPr>
            </w:pPr>
            <w:r w:rsidRPr="00B057B9">
              <w:rPr>
                <w:sz w:val="18"/>
                <w:szCs w:val="18"/>
              </w:rPr>
              <w:t>0.001</w:t>
            </w:r>
          </w:p>
        </w:tc>
        <w:tc>
          <w:tcPr>
            <w:tcW w:w="1134" w:type="dxa"/>
            <w:noWrap/>
            <w:vAlign w:val="center"/>
          </w:tcPr>
          <w:p w:rsidR="004B12D7" w:rsidRPr="00B057B9" w:rsidRDefault="004B12D7" w:rsidP="00451D51">
            <w:pPr>
              <w:jc w:val="center"/>
              <w:rPr>
                <w:sz w:val="18"/>
                <w:szCs w:val="18"/>
              </w:rPr>
            </w:pPr>
            <w:r w:rsidRPr="00B057B9">
              <w:rPr>
                <w:sz w:val="18"/>
                <w:szCs w:val="18"/>
              </w:rPr>
              <w:t>0.178</w:t>
            </w:r>
          </w:p>
        </w:tc>
      </w:tr>
    </w:tbl>
    <w:p w:rsidR="004B12D7" w:rsidRPr="00B057B9" w:rsidRDefault="004B12D7" w:rsidP="00B057B9">
      <w:pPr>
        <w:spacing w:before="40"/>
        <w:rPr>
          <w:sz w:val="18"/>
          <w:szCs w:val="18"/>
          <w:lang w:val="en-US"/>
        </w:rPr>
      </w:pPr>
      <w:r w:rsidRPr="00B057B9">
        <w:rPr>
          <w:sz w:val="18"/>
          <w:szCs w:val="18"/>
          <w:vertAlign w:val="superscript"/>
        </w:rPr>
        <w:t xml:space="preserve">* </w:t>
      </w:r>
      <w:r w:rsidRPr="00B057B9">
        <w:rPr>
          <w:sz w:val="18"/>
          <w:szCs w:val="18"/>
        </w:rPr>
        <w:t xml:space="preserve">Tests of BSE – </w:t>
      </w:r>
      <w:r w:rsidRPr="00B057B9">
        <w:rPr>
          <w:sz w:val="18"/>
          <w:szCs w:val="18"/>
          <w:lang w:val="en-US"/>
        </w:rPr>
        <w:t>Tests of Between-Subjects Effects</w:t>
      </w:r>
      <w:r w:rsidR="009D70FD">
        <w:rPr>
          <w:sz w:val="18"/>
          <w:szCs w:val="18"/>
          <w:lang w:val="en-US"/>
        </w:rPr>
        <w:t>.</w:t>
      </w:r>
    </w:p>
    <w:p w:rsidR="004B12D7" w:rsidRPr="00B057B9" w:rsidRDefault="004B12D7" w:rsidP="00B057B9">
      <w:pPr>
        <w:ind w:firstLine="426"/>
        <w:rPr>
          <w:sz w:val="22"/>
          <w:szCs w:val="22"/>
          <w:lang w:val="en-US"/>
        </w:rPr>
      </w:pPr>
    </w:p>
    <w:p w:rsidR="004B12D7" w:rsidRPr="00B057B9" w:rsidRDefault="004B12D7" w:rsidP="00B057B9">
      <w:pPr>
        <w:ind w:firstLine="426"/>
        <w:jc w:val="both"/>
        <w:rPr>
          <w:sz w:val="22"/>
          <w:szCs w:val="22"/>
          <w:lang w:val="en-US"/>
        </w:rPr>
      </w:pPr>
      <w:r w:rsidRPr="00B057B9">
        <w:rPr>
          <w:sz w:val="22"/>
          <w:szCs w:val="22"/>
          <w:lang w:val="en-US"/>
        </w:rPr>
        <w:t>Comparison of data groups from harvesters A, B and C with LSD test showed that quality of chamomile harvested by the harvester C was statistically significantly different from the quality of chamomile harvested by the harvesters A and B, while between data collections on the harvesters A and B, there was no statistically significant difference, as shown in Table 10. Figure 1 graphically presents the content of each category of har</w:t>
      </w:r>
      <w:r w:rsidR="00B057B9">
        <w:rPr>
          <w:sz w:val="22"/>
          <w:szCs w:val="22"/>
          <w:lang w:val="en-US"/>
        </w:rPr>
        <w:t>vested chamomile per harvester.</w:t>
      </w:r>
    </w:p>
    <w:p w:rsidR="00B057B9" w:rsidRDefault="00B057B9" w:rsidP="00B057B9">
      <w:pPr>
        <w:rPr>
          <w:sz w:val="22"/>
          <w:szCs w:val="22"/>
          <w:lang w:val="en-US"/>
        </w:rPr>
      </w:pPr>
    </w:p>
    <w:p w:rsidR="004B12D7" w:rsidRDefault="004B12D7" w:rsidP="009D70FD">
      <w:pPr>
        <w:jc w:val="both"/>
        <w:rPr>
          <w:sz w:val="22"/>
          <w:szCs w:val="22"/>
          <w:lang w:val="en-US"/>
        </w:rPr>
      </w:pPr>
      <w:r w:rsidRPr="00B057B9">
        <w:rPr>
          <w:sz w:val="22"/>
          <w:szCs w:val="22"/>
          <w:lang w:val="en-US"/>
        </w:rPr>
        <w:t>Table 10. LSD comparisons of data for harvesters A, B and C.</w:t>
      </w:r>
    </w:p>
    <w:p w:rsidR="00B057B9" w:rsidRPr="00B057B9" w:rsidRDefault="00B057B9" w:rsidP="00B057B9">
      <w:pPr>
        <w:ind w:firstLine="426"/>
        <w:rPr>
          <w:sz w:val="22"/>
          <w:szCs w:val="22"/>
          <w:lang w:val="en-US"/>
        </w:rPr>
      </w:pPr>
    </w:p>
    <w:tbl>
      <w:tblPr>
        <w:tblW w:w="7371" w:type="dxa"/>
        <w:jc w:val="center"/>
        <w:tblBorders>
          <w:top w:val="single" w:sz="4" w:space="0" w:color="auto"/>
          <w:bottom w:val="single" w:sz="4" w:space="0" w:color="auto"/>
        </w:tblBorders>
        <w:tblLayout w:type="fixed"/>
        <w:tblCellMar>
          <w:left w:w="28" w:type="dxa"/>
          <w:right w:w="28" w:type="dxa"/>
        </w:tblCellMar>
        <w:tblLook w:val="00A0"/>
      </w:tblPr>
      <w:tblGrid>
        <w:gridCol w:w="448"/>
        <w:gridCol w:w="519"/>
        <w:gridCol w:w="889"/>
        <w:gridCol w:w="588"/>
        <w:gridCol w:w="704"/>
        <w:gridCol w:w="934"/>
        <w:gridCol w:w="589"/>
        <w:gridCol w:w="588"/>
        <w:gridCol w:w="934"/>
        <w:gridCol w:w="589"/>
        <w:gridCol w:w="589"/>
      </w:tblGrid>
      <w:tr w:rsidR="004B12D7" w:rsidRPr="00B057B9" w:rsidTr="00F71A33">
        <w:trPr>
          <w:trHeight w:val="397"/>
          <w:jc w:val="center"/>
        </w:trPr>
        <w:tc>
          <w:tcPr>
            <w:tcW w:w="1156" w:type="dxa"/>
            <w:gridSpan w:val="2"/>
            <w:tcBorders>
              <w:top w:val="single" w:sz="4" w:space="0" w:color="auto"/>
            </w:tcBorders>
            <w:shd w:val="clear" w:color="auto" w:fill="auto"/>
            <w:noWrap/>
            <w:vAlign w:val="center"/>
          </w:tcPr>
          <w:p w:rsidR="004B12D7" w:rsidRPr="00B057B9" w:rsidRDefault="004B12D7" w:rsidP="00B057B9">
            <w:pPr>
              <w:jc w:val="center"/>
              <w:rPr>
                <w:bCs/>
                <w:sz w:val="18"/>
                <w:szCs w:val="18"/>
              </w:rPr>
            </w:pPr>
          </w:p>
        </w:tc>
        <w:tc>
          <w:tcPr>
            <w:tcW w:w="2638" w:type="dxa"/>
            <w:gridSpan w:val="3"/>
            <w:tcBorders>
              <w:top w:val="single" w:sz="4" w:space="0" w:color="auto"/>
              <w:bottom w:val="single" w:sz="4" w:space="0" w:color="auto"/>
            </w:tcBorders>
            <w:noWrap/>
            <w:vAlign w:val="center"/>
          </w:tcPr>
          <w:p w:rsidR="004B12D7" w:rsidRPr="00B057B9" w:rsidRDefault="004B12D7" w:rsidP="00B057B9">
            <w:pPr>
              <w:jc w:val="center"/>
              <w:rPr>
                <w:bCs/>
                <w:sz w:val="18"/>
                <w:szCs w:val="18"/>
              </w:rPr>
            </w:pPr>
            <w:r w:rsidRPr="00B057B9">
              <w:rPr>
                <w:bCs/>
                <w:sz w:val="18"/>
                <w:szCs w:val="18"/>
              </w:rPr>
              <w:t>category I</w:t>
            </w:r>
          </w:p>
        </w:tc>
        <w:tc>
          <w:tcPr>
            <w:tcW w:w="2551" w:type="dxa"/>
            <w:gridSpan w:val="3"/>
            <w:tcBorders>
              <w:top w:val="single" w:sz="4" w:space="0" w:color="auto"/>
              <w:bottom w:val="single" w:sz="4" w:space="0" w:color="auto"/>
            </w:tcBorders>
            <w:noWrap/>
            <w:vAlign w:val="center"/>
          </w:tcPr>
          <w:p w:rsidR="004B12D7" w:rsidRPr="00B057B9" w:rsidRDefault="004B12D7" w:rsidP="00B057B9">
            <w:pPr>
              <w:jc w:val="center"/>
              <w:rPr>
                <w:bCs/>
                <w:sz w:val="18"/>
                <w:szCs w:val="18"/>
              </w:rPr>
            </w:pPr>
            <w:r w:rsidRPr="00B057B9">
              <w:rPr>
                <w:bCs/>
                <w:sz w:val="18"/>
                <w:szCs w:val="18"/>
              </w:rPr>
              <w:t>category II</w:t>
            </w:r>
          </w:p>
        </w:tc>
        <w:tc>
          <w:tcPr>
            <w:tcW w:w="2552" w:type="dxa"/>
            <w:gridSpan w:val="3"/>
            <w:tcBorders>
              <w:top w:val="single" w:sz="4" w:space="0" w:color="auto"/>
              <w:bottom w:val="single" w:sz="4" w:space="0" w:color="auto"/>
            </w:tcBorders>
            <w:noWrap/>
            <w:vAlign w:val="center"/>
          </w:tcPr>
          <w:p w:rsidR="004B12D7" w:rsidRPr="00B057B9" w:rsidRDefault="004B12D7" w:rsidP="00B057B9">
            <w:pPr>
              <w:jc w:val="center"/>
              <w:rPr>
                <w:bCs/>
                <w:sz w:val="18"/>
                <w:szCs w:val="18"/>
              </w:rPr>
            </w:pPr>
            <w:r w:rsidRPr="00B057B9">
              <w:rPr>
                <w:bCs/>
                <w:sz w:val="18"/>
                <w:szCs w:val="18"/>
              </w:rPr>
              <w:t>category IV</w:t>
            </w:r>
          </w:p>
        </w:tc>
      </w:tr>
      <w:tr w:rsidR="004B12D7" w:rsidRPr="00B057B9" w:rsidTr="00F71A33">
        <w:trPr>
          <w:trHeight w:val="737"/>
          <w:jc w:val="center"/>
        </w:trPr>
        <w:tc>
          <w:tcPr>
            <w:tcW w:w="534" w:type="dxa"/>
            <w:tcBorders>
              <w:bottom w:val="single" w:sz="4" w:space="0" w:color="auto"/>
            </w:tcBorders>
            <w:shd w:val="clear" w:color="auto" w:fill="auto"/>
            <w:vAlign w:val="center"/>
          </w:tcPr>
          <w:p w:rsidR="004B12D7" w:rsidRPr="00B057B9" w:rsidRDefault="004B12D7" w:rsidP="00B057B9">
            <w:pPr>
              <w:jc w:val="center"/>
              <w:rPr>
                <w:bCs/>
                <w:sz w:val="18"/>
                <w:szCs w:val="18"/>
              </w:rPr>
            </w:pPr>
            <w:r w:rsidRPr="00B057B9">
              <w:rPr>
                <w:bCs/>
                <w:sz w:val="18"/>
                <w:szCs w:val="18"/>
              </w:rPr>
              <w:t>(X)</w:t>
            </w:r>
            <w:r w:rsidRPr="00B057B9">
              <w:rPr>
                <w:bCs/>
                <w:sz w:val="18"/>
                <w:szCs w:val="18"/>
                <w:vertAlign w:val="superscript"/>
              </w:rPr>
              <w:t>**</w:t>
            </w:r>
          </w:p>
        </w:tc>
        <w:tc>
          <w:tcPr>
            <w:tcW w:w="622" w:type="dxa"/>
            <w:tcBorders>
              <w:bottom w:val="single" w:sz="4" w:space="0" w:color="auto"/>
            </w:tcBorders>
            <w:shd w:val="clear" w:color="auto" w:fill="auto"/>
            <w:vAlign w:val="center"/>
          </w:tcPr>
          <w:p w:rsidR="004B12D7" w:rsidRPr="00B057B9" w:rsidRDefault="004B12D7" w:rsidP="00B057B9">
            <w:pPr>
              <w:jc w:val="center"/>
              <w:rPr>
                <w:bCs/>
                <w:sz w:val="18"/>
                <w:szCs w:val="18"/>
              </w:rPr>
            </w:pPr>
            <w:r w:rsidRPr="00B057B9">
              <w:rPr>
                <w:bCs/>
                <w:sz w:val="18"/>
                <w:szCs w:val="18"/>
              </w:rPr>
              <w:t>(Y)</w:t>
            </w:r>
            <w:r w:rsidRPr="00B057B9">
              <w:rPr>
                <w:bCs/>
                <w:sz w:val="18"/>
                <w:szCs w:val="18"/>
                <w:vertAlign w:val="superscript"/>
              </w:rPr>
              <w:t>**</w:t>
            </w:r>
          </w:p>
        </w:tc>
        <w:tc>
          <w:tcPr>
            <w:tcW w:w="1079"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Mean Difference (X-Y)</w:t>
            </w:r>
          </w:p>
        </w:tc>
        <w:tc>
          <w:tcPr>
            <w:tcW w:w="708"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Std. Error</w:t>
            </w:r>
          </w:p>
        </w:tc>
        <w:tc>
          <w:tcPr>
            <w:tcW w:w="851"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Sig.</w:t>
            </w:r>
          </w:p>
        </w:tc>
        <w:tc>
          <w:tcPr>
            <w:tcW w:w="1134"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Mean Difference (X-Y)</w:t>
            </w:r>
          </w:p>
        </w:tc>
        <w:tc>
          <w:tcPr>
            <w:tcW w:w="709"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Std. Error</w:t>
            </w:r>
          </w:p>
        </w:tc>
        <w:tc>
          <w:tcPr>
            <w:tcW w:w="708"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Sig.</w:t>
            </w:r>
          </w:p>
        </w:tc>
        <w:tc>
          <w:tcPr>
            <w:tcW w:w="1134"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Mean Difference (X-Y)</w:t>
            </w:r>
          </w:p>
        </w:tc>
        <w:tc>
          <w:tcPr>
            <w:tcW w:w="709"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Std. Error</w:t>
            </w:r>
          </w:p>
        </w:tc>
        <w:tc>
          <w:tcPr>
            <w:tcW w:w="709" w:type="dxa"/>
            <w:tcBorders>
              <w:top w:val="single" w:sz="4" w:space="0" w:color="auto"/>
              <w:bottom w:val="single" w:sz="4" w:space="0" w:color="auto"/>
            </w:tcBorders>
            <w:vAlign w:val="center"/>
          </w:tcPr>
          <w:p w:rsidR="004B12D7" w:rsidRPr="00B057B9" w:rsidRDefault="004B12D7" w:rsidP="00B057B9">
            <w:pPr>
              <w:jc w:val="center"/>
              <w:rPr>
                <w:bCs/>
                <w:sz w:val="18"/>
                <w:szCs w:val="18"/>
              </w:rPr>
            </w:pPr>
            <w:r w:rsidRPr="00B057B9">
              <w:rPr>
                <w:bCs/>
                <w:sz w:val="18"/>
                <w:szCs w:val="18"/>
              </w:rPr>
              <w:t>Sig.</w:t>
            </w:r>
          </w:p>
        </w:tc>
      </w:tr>
      <w:tr w:rsidR="004B12D7" w:rsidRPr="00B057B9" w:rsidTr="00B057B9">
        <w:trPr>
          <w:trHeight w:val="340"/>
          <w:jc w:val="center"/>
        </w:trPr>
        <w:tc>
          <w:tcPr>
            <w:tcW w:w="534" w:type="dxa"/>
            <w:vMerge w:val="restart"/>
            <w:tcBorders>
              <w:top w:val="single" w:sz="4" w:space="0" w:color="auto"/>
            </w:tcBorders>
            <w:vAlign w:val="center"/>
          </w:tcPr>
          <w:p w:rsidR="004B12D7" w:rsidRPr="00B057B9" w:rsidRDefault="004B12D7" w:rsidP="00B057B9">
            <w:pPr>
              <w:jc w:val="center"/>
              <w:rPr>
                <w:sz w:val="18"/>
                <w:szCs w:val="18"/>
              </w:rPr>
            </w:pPr>
            <w:r w:rsidRPr="00B057B9">
              <w:rPr>
                <w:sz w:val="18"/>
                <w:szCs w:val="18"/>
              </w:rPr>
              <w:t>A</w:t>
            </w:r>
          </w:p>
        </w:tc>
        <w:tc>
          <w:tcPr>
            <w:tcW w:w="622" w:type="dxa"/>
            <w:tcBorders>
              <w:top w:val="single" w:sz="4" w:space="0" w:color="auto"/>
            </w:tcBorders>
            <w:vAlign w:val="center"/>
          </w:tcPr>
          <w:p w:rsidR="004B12D7" w:rsidRPr="00B057B9" w:rsidRDefault="004B12D7" w:rsidP="00B057B9">
            <w:pPr>
              <w:jc w:val="center"/>
              <w:rPr>
                <w:sz w:val="18"/>
                <w:szCs w:val="18"/>
              </w:rPr>
            </w:pPr>
            <w:r w:rsidRPr="00B057B9">
              <w:rPr>
                <w:sz w:val="18"/>
                <w:szCs w:val="18"/>
              </w:rPr>
              <w:t>B</w:t>
            </w:r>
          </w:p>
        </w:tc>
        <w:tc>
          <w:tcPr>
            <w:tcW w:w="1079"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2.547</w:t>
            </w:r>
          </w:p>
        </w:tc>
        <w:tc>
          <w:tcPr>
            <w:tcW w:w="708"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2.040</w:t>
            </w:r>
          </w:p>
        </w:tc>
        <w:tc>
          <w:tcPr>
            <w:tcW w:w="851"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0.216</w:t>
            </w:r>
          </w:p>
        </w:tc>
        <w:tc>
          <w:tcPr>
            <w:tcW w:w="1134"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-2.149</w:t>
            </w:r>
          </w:p>
        </w:tc>
        <w:tc>
          <w:tcPr>
            <w:tcW w:w="709"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1.756</w:t>
            </w:r>
          </w:p>
        </w:tc>
        <w:tc>
          <w:tcPr>
            <w:tcW w:w="708"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0.225</w:t>
            </w:r>
          </w:p>
        </w:tc>
        <w:tc>
          <w:tcPr>
            <w:tcW w:w="1134"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-0.698</w:t>
            </w:r>
          </w:p>
        </w:tc>
        <w:tc>
          <w:tcPr>
            <w:tcW w:w="709"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0.648</w:t>
            </w:r>
          </w:p>
        </w:tc>
        <w:tc>
          <w:tcPr>
            <w:tcW w:w="709" w:type="dxa"/>
            <w:tcBorders>
              <w:top w:val="single" w:sz="4" w:space="0" w:color="auto"/>
            </w:tcBorders>
            <w:noWrap/>
            <w:vAlign w:val="center"/>
          </w:tcPr>
          <w:p w:rsidR="004B12D7" w:rsidRPr="00B057B9" w:rsidRDefault="004B12D7" w:rsidP="00B057B9">
            <w:pPr>
              <w:jc w:val="center"/>
              <w:rPr>
                <w:sz w:val="18"/>
                <w:szCs w:val="18"/>
              </w:rPr>
            </w:pPr>
            <w:r w:rsidRPr="00B057B9">
              <w:rPr>
                <w:sz w:val="18"/>
                <w:szCs w:val="18"/>
              </w:rPr>
              <w:t>0.285</w:t>
            </w:r>
          </w:p>
        </w:tc>
      </w:tr>
      <w:tr w:rsidR="004B12D7" w:rsidRPr="00B057B9" w:rsidTr="00B057B9">
        <w:trPr>
          <w:trHeight w:val="340"/>
          <w:jc w:val="center"/>
        </w:trPr>
        <w:tc>
          <w:tcPr>
            <w:tcW w:w="534" w:type="dxa"/>
            <w:vMerge/>
            <w:vAlign w:val="center"/>
          </w:tcPr>
          <w:p w:rsidR="004B12D7" w:rsidRPr="00B057B9" w:rsidRDefault="004B12D7" w:rsidP="00B057B9">
            <w:pPr>
              <w:jc w:val="center"/>
              <w:rPr>
                <w:sz w:val="18"/>
                <w:szCs w:val="18"/>
              </w:rPr>
            </w:pPr>
          </w:p>
        </w:tc>
        <w:tc>
          <w:tcPr>
            <w:tcW w:w="622" w:type="dxa"/>
            <w:vAlign w:val="center"/>
          </w:tcPr>
          <w:p w:rsidR="004B12D7" w:rsidRPr="00B057B9" w:rsidRDefault="004B12D7" w:rsidP="00B057B9">
            <w:pPr>
              <w:jc w:val="center"/>
              <w:rPr>
                <w:sz w:val="18"/>
                <w:szCs w:val="18"/>
              </w:rPr>
            </w:pPr>
            <w:r w:rsidRPr="00B057B9">
              <w:rPr>
                <w:sz w:val="18"/>
                <w:szCs w:val="18"/>
              </w:rPr>
              <w:t>C</w:t>
            </w:r>
          </w:p>
        </w:tc>
        <w:tc>
          <w:tcPr>
            <w:tcW w:w="1079" w:type="dxa"/>
            <w:noWrap/>
            <w:vAlign w:val="center"/>
          </w:tcPr>
          <w:p w:rsidR="004B12D7" w:rsidRPr="00B057B9" w:rsidRDefault="004B12D7" w:rsidP="00B057B9">
            <w:pPr>
              <w:jc w:val="center"/>
              <w:rPr>
                <w:sz w:val="18"/>
                <w:szCs w:val="18"/>
              </w:rPr>
            </w:pPr>
            <w:r w:rsidRPr="00B057B9">
              <w:rPr>
                <w:sz w:val="18"/>
                <w:szCs w:val="18"/>
              </w:rPr>
              <w:t>10.203*</w:t>
            </w:r>
          </w:p>
        </w:tc>
        <w:tc>
          <w:tcPr>
            <w:tcW w:w="708" w:type="dxa"/>
            <w:noWrap/>
            <w:vAlign w:val="center"/>
          </w:tcPr>
          <w:p w:rsidR="004B12D7" w:rsidRPr="00B057B9" w:rsidRDefault="004B12D7" w:rsidP="00B057B9">
            <w:pPr>
              <w:jc w:val="center"/>
              <w:rPr>
                <w:sz w:val="18"/>
                <w:szCs w:val="18"/>
              </w:rPr>
            </w:pPr>
            <w:r w:rsidRPr="00B057B9">
              <w:rPr>
                <w:sz w:val="18"/>
                <w:szCs w:val="18"/>
              </w:rPr>
              <w:t>2.040</w:t>
            </w:r>
          </w:p>
        </w:tc>
        <w:tc>
          <w:tcPr>
            <w:tcW w:w="851" w:type="dxa"/>
            <w:noWrap/>
            <w:vAlign w:val="center"/>
          </w:tcPr>
          <w:p w:rsidR="004B12D7" w:rsidRPr="00B057B9" w:rsidRDefault="004B12D7" w:rsidP="00B057B9">
            <w:pPr>
              <w:jc w:val="center"/>
              <w:rPr>
                <w:sz w:val="18"/>
                <w:szCs w:val="18"/>
              </w:rPr>
            </w:pPr>
            <w:r w:rsidRPr="00B057B9">
              <w:rPr>
                <w:sz w:val="18"/>
                <w:szCs w:val="18"/>
              </w:rPr>
              <w:t>0.000</w:t>
            </w:r>
          </w:p>
        </w:tc>
        <w:tc>
          <w:tcPr>
            <w:tcW w:w="1134" w:type="dxa"/>
            <w:noWrap/>
            <w:vAlign w:val="center"/>
          </w:tcPr>
          <w:p w:rsidR="004B12D7" w:rsidRPr="00B057B9" w:rsidRDefault="004B12D7" w:rsidP="00B057B9">
            <w:pPr>
              <w:jc w:val="center"/>
              <w:rPr>
                <w:sz w:val="18"/>
                <w:szCs w:val="18"/>
              </w:rPr>
            </w:pPr>
            <w:r w:rsidRPr="00B057B9">
              <w:rPr>
                <w:sz w:val="18"/>
                <w:szCs w:val="18"/>
              </w:rPr>
              <w:t>-6.067*</w:t>
            </w:r>
          </w:p>
        </w:tc>
        <w:tc>
          <w:tcPr>
            <w:tcW w:w="709" w:type="dxa"/>
            <w:noWrap/>
            <w:vAlign w:val="center"/>
          </w:tcPr>
          <w:p w:rsidR="004B12D7" w:rsidRPr="00B057B9" w:rsidRDefault="004B12D7" w:rsidP="00B057B9">
            <w:pPr>
              <w:jc w:val="center"/>
              <w:rPr>
                <w:sz w:val="18"/>
                <w:szCs w:val="18"/>
              </w:rPr>
            </w:pPr>
            <w:r w:rsidRPr="00B057B9">
              <w:rPr>
                <w:sz w:val="18"/>
                <w:szCs w:val="18"/>
              </w:rPr>
              <w:t>1.756</w:t>
            </w:r>
          </w:p>
        </w:tc>
        <w:tc>
          <w:tcPr>
            <w:tcW w:w="708" w:type="dxa"/>
            <w:noWrap/>
            <w:vAlign w:val="center"/>
          </w:tcPr>
          <w:p w:rsidR="004B12D7" w:rsidRPr="00B057B9" w:rsidRDefault="004B12D7" w:rsidP="00B057B9">
            <w:pPr>
              <w:jc w:val="center"/>
              <w:rPr>
                <w:sz w:val="18"/>
                <w:szCs w:val="18"/>
              </w:rPr>
            </w:pPr>
            <w:r w:rsidRPr="00B057B9">
              <w:rPr>
                <w:sz w:val="18"/>
                <w:szCs w:val="18"/>
              </w:rPr>
              <w:t>0.001</w:t>
            </w:r>
          </w:p>
        </w:tc>
        <w:tc>
          <w:tcPr>
            <w:tcW w:w="1134" w:type="dxa"/>
            <w:noWrap/>
            <w:vAlign w:val="center"/>
          </w:tcPr>
          <w:p w:rsidR="004B12D7" w:rsidRPr="00B057B9" w:rsidRDefault="004B12D7" w:rsidP="00B057B9">
            <w:pPr>
              <w:jc w:val="center"/>
              <w:rPr>
                <w:sz w:val="18"/>
                <w:szCs w:val="18"/>
              </w:rPr>
            </w:pPr>
            <w:r w:rsidRPr="00B057B9">
              <w:rPr>
                <w:sz w:val="18"/>
                <w:szCs w:val="18"/>
              </w:rPr>
              <w:t>-2.484*</w:t>
            </w:r>
          </w:p>
        </w:tc>
        <w:tc>
          <w:tcPr>
            <w:tcW w:w="709" w:type="dxa"/>
            <w:noWrap/>
            <w:vAlign w:val="center"/>
          </w:tcPr>
          <w:p w:rsidR="004B12D7" w:rsidRPr="00B057B9" w:rsidRDefault="004B12D7" w:rsidP="00B057B9">
            <w:pPr>
              <w:jc w:val="center"/>
              <w:rPr>
                <w:sz w:val="18"/>
                <w:szCs w:val="18"/>
              </w:rPr>
            </w:pPr>
            <w:r w:rsidRPr="00B057B9">
              <w:rPr>
                <w:sz w:val="18"/>
                <w:szCs w:val="18"/>
              </w:rPr>
              <w:t>0.648</w:t>
            </w:r>
          </w:p>
        </w:tc>
        <w:tc>
          <w:tcPr>
            <w:tcW w:w="709" w:type="dxa"/>
            <w:noWrap/>
            <w:vAlign w:val="center"/>
          </w:tcPr>
          <w:p w:rsidR="004B12D7" w:rsidRPr="00B057B9" w:rsidRDefault="004B12D7" w:rsidP="00B057B9">
            <w:pPr>
              <w:jc w:val="center"/>
              <w:rPr>
                <w:sz w:val="18"/>
                <w:szCs w:val="18"/>
              </w:rPr>
            </w:pPr>
            <w:r w:rsidRPr="00B057B9">
              <w:rPr>
                <w:sz w:val="18"/>
                <w:szCs w:val="18"/>
              </w:rPr>
              <w:t>0.000</w:t>
            </w:r>
          </w:p>
        </w:tc>
      </w:tr>
      <w:tr w:rsidR="004B12D7" w:rsidRPr="00B057B9" w:rsidTr="00B057B9">
        <w:trPr>
          <w:trHeight w:val="340"/>
          <w:jc w:val="center"/>
        </w:trPr>
        <w:tc>
          <w:tcPr>
            <w:tcW w:w="534" w:type="dxa"/>
            <w:vMerge w:val="restart"/>
            <w:vAlign w:val="center"/>
          </w:tcPr>
          <w:p w:rsidR="004B12D7" w:rsidRPr="00B057B9" w:rsidRDefault="004B12D7" w:rsidP="00B057B9">
            <w:pPr>
              <w:jc w:val="center"/>
              <w:rPr>
                <w:sz w:val="18"/>
                <w:szCs w:val="18"/>
              </w:rPr>
            </w:pPr>
            <w:r w:rsidRPr="00B057B9">
              <w:rPr>
                <w:sz w:val="18"/>
                <w:szCs w:val="18"/>
              </w:rPr>
              <w:t>B</w:t>
            </w:r>
          </w:p>
        </w:tc>
        <w:tc>
          <w:tcPr>
            <w:tcW w:w="622" w:type="dxa"/>
            <w:vAlign w:val="center"/>
          </w:tcPr>
          <w:p w:rsidR="004B12D7" w:rsidRPr="00B057B9" w:rsidRDefault="004B12D7" w:rsidP="00B057B9">
            <w:pPr>
              <w:jc w:val="center"/>
              <w:rPr>
                <w:sz w:val="18"/>
                <w:szCs w:val="18"/>
              </w:rPr>
            </w:pPr>
            <w:r w:rsidRPr="00B057B9">
              <w:rPr>
                <w:sz w:val="18"/>
                <w:szCs w:val="18"/>
              </w:rPr>
              <w:t>A</w:t>
            </w:r>
          </w:p>
        </w:tc>
        <w:tc>
          <w:tcPr>
            <w:tcW w:w="1079" w:type="dxa"/>
            <w:noWrap/>
            <w:vAlign w:val="center"/>
          </w:tcPr>
          <w:p w:rsidR="004B12D7" w:rsidRPr="00B057B9" w:rsidRDefault="004B12D7" w:rsidP="00B057B9">
            <w:pPr>
              <w:jc w:val="center"/>
              <w:rPr>
                <w:sz w:val="18"/>
                <w:szCs w:val="18"/>
              </w:rPr>
            </w:pPr>
            <w:r w:rsidRPr="00B057B9">
              <w:rPr>
                <w:sz w:val="18"/>
                <w:szCs w:val="18"/>
              </w:rPr>
              <w:t>-2.547</w:t>
            </w:r>
          </w:p>
        </w:tc>
        <w:tc>
          <w:tcPr>
            <w:tcW w:w="708" w:type="dxa"/>
            <w:noWrap/>
            <w:vAlign w:val="center"/>
          </w:tcPr>
          <w:p w:rsidR="004B12D7" w:rsidRPr="00B057B9" w:rsidRDefault="004B12D7" w:rsidP="00B057B9">
            <w:pPr>
              <w:jc w:val="center"/>
              <w:rPr>
                <w:sz w:val="18"/>
                <w:szCs w:val="18"/>
              </w:rPr>
            </w:pPr>
            <w:r w:rsidRPr="00B057B9">
              <w:rPr>
                <w:sz w:val="18"/>
                <w:szCs w:val="18"/>
              </w:rPr>
              <w:t>2.040</w:t>
            </w:r>
          </w:p>
        </w:tc>
        <w:tc>
          <w:tcPr>
            <w:tcW w:w="851" w:type="dxa"/>
            <w:noWrap/>
            <w:vAlign w:val="center"/>
          </w:tcPr>
          <w:p w:rsidR="004B12D7" w:rsidRPr="00B057B9" w:rsidRDefault="004B12D7" w:rsidP="00B057B9">
            <w:pPr>
              <w:jc w:val="center"/>
              <w:rPr>
                <w:sz w:val="18"/>
                <w:szCs w:val="18"/>
              </w:rPr>
            </w:pPr>
            <w:r w:rsidRPr="00B057B9">
              <w:rPr>
                <w:sz w:val="18"/>
                <w:szCs w:val="18"/>
              </w:rPr>
              <w:t>0.216</w:t>
            </w:r>
          </w:p>
        </w:tc>
        <w:tc>
          <w:tcPr>
            <w:tcW w:w="1134" w:type="dxa"/>
            <w:noWrap/>
            <w:vAlign w:val="center"/>
          </w:tcPr>
          <w:p w:rsidR="004B12D7" w:rsidRPr="00B057B9" w:rsidRDefault="004B12D7" w:rsidP="00B057B9">
            <w:pPr>
              <w:jc w:val="center"/>
              <w:rPr>
                <w:sz w:val="18"/>
                <w:szCs w:val="18"/>
              </w:rPr>
            </w:pPr>
            <w:r w:rsidRPr="00B057B9">
              <w:rPr>
                <w:sz w:val="18"/>
                <w:szCs w:val="18"/>
              </w:rPr>
              <w:t>2.149</w:t>
            </w:r>
          </w:p>
        </w:tc>
        <w:tc>
          <w:tcPr>
            <w:tcW w:w="709" w:type="dxa"/>
            <w:noWrap/>
            <w:vAlign w:val="center"/>
          </w:tcPr>
          <w:p w:rsidR="004B12D7" w:rsidRPr="00B057B9" w:rsidRDefault="004B12D7" w:rsidP="00B057B9">
            <w:pPr>
              <w:jc w:val="center"/>
              <w:rPr>
                <w:sz w:val="18"/>
                <w:szCs w:val="18"/>
              </w:rPr>
            </w:pPr>
            <w:r w:rsidRPr="00B057B9">
              <w:rPr>
                <w:sz w:val="18"/>
                <w:szCs w:val="18"/>
              </w:rPr>
              <w:t>1.756</w:t>
            </w:r>
          </w:p>
        </w:tc>
        <w:tc>
          <w:tcPr>
            <w:tcW w:w="708" w:type="dxa"/>
            <w:noWrap/>
            <w:vAlign w:val="center"/>
          </w:tcPr>
          <w:p w:rsidR="004B12D7" w:rsidRPr="00B057B9" w:rsidRDefault="004B12D7" w:rsidP="00B057B9">
            <w:pPr>
              <w:jc w:val="center"/>
              <w:rPr>
                <w:sz w:val="18"/>
                <w:szCs w:val="18"/>
              </w:rPr>
            </w:pPr>
            <w:r w:rsidRPr="00B057B9">
              <w:rPr>
                <w:sz w:val="18"/>
                <w:szCs w:val="18"/>
              </w:rPr>
              <w:t>0.225</w:t>
            </w:r>
          </w:p>
        </w:tc>
        <w:tc>
          <w:tcPr>
            <w:tcW w:w="1134" w:type="dxa"/>
            <w:noWrap/>
            <w:vAlign w:val="center"/>
          </w:tcPr>
          <w:p w:rsidR="004B12D7" w:rsidRPr="00B057B9" w:rsidRDefault="004B12D7" w:rsidP="00B057B9">
            <w:pPr>
              <w:jc w:val="center"/>
              <w:rPr>
                <w:sz w:val="18"/>
                <w:szCs w:val="18"/>
              </w:rPr>
            </w:pPr>
            <w:r w:rsidRPr="00B057B9">
              <w:rPr>
                <w:sz w:val="18"/>
                <w:szCs w:val="18"/>
              </w:rPr>
              <w:t>0.698</w:t>
            </w:r>
          </w:p>
        </w:tc>
        <w:tc>
          <w:tcPr>
            <w:tcW w:w="709" w:type="dxa"/>
            <w:noWrap/>
            <w:vAlign w:val="center"/>
          </w:tcPr>
          <w:p w:rsidR="004B12D7" w:rsidRPr="00B057B9" w:rsidRDefault="004B12D7" w:rsidP="00B057B9">
            <w:pPr>
              <w:jc w:val="center"/>
              <w:rPr>
                <w:sz w:val="18"/>
                <w:szCs w:val="18"/>
              </w:rPr>
            </w:pPr>
            <w:r w:rsidRPr="00B057B9">
              <w:rPr>
                <w:sz w:val="18"/>
                <w:szCs w:val="18"/>
              </w:rPr>
              <w:t>0.648</w:t>
            </w:r>
          </w:p>
        </w:tc>
        <w:tc>
          <w:tcPr>
            <w:tcW w:w="709" w:type="dxa"/>
            <w:noWrap/>
            <w:vAlign w:val="center"/>
          </w:tcPr>
          <w:p w:rsidR="004B12D7" w:rsidRPr="00B057B9" w:rsidRDefault="004B12D7" w:rsidP="00B057B9">
            <w:pPr>
              <w:jc w:val="center"/>
              <w:rPr>
                <w:sz w:val="18"/>
                <w:szCs w:val="18"/>
              </w:rPr>
            </w:pPr>
            <w:r w:rsidRPr="00B057B9">
              <w:rPr>
                <w:sz w:val="18"/>
                <w:szCs w:val="18"/>
              </w:rPr>
              <w:t>0.285</w:t>
            </w:r>
          </w:p>
        </w:tc>
      </w:tr>
      <w:tr w:rsidR="004B12D7" w:rsidRPr="00B057B9" w:rsidTr="00B057B9">
        <w:trPr>
          <w:trHeight w:val="340"/>
          <w:jc w:val="center"/>
        </w:trPr>
        <w:tc>
          <w:tcPr>
            <w:tcW w:w="534" w:type="dxa"/>
            <w:vMerge/>
            <w:vAlign w:val="center"/>
          </w:tcPr>
          <w:p w:rsidR="004B12D7" w:rsidRPr="00B057B9" w:rsidRDefault="004B12D7" w:rsidP="00B057B9">
            <w:pPr>
              <w:jc w:val="center"/>
              <w:rPr>
                <w:sz w:val="18"/>
                <w:szCs w:val="18"/>
              </w:rPr>
            </w:pPr>
          </w:p>
        </w:tc>
        <w:tc>
          <w:tcPr>
            <w:tcW w:w="622" w:type="dxa"/>
            <w:vAlign w:val="center"/>
          </w:tcPr>
          <w:p w:rsidR="004B12D7" w:rsidRPr="00B057B9" w:rsidRDefault="004B12D7" w:rsidP="00B057B9">
            <w:pPr>
              <w:jc w:val="center"/>
              <w:rPr>
                <w:sz w:val="18"/>
                <w:szCs w:val="18"/>
              </w:rPr>
            </w:pPr>
            <w:r w:rsidRPr="00B057B9">
              <w:rPr>
                <w:sz w:val="18"/>
                <w:szCs w:val="18"/>
              </w:rPr>
              <w:t>C</w:t>
            </w:r>
          </w:p>
        </w:tc>
        <w:tc>
          <w:tcPr>
            <w:tcW w:w="1079" w:type="dxa"/>
            <w:noWrap/>
            <w:vAlign w:val="center"/>
          </w:tcPr>
          <w:p w:rsidR="004B12D7" w:rsidRPr="00B057B9" w:rsidRDefault="004B12D7" w:rsidP="00B057B9">
            <w:pPr>
              <w:jc w:val="center"/>
              <w:rPr>
                <w:sz w:val="18"/>
                <w:szCs w:val="18"/>
              </w:rPr>
            </w:pPr>
            <w:r w:rsidRPr="00B057B9">
              <w:rPr>
                <w:sz w:val="18"/>
                <w:szCs w:val="18"/>
              </w:rPr>
              <w:t>7.655*</w:t>
            </w:r>
          </w:p>
        </w:tc>
        <w:tc>
          <w:tcPr>
            <w:tcW w:w="708" w:type="dxa"/>
            <w:noWrap/>
            <w:vAlign w:val="center"/>
          </w:tcPr>
          <w:p w:rsidR="004B12D7" w:rsidRPr="00B057B9" w:rsidRDefault="004B12D7" w:rsidP="00B057B9">
            <w:pPr>
              <w:jc w:val="center"/>
              <w:rPr>
                <w:sz w:val="18"/>
                <w:szCs w:val="18"/>
              </w:rPr>
            </w:pPr>
            <w:r w:rsidRPr="00B057B9">
              <w:rPr>
                <w:sz w:val="18"/>
                <w:szCs w:val="18"/>
              </w:rPr>
              <w:t>2.040</w:t>
            </w:r>
          </w:p>
        </w:tc>
        <w:tc>
          <w:tcPr>
            <w:tcW w:w="851" w:type="dxa"/>
            <w:noWrap/>
            <w:vAlign w:val="center"/>
          </w:tcPr>
          <w:p w:rsidR="004B12D7" w:rsidRPr="00B057B9" w:rsidRDefault="004B12D7" w:rsidP="00B057B9">
            <w:pPr>
              <w:jc w:val="center"/>
              <w:rPr>
                <w:sz w:val="18"/>
                <w:szCs w:val="18"/>
              </w:rPr>
            </w:pPr>
            <w:r w:rsidRPr="00B057B9">
              <w:rPr>
                <w:sz w:val="18"/>
                <w:szCs w:val="18"/>
              </w:rPr>
              <w:t>0.000</w:t>
            </w:r>
          </w:p>
        </w:tc>
        <w:tc>
          <w:tcPr>
            <w:tcW w:w="1134" w:type="dxa"/>
            <w:noWrap/>
            <w:vAlign w:val="center"/>
          </w:tcPr>
          <w:p w:rsidR="004B12D7" w:rsidRPr="00B057B9" w:rsidRDefault="004B12D7" w:rsidP="00B057B9">
            <w:pPr>
              <w:jc w:val="center"/>
              <w:rPr>
                <w:sz w:val="18"/>
                <w:szCs w:val="18"/>
              </w:rPr>
            </w:pPr>
            <w:r w:rsidRPr="00B057B9">
              <w:rPr>
                <w:sz w:val="18"/>
                <w:szCs w:val="18"/>
              </w:rPr>
              <w:t>-3.918*</w:t>
            </w:r>
          </w:p>
        </w:tc>
        <w:tc>
          <w:tcPr>
            <w:tcW w:w="709" w:type="dxa"/>
            <w:noWrap/>
            <w:vAlign w:val="center"/>
          </w:tcPr>
          <w:p w:rsidR="004B12D7" w:rsidRPr="00B057B9" w:rsidRDefault="004B12D7" w:rsidP="00B057B9">
            <w:pPr>
              <w:jc w:val="center"/>
              <w:rPr>
                <w:sz w:val="18"/>
                <w:szCs w:val="18"/>
              </w:rPr>
            </w:pPr>
            <w:r w:rsidRPr="00B057B9">
              <w:rPr>
                <w:sz w:val="18"/>
                <w:szCs w:val="18"/>
              </w:rPr>
              <w:t>1.756</w:t>
            </w:r>
          </w:p>
        </w:tc>
        <w:tc>
          <w:tcPr>
            <w:tcW w:w="708" w:type="dxa"/>
            <w:noWrap/>
            <w:vAlign w:val="center"/>
          </w:tcPr>
          <w:p w:rsidR="004B12D7" w:rsidRPr="00B057B9" w:rsidRDefault="004B12D7" w:rsidP="00B057B9">
            <w:pPr>
              <w:jc w:val="center"/>
              <w:rPr>
                <w:sz w:val="18"/>
                <w:szCs w:val="18"/>
              </w:rPr>
            </w:pPr>
            <w:r w:rsidRPr="00B057B9">
              <w:rPr>
                <w:sz w:val="18"/>
                <w:szCs w:val="18"/>
              </w:rPr>
              <w:t>0.029</w:t>
            </w:r>
          </w:p>
        </w:tc>
        <w:tc>
          <w:tcPr>
            <w:tcW w:w="1134" w:type="dxa"/>
            <w:noWrap/>
            <w:vAlign w:val="center"/>
          </w:tcPr>
          <w:p w:rsidR="004B12D7" w:rsidRPr="00B057B9" w:rsidRDefault="004B12D7" w:rsidP="00B057B9">
            <w:pPr>
              <w:jc w:val="center"/>
              <w:rPr>
                <w:sz w:val="18"/>
                <w:szCs w:val="18"/>
              </w:rPr>
            </w:pPr>
            <w:r w:rsidRPr="00B057B9">
              <w:rPr>
                <w:sz w:val="18"/>
                <w:szCs w:val="18"/>
              </w:rPr>
              <w:t>-1.786*</w:t>
            </w:r>
          </w:p>
        </w:tc>
        <w:tc>
          <w:tcPr>
            <w:tcW w:w="709" w:type="dxa"/>
            <w:noWrap/>
            <w:vAlign w:val="center"/>
          </w:tcPr>
          <w:p w:rsidR="004B12D7" w:rsidRPr="00B057B9" w:rsidRDefault="004B12D7" w:rsidP="00B057B9">
            <w:pPr>
              <w:jc w:val="center"/>
              <w:rPr>
                <w:sz w:val="18"/>
                <w:szCs w:val="18"/>
              </w:rPr>
            </w:pPr>
            <w:r w:rsidRPr="00B057B9">
              <w:rPr>
                <w:sz w:val="18"/>
                <w:szCs w:val="18"/>
              </w:rPr>
              <w:t>0.648</w:t>
            </w:r>
          </w:p>
        </w:tc>
        <w:tc>
          <w:tcPr>
            <w:tcW w:w="709" w:type="dxa"/>
            <w:noWrap/>
            <w:vAlign w:val="center"/>
          </w:tcPr>
          <w:p w:rsidR="004B12D7" w:rsidRPr="00B057B9" w:rsidRDefault="004B12D7" w:rsidP="00B057B9">
            <w:pPr>
              <w:jc w:val="center"/>
              <w:rPr>
                <w:sz w:val="18"/>
                <w:szCs w:val="18"/>
              </w:rPr>
            </w:pPr>
            <w:r w:rsidRPr="00B057B9">
              <w:rPr>
                <w:sz w:val="18"/>
                <w:szCs w:val="18"/>
              </w:rPr>
              <w:t>0.007</w:t>
            </w:r>
          </w:p>
        </w:tc>
      </w:tr>
      <w:tr w:rsidR="004B12D7" w:rsidRPr="00B057B9" w:rsidTr="00B057B9">
        <w:trPr>
          <w:trHeight w:val="340"/>
          <w:jc w:val="center"/>
        </w:trPr>
        <w:tc>
          <w:tcPr>
            <w:tcW w:w="534" w:type="dxa"/>
            <w:vMerge w:val="restart"/>
            <w:vAlign w:val="center"/>
          </w:tcPr>
          <w:p w:rsidR="004B12D7" w:rsidRPr="00B057B9" w:rsidRDefault="004B12D7" w:rsidP="00B057B9">
            <w:pPr>
              <w:jc w:val="center"/>
              <w:rPr>
                <w:sz w:val="18"/>
                <w:szCs w:val="18"/>
              </w:rPr>
            </w:pPr>
            <w:r w:rsidRPr="00B057B9">
              <w:rPr>
                <w:sz w:val="18"/>
                <w:szCs w:val="18"/>
              </w:rPr>
              <w:t>C</w:t>
            </w:r>
          </w:p>
        </w:tc>
        <w:tc>
          <w:tcPr>
            <w:tcW w:w="622" w:type="dxa"/>
            <w:vAlign w:val="center"/>
          </w:tcPr>
          <w:p w:rsidR="004B12D7" w:rsidRPr="00B057B9" w:rsidRDefault="004B12D7" w:rsidP="00B057B9">
            <w:pPr>
              <w:jc w:val="center"/>
              <w:rPr>
                <w:sz w:val="18"/>
                <w:szCs w:val="18"/>
              </w:rPr>
            </w:pPr>
            <w:r w:rsidRPr="00B057B9">
              <w:rPr>
                <w:sz w:val="18"/>
                <w:szCs w:val="18"/>
              </w:rPr>
              <w:t>A</w:t>
            </w:r>
          </w:p>
        </w:tc>
        <w:tc>
          <w:tcPr>
            <w:tcW w:w="1079" w:type="dxa"/>
            <w:noWrap/>
            <w:vAlign w:val="center"/>
          </w:tcPr>
          <w:p w:rsidR="004B12D7" w:rsidRPr="00B057B9" w:rsidRDefault="004B12D7" w:rsidP="00B057B9">
            <w:pPr>
              <w:jc w:val="center"/>
              <w:rPr>
                <w:sz w:val="18"/>
                <w:szCs w:val="18"/>
              </w:rPr>
            </w:pPr>
            <w:r w:rsidRPr="00B057B9">
              <w:rPr>
                <w:sz w:val="18"/>
                <w:szCs w:val="18"/>
              </w:rPr>
              <w:t>-10.203*</w:t>
            </w:r>
          </w:p>
        </w:tc>
        <w:tc>
          <w:tcPr>
            <w:tcW w:w="708" w:type="dxa"/>
            <w:noWrap/>
            <w:vAlign w:val="center"/>
          </w:tcPr>
          <w:p w:rsidR="004B12D7" w:rsidRPr="00B057B9" w:rsidRDefault="004B12D7" w:rsidP="00B057B9">
            <w:pPr>
              <w:jc w:val="center"/>
              <w:rPr>
                <w:sz w:val="18"/>
                <w:szCs w:val="18"/>
              </w:rPr>
            </w:pPr>
            <w:r w:rsidRPr="00B057B9">
              <w:rPr>
                <w:sz w:val="18"/>
                <w:szCs w:val="18"/>
              </w:rPr>
              <w:t>2.040</w:t>
            </w:r>
          </w:p>
        </w:tc>
        <w:tc>
          <w:tcPr>
            <w:tcW w:w="851" w:type="dxa"/>
            <w:noWrap/>
            <w:vAlign w:val="center"/>
          </w:tcPr>
          <w:p w:rsidR="004B12D7" w:rsidRPr="00B057B9" w:rsidRDefault="004B12D7" w:rsidP="00B057B9">
            <w:pPr>
              <w:jc w:val="center"/>
              <w:rPr>
                <w:sz w:val="18"/>
                <w:szCs w:val="18"/>
              </w:rPr>
            </w:pPr>
            <w:r w:rsidRPr="00B057B9">
              <w:rPr>
                <w:sz w:val="18"/>
                <w:szCs w:val="18"/>
              </w:rPr>
              <w:t>0.000</w:t>
            </w:r>
          </w:p>
        </w:tc>
        <w:tc>
          <w:tcPr>
            <w:tcW w:w="1134" w:type="dxa"/>
            <w:noWrap/>
            <w:vAlign w:val="center"/>
          </w:tcPr>
          <w:p w:rsidR="004B12D7" w:rsidRPr="00B057B9" w:rsidRDefault="004B12D7" w:rsidP="00B057B9">
            <w:pPr>
              <w:jc w:val="center"/>
              <w:rPr>
                <w:sz w:val="18"/>
                <w:szCs w:val="18"/>
              </w:rPr>
            </w:pPr>
            <w:r w:rsidRPr="00B057B9">
              <w:rPr>
                <w:sz w:val="18"/>
                <w:szCs w:val="18"/>
              </w:rPr>
              <w:t>6.067*</w:t>
            </w:r>
          </w:p>
        </w:tc>
        <w:tc>
          <w:tcPr>
            <w:tcW w:w="709" w:type="dxa"/>
            <w:noWrap/>
            <w:vAlign w:val="center"/>
          </w:tcPr>
          <w:p w:rsidR="004B12D7" w:rsidRPr="00B057B9" w:rsidRDefault="004B12D7" w:rsidP="00B057B9">
            <w:pPr>
              <w:jc w:val="center"/>
              <w:rPr>
                <w:sz w:val="18"/>
                <w:szCs w:val="18"/>
              </w:rPr>
            </w:pPr>
          </w:p>
        </w:tc>
        <w:tc>
          <w:tcPr>
            <w:tcW w:w="708" w:type="dxa"/>
            <w:noWrap/>
            <w:vAlign w:val="center"/>
          </w:tcPr>
          <w:p w:rsidR="004B12D7" w:rsidRPr="00B057B9" w:rsidRDefault="004B12D7" w:rsidP="00B057B9">
            <w:pPr>
              <w:jc w:val="center"/>
              <w:rPr>
                <w:sz w:val="18"/>
                <w:szCs w:val="18"/>
              </w:rPr>
            </w:pPr>
            <w:r w:rsidRPr="00B057B9">
              <w:rPr>
                <w:sz w:val="18"/>
                <w:szCs w:val="18"/>
              </w:rPr>
              <w:t>1.756</w:t>
            </w:r>
          </w:p>
        </w:tc>
        <w:tc>
          <w:tcPr>
            <w:tcW w:w="1134" w:type="dxa"/>
            <w:noWrap/>
            <w:vAlign w:val="center"/>
          </w:tcPr>
          <w:p w:rsidR="004B12D7" w:rsidRPr="00B057B9" w:rsidRDefault="004B12D7" w:rsidP="00B057B9">
            <w:pPr>
              <w:jc w:val="center"/>
              <w:rPr>
                <w:sz w:val="18"/>
                <w:szCs w:val="18"/>
              </w:rPr>
            </w:pPr>
            <w:r w:rsidRPr="00B057B9">
              <w:rPr>
                <w:sz w:val="18"/>
                <w:szCs w:val="18"/>
              </w:rPr>
              <w:t>2.484*</w:t>
            </w:r>
          </w:p>
        </w:tc>
        <w:tc>
          <w:tcPr>
            <w:tcW w:w="709" w:type="dxa"/>
            <w:noWrap/>
            <w:vAlign w:val="center"/>
          </w:tcPr>
          <w:p w:rsidR="004B12D7" w:rsidRPr="00B057B9" w:rsidRDefault="004B12D7" w:rsidP="00B057B9">
            <w:pPr>
              <w:jc w:val="center"/>
              <w:rPr>
                <w:sz w:val="18"/>
                <w:szCs w:val="18"/>
              </w:rPr>
            </w:pPr>
            <w:r w:rsidRPr="00B057B9">
              <w:rPr>
                <w:sz w:val="18"/>
                <w:szCs w:val="18"/>
              </w:rPr>
              <w:t>0.648</w:t>
            </w:r>
          </w:p>
        </w:tc>
        <w:tc>
          <w:tcPr>
            <w:tcW w:w="709" w:type="dxa"/>
            <w:noWrap/>
            <w:vAlign w:val="center"/>
          </w:tcPr>
          <w:p w:rsidR="004B12D7" w:rsidRPr="00B057B9" w:rsidRDefault="004B12D7" w:rsidP="00B057B9">
            <w:pPr>
              <w:jc w:val="center"/>
              <w:rPr>
                <w:sz w:val="18"/>
                <w:szCs w:val="18"/>
              </w:rPr>
            </w:pPr>
            <w:r w:rsidRPr="00B057B9">
              <w:rPr>
                <w:sz w:val="18"/>
                <w:szCs w:val="18"/>
              </w:rPr>
              <w:t>0.000</w:t>
            </w:r>
          </w:p>
        </w:tc>
      </w:tr>
      <w:tr w:rsidR="004B12D7" w:rsidRPr="00B057B9" w:rsidTr="00B057B9">
        <w:trPr>
          <w:trHeight w:val="340"/>
          <w:jc w:val="center"/>
        </w:trPr>
        <w:tc>
          <w:tcPr>
            <w:tcW w:w="534" w:type="dxa"/>
            <w:vMerge/>
            <w:vAlign w:val="center"/>
          </w:tcPr>
          <w:p w:rsidR="004B12D7" w:rsidRPr="00B057B9" w:rsidRDefault="004B12D7" w:rsidP="00B057B9">
            <w:pPr>
              <w:jc w:val="center"/>
              <w:rPr>
                <w:sz w:val="18"/>
                <w:szCs w:val="18"/>
              </w:rPr>
            </w:pPr>
          </w:p>
        </w:tc>
        <w:tc>
          <w:tcPr>
            <w:tcW w:w="622" w:type="dxa"/>
            <w:vAlign w:val="center"/>
          </w:tcPr>
          <w:p w:rsidR="004B12D7" w:rsidRPr="00B057B9" w:rsidRDefault="004B12D7" w:rsidP="00B057B9">
            <w:pPr>
              <w:jc w:val="center"/>
              <w:rPr>
                <w:sz w:val="18"/>
                <w:szCs w:val="18"/>
              </w:rPr>
            </w:pPr>
            <w:r w:rsidRPr="00B057B9">
              <w:rPr>
                <w:sz w:val="18"/>
                <w:szCs w:val="18"/>
              </w:rPr>
              <w:t>B</w:t>
            </w:r>
          </w:p>
        </w:tc>
        <w:tc>
          <w:tcPr>
            <w:tcW w:w="1079" w:type="dxa"/>
            <w:noWrap/>
            <w:vAlign w:val="center"/>
          </w:tcPr>
          <w:p w:rsidR="004B12D7" w:rsidRPr="00B057B9" w:rsidRDefault="004B12D7" w:rsidP="00B057B9">
            <w:pPr>
              <w:jc w:val="center"/>
              <w:rPr>
                <w:sz w:val="18"/>
                <w:szCs w:val="18"/>
              </w:rPr>
            </w:pPr>
            <w:r w:rsidRPr="00B057B9">
              <w:rPr>
                <w:sz w:val="18"/>
                <w:szCs w:val="18"/>
              </w:rPr>
              <w:t>-7.655*</w:t>
            </w:r>
          </w:p>
        </w:tc>
        <w:tc>
          <w:tcPr>
            <w:tcW w:w="708" w:type="dxa"/>
            <w:noWrap/>
            <w:vAlign w:val="center"/>
          </w:tcPr>
          <w:p w:rsidR="004B12D7" w:rsidRPr="00B057B9" w:rsidRDefault="004B12D7" w:rsidP="00B057B9">
            <w:pPr>
              <w:jc w:val="center"/>
              <w:rPr>
                <w:sz w:val="18"/>
                <w:szCs w:val="18"/>
              </w:rPr>
            </w:pPr>
            <w:r w:rsidRPr="00B057B9">
              <w:rPr>
                <w:sz w:val="18"/>
                <w:szCs w:val="18"/>
              </w:rPr>
              <w:t>2.040</w:t>
            </w:r>
          </w:p>
        </w:tc>
        <w:tc>
          <w:tcPr>
            <w:tcW w:w="851" w:type="dxa"/>
            <w:noWrap/>
            <w:vAlign w:val="center"/>
          </w:tcPr>
          <w:p w:rsidR="004B12D7" w:rsidRPr="00B057B9" w:rsidRDefault="004B12D7" w:rsidP="00B057B9">
            <w:pPr>
              <w:jc w:val="center"/>
              <w:rPr>
                <w:sz w:val="18"/>
                <w:szCs w:val="18"/>
              </w:rPr>
            </w:pPr>
            <w:r w:rsidRPr="00B057B9">
              <w:rPr>
                <w:sz w:val="18"/>
                <w:szCs w:val="18"/>
              </w:rPr>
              <w:t>0.000</w:t>
            </w:r>
          </w:p>
        </w:tc>
        <w:tc>
          <w:tcPr>
            <w:tcW w:w="1134" w:type="dxa"/>
            <w:noWrap/>
            <w:vAlign w:val="center"/>
          </w:tcPr>
          <w:p w:rsidR="004B12D7" w:rsidRPr="00B057B9" w:rsidRDefault="004B12D7" w:rsidP="00B057B9">
            <w:pPr>
              <w:jc w:val="center"/>
              <w:rPr>
                <w:sz w:val="18"/>
                <w:szCs w:val="18"/>
              </w:rPr>
            </w:pPr>
            <w:r w:rsidRPr="00B057B9">
              <w:rPr>
                <w:sz w:val="18"/>
                <w:szCs w:val="18"/>
              </w:rPr>
              <w:t>3.918*</w:t>
            </w:r>
          </w:p>
        </w:tc>
        <w:tc>
          <w:tcPr>
            <w:tcW w:w="709" w:type="dxa"/>
            <w:noWrap/>
            <w:vAlign w:val="center"/>
          </w:tcPr>
          <w:p w:rsidR="004B12D7" w:rsidRPr="00B057B9" w:rsidRDefault="004B12D7" w:rsidP="00B057B9">
            <w:pPr>
              <w:jc w:val="center"/>
              <w:rPr>
                <w:sz w:val="18"/>
                <w:szCs w:val="18"/>
              </w:rPr>
            </w:pPr>
            <w:r w:rsidRPr="00B057B9">
              <w:rPr>
                <w:sz w:val="18"/>
                <w:szCs w:val="18"/>
              </w:rPr>
              <w:t>1.756</w:t>
            </w:r>
          </w:p>
        </w:tc>
        <w:tc>
          <w:tcPr>
            <w:tcW w:w="708" w:type="dxa"/>
            <w:noWrap/>
            <w:vAlign w:val="center"/>
          </w:tcPr>
          <w:p w:rsidR="004B12D7" w:rsidRPr="00B057B9" w:rsidRDefault="004B12D7" w:rsidP="00B057B9">
            <w:pPr>
              <w:jc w:val="center"/>
              <w:rPr>
                <w:sz w:val="18"/>
                <w:szCs w:val="18"/>
              </w:rPr>
            </w:pPr>
            <w:r w:rsidRPr="00B057B9">
              <w:rPr>
                <w:sz w:val="18"/>
                <w:szCs w:val="18"/>
              </w:rPr>
              <w:t>0.029</w:t>
            </w:r>
          </w:p>
        </w:tc>
        <w:tc>
          <w:tcPr>
            <w:tcW w:w="1134" w:type="dxa"/>
            <w:noWrap/>
            <w:vAlign w:val="center"/>
          </w:tcPr>
          <w:p w:rsidR="004B12D7" w:rsidRPr="00B057B9" w:rsidRDefault="004B12D7" w:rsidP="00B057B9">
            <w:pPr>
              <w:jc w:val="center"/>
              <w:rPr>
                <w:sz w:val="18"/>
                <w:szCs w:val="18"/>
              </w:rPr>
            </w:pPr>
            <w:r w:rsidRPr="00B057B9">
              <w:rPr>
                <w:sz w:val="18"/>
                <w:szCs w:val="18"/>
              </w:rPr>
              <w:t>1.786*</w:t>
            </w:r>
          </w:p>
        </w:tc>
        <w:tc>
          <w:tcPr>
            <w:tcW w:w="709" w:type="dxa"/>
            <w:noWrap/>
            <w:vAlign w:val="center"/>
          </w:tcPr>
          <w:p w:rsidR="004B12D7" w:rsidRPr="00B057B9" w:rsidRDefault="004B12D7" w:rsidP="00B057B9">
            <w:pPr>
              <w:jc w:val="center"/>
              <w:rPr>
                <w:sz w:val="18"/>
                <w:szCs w:val="18"/>
              </w:rPr>
            </w:pPr>
            <w:r w:rsidRPr="00B057B9">
              <w:rPr>
                <w:sz w:val="18"/>
                <w:szCs w:val="18"/>
              </w:rPr>
              <w:t>0.648</w:t>
            </w:r>
          </w:p>
        </w:tc>
        <w:tc>
          <w:tcPr>
            <w:tcW w:w="709" w:type="dxa"/>
            <w:noWrap/>
            <w:vAlign w:val="center"/>
          </w:tcPr>
          <w:p w:rsidR="004B12D7" w:rsidRPr="00B057B9" w:rsidRDefault="004B12D7" w:rsidP="00B057B9">
            <w:pPr>
              <w:jc w:val="center"/>
              <w:rPr>
                <w:sz w:val="18"/>
                <w:szCs w:val="18"/>
              </w:rPr>
            </w:pPr>
            <w:r w:rsidRPr="00B057B9">
              <w:rPr>
                <w:sz w:val="18"/>
                <w:szCs w:val="18"/>
              </w:rPr>
              <w:t>0.007</w:t>
            </w:r>
          </w:p>
        </w:tc>
      </w:tr>
    </w:tbl>
    <w:p w:rsidR="004B12D7" w:rsidRPr="00C43E81" w:rsidRDefault="004B12D7" w:rsidP="00B057B9">
      <w:pPr>
        <w:spacing w:before="40"/>
        <w:jc w:val="both"/>
        <w:rPr>
          <w:sz w:val="18"/>
          <w:szCs w:val="18"/>
          <w:lang w:val="en-US"/>
        </w:rPr>
      </w:pPr>
      <w:r w:rsidRPr="00C43E81">
        <w:rPr>
          <w:sz w:val="18"/>
          <w:szCs w:val="18"/>
        </w:rPr>
        <w:t xml:space="preserve">* </w:t>
      </w:r>
      <w:r w:rsidRPr="00C43E81">
        <w:rPr>
          <w:sz w:val="18"/>
          <w:szCs w:val="18"/>
          <w:lang w:val="en-US"/>
        </w:rPr>
        <w:t>statistically significantly difference.</w:t>
      </w:r>
    </w:p>
    <w:p w:rsidR="004B12D7" w:rsidRPr="00C43E81" w:rsidRDefault="004B12D7" w:rsidP="00B057B9">
      <w:pPr>
        <w:jc w:val="both"/>
        <w:rPr>
          <w:sz w:val="18"/>
          <w:szCs w:val="18"/>
          <w:lang w:val="en-US"/>
        </w:rPr>
      </w:pPr>
      <w:r w:rsidRPr="00C43E81">
        <w:rPr>
          <w:sz w:val="18"/>
          <w:szCs w:val="18"/>
          <w:lang w:val="en-US"/>
        </w:rPr>
        <w:t>**(X), (Y) – Type of harvester.</w:t>
      </w:r>
    </w:p>
    <w:p w:rsidR="004B12D7" w:rsidRPr="005551CC" w:rsidRDefault="004B12D7" w:rsidP="004B12D7">
      <w:pPr>
        <w:spacing w:line="360" w:lineRule="auto"/>
        <w:jc w:val="both"/>
      </w:pPr>
    </w:p>
    <w:p w:rsidR="004B12D7" w:rsidRPr="005551CC" w:rsidRDefault="004B12D7" w:rsidP="00B057B9">
      <w:pPr>
        <w:spacing w:line="360" w:lineRule="auto"/>
        <w:jc w:val="center"/>
      </w:pPr>
      <w:r>
        <w:rPr>
          <w:noProof/>
          <w:lang w:val="en-US" w:eastAsia="en-US"/>
        </w:rPr>
        <w:lastRenderedPageBreak/>
        <w:drawing>
          <wp:inline distT="0" distB="0" distL="0" distR="0">
            <wp:extent cx="4320000" cy="2190258"/>
            <wp:effectExtent l="19050" t="0" r="4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320000" cy="2190258"/>
                    </a:xfrm>
                    <a:prstGeom prst="rect">
                      <a:avLst/>
                    </a:prstGeom>
                    <a:noFill/>
                  </pic:spPr>
                </pic:pic>
              </a:graphicData>
            </a:graphic>
          </wp:inline>
        </w:drawing>
      </w:r>
    </w:p>
    <w:p w:rsidR="00B057B9" w:rsidRPr="009D70FD" w:rsidRDefault="00B057B9" w:rsidP="00B057B9">
      <w:pPr>
        <w:jc w:val="both"/>
        <w:rPr>
          <w:sz w:val="16"/>
          <w:szCs w:val="16"/>
        </w:rPr>
      </w:pPr>
    </w:p>
    <w:p w:rsidR="004B12D7" w:rsidRPr="00B057B9" w:rsidRDefault="004B12D7" w:rsidP="00B057B9">
      <w:pPr>
        <w:jc w:val="center"/>
        <w:rPr>
          <w:sz w:val="22"/>
          <w:szCs w:val="22"/>
        </w:rPr>
      </w:pPr>
      <w:r w:rsidRPr="00B057B9">
        <w:rPr>
          <w:sz w:val="22"/>
          <w:szCs w:val="22"/>
        </w:rPr>
        <w:t>Figure 1. Mean values of categories of harvested chamomille.</w:t>
      </w:r>
    </w:p>
    <w:p w:rsidR="004B12D7" w:rsidRPr="009D70FD" w:rsidRDefault="004B12D7" w:rsidP="00B057B9">
      <w:pPr>
        <w:ind w:firstLine="426"/>
        <w:jc w:val="both"/>
        <w:rPr>
          <w:sz w:val="16"/>
          <w:szCs w:val="16"/>
          <w:lang w:val="en-US"/>
        </w:rPr>
      </w:pPr>
    </w:p>
    <w:p w:rsidR="004B12D7" w:rsidRPr="00B057B9" w:rsidRDefault="004B12D7" w:rsidP="00B057B9">
      <w:pPr>
        <w:ind w:firstLine="426"/>
        <w:jc w:val="both"/>
        <w:rPr>
          <w:sz w:val="22"/>
          <w:szCs w:val="22"/>
          <w:lang w:val="en-US"/>
        </w:rPr>
      </w:pPr>
      <w:r w:rsidRPr="00B057B9">
        <w:rPr>
          <w:sz w:val="22"/>
          <w:szCs w:val="22"/>
          <w:lang w:val="en-US"/>
        </w:rPr>
        <w:t>These results indicate the significance and influence of exploitation parameters of harvester operation. This refers primarily to the number of rotations of the picking device which is different in the harvesters A and B (230 and 220 min</w:t>
      </w:r>
      <w:r w:rsidRPr="00B057B9">
        <w:rPr>
          <w:sz w:val="22"/>
          <w:szCs w:val="22"/>
          <w:vertAlign w:val="superscript"/>
          <w:lang w:val="en-US"/>
        </w:rPr>
        <w:t>-1</w:t>
      </w:r>
      <w:r w:rsidRPr="00B057B9">
        <w:rPr>
          <w:sz w:val="22"/>
          <w:szCs w:val="22"/>
          <w:lang w:val="en-US"/>
        </w:rPr>
        <w:t>) relative to the harvester C (205 min</w:t>
      </w:r>
      <w:r w:rsidRPr="00B057B9">
        <w:rPr>
          <w:sz w:val="22"/>
          <w:szCs w:val="22"/>
          <w:vertAlign w:val="superscript"/>
          <w:lang w:val="en-US"/>
        </w:rPr>
        <w:t>-1</w:t>
      </w:r>
      <w:r w:rsidRPr="00B057B9">
        <w:rPr>
          <w:sz w:val="22"/>
          <w:szCs w:val="22"/>
          <w:lang w:val="en-US"/>
        </w:rPr>
        <w:t>). The influence of the number of rotations of a picking rotor on quality of harvested chamomile has been confirmed by studies, too (Martinov, 1992).</w:t>
      </w:r>
    </w:p>
    <w:p w:rsidR="004B12D7" w:rsidRPr="009D70FD" w:rsidRDefault="004B12D7" w:rsidP="00B057B9">
      <w:pPr>
        <w:jc w:val="center"/>
        <w:rPr>
          <w:sz w:val="16"/>
          <w:szCs w:val="16"/>
        </w:rPr>
      </w:pPr>
    </w:p>
    <w:p w:rsidR="004B12D7" w:rsidRPr="00B057B9" w:rsidRDefault="004B12D7" w:rsidP="00B057B9">
      <w:pPr>
        <w:jc w:val="center"/>
        <w:rPr>
          <w:b/>
          <w:bCs/>
          <w:sz w:val="22"/>
          <w:szCs w:val="22"/>
          <w:lang w:val="en-US"/>
        </w:rPr>
      </w:pPr>
      <w:r w:rsidRPr="00B057B9">
        <w:rPr>
          <w:b/>
          <w:bCs/>
          <w:sz w:val="22"/>
          <w:szCs w:val="22"/>
          <w:lang w:val="en-US"/>
        </w:rPr>
        <w:t>Conclusion</w:t>
      </w:r>
    </w:p>
    <w:p w:rsidR="004B12D7" w:rsidRPr="009D70FD" w:rsidRDefault="004B12D7" w:rsidP="00B057B9">
      <w:pPr>
        <w:jc w:val="center"/>
        <w:rPr>
          <w:b/>
          <w:bCs/>
          <w:sz w:val="16"/>
          <w:szCs w:val="16"/>
          <w:lang w:val="en-US"/>
        </w:rPr>
      </w:pPr>
    </w:p>
    <w:p w:rsidR="004B12D7" w:rsidRPr="009D70FD" w:rsidRDefault="004B12D7" w:rsidP="00B057B9">
      <w:pPr>
        <w:ind w:firstLine="426"/>
        <w:jc w:val="both"/>
        <w:rPr>
          <w:sz w:val="22"/>
          <w:szCs w:val="22"/>
          <w:lang w:val="en-US"/>
        </w:rPr>
      </w:pPr>
      <w:r w:rsidRPr="009D70FD">
        <w:rPr>
          <w:sz w:val="22"/>
          <w:szCs w:val="22"/>
          <w:lang w:val="en-US"/>
        </w:rPr>
        <w:t>In agroecological conditions of Serbia, the period of chamomile harvesting lasts for 30 days. The exact time of mechanized harvesting within this period has no significant influence on the quality of harvested chamomile. This conclusion is very important from the perspective of organization of chamomile production since it simplifies the process of optimization of using technical systems in the process of chamomile harvesting and processing. This refers primarily to interharmonization of processes of harvesting, processing and drying of harvested chamomile, as well as using some technic</w:t>
      </w:r>
      <w:r w:rsidR="00B057B9" w:rsidRPr="009D70FD">
        <w:rPr>
          <w:sz w:val="22"/>
          <w:szCs w:val="22"/>
          <w:lang w:val="en-US"/>
        </w:rPr>
        <w:t>al systems in those activities.</w:t>
      </w:r>
    </w:p>
    <w:p w:rsidR="004B12D7" w:rsidRPr="009D70FD" w:rsidRDefault="004B12D7" w:rsidP="00B057B9">
      <w:pPr>
        <w:ind w:firstLine="426"/>
        <w:jc w:val="both"/>
        <w:rPr>
          <w:sz w:val="22"/>
          <w:szCs w:val="22"/>
          <w:lang w:val="en-US"/>
        </w:rPr>
      </w:pPr>
      <w:r w:rsidRPr="009D70FD">
        <w:rPr>
          <w:sz w:val="22"/>
          <w:szCs w:val="22"/>
          <w:lang w:val="en-US"/>
        </w:rPr>
        <w:t>Quality of harvested chamomile was classified into four categories, and it was observed that the greater number of rotations of the picking device increased the content of category I chamomile. The harvester A achieved 54.79% of category I in respect to the harvester B with 50.26% and the harvester C with 42.93%.</w:t>
      </w:r>
    </w:p>
    <w:p w:rsidR="004B12D7" w:rsidRPr="009D70FD" w:rsidRDefault="004B12D7" w:rsidP="00B057B9">
      <w:pPr>
        <w:ind w:firstLine="426"/>
        <w:jc w:val="both"/>
        <w:rPr>
          <w:sz w:val="22"/>
          <w:szCs w:val="22"/>
          <w:lang w:val="en-US"/>
        </w:rPr>
      </w:pPr>
      <w:r w:rsidRPr="009D70FD">
        <w:rPr>
          <w:sz w:val="22"/>
          <w:szCs w:val="22"/>
          <w:lang w:val="en-US"/>
        </w:rPr>
        <w:t>On the other hand, the choice of harvester type for chamomile harvesting, as well as exploitation characteristics of it, are among the crucial decisions when it comes to production of chamomile due to the great influence on the yield and quality of harvested chamomile.</w:t>
      </w:r>
    </w:p>
    <w:p w:rsidR="00B057B9" w:rsidRDefault="00B057B9" w:rsidP="00B057B9">
      <w:pPr>
        <w:pStyle w:val="Heading1"/>
        <w:keepNext w:val="0"/>
        <w:widowControl w:val="0"/>
        <w:suppressAutoHyphens/>
        <w:overflowPunct w:val="0"/>
        <w:autoSpaceDE w:val="0"/>
        <w:autoSpaceDN w:val="0"/>
        <w:adjustRightInd w:val="0"/>
        <w:jc w:val="both"/>
        <w:textAlignment w:val="baseline"/>
      </w:pPr>
      <w:r>
        <w:lastRenderedPageBreak/>
        <w:t>Acknowledgments</w:t>
      </w:r>
    </w:p>
    <w:p w:rsidR="00B057B9" w:rsidRPr="009D70FD" w:rsidRDefault="00B057B9" w:rsidP="00B057B9">
      <w:pPr>
        <w:rPr>
          <w:sz w:val="18"/>
          <w:szCs w:val="18"/>
        </w:rPr>
      </w:pPr>
    </w:p>
    <w:p w:rsidR="004B12D7" w:rsidRPr="009D70FD" w:rsidRDefault="004B12D7" w:rsidP="00B057B9">
      <w:pPr>
        <w:pStyle w:val="Heading1"/>
        <w:keepNext w:val="0"/>
        <w:widowControl w:val="0"/>
        <w:suppressAutoHyphens/>
        <w:overflowPunct w:val="0"/>
        <w:autoSpaceDE w:val="0"/>
        <w:autoSpaceDN w:val="0"/>
        <w:adjustRightInd w:val="0"/>
        <w:ind w:firstLine="426"/>
        <w:jc w:val="both"/>
        <w:textAlignment w:val="baseline"/>
        <w:rPr>
          <w:b w:val="0"/>
          <w:bCs/>
          <w:lang w:val="en-US"/>
        </w:rPr>
      </w:pPr>
      <w:r w:rsidRPr="00B057B9">
        <w:rPr>
          <w:b w:val="0"/>
          <w:bCs/>
          <w:lang w:val="en-US"/>
        </w:rPr>
        <w:t>This paper is the result of research on the project TR 31051, financed by the Ministry of Education, Science and Technological Development of the Republic of Serbia</w:t>
      </w:r>
      <w:r w:rsidRPr="000854C0">
        <w:rPr>
          <w:b w:val="0"/>
          <w:bCs/>
          <w:sz w:val="24"/>
          <w:szCs w:val="24"/>
          <w:lang w:val="en-US"/>
        </w:rPr>
        <w:t>.</w:t>
      </w:r>
    </w:p>
    <w:p w:rsidR="004B12D7" w:rsidRPr="009D70FD" w:rsidRDefault="004B12D7" w:rsidP="00B057B9">
      <w:pPr>
        <w:widowControl w:val="0"/>
        <w:jc w:val="center"/>
      </w:pPr>
    </w:p>
    <w:p w:rsidR="004B12D7" w:rsidRPr="009D70FD" w:rsidRDefault="004B12D7" w:rsidP="00B057B9">
      <w:pPr>
        <w:pStyle w:val="Heading1"/>
        <w:keepNext w:val="0"/>
        <w:widowControl w:val="0"/>
        <w:overflowPunct w:val="0"/>
        <w:autoSpaceDE w:val="0"/>
        <w:autoSpaceDN w:val="0"/>
        <w:adjustRightInd w:val="0"/>
        <w:textAlignment w:val="baseline"/>
      </w:pPr>
      <w:r w:rsidRPr="009D70FD">
        <w:t>References</w:t>
      </w:r>
    </w:p>
    <w:p w:rsidR="004B12D7" w:rsidRPr="009D70FD" w:rsidRDefault="004B12D7" w:rsidP="00B057B9">
      <w:pPr>
        <w:widowControl w:val="0"/>
        <w:jc w:val="center"/>
      </w:pPr>
    </w:p>
    <w:p w:rsidR="004B12D7" w:rsidRPr="00B057B9" w:rsidRDefault="004B12D7" w:rsidP="00B057B9">
      <w:pPr>
        <w:ind w:left="425" w:hanging="425"/>
        <w:jc w:val="both"/>
        <w:rPr>
          <w:sz w:val="18"/>
          <w:szCs w:val="18"/>
        </w:rPr>
      </w:pPr>
      <w:r w:rsidRPr="00B057B9">
        <w:rPr>
          <w:sz w:val="18"/>
          <w:szCs w:val="18"/>
        </w:rPr>
        <w:t xml:space="preserve">Blažek, Z. &amp; Stary, F. (1961). </w:t>
      </w:r>
      <w:r w:rsidRPr="00B057B9">
        <w:rPr>
          <w:i/>
          <w:sz w:val="18"/>
          <w:szCs w:val="18"/>
        </w:rPr>
        <w:t>Pharmazie</w:t>
      </w:r>
      <w:r w:rsidRPr="00B057B9">
        <w:rPr>
          <w:sz w:val="18"/>
          <w:szCs w:val="18"/>
        </w:rPr>
        <w:t>. Berlin, 9,</w:t>
      </w:r>
      <w:r w:rsidR="00B057B9">
        <w:rPr>
          <w:sz w:val="18"/>
          <w:szCs w:val="18"/>
        </w:rPr>
        <w:t xml:space="preserve"> 477-482.</w:t>
      </w:r>
    </w:p>
    <w:p w:rsidR="004B12D7" w:rsidRPr="00B057B9" w:rsidRDefault="004B12D7" w:rsidP="00B057B9">
      <w:pPr>
        <w:ind w:left="425" w:hanging="425"/>
        <w:jc w:val="both"/>
        <w:rPr>
          <w:sz w:val="18"/>
          <w:szCs w:val="18"/>
        </w:rPr>
      </w:pPr>
      <w:r w:rsidRPr="00B057B9">
        <w:rPr>
          <w:sz w:val="18"/>
          <w:szCs w:val="18"/>
        </w:rPr>
        <w:t xml:space="preserve">Brkić, D., Šumanovac, L., Lukač, P. &amp; Jurić, T. (1998). Ispitivanje adaptiranog žitnog kombajna u berbi kamilice. </w:t>
      </w:r>
      <w:r w:rsidRPr="00B057B9">
        <w:rPr>
          <w:i/>
          <w:sz w:val="18"/>
          <w:szCs w:val="18"/>
        </w:rPr>
        <w:t xml:space="preserve">Poljoprivreda, </w:t>
      </w:r>
      <w:r w:rsidRPr="00451D51">
        <w:rPr>
          <w:sz w:val="18"/>
          <w:szCs w:val="18"/>
        </w:rPr>
        <w:t>4 (1),</w:t>
      </w:r>
      <w:r w:rsidRPr="00B057B9">
        <w:rPr>
          <w:sz w:val="18"/>
          <w:szCs w:val="18"/>
        </w:rPr>
        <w:t xml:space="preserve"> 9-16.</w:t>
      </w:r>
    </w:p>
    <w:p w:rsidR="004B12D7" w:rsidRPr="00B057B9" w:rsidRDefault="004B12D7" w:rsidP="00B057B9">
      <w:pPr>
        <w:ind w:left="425" w:hanging="425"/>
        <w:jc w:val="both"/>
        <w:rPr>
          <w:sz w:val="18"/>
          <w:szCs w:val="18"/>
        </w:rPr>
      </w:pPr>
      <w:r w:rsidRPr="00B057B9">
        <w:rPr>
          <w:sz w:val="18"/>
          <w:szCs w:val="18"/>
        </w:rPr>
        <w:t xml:space="preserve">Cohen, J.W. (1988). </w:t>
      </w:r>
      <w:r w:rsidRPr="00B057B9">
        <w:rPr>
          <w:i/>
          <w:sz w:val="18"/>
          <w:szCs w:val="18"/>
        </w:rPr>
        <w:t>Statistical power analysis for the behavioral sciences (2nd edition).</w:t>
      </w:r>
      <w:r w:rsidRPr="00B057B9">
        <w:rPr>
          <w:sz w:val="18"/>
          <w:szCs w:val="18"/>
        </w:rPr>
        <w:t xml:space="preserve"> Hillsdale, NJ: Lawrence Erlbaum Associates.</w:t>
      </w:r>
    </w:p>
    <w:p w:rsidR="004B12D7" w:rsidRPr="00B057B9" w:rsidRDefault="004B12D7" w:rsidP="00B057B9">
      <w:pPr>
        <w:ind w:left="425" w:hanging="425"/>
        <w:jc w:val="both"/>
        <w:rPr>
          <w:sz w:val="18"/>
          <w:szCs w:val="18"/>
        </w:rPr>
      </w:pPr>
      <w:r w:rsidRPr="00B057B9">
        <w:rPr>
          <w:sz w:val="18"/>
          <w:szCs w:val="18"/>
        </w:rPr>
        <w:t xml:space="preserve">Dechler, M. &amp; Pelzmann, H. (1999). </w:t>
      </w:r>
      <w:r w:rsidRPr="00B057B9">
        <w:rPr>
          <w:i/>
          <w:sz w:val="18"/>
          <w:szCs w:val="18"/>
        </w:rPr>
        <w:t xml:space="preserve">Arznei-und Gewurzpflanzen. Anbau, Ernte und Aufbereitung, 2nd Ed. </w:t>
      </w:r>
      <w:r w:rsidRPr="00B057B9">
        <w:rPr>
          <w:sz w:val="18"/>
          <w:szCs w:val="18"/>
        </w:rPr>
        <w:t>Osterreichischer Agrarverlag, Klosterneuburg, 351.</w:t>
      </w:r>
    </w:p>
    <w:p w:rsidR="004B12D7" w:rsidRPr="00B057B9" w:rsidRDefault="004B12D7" w:rsidP="00B057B9">
      <w:pPr>
        <w:autoSpaceDE w:val="0"/>
        <w:autoSpaceDN w:val="0"/>
        <w:adjustRightInd w:val="0"/>
        <w:ind w:left="425" w:hanging="425"/>
        <w:jc w:val="both"/>
        <w:rPr>
          <w:sz w:val="18"/>
          <w:szCs w:val="18"/>
        </w:rPr>
      </w:pPr>
      <w:r w:rsidRPr="00B057B9">
        <w:rPr>
          <w:sz w:val="18"/>
          <w:szCs w:val="18"/>
        </w:rPr>
        <w:t xml:space="preserve">Dražić, S. (2004). </w:t>
      </w:r>
      <w:r w:rsidRPr="00B057B9">
        <w:rPr>
          <w:i/>
          <w:sz w:val="18"/>
          <w:szCs w:val="18"/>
        </w:rPr>
        <w:t>Gajenje lekovitog bilja</w:t>
      </w:r>
      <w:r w:rsidRPr="00B057B9">
        <w:rPr>
          <w:sz w:val="18"/>
          <w:szCs w:val="18"/>
        </w:rPr>
        <w:t>. Brčko Distrikt, Counterpart Intentional.</w:t>
      </w:r>
    </w:p>
    <w:p w:rsidR="004B12D7" w:rsidRPr="00B057B9" w:rsidRDefault="004B12D7" w:rsidP="00B057B9">
      <w:pPr>
        <w:ind w:left="425" w:hanging="425"/>
        <w:jc w:val="both"/>
        <w:rPr>
          <w:sz w:val="18"/>
          <w:szCs w:val="18"/>
        </w:rPr>
      </w:pPr>
      <w:r w:rsidRPr="00B057B9">
        <w:rPr>
          <w:sz w:val="18"/>
          <w:szCs w:val="18"/>
        </w:rPr>
        <w:t xml:space="preserve">Ebert, K. (1982). </w:t>
      </w:r>
      <w:r w:rsidRPr="00B057B9">
        <w:rPr>
          <w:i/>
          <w:sz w:val="18"/>
          <w:szCs w:val="18"/>
        </w:rPr>
        <w:t>Arznei-und Gewurzpflanzen, Ein Leitfaden fur Anbau und Sammlung, 2nd Ed.</w:t>
      </w:r>
      <w:r w:rsidRPr="00B057B9">
        <w:rPr>
          <w:sz w:val="18"/>
          <w:szCs w:val="18"/>
        </w:rPr>
        <w:t xml:space="preserve"> Stuttgart, Germay, 221, Wiss Verlagsgesell.</w:t>
      </w:r>
    </w:p>
    <w:p w:rsidR="004B12D7" w:rsidRPr="00B057B9" w:rsidRDefault="004B12D7" w:rsidP="00B057B9">
      <w:pPr>
        <w:ind w:left="425" w:hanging="425"/>
        <w:jc w:val="both"/>
        <w:rPr>
          <w:sz w:val="18"/>
          <w:szCs w:val="18"/>
        </w:rPr>
      </w:pPr>
      <w:r w:rsidRPr="00B057B9">
        <w:rPr>
          <w:sz w:val="18"/>
          <w:szCs w:val="18"/>
        </w:rPr>
        <w:t xml:space="preserve">Emongor, V.E. &amp; Chweya, J.A. (1989). Effect on age on chamomile flower yield, essential oil content and composition. </w:t>
      </w:r>
      <w:r w:rsidRPr="00B057B9">
        <w:rPr>
          <w:i/>
          <w:sz w:val="18"/>
          <w:szCs w:val="18"/>
        </w:rPr>
        <w:t xml:space="preserve">Discovery and Innovation, </w:t>
      </w:r>
      <w:r w:rsidRPr="00451D51">
        <w:rPr>
          <w:sz w:val="18"/>
          <w:szCs w:val="18"/>
        </w:rPr>
        <w:t>1(4),</w:t>
      </w:r>
      <w:r w:rsidRPr="00B057B9">
        <w:rPr>
          <w:sz w:val="18"/>
          <w:szCs w:val="18"/>
        </w:rPr>
        <w:t xml:space="preserve"> 63-66.</w:t>
      </w:r>
    </w:p>
    <w:p w:rsidR="004B12D7" w:rsidRPr="00B057B9" w:rsidRDefault="004B12D7" w:rsidP="00B057B9">
      <w:pPr>
        <w:ind w:left="425" w:hanging="425"/>
        <w:jc w:val="both"/>
        <w:rPr>
          <w:sz w:val="18"/>
          <w:szCs w:val="18"/>
        </w:rPr>
      </w:pPr>
      <w:r w:rsidRPr="00B057B9">
        <w:rPr>
          <w:sz w:val="18"/>
          <w:szCs w:val="18"/>
        </w:rPr>
        <w:t xml:space="preserve">Falzari, L.M. &amp; Menary, R.C. (2003). </w:t>
      </w:r>
      <w:r w:rsidRPr="00B057B9">
        <w:rPr>
          <w:i/>
          <w:sz w:val="18"/>
          <w:szCs w:val="18"/>
        </w:rPr>
        <w:t>Chamomile for oil and dried flowers</w:t>
      </w:r>
      <w:r w:rsidRPr="00B057B9">
        <w:rPr>
          <w:sz w:val="18"/>
          <w:szCs w:val="18"/>
        </w:rPr>
        <w:t>. Project No UT-28A.</w:t>
      </w:r>
    </w:p>
    <w:p w:rsidR="004B12D7" w:rsidRPr="00B057B9" w:rsidRDefault="004B12D7" w:rsidP="00B057B9">
      <w:pPr>
        <w:ind w:left="425" w:hanging="425"/>
        <w:jc w:val="both"/>
        <w:rPr>
          <w:sz w:val="18"/>
          <w:szCs w:val="18"/>
        </w:rPr>
      </w:pPr>
      <w:r w:rsidRPr="00B057B9">
        <w:rPr>
          <w:sz w:val="18"/>
          <w:szCs w:val="18"/>
        </w:rPr>
        <w:t xml:space="preserve">Franke, R. &amp; Schilcher, H. (2005). </w:t>
      </w:r>
      <w:r w:rsidRPr="00B057B9">
        <w:rPr>
          <w:i/>
          <w:sz w:val="18"/>
          <w:szCs w:val="18"/>
        </w:rPr>
        <w:t>Chamomile Industrial profiles.</w:t>
      </w:r>
      <w:r w:rsidRPr="00B057B9">
        <w:rPr>
          <w:sz w:val="18"/>
          <w:szCs w:val="18"/>
        </w:rPr>
        <w:t xml:space="preserve"> Taylor and Francis.</w:t>
      </w:r>
    </w:p>
    <w:p w:rsidR="004B12D7" w:rsidRPr="00B057B9" w:rsidRDefault="004B12D7" w:rsidP="00B057B9">
      <w:pPr>
        <w:autoSpaceDE w:val="0"/>
        <w:autoSpaceDN w:val="0"/>
        <w:adjustRightInd w:val="0"/>
        <w:ind w:left="425" w:hanging="425"/>
        <w:jc w:val="both"/>
        <w:rPr>
          <w:sz w:val="18"/>
          <w:szCs w:val="18"/>
        </w:rPr>
      </w:pPr>
      <w:r w:rsidRPr="00B057B9">
        <w:rPr>
          <w:sz w:val="18"/>
          <w:szCs w:val="18"/>
        </w:rPr>
        <w:t>Franz, C., Holzl, J. &amp; Kirsch, C. (1983). Einflub der Stickstoff-, Phosphor- und Kalidungung auf Kamille (</w:t>
      </w:r>
      <w:r w:rsidRPr="00B057B9">
        <w:rPr>
          <w:iCs/>
          <w:sz w:val="18"/>
          <w:szCs w:val="18"/>
        </w:rPr>
        <w:t xml:space="preserve">Chamomilla recutita </w:t>
      </w:r>
      <w:r w:rsidRPr="00B057B9">
        <w:rPr>
          <w:sz w:val="18"/>
          <w:szCs w:val="18"/>
        </w:rPr>
        <w:t>(L.)</w:t>
      </w:r>
      <w:r w:rsidRPr="00B057B9">
        <w:rPr>
          <w:iCs/>
          <w:sz w:val="18"/>
          <w:szCs w:val="18"/>
        </w:rPr>
        <w:t xml:space="preserve"> Rauschert</w:t>
      </w:r>
      <w:r w:rsidRPr="00B057B9">
        <w:rPr>
          <w:sz w:val="18"/>
          <w:szCs w:val="18"/>
        </w:rPr>
        <w:t xml:space="preserve">), syn Matricaria chamomilla L.) II. </w:t>
      </w:r>
      <w:r w:rsidRPr="00B057B9">
        <w:rPr>
          <w:i/>
          <w:sz w:val="18"/>
          <w:szCs w:val="18"/>
        </w:rPr>
        <w:t xml:space="preserve">Beeinflussung des atherischen Ols. Gartenbauwissenschaft, </w:t>
      </w:r>
      <w:r w:rsidRPr="00451D51">
        <w:rPr>
          <w:sz w:val="18"/>
          <w:szCs w:val="18"/>
        </w:rPr>
        <w:t>1,</w:t>
      </w:r>
      <w:r w:rsidRPr="00B057B9">
        <w:rPr>
          <w:i/>
          <w:sz w:val="18"/>
          <w:szCs w:val="18"/>
        </w:rPr>
        <w:t xml:space="preserve"> </w:t>
      </w:r>
      <w:r w:rsidRPr="00B057B9">
        <w:rPr>
          <w:sz w:val="18"/>
          <w:szCs w:val="18"/>
        </w:rPr>
        <w:t>17-22.</w:t>
      </w:r>
    </w:p>
    <w:p w:rsidR="004B12D7" w:rsidRPr="00B057B9" w:rsidRDefault="004B12D7" w:rsidP="00B057B9">
      <w:pPr>
        <w:ind w:left="425" w:hanging="425"/>
        <w:jc w:val="both"/>
        <w:rPr>
          <w:sz w:val="18"/>
          <w:szCs w:val="18"/>
        </w:rPr>
      </w:pPr>
      <w:r w:rsidRPr="00B057B9">
        <w:rPr>
          <w:sz w:val="18"/>
          <w:szCs w:val="18"/>
        </w:rPr>
        <w:t xml:space="preserve">Franz, C., Holzl, J. &amp; Vomel, A. (1978). Variation in the essential oil of </w:t>
      </w:r>
      <w:r w:rsidRPr="00451D51">
        <w:rPr>
          <w:i/>
          <w:iCs/>
          <w:sz w:val="18"/>
          <w:szCs w:val="18"/>
        </w:rPr>
        <w:t>Matricaria chamomilla</w:t>
      </w:r>
      <w:r w:rsidRPr="00B057B9">
        <w:rPr>
          <w:iCs/>
          <w:sz w:val="18"/>
          <w:szCs w:val="18"/>
        </w:rPr>
        <w:t xml:space="preserve"> </w:t>
      </w:r>
      <w:r w:rsidR="00451D51">
        <w:rPr>
          <w:sz w:val="18"/>
          <w:szCs w:val="18"/>
        </w:rPr>
        <w:t xml:space="preserve">L. appending on </w:t>
      </w:r>
      <w:r w:rsidRPr="00B057B9">
        <w:rPr>
          <w:sz w:val="18"/>
          <w:szCs w:val="18"/>
        </w:rPr>
        <w:t xml:space="preserve">the plant age and stage of development. </w:t>
      </w:r>
      <w:r w:rsidRPr="00B057B9">
        <w:rPr>
          <w:i/>
          <w:sz w:val="18"/>
          <w:szCs w:val="18"/>
        </w:rPr>
        <w:t>Acta Horticulturae, 73,</w:t>
      </w:r>
      <w:r w:rsidRPr="00B057B9">
        <w:rPr>
          <w:sz w:val="18"/>
          <w:szCs w:val="18"/>
        </w:rPr>
        <w:t xml:space="preserve"> 229-238.</w:t>
      </w:r>
    </w:p>
    <w:p w:rsidR="004B12D7" w:rsidRPr="00B057B9" w:rsidRDefault="004B12D7" w:rsidP="00B057B9">
      <w:pPr>
        <w:ind w:left="425" w:hanging="425"/>
        <w:jc w:val="both"/>
        <w:rPr>
          <w:sz w:val="18"/>
          <w:szCs w:val="18"/>
        </w:rPr>
      </w:pPr>
      <w:r w:rsidRPr="00B057B9">
        <w:rPr>
          <w:sz w:val="18"/>
          <w:szCs w:val="18"/>
        </w:rPr>
        <w:t>Franz, C.H., Muller, E</w:t>
      </w:r>
      <w:r w:rsidR="00B057B9">
        <w:rPr>
          <w:sz w:val="18"/>
          <w:szCs w:val="18"/>
        </w:rPr>
        <w:t>.</w:t>
      </w:r>
      <w:r w:rsidRPr="00B057B9">
        <w:rPr>
          <w:sz w:val="18"/>
          <w:szCs w:val="18"/>
        </w:rPr>
        <w:t xml:space="preserve">, Pelzman, H., Hardl, K., Halva, S. &amp; Ceylan, A. (1986). </w:t>
      </w:r>
      <w:bookmarkStart w:id="0" w:name="P133_12309"/>
      <w:bookmarkEnd w:id="0"/>
      <w:r w:rsidRPr="00B057B9">
        <w:rPr>
          <w:sz w:val="18"/>
          <w:szCs w:val="18"/>
        </w:rPr>
        <w:t xml:space="preserve">Influence of ecological factors on yield and essential oil of chamomile. </w:t>
      </w:r>
      <w:r w:rsidRPr="00B057B9">
        <w:rPr>
          <w:i/>
          <w:sz w:val="18"/>
          <w:szCs w:val="18"/>
        </w:rPr>
        <w:t xml:space="preserve">Acta Horticulturae, </w:t>
      </w:r>
      <w:r w:rsidRPr="00451D51">
        <w:rPr>
          <w:sz w:val="18"/>
          <w:szCs w:val="18"/>
        </w:rPr>
        <w:t>188,</w:t>
      </w:r>
      <w:r w:rsidRPr="00B057B9">
        <w:rPr>
          <w:sz w:val="18"/>
          <w:szCs w:val="18"/>
        </w:rPr>
        <w:t xml:space="preserve"> 157-162.</w:t>
      </w:r>
    </w:p>
    <w:p w:rsidR="004B12D7" w:rsidRPr="00B057B9" w:rsidRDefault="004B12D7" w:rsidP="00B057B9">
      <w:pPr>
        <w:ind w:left="425" w:hanging="425"/>
        <w:jc w:val="both"/>
        <w:rPr>
          <w:sz w:val="18"/>
          <w:szCs w:val="18"/>
        </w:rPr>
      </w:pPr>
      <w:r w:rsidRPr="00B057B9">
        <w:rPr>
          <w:sz w:val="18"/>
          <w:szCs w:val="18"/>
        </w:rPr>
        <w:t xml:space="preserve">Gašić, O. &amp; Lukić, V. (1990). The </w:t>
      </w:r>
      <w:r w:rsidR="00451D51">
        <w:rPr>
          <w:sz w:val="18"/>
          <w:szCs w:val="18"/>
        </w:rPr>
        <w:t>i</w:t>
      </w:r>
      <w:r w:rsidRPr="00B057B9">
        <w:rPr>
          <w:sz w:val="18"/>
          <w:szCs w:val="18"/>
        </w:rPr>
        <w:t xml:space="preserve">nfluence of </w:t>
      </w:r>
      <w:r w:rsidR="00451D51">
        <w:rPr>
          <w:sz w:val="18"/>
          <w:szCs w:val="18"/>
        </w:rPr>
        <w:t>s</w:t>
      </w:r>
      <w:r w:rsidRPr="00B057B9">
        <w:rPr>
          <w:sz w:val="18"/>
          <w:szCs w:val="18"/>
        </w:rPr>
        <w:t xml:space="preserve">owing and </w:t>
      </w:r>
      <w:r w:rsidR="00451D51">
        <w:rPr>
          <w:sz w:val="18"/>
          <w:szCs w:val="18"/>
        </w:rPr>
        <w:t>h</w:t>
      </w:r>
      <w:r w:rsidRPr="00B057B9">
        <w:rPr>
          <w:sz w:val="18"/>
          <w:szCs w:val="18"/>
        </w:rPr>
        <w:t xml:space="preserve">arvest </w:t>
      </w:r>
      <w:r w:rsidR="00451D51">
        <w:rPr>
          <w:sz w:val="18"/>
          <w:szCs w:val="18"/>
        </w:rPr>
        <w:t>t</w:t>
      </w:r>
      <w:r w:rsidRPr="00B057B9">
        <w:rPr>
          <w:sz w:val="18"/>
          <w:szCs w:val="18"/>
        </w:rPr>
        <w:t xml:space="preserve">ime on the </w:t>
      </w:r>
      <w:r w:rsidR="00451D51">
        <w:rPr>
          <w:sz w:val="18"/>
          <w:szCs w:val="18"/>
        </w:rPr>
        <w:t>c</w:t>
      </w:r>
      <w:r w:rsidRPr="00B057B9">
        <w:rPr>
          <w:sz w:val="18"/>
          <w:szCs w:val="18"/>
        </w:rPr>
        <w:t xml:space="preserve">ontent and </w:t>
      </w:r>
      <w:r w:rsidR="00451D51">
        <w:rPr>
          <w:sz w:val="18"/>
          <w:szCs w:val="18"/>
        </w:rPr>
        <w:t>c</w:t>
      </w:r>
      <w:r w:rsidRPr="00B057B9">
        <w:rPr>
          <w:sz w:val="18"/>
          <w:szCs w:val="18"/>
        </w:rPr>
        <w:t xml:space="preserve">omposition of the </w:t>
      </w:r>
      <w:r w:rsidR="00451D51">
        <w:rPr>
          <w:sz w:val="18"/>
          <w:szCs w:val="18"/>
        </w:rPr>
        <w:t>e</w:t>
      </w:r>
      <w:r w:rsidRPr="00B057B9">
        <w:rPr>
          <w:sz w:val="18"/>
          <w:szCs w:val="18"/>
        </w:rPr>
        <w:t xml:space="preserve">ssential </w:t>
      </w:r>
      <w:r w:rsidR="00451D51">
        <w:rPr>
          <w:sz w:val="18"/>
          <w:szCs w:val="18"/>
        </w:rPr>
        <w:t>o</w:t>
      </w:r>
      <w:r w:rsidRPr="00B057B9">
        <w:rPr>
          <w:sz w:val="18"/>
          <w:szCs w:val="18"/>
        </w:rPr>
        <w:t xml:space="preserve">ils of </w:t>
      </w:r>
      <w:r w:rsidR="00451D51">
        <w:rPr>
          <w:i/>
          <w:sz w:val="18"/>
          <w:szCs w:val="18"/>
        </w:rPr>
        <w:t>Chamomilla r</w:t>
      </w:r>
      <w:r w:rsidRPr="00451D51">
        <w:rPr>
          <w:i/>
          <w:sz w:val="18"/>
          <w:szCs w:val="18"/>
        </w:rPr>
        <w:t>ecutita.</w:t>
      </w:r>
      <w:r w:rsidRPr="00B057B9">
        <w:rPr>
          <w:sz w:val="18"/>
          <w:szCs w:val="18"/>
        </w:rPr>
        <w:t xml:space="preserve"> </w:t>
      </w:r>
      <w:r w:rsidRPr="00B057B9">
        <w:rPr>
          <w:i/>
          <w:sz w:val="18"/>
          <w:szCs w:val="18"/>
        </w:rPr>
        <w:t xml:space="preserve">Planta Medica, </w:t>
      </w:r>
      <w:r w:rsidRPr="00451D51">
        <w:rPr>
          <w:sz w:val="18"/>
          <w:szCs w:val="18"/>
        </w:rPr>
        <w:t>56</w:t>
      </w:r>
      <w:r w:rsidRPr="00B057B9">
        <w:rPr>
          <w:i/>
          <w:sz w:val="18"/>
          <w:szCs w:val="18"/>
        </w:rPr>
        <w:t>,</w:t>
      </w:r>
      <w:r w:rsidRPr="00B057B9">
        <w:rPr>
          <w:sz w:val="18"/>
          <w:szCs w:val="18"/>
        </w:rPr>
        <w:t xml:space="preserve"> 638-649.</w:t>
      </w:r>
    </w:p>
    <w:p w:rsidR="004B12D7" w:rsidRPr="00B057B9" w:rsidRDefault="004B12D7" w:rsidP="00B057B9">
      <w:pPr>
        <w:autoSpaceDE w:val="0"/>
        <w:autoSpaceDN w:val="0"/>
        <w:adjustRightInd w:val="0"/>
        <w:ind w:left="425" w:hanging="425"/>
        <w:jc w:val="both"/>
        <w:rPr>
          <w:sz w:val="18"/>
          <w:szCs w:val="18"/>
        </w:rPr>
      </w:pPr>
      <w:r w:rsidRPr="00B057B9">
        <w:rPr>
          <w:sz w:val="18"/>
          <w:szCs w:val="18"/>
        </w:rPr>
        <w:t>Hadi, M.H.S., Noormohammadi, G., Sinaki, J.M., Khodabandeh, N., Yasa, N. &amp; Darzi, M.T. (2004). Effects of planting time and plant density on flower yield and active substance of Chamomile (</w:t>
      </w:r>
      <w:r w:rsidRPr="00451D51">
        <w:rPr>
          <w:i/>
          <w:iCs/>
          <w:sz w:val="18"/>
          <w:szCs w:val="18"/>
        </w:rPr>
        <w:t>Matricaria chamomilla</w:t>
      </w:r>
      <w:r w:rsidRPr="00B057B9">
        <w:rPr>
          <w:sz w:val="18"/>
          <w:szCs w:val="18"/>
        </w:rPr>
        <w:t xml:space="preserve"> L.). </w:t>
      </w:r>
      <w:r w:rsidRPr="00B057B9">
        <w:rPr>
          <w:i/>
          <w:sz w:val="18"/>
          <w:szCs w:val="18"/>
        </w:rPr>
        <w:t xml:space="preserve">Proceedings of the 4th International Crop Science Congress </w:t>
      </w:r>
      <w:r w:rsidRPr="00451D51">
        <w:rPr>
          <w:sz w:val="18"/>
          <w:szCs w:val="18"/>
        </w:rPr>
        <w:t>Brisbane,</w:t>
      </w:r>
      <w:r w:rsidRPr="00B057B9">
        <w:rPr>
          <w:sz w:val="18"/>
          <w:szCs w:val="18"/>
        </w:rPr>
        <w:t xml:space="preserve"> Australia.</w:t>
      </w:r>
    </w:p>
    <w:p w:rsidR="004B12D7" w:rsidRPr="00B057B9" w:rsidRDefault="004B12D7" w:rsidP="00B057B9">
      <w:pPr>
        <w:ind w:left="425" w:hanging="425"/>
        <w:jc w:val="both"/>
        <w:rPr>
          <w:sz w:val="18"/>
          <w:szCs w:val="18"/>
        </w:rPr>
      </w:pPr>
      <w:r w:rsidRPr="00B057B9">
        <w:rPr>
          <w:sz w:val="18"/>
          <w:szCs w:val="18"/>
        </w:rPr>
        <w:t xml:space="preserve">Hecht, H., Mohr, T. &amp; Lembrecht, S. (1992). Mechanisierung der Blutendrogenernte, </w:t>
      </w:r>
      <w:r w:rsidRPr="00B057B9">
        <w:rPr>
          <w:i/>
          <w:sz w:val="18"/>
          <w:szCs w:val="18"/>
        </w:rPr>
        <w:t>Landtechnik, 47,</w:t>
      </w:r>
      <w:r w:rsidRPr="00B057B9">
        <w:rPr>
          <w:sz w:val="18"/>
          <w:szCs w:val="18"/>
        </w:rPr>
        <w:t xml:space="preserve"> 276-281.</w:t>
      </w:r>
    </w:p>
    <w:p w:rsidR="004B12D7" w:rsidRPr="00B057B9" w:rsidRDefault="004B12D7" w:rsidP="00B057B9">
      <w:pPr>
        <w:ind w:left="425" w:hanging="425"/>
        <w:jc w:val="both"/>
        <w:rPr>
          <w:sz w:val="18"/>
          <w:szCs w:val="18"/>
        </w:rPr>
      </w:pPr>
      <w:r w:rsidRPr="00B057B9">
        <w:rPr>
          <w:sz w:val="18"/>
          <w:szCs w:val="18"/>
        </w:rPr>
        <w:t xml:space="preserve">Kirsch, C. (1990). Kamillenanbau in Argentinien. </w:t>
      </w:r>
      <w:r w:rsidRPr="00B057B9">
        <w:rPr>
          <w:i/>
          <w:sz w:val="18"/>
          <w:szCs w:val="18"/>
        </w:rPr>
        <w:t>Dogoco Report, 2,</w:t>
      </w:r>
      <w:r w:rsidRPr="00B057B9">
        <w:rPr>
          <w:sz w:val="18"/>
          <w:szCs w:val="18"/>
        </w:rPr>
        <w:t xml:space="preserve"> 67-75.</w:t>
      </w:r>
    </w:p>
    <w:p w:rsidR="004B12D7" w:rsidRPr="00B057B9" w:rsidRDefault="004B12D7" w:rsidP="00B057B9">
      <w:pPr>
        <w:autoSpaceDE w:val="0"/>
        <w:autoSpaceDN w:val="0"/>
        <w:adjustRightInd w:val="0"/>
        <w:ind w:left="425" w:hanging="425"/>
        <w:jc w:val="both"/>
        <w:rPr>
          <w:sz w:val="18"/>
          <w:szCs w:val="18"/>
        </w:rPr>
      </w:pPr>
      <w:r w:rsidRPr="00B057B9">
        <w:rPr>
          <w:sz w:val="18"/>
          <w:szCs w:val="18"/>
        </w:rPr>
        <w:t xml:space="preserve">Kišgeci, J. &amp; Adamović, D. (1994). </w:t>
      </w:r>
      <w:r w:rsidRPr="00B057B9">
        <w:rPr>
          <w:i/>
          <w:sz w:val="18"/>
          <w:szCs w:val="18"/>
        </w:rPr>
        <w:t>Gajenje lekovitog bilja.</w:t>
      </w:r>
      <w:r w:rsidRPr="00B057B9">
        <w:rPr>
          <w:sz w:val="18"/>
          <w:szCs w:val="18"/>
        </w:rPr>
        <w:t xml:space="preserve"> Nolit, Beograd.</w:t>
      </w:r>
    </w:p>
    <w:p w:rsidR="004B12D7" w:rsidRPr="00B057B9" w:rsidRDefault="004B12D7" w:rsidP="00B057B9">
      <w:pPr>
        <w:ind w:left="425" w:hanging="425"/>
        <w:jc w:val="both"/>
        <w:rPr>
          <w:sz w:val="18"/>
          <w:szCs w:val="18"/>
        </w:rPr>
      </w:pPr>
      <w:r w:rsidRPr="00B057B9">
        <w:rPr>
          <w:sz w:val="18"/>
          <w:szCs w:val="18"/>
        </w:rPr>
        <w:t xml:space="preserve">Kojić, M. (1997). </w:t>
      </w:r>
      <w:r w:rsidRPr="00B057B9">
        <w:rPr>
          <w:i/>
          <w:sz w:val="18"/>
          <w:szCs w:val="18"/>
        </w:rPr>
        <w:t>Kamilica (</w:t>
      </w:r>
      <w:r w:rsidRPr="00B057B9">
        <w:rPr>
          <w:i/>
          <w:iCs/>
          <w:sz w:val="18"/>
          <w:szCs w:val="18"/>
        </w:rPr>
        <w:t xml:space="preserve">Chamomilla recutita </w:t>
      </w:r>
      <w:r w:rsidRPr="00B057B9">
        <w:rPr>
          <w:i/>
          <w:sz w:val="18"/>
          <w:szCs w:val="18"/>
        </w:rPr>
        <w:t>(L)</w:t>
      </w:r>
      <w:r w:rsidRPr="00B057B9">
        <w:rPr>
          <w:i/>
          <w:iCs/>
          <w:sz w:val="18"/>
          <w:szCs w:val="18"/>
        </w:rPr>
        <w:t xml:space="preserve"> Rausch</w:t>
      </w:r>
      <w:r w:rsidRPr="00B057B9">
        <w:rPr>
          <w:i/>
          <w:sz w:val="18"/>
          <w:szCs w:val="18"/>
        </w:rPr>
        <w:t>.), Monografska studija</w:t>
      </w:r>
      <w:r w:rsidRPr="00B057B9">
        <w:rPr>
          <w:sz w:val="18"/>
          <w:szCs w:val="18"/>
        </w:rPr>
        <w:t>, Institut za proučavanje lekovitog bilja ”Dr Josif Pančić” – Beograd.</w:t>
      </w:r>
    </w:p>
    <w:p w:rsidR="004B12D7" w:rsidRPr="00B057B9" w:rsidRDefault="00F73999" w:rsidP="00B057B9">
      <w:pPr>
        <w:ind w:left="425" w:hanging="425"/>
        <w:jc w:val="both"/>
        <w:rPr>
          <w:sz w:val="18"/>
          <w:szCs w:val="18"/>
        </w:rPr>
      </w:pPr>
      <w:hyperlink r:id="rId11" w:history="1">
        <w:r w:rsidR="004B12D7" w:rsidRPr="00B057B9">
          <w:rPr>
            <w:sz w:val="18"/>
            <w:szCs w:val="18"/>
          </w:rPr>
          <w:t>Maksimovic, S</w:t>
        </w:r>
      </w:hyperlink>
      <w:r w:rsidR="004B12D7" w:rsidRPr="00B057B9">
        <w:rPr>
          <w:sz w:val="18"/>
          <w:szCs w:val="18"/>
        </w:rPr>
        <w:t xml:space="preserve">., </w:t>
      </w:r>
      <w:hyperlink r:id="rId12" w:history="1">
        <w:r w:rsidR="004B12D7" w:rsidRPr="00B057B9">
          <w:rPr>
            <w:sz w:val="18"/>
            <w:szCs w:val="18"/>
          </w:rPr>
          <w:t>Radanovic, D</w:t>
        </w:r>
      </w:hyperlink>
      <w:r w:rsidR="004B12D7" w:rsidRPr="00B057B9">
        <w:rPr>
          <w:sz w:val="18"/>
          <w:szCs w:val="18"/>
        </w:rPr>
        <w:t xml:space="preserve">., </w:t>
      </w:r>
      <w:hyperlink r:id="rId13" w:history="1">
        <w:r w:rsidR="004B12D7" w:rsidRPr="00B057B9">
          <w:rPr>
            <w:sz w:val="18"/>
            <w:szCs w:val="18"/>
          </w:rPr>
          <w:t>Stepanovic, B</w:t>
        </w:r>
      </w:hyperlink>
      <w:r w:rsidR="004B12D7" w:rsidRPr="00B057B9">
        <w:rPr>
          <w:sz w:val="18"/>
          <w:szCs w:val="18"/>
        </w:rPr>
        <w:t xml:space="preserve">., </w:t>
      </w:r>
      <w:hyperlink r:id="rId14" w:history="1">
        <w:r w:rsidR="004B12D7" w:rsidRPr="00B057B9">
          <w:rPr>
            <w:sz w:val="18"/>
            <w:szCs w:val="18"/>
          </w:rPr>
          <w:t>Tasic, S</w:t>
        </w:r>
      </w:hyperlink>
      <w:r w:rsidR="004B12D7" w:rsidRPr="00B057B9">
        <w:rPr>
          <w:sz w:val="18"/>
          <w:szCs w:val="18"/>
        </w:rPr>
        <w:t xml:space="preserve">. &amp; </w:t>
      </w:r>
      <w:hyperlink r:id="rId15" w:history="1">
        <w:r w:rsidR="004B12D7" w:rsidRPr="00B057B9">
          <w:rPr>
            <w:sz w:val="18"/>
            <w:szCs w:val="18"/>
          </w:rPr>
          <w:t>Brkic, S. (1997).</w:t>
        </w:r>
      </w:hyperlink>
      <w:r w:rsidR="004B12D7" w:rsidRPr="00B057B9">
        <w:rPr>
          <w:sz w:val="18"/>
          <w:szCs w:val="18"/>
        </w:rPr>
        <w:t xml:space="preserve"> Testing of four camomile cultivars in south Banat, (Serbia, Yugoslavia) environmental conditions. </w:t>
      </w:r>
      <w:r w:rsidR="004B12D7" w:rsidRPr="00B057B9">
        <w:rPr>
          <w:i/>
          <w:sz w:val="18"/>
          <w:szCs w:val="18"/>
        </w:rPr>
        <w:t xml:space="preserve">Lekovite sirovine, </w:t>
      </w:r>
      <w:r w:rsidR="004B12D7" w:rsidRPr="00451D51">
        <w:rPr>
          <w:sz w:val="18"/>
          <w:szCs w:val="18"/>
        </w:rPr>
        <w:t>46(16),</w:t>
      </w:r>
      <w:r w:rsidR="004B12D7" w:rsidRPr="00B057B9">
        <w:rPr>
          <w:sz w:val="18"/>
          <w:szCs w:val="18"/>
        </w:rPr>
        <w:t xml:space="preserve"> 5-16.</w:t>
      </w:r>
    </w:p>
    <w:p w:rsidR="004B12D7" w:rsidRPr="009D70FD" w:rsidRDefault="00F73999" w:rsidP="00B057B9">
      <w:pPr>
        <w:ind w:left="425" w:hanging="425"/>
        <w:jc w:val="both"/>
        <w:rPr>
          <w:spacing w:val="-2"/>
          <w:sz w:val="18"/>
          <w:szCs w:val="18"/>
        </w:rPr>
      </w:pPr>
      <w:hyperlink r:id="rId16" w:history="1">
        <w:r w:rsidR="004B12D7" w:rsidRPr="009D70FD">
          <w:rPr>
            <w:spacing w:val="-2"/>
            <w:sz w:val="18"/>
            <w:szCs w:val="18"/>
          </w:rPr>
          <w:t>Martinov, M., Tešić, M. &amp; Muller, J. (1992). Erntemaschine fur Kamille.</w:t>
        </w:r>
        <w:r w:rsidR="004B12D7" w:rsidRPr="009D70FD">
          <w:rPr>
            <w:i/>
            <w:spacing w:val="-2"/>
            <w:sz w:val="18"/>
            <w:szCs w:val="18"/>
          </w:rPr>
          <w:t xml:space="preserve"> Landtechnik, </w:t>
        </w:r>
        <w:r w:rsidR="004B12D7" w:rsidRPr="00451D51">
          <w:rPr>
            <w:spacing w:val="-2"/>
            <w:sz w:val="18"/>
            <w:szCs w:val="18"/>
          </w:rPr>
          <w:t xml:space="preserve">47(10), </w:t>
        </w:r>
        <w:r w:rsidR="004B12D7" w:rsidRPr="009D70FD">
          <w:rPr>
            <w:spacing w:val="-2"/>
            <w:sz w:val="18"/>
            <w:szCs w:val="18"/>
          </w:rPr>
          <w:t>505-507</w:t>
        </w:r>
      </w:hyperlink>
      <w:r w:rsidR="004B12D7" w:rsidRPr="009D70FD">
        <w:rPr>
          <w:spacing w:val="-2"/>
          <w:sz w:val="18"/>
          <w:szCs w:val="18"/>
        </w:rPr>
        <w:t>.</w:t>
      </w:r>
    </w:p>
    <w:p w:rsidR="004B12D7" w:rsidRPr="00B057B9" w:rsidRDefault="004B12D7" w:rsidP="00B057B9">
      <w:pPr>
        <w:ind w:left="425" w:hanging="425"/>
        <w:jc w:val="both"/>
        <w:rPr>
          <w:sz w:val="18"/>
          <w:szCs w:val="18"/>
        </w:rPr>
      </w:pPr>
      <w:r w:rsidRPr="00B057B9">
        <w:rPr>
          <w:sz w:val="18"/>
          <w:szCs w:val="18"/>
        </w:rPr>
        <w:t xml:space="preserve">Milojević-Janaćković, B. (1965). </w:t>
      </w:r>
      <w:r w:rsidRPr="00B057B9">
        <w:rPr>
          <w:i/>
          <w:sz w:val="18"/>
          <w:szCs w:val="18"/>
        </w:rPr>
        <w:t>Proučavanje divlje i gajene kamilice (</w:t>
      </w:r>
      <w:r w:rsidRPr="00B057B9">
        <w:rPr>
          <w:i/>
          <w:iCs/>
          <w:sz w:val="18"/>
          <w:szCs w:val="18"/>
        </w:rPr>
        <w:t>Matricaria chamomilla</w:t>
      </w:r>
      <w:r w:rsidRPr="00B057B9">
        <w:rPr>
          <w:i/>
          <w:sz w:val="18"/>
          <w:szCs w:val="18"/>
        </w:rPr>
        <w:t xml:space="preserve"> L.) iz aspekta njenih lekovitih sastojaka – etarskog ulja i hamazulena.</w:t>
      </w:r>
      <w:r w:rsidRPr="00B057B9">
        <w:rPr>
          <w:sz w:val="18"/>
          <w:szCs w:val="18"/>
        </w:rPr>
        <w:t xml:space="preserve"> Doktorska disertacija, Beograd.</w:t>
      </w:r>
    </w:p>
    <w:p w:rsidR="004B12D7" w:rsidRPr="00B057B9" w:rsidRDefault="004B12D7" w:rsidP="00B057B9">
      <w:pPr>
        <w:ind w:left="425" w:hanging="425"/>
        <w:jc w:val="both"/>
        <w:rPr>
          <w:sz w:val="18"/>
          <w:szCs w:val="18"/>
        </w:rPr>
      </w:pPr>
      <w:r w:rsidRPr="00B057B9">
        <w:rPr>
          <w:sz w:val="18"/>
          <w:szCs w:val="18"/>
        </w:rPr>
        <w:lastRenderedPageBreak/>
        <w:t>Mirshekari, B. (2011). Effect of irrigation regimes and nitrogen on phenology, grain yield and essential oil of chamomile (</w:t>
      </w:r>
      <w:r w:rsidRPr="00451D51">
        <w:rPr>
          <w:i/>
          <w:iCs/>
          <w:sz w:val="18"/>
          <w:szCs w:val="18"/>
        </w:rPr>
        <w:t>Matricaria chamomilla</w:t>
      </w:r>
      <w:r w:rsidRPr="00B057B9">
        <w:rPr>
          <w:sz w:val="18"/>
          <w:szCs w:val="18"/>
        </w:rPr>
        <w:t xml:space="preserve"> L.). </w:t>
      </w:r>
      <w:r w:rsidRPr="00B057B9">
        <w:rPr>
          <w:i/>
          <w:sz w:val="18"/>
          <w:szCs w:val="18"/>
        </w:rPr>
        <w:t xml:space="preserve">Journal of New Agricultural Sciences, </w:t>
      </w:r>
      <w:r w:rsidRPr="00451D51">
        <w:rPr>
          <w:sz w:val="18"/>
          <w:szCs w:val="18"/>
        </w:rPr>
        <w:t>20,</w:t>
      </w:r>
      <w:r w:rsidRPr="00B057B9">
        <w:rPr>
          <w:sz w:val="18"/>
          <w:szCs w:val="18"/>
        </w:rPr>
        <w:t xml:space="preserve"> 77-84.</w:t>
      </w:r>
    </w:p>
    <w:p w:rsidR="004B12D7" w:rsidRPr="00B057B9" w:rsidRDefault="004B12D7" w:rsidP="00B057B9">
      <w:pPr>
        <w:ind w:left="425" w:hanging="425"/>
        <w:jc w:val="both"/>
        <w:rPr>
          <w:sz w:val="18"/>
          <w:szCs w:val="18"/>
        </w:rPr>
      </w:pPr>
      <w:r w:rsidRPr="00B057B9">
        <w:rPr>
          <w:sz w:val="18"/>
          <w:szCs w:val="18"/>
        </w:rPr>
        <w:t xml:space="preserve">Mohr, T., Hecht, H. &amp; Eichhorn, H. (1996a). Vergleichende Untersuchunggen einer verbesserten Pfluckmaschine zur Gewinnung von Blutendrogen (Teil 2). </w:t>
      </w:r>
      <w:r w:rsidRPr="00B057B9">
        <w:rPr>
          <w:i/>
          <w:sz w:val="18"/>
          <w:szCs w:val="18"/>
        </w:rPr>
        <w:t xml:space="preserve">Drogenreport, </w:t>
      </w:r>
      <w:r w:rsidRPr="00451D51">
        <w:rPr>
          <w:sz w:val="18"/>
          <w:szCs w:val="18"/>
        </w:rPr>
        <w:t>9(15),</w:t>
      </w:r>
      <w:r w:rsidRPr="00B057B9">
        <w:rPr>
          <w:i/>
          <w:sz w:val="18"/>
          <w:szCs w:val="18"/>
        </w:rPr>
        <w:t xml:space="preserve"> </w:t>
      </w:r>
      <w:r w:rsidRPr="00B057B9">
        <w:rPr>
          <w:sz w:val="18"/>
          <w:szCs w:val="18"/>
        </w:rPr>
        <w:t>5-9.</w:t>
      </w:r>
    </w:p>
    <w:p w:rsidR="004B12D7" w:rsidRPr="00B057B9" w:rsidRDefault="004B12D7" w:rsidP="00B057B9">
      <w:pPr>
        <w:ind w:left="425" w:hanging="425"/>
        <w:jc w:val="both"/>
        <w:rPr>
          <w:sz w:val="18"/>
          <w:szCs w:val="18"/>
        </w:rPr>
      </w:pPr>
      <w:r w:rsidRPr="00B057B9">
        <w:rPr>
          <w:sz w:val="18"/>
          <w:szCs w:val="18"/>
        </w:rPr>
        <w:t>Mohr, T., Hecht, H. &amp; Eichhorn, H. (1996b). Vergleichende Untersuchungen einer verbesserten Pfluckmaschine zur Gewinnung von Blutendrogen der Echter Kamille, (</w:t>
      </w:r>
      <w:r w:rsidRPr="00451D51">
        <w:rPr>
          <w:i/>
          <w:iCs/>
          <w:sz w:val="18"/>
          <w:szCs w:val="18"/>
        </w:rPr>
        <w:t>Chamomilla recutita</w:t>
      </w:r>
      <w:r w:rsidRPr="00B057B9">
        <w:rPr>
          <w:sz w:val="18"/>
          <w:szCs w:val="18"/>
        </w:rPr>
        <w:t xml:space="preserve"> (L.) </w:t>
      </w:r>
      <w:r w:rsidRPr="00B057B9">
        <w:rPr>
          <w:iCs/>
          <w:sz w:val="18"/>
          <w:szCs w:val="18"/>
        </w:rPr>
        <w:t>Rauschert</w:t>
      </w:r>
      <w:r w:rsidRPr="00B057B9">
        <w:rPr>
          <w:sz w:val="18"/>
          <w:szCs w:val="18"/>
        </w:rPr>
        <w:t>), Ringelblume (</w:t>
      </w:r>
      <w:r w:rsidRPr="00451D51">
        <w:rPr>
          <w:i/>
          <w:iCs/>
          <w:sz w:val="18"/>
          <w:szCs w:val="18"/>
        </w:rPr>
        <w:t>Calendula officinalis</w:t>
      </w:r>
      <w:r w:rsidRPr="00B057B9">
        <w:rPr>
          <w:sz w:val="18"/>
          <w:szCs w:val="18"/>
        </w:rPr>
        <w:t xml:space="preserve"> L.) und Johanniskraut (</w:t>
      </w:r>
      <w:r w:rsidRPr="00451D51">
        <w:rPr>
          <w:i/>
          <w:iCs/>
          <w:sz w:val="18"/>
          <w:szCs w:val="18"/>
        </w:rPr>
        <w:t>Hypericum perforatum</w:t>
      </w:r>
      <w:r w:rsidRPr="00B057B9">
        <w:rPr>
          <w:sz w:val="18"/>
          <w:szCs w:val="18"/>
        </w:rPr>
        <w:t xml:space="preserve"> L.). </w:t>
      </w:r>
      <w:r w:rsidRPr="00B057B9">
        <w:rPr>
          <w:i/>
          <w:sz w:val="18"/>
          <w:szCs w:val="18"/>
        </w:rPr>
        <w:t>Drogenreport, 9(14),</w:t>
      </w:r>
      <w:r w:rsidRPr="00B057B9">
        <w:rPr>
          <w:sz w:val="18"/>
          <w:szCs w:val="18"/>
        </w:rPr>
        <w:t xml:space="preserve"> 15-23.</w:t>
      </w:r>
    </w:p>
    <w:p w:rsidR="004B12D7" w:rsidRPr="00B057B9" w:rsidRDefault="00B057B9" w:rsidP="00B057B9">
      <w:pPr>
        <w:autoSpaceDE w:val="0"/>
        <w:autoSpaceDN w:val="0"/>
        <w:adjustRightInd w:val="0"/>
        <w:ind w:left="425" w:hanging="425"/>
        <w:jc w:val="both"/>
        <w:rPr>
          <w:sz w:val="18"/>
          <w:szCs w:val="18"/>
        </w:rPr>
      </w:pPr>
      <w:r>
        <w:rPr>
          <w:sz w:val="18"/>
          <w:szCs w:val="18"/>
        </w:rPr>
        <w:t>Oljača, S.</w:t>
      </w:r>
      <w:r w:rsidR="004B12D7" w:rsidRPr="00B057B9">
        <w:rPr>
          <w:sz w:val="18"/>
          <w:szCs w:val="18"/>
        </w:rPr>
        <w:t xml:space="preserve"> &amp; Dolijanović, Ž. (2003). </w:t>
      </w:r>
      <w:r w:rsidR="004B12D7" w:rsidRPr="00B057B9">
        <w:rPr>
          <w:i/>
          <w:sz w:val="18"/>
          <w:szCs w:val="18"/>
        </w:rPr>
        <w:t>Praktikum iz Agroekologije</w:t>
      </w:r>
      <w:r w:rsidR="004B12D7" w:rsidRPr="00B057B9">
        <w:rPr>
          <w:sz w:val="18"/>
          <w:szCs w:val="18"/>
        </w:rPr>
        <w:t>. Poljoprivredni fakultet, Beograd.</w:t>
      </w:r>
    </w:p>
    <w:p w:rsidR="004B12D7" w:rsidRPr="00B057B9" w:rsidRDefault="004B12D7" w:rsidP="00B057B9">
      <w:pPr>
        <w:ind w:left="425" w:hanging="425"/>
        <w:jc w:val="both"/>
        <w:rPr>
          <w:sz w:val="18"/>
          <w:szCs w:val="18"/>
        </w:rPr>
      </w:pPr>
      <w:r w:rsidRPr="00B057B9">
        <w:rPr>
          <w:sz w:val="18"/>
          <w:szCs w:val="18"/>
        </w:rPr>
        <w:t xml:space="preserve">Oravec, V., Repčak, M. &amp; Černaj, P. (1993). Production technology of Chamomilla recutita. </w:t>
      </w:r>
      <w:r w:rsidRPr="00B057B9">
        <w:rPr>
          <w:i/>
          <w:sz w:val="18"/>
          <w:szCs w:val="18"/>
        </w:rPr>
        <w:t xml:space="preserve">Acta Horticulturae, </w:t>
      </w:r>
      <w:r w:rsidRPr="00451D51">
        <w:rPr>
          <w:sz w:val="18"/>
          <w:szCs w:val="18"/>
        </w:rPr>
        <w:t>331,</w:t>
      </w:r>
      <w:r w:rsidRPr="00B057B9">
        <w:rPr>
          <w:i/>
          <w:sz w:val="18"/>
          <w:szCs w:val="18"/>
        </w:rPr>
        <w:t xml:space="preserve"> </w:t>
      </w:r>
      <w:r w:rsidRPr="00B057B9">
        <w:rPr>
          <w:sz w:val="18"/>
          <w:szCs w:val="18"/>
        </w:rPr>
        <w:t>85-87.</w:t>
      </w:r>
    </w:p>
    <w:p w:rsidR="004B12D7" w:rsidRPr="00B057B9" w:rsidRDefault="004B12D7" w:rsidP="00B057B9">
      <w:pPr>
        <w:autoSpaceDE w:val="0"/>
        <w:autoSpaceDN w:val="0"/>
        <w:adjustRightInd w:val="0"/>
        <w:ind w:left="425" w:hanging="425"/>
        <w:jc w:val="both"/>
        <w:rPr>
          <w:sz w:val="18"/>
          <w:szCs w:val="18"/>
        </w:rPr>
      </w:pPr>
      <w:r w:rsidRPr="00B057B9">
        <w:rPr>
          <w:sz w:val="18"/>
          <w:szCs w:val="18"/>
        </w:rPr>
        <w:t xml:space="preserve">Pajić, M., Ivanović, S., Miodragović, R., Gligorević, K., Radojević, R., &amp; Oljača, M. (2009). The comparative Analysis of Diferent Type Chamomile Harvesters. </w:t>
      </w:r>
      <w:r w:rsidRPr="00B057B9">
        <w:rPr>
          <w:i/>
          <w:sz w:val="18"/>
          <w:szCs w:val="18"/>
        </w:rPr>
        <w:t xml:space="preserve">Synergy and Technical Development, International Conference in Agricultural Engineering </w:t>
      </w:r>
      <w:r w:rsidRPr="00B057B9">
        <w:rPr>
          <w:sz w:val="18"/>
          <w:szCs w:val="18"/>
        </w:rPr>
        <w:t>(pp. 1-6). Hungary.</w:t>
      </w:r>
    </w:p>
    <w:p w:rsidR="004B12D7" w:rsidRPr="00B057B9" w:rsidRDefault="004B12D7" w:rsidP="00B057B9">
      <w:pPr>
        <w:autoSpaceDE w:val="0"/>
        <w:autoSpaceDN w:val="0"/>
        <w:adjustRightInd w:val="0"/>
        <w:ind w:left="425" w:hanging="425"/>
        <w:jc w:val="both"/>
        <w:rPr>
          <w:sz w:val="18"/>
          <w:szCs w:val="18"/>
        </w:rPr>
      </w:pPr>
      <w:r w:rsidRPr="00B057B9">
        <w:rPr>
          <w:sz w:val="18"/>
          <w:szCs w:val="18"/>
        </w:rPr>
        <w:t xml:space="preserve">Pajić, M., Raičević, D., Ercegović, Đ., Mileusnić, Z., Oljača, M. &amp; Radojević, R. (2007). Influence of exploatation characteristic of harvester "NB 2003" on chamomile harvesting quality. </w:t>
      </w:r>
      <w:r w:rsidRPr="00B057B9">
        <w:rPr>
          <w:i/>
          <w:sz w:val="18"/>
          <w:szCs w:val="18"/>
        </w:rPr>
        <w:t xml:space="preserve">Acta Horticulturae, </w:t>
      </w:r>
      <w:r w:rsidRPr="00451D51">
        <w:rPr>
          <w:sz w:val="18"/>
          <w:szCs w:val="18"/>
        </w:rPr>
        <w:t>749,</w:t>
      </w:r>
      <w:r w:rsidRPr="00B057B9">
        <w:rPr>
          <w:sz w:val="18"/>
          <w:szCs w:val="18"/>
        </w:rPr>
        <w:t xml:space="preserve"> 253-258.</w:t>
      </w:r>
    </w:p>
    <w:p w:rsidR="004B12D7" w:rsidRPr="00B057B9" w:rsidRDefault="004B12D7" w:rsidP="00B057B9">
      <w:pPr>
        <w:ind w:left="425" w:hanging="425"/>
        <w:jc w:val="both"/>
        <w:rPr>
          <w:sz w:val="18"/>
          <w:szCs w:val="18"/>
        </w:rPr>
      </w:pPr>
      <w:r w:rsidRPr="00B057B9">
        <w:rPr>
          <w:sz w:val="18"/>
          <w:szCs w:val="18"/>
        </w:rPr>
        <w:t>Pirzada, A., Shakiba, M.R., Zehtab-Salmasi, S., Mohammadi, S.A., Hadi, H., &amp; Darvishzadeh, R. (2011a). Effects of irrigation regime and plant density on harvest index of Ferman chamomile (</w:t>
      </w:r>
      <w:r w:rsidRPr="00451D51">
        <w:rPr>
          <w:i/>
          <w:sz w:val="18"/>
          <w:szCs w:val="18"/>
        </w:rPr>
        <w:t>Matricaria chamomilla</w:t>
      </w:r>
      <w:r w:rsidRPr="00B057B9">
        <w:rPr>
          <w:sz w:val="18"/>
          <w:szCs w:val="18"/>
        </w:rPr>
        <w:t xml:space="preserve"> L.). </w:t>
      </w:r>
      <w:r w:rsidRPr="00B057B9">
        <w:rPr>
          <w:i/>
          <w:sz w:val="18"/>
          <w:szCs w:val="18"/>
        </w:rPr>
        <w:t xml:space="preserve">Australian Journal of Agricultural Engineering, </w:t>
      </w:r>
      <w:r w:rsidRPr="00451D51">
        <w:rPr>
          <w:sz w:val="18"/>
          <w:szCs w:val="18"/>
        </w:rPr>
        <w:t xml:space="preserve">2(5), </w:t>
      </w:r>
      <w:r w:rsidRPr="00B057B9">
        <w:rPr>
          <w:sz w:val="18"/>
          <w:szCs w:val="18"/>
        </w:rPr>
        <w:t>120-126.</w:t>
      </w:r>
    </w:p>
    <w:p w:rsidR="004B12D7" w:rsidRPr="00B057B9" w:rsidRDefault="004B12D7" w:rsidP="00B057B9">
      <w:pPr>
        <w:ind w:left="425" w:hanging="425"/>
        <w:jc w:val="both"/>
        <w:rPr>
          <w:sz w:val="18"/>
          <w:szCs w:val="18"/>
        </w:rPr>
      </w:pPr>
      <w:r w:rsidRPr="00B057B9">
        <w:rPr>
          <w:sz w:val="18"/>
          <w:szCs w:val="18"/>
        </w:rPr>
        <w:t xml:space="preserve">Pirzada, A., Shakiba, M.R., Zehtab-Salmasi, S., Mohammadi, S.A., Sharifi, R.S. &amp; Hassani, A. (2011b). Effects of </w:t>
      </w:r>
      <w:r w:rsidR="00451D51">
        <w:rPr>
          <w:sz w:val="18"/>
          <w:szCs w:val="18"/>
        </w:rPr>
        <w:t>i</w:t>
      </w:r>
      <w:r w:rsidRPr="00B057B9">
        <w:rPr>
          <w:sz w:val="18"/>
          <w:szCs w:val="18"/>
        </w:rPr>
        <w:t xml:space="preserve">rrigation </w:t>
      </w:r>
      <w:r w:rsidR="00451D51">
        <w:rPr>
          <w:sz w:val="18"/>
          <w:szCs w:val="18"/>
        </w:rPr>
        <w:t>r</w:t>
      </w:r>
      <w:r w:rsidRPr="00B057B9">
        <w:rPr>
          <w:sz w:val="18"/>
          <w:szCs w:val="18"/>
        </w:rPr>
        <w:t xml:space="preserve">egime and </w:t>
      </w:r>
      <w:r w:rsidR="00451D51">
        <w:rPr>
          <w:sz w:val="18"/>
          <w:szCs w:val="18"/>
        </w:rPr>
        <w:t>p</w:t>
      </w:r>
      <w:r w:rsidRPr="00B057B9">
        <w:rPr>
          <w:sz w:val="18"/>
          <w:szCs w:val="18"/>
        </w:rPr>
        <w:t xml:space="preserve">lant </w:t>
      </w:r>
      <w:r w:rsidR="00451D51">
        <w:rPr>
          <w:sz w:val="18"/>
          <w:szCs w:val="18"/>
        </w:rPr>
        <w:t>d</w:t>
      </w:r>
      <w:r w:rsidRPr="00B057B9">
        <w:rPr>
          <w:sz w:val="18"/>
          <w:szCs w:val="18"/>
        </w:rPr>
        <w:t xml:space="preserve">ensity on </w:t>
      </w:r>
      <w:r w:rsidR="00451D51">
        <w:rPr>
          <w:sz w:val="18"/>
          <w:szCs w:val="18"/>
        </w:rPr>
        <w:t>e</w:t>
      </w:r>
      <w:r w:rsidRPr="00B057B9">
        <w:rPr>
          <w:sz w:val="18"/>
          <w:szCs w:val="18"/>
        </w:rPr>
        <w:t xml:space="preserve">ssential </w:t>
      </w:r>
      <w:r w:rsidR="00451D51">
        <w:rPr>
          <w:sz w:val="18"/>
          <w:szCs w:val="18"/>
        </w:rPr>
        <w:t>o</w:t>
      </w:r>
      <w:r w:rsidRPr="00B057B9">
        <w:rPr>
          <w:sz w:val="18"/>
          <w:szCs w:val="18"/>
        </w:rPr>
        <w:t xml:space="preserve">il </w:t>
      </w:r>
      <w:r w:rsidR="00451D51">
        <w:rPr>
          <w:sz w:val="18"/>
          <w:szCs w:val="18"/>
        </w:rPr>
        <w:t>c</w:t>
      </w:r>
      <w:r w:rsidRPr="00B057B9">
        <w:rPr>
          <w:sz w:val="18"/>
          <w:szCs w:val="18"/>
        </w:rPr>
        <w:t xml:space="preserve">omposition of German </w:t>
      </w:r>
      <w:r w:rsidR="00451D51">
        <w:rPr>
          <w:sz w:val="18"/>
          <w:szCs w:val="18"/>
        </w:rPr>
        <w:t>c</w:t>
      </w:r>
      <w:r w:rsidRPr="00B057B9">
        <w:rPr>
          <w:sz w:val="18"/>
          <w:szCs w:val="18"/>
        </w:rPr>
        <w:t>hamomile (</w:t>
      </w:r>
      <w:r w:rsidRPr="00451D51">
        <w:rPr>
          <w:i/>
          <w:sz w:val="18"/>
          <w:szCs w:val="18"/>
        </w:rPr>
        <w:t>Matricaria chamomilla</w:t>
      </w:r>
      <w:r w:rsidRPr="00B057B9">
        <w:rPr>
          <w:sz w:val="18"/>
          <w:szCs w:val="18"/>
        </w:rPr>
        <w:t xml:space="preserve">). </w:t>
      </w:r>
      <w:r w:rsidRPr="00B057B9">
        <w:rPr>
          <w:i/>
          <w:sz w:val="18"/>
          <w:szCs w:val="18"/>
        </w:rPr>
        <w:t xml:space="preserve">Journal of Herbs, Spices &amp; Medicinal Plants, </w:t>
      </w:r>
      <w:r w:rsidRPr="00451D51">
        <w:rPr>
          <w:sz w:val="18"/>
          <w:szCs w:val="18"/>
        </w:rPr>
        <w:t>17(2),</w:t>
      </w:r>
      <w:r w:rsidRPr="00B057B9">
        <w:rPr>
          <w:i/>
          <w:sz w:val="18"/>
          <w:szCs w:val="18"/>
        </w:rPr>
        <w:t xml:space="preserve"> </w:t>
      </w:r>
      <w:r w:rsidRPr="00B057B9">
        <w:rPr>
          <w:sz w:val="18"/>
          <w:szCs w:val="18"/>
        </w:rPr>
        <w:t>107-118.</w:t>
      </w:r>
    </w:p>
    <w:p w:rsidR="004B12D7" w:rsidRPr="00B057B9" w:rsidRDefault="004B12D7" w:rsidP="00B057B9">
      <w:pPr>
        <w:autoSpaceDE w:val="0"/>
        <w:autoSpaceDN w:val="0"/>
        <w:adjustRightInd w:val="0"/>
        <w:ind w:left="425" w:hanging="425"/>
        <w:jc w:val="both"/>
        <w:rPr>
          <w:sz w:val="18"/>
          <w:szCs w:val="18"/>
        </w:rPr>
      </w:pPr>
      <w:r w:rsidRPr="00B057B9">
        <w:rPr>
          <w:sz w:val="18"/>
          <w:szCs w:val="18"/>
        </w:rPr>
        <w:t xml:space="preserve">Radanović, D., Nešić, L., Sekulić, P., Belić, M., Pucarević, M. &amp; Čuvardić, M. (2003). Karakterizacija zemljišta za proizvodnju kvalitetnog lekovitog bilja. </w:t>
      </w:r>
      <w:r w:rsidRPr="00B057B9">
        <w:rPr>
          <w:i/>
          <w:sz w:val="18"/>
          <w:szCs w:val="18"/>
        </w:rPr>
        <w:t>Lekovite sirovine, XXIII</w:t>
      </w:r>
      <w:r w:rsidR="00451D51">
        <w:rPr>
          <w:i/>
          <w:sz w:val="18"/>
          <w:szCs w:val="18"/>
        </w:rPr>
        <w:t xml:space="preserve"> </w:t>
      </w:r>
      <w:r w:rsidR="00451D51" w:rsidRPr="00451D51">
        <w:rPr>
          <w:sz w:val="18"/>
          <w:szCs w:val="18"/>
        </w:rPr>
        <w:t>(</w:t>
      </w:r>
      <w:r w:rsidRPr="00451D51">
        <w:rPr>
          <w:sz w:val="18"/>
          <w:szCs w:val="18"/>
        </w:rPr>
        <w:t>23),</w:t>
      </w:r>
      <w:r w:rsidRPr="00B057B9">
        <w:rPr>
          <w:sz w:val="18"/>
          <w:szCs w:val="18"/>
        </w:rPr>
        <w:t xml:space="preserve"> 51-57.</w:t>
      </w:r>
    </w:p>
    <w:p w:rsidR="004B12D7" w:rsidRPr="00B057B9" w:rsidRDefault="004B12D7" w:rsidP="00B057B9">
      <w:pPr>
        <w:ind w:left="425" w:hanging="425"/>
        <w:jc w:val="both"/>
        <w:rPr>
          <w:sz w:val="18"/>
          <w:szCs w:val="18"/>
        </w:rPr>
      </w:pPr>
      <w:r w:rsidRPr="00B057B9">
        <w:rPr>
          <w:sz w:val="18"/>
          <w:szCs w:val="18"/>
        </w:rPr>
        <w:t xml:space="preserve">Radojević, R., Pavlekić, S., Raičević, D., Ercegović, Đ. &amp; Oljača, M. (2000). Mechanized harvesting flower of chamomile. </w:t>
      </w:r>
      <w:r w:rsidRPr="00B057B9">
        <w:rPr>
          <w:i/>
          <w:sz w:val="18"/>
          <w:szCs w:val="18"/>
        </w:rPr>
        <w:t xml:space="preserve">Procceding of  the First Conference on Medicinal and Aromatic Plants of Southeast European Countries </w:t>
      </w:r>
      <w:r w:rsidRPr="00B057B9">
        <w:rPr>
          <w:sz w:val="18"/>
          <w:szCs w:val="18"/>
        </w:rPr>
        <w:t>(pp. 227-230). Aranđelovac.</w:t>
      </w:r>
    </w:p>
    <w:p w:rsidR="004B12D7" w:rsidRPr="00B057B9" w:rsidRDefault="004B12D7" w:rsidP="00B057B9">
      <w:pPr>
        <w:ind w:left="425" w:hanging="425"/>
        <w:jc w:val="both"/>
        <w:rPr>
          <w:sz w:val="18"/>
          <w:szCs w:val="18"/>
        </w:rPr>
      </w:pPr>
      <w:r w:rsidRPr="00B057B9">
        <w:rPr>
          <w:sz w:val="18"/>
          <w:szCs w:val="18"/>
        </w:rPr>
        <w:t xml:space="preserve">Ristić, M.S., Đorđević, S.M., Đoković, D.D. &amp; Tasić, S.R. (2007). Setting a standard for the essential oil of chamomile originating from Banat. </w:t>
      </w:r>
      <w:r w:rsidRPr="00B057B9">
        <w:rPr>
          <w:i/>
          <w:sz w:val="18"/>
          <w:szCs w:val="18"/>
        </w:rPr>
        <w:t xml:space="preserve">Acta Horticulturae, </w:t>
      </w:r>
      <w:r w:rsidRPr="00451D51">
        <w:rPr>
          <w:sz w:val="18"/>
          <w:szCs w:val="18"/>
        </w:rPr>
        <w:t>749,</w:t>
      </w:r>
      <w:r w:rsidRPr="00B057B9">
        <w:rPr>
          <w:sz w:val="18"/>
          <w:szCs w:val="18"/>
        </w:rPr>
        <w:t xml:space="preserve"> 127-140.</w:t>
      </w:r>
    </w:p>
    <w:p w:rsidR="004B12D7" w:rsidRPr="00B057B9" w:rsidRDefault="004B12D7" w:rsidP="00B057B9">
      <w:pPr>
        <w:ind w:left="425" w:hanging="425"/>
        <w:jc w:val="both"/>
        <w:rPr>
          <w:sz w:val="18"/>
          <w:szCs w:val="18"/>
        </w:rPr>
      </w:pPr>
      <w:r w:rsidRPr="00B057B9">
        <w:rPr>
          <w:sz w:val="18"/>
          <w:szCs w:val="18"/>
        </w:rPr>
        <w:t>Rohricht, C., Manicke, S. &amp; Grunert, M. (1997). Der  Anbau von Kamille (</w:t>
      </w:r>
      <w:r w:rsidRPr="00B057B9">
        <w:rPr>
          <w:i/>
          <w:iCs/>
          <w:sz w:val="18"/>
          <w:szCs w:val="18"/>
        </w:rPr>
        <w:t>Chamomilla recutita</w:t>
      </w:r>
      <w:r w:rsidRPr="00B057B9">
        <w:rPr>
          <w:sz w:val="18"/>
          <w:szCs w:val="18"/>
        </w:rPr>
        <w:t xml:space="preserve"> (L.) </w:t>
      </w:r>
      <w:r w:rsidRPr="00B057B9">
        <w:rPr>
          <w:i/>
          <w:iCs/>
          <w:sz w:val="18"/>
          <w:szCs w:val="18"/>
        </w:rPr>
        <w:t>Rauschert</w:t>
      </w:r>
      <w:r w:rsidRPr="00B057B9">
        <w:rPr>
          <w:sz w:val="18"/>
          <w:szCs w:val="18"/>
        </w:rPr>
        <w:t xml:space="preserve">) in Sachsen. </w:t>
      </w:r>
      <w:r w:rsidRPr="00B057B9">
        <w:rPr>
          <w:i/>
          <w:sz w:val="18"/>
          <w:szCs w:val="18"/>
        </w:rPr>
        <w:t xml:space="preserve">Z. Arnznei. Gewurzpflanzen, </w:t>
      </w:r>
      <w:r w:rsidRPr="00451D51">
        <w:rPr>
          <w:sz w:val="18"/>
          <w:szCs w:val="18"/>
        </w:rPr>
        <w:t>2,</w:t>
      </w:r>
      <w:r w:rsidRPr="00B057B9">
        <w:rPr>
          <w:sz w:val="18"/>
          <w:szCs w:val="18"/>
        </w:rPr>
        <w:t xml:space="preserve"> 135-146.</w:t>
      </w:r>
    </w:p>
    <w:p w:rsidR="004B12D7" w:rsidRPr="00B057B9" w:rsidRDefault="004B12D7" w:rsidP="00B057B9">
      <w:pPr>
        <w:ind w:left="425" w:hanging="425"/>
        <w:jc w:val="both"/>
        <w:rPr>
          <w:sz w:val="18"/>
          <w:szCs w:val="18"/>
        </w:rPr>
      </w:pPr>
      <w:r w:rsidRPr="00B057B9">
        <w:rPr>
          <w:sz w:val="18"/>
          <w:szCs w:val="18"/>
        </w:rPr>
        <w:t xml:space="preserve">Salamon, I. (1994). Large scale cultivation of chamimole in Slovakia and its perspecitives. </w:t>
      </w:r>
      <w:r w:rsidRPr="00B057B9">
        <w:rPr>
          <w:i/>
          <w:sz w:val="18"/>
          <w:szCs w:val="18"/>
        </w:rPr>
        <w:t>Proceedings of the international meeting - Cultivation and improvement of medicinal and aromatic plants</w:t>
      </w:r>
      <w:r w:rsidRPr="00B057B9">
        <w:rPr>
          <w:sz w:val="18"/>
          <w:szCs w:val="18"/>
        </w:rPr>
        <w:t xml:space="preserve"> (pp. 413-416) Trento.</w:t>
      </w:r>
    </w:p>
    <w:p w:rsidR="004B12D7" w:rsidRPr="00B057B9" w:rsidRDefault="004B12D7" w:rsidP="00B057B9">
      <w:pPr>
        <w:ind w:left="425" w:hanging="425"/>
        <w:jc w:val="both"/>
        <w:rPr>
          <w:sz w:val="18"/>
          <w:szCs w:val="18"/>
        </w:rPr>
      </w:pPr>
      <w:r w:rsidRPr="00B057B9">
        <w:rPr>
          <w:sz w:val="18"/>
          <w:szCs w:val="18"/>
        </w:rPr>
        <w:t xml:space="preserve">Salamon, I. (1992). Production of Chamomile, </w:t>
      </w:r>
      <w:r w:rsidRPr="00451D51">
        <w:rPr>
          <w:i/>
          <w:iCs/>
          <w:sz w:val="18"/>
          <w:szCs w:val="18"/>
        </w:rPr>
        <w:t>Chamomilla recutita</w:t>
      </w:r>
      <w:r w:rsidRPr="00B057B9">
        <w:rPr>
          <w:sz w:val="18"/>
          <w:szCs w:val="18"/>
        </w:rPr>
        <w:t xml:space="preserve"> (L.) </w:t>
      </w:r>
      <w:r w:rsidRPr="00B057B9">
        <w:rPr>
          <w:iCs/>
          <w:sz w:val="18"/>
          <w:szCs w:val="18"/>
        </w:rPr>
        <w:t>Rauschert</w:t>
      </w:r>
      <w:r w:rsidRPr="00B057B9">
        <w:rPr>
          <w:sz w:val="18"/>
          <w:szCs w:val="18"/>
        </w:rPr>
        <w:t xml:space="preserve">, in Slovakia. </w:t>
      </w:r>
      <w:r w:rsidRPr="00B057B9">
        <w:rPr>
          <w:i/>
          <w:sz w:val="18"/>
          <w:szCs w:val="18"/>
        </w:rPr>
        <w:t xml:space="preserve">Journal of Herbs, Spices and Medicinal Plants, </w:t>
      </w:r>
      <w:r w:rsidRPr="00451D51">
        <w:rPr>
          <w:sz w:val="18"/>
          <w:szCs w:val="18"/>
        </w:rPr>
        <w:t>1(1/2),</w:t>
      </w:r>
      <w:r w:rsidRPr="00B057B9">
        <w:rPr>
          <w:sz w:val="18"/>
          <w:szCs w:val="18"/>
        </w:rPr>
        <w:t xml:space="preserve"> 37-45.</w:t>
      </w:r>
    </w:p>
    <w:p w:rsidR="004B12D7" w:rsidRPr="00B057B9" w:rsidRDefault="004B12D7" w:rsidP="00B057B9">
      <w:pPr>
        <w:autoSpaceDE w:val="0"/>
        <w:autoSpaceDN w:val="0"/>
        <w:adjustRightInd w:val="0"/>
        <w:ind w:left="425" w:hanging="425"/>
        <w:jc w:val="both"/>
        <w:rPr>
          <w:i/>
          <w:sz w:val="18"/>
          <w:szCs w:val="18"/>
        </w:rPr>
      </w:pPr>
      <w:r w:rsidRPr="00B057B9">
        <w:rPr>
          <w:sz w:val="18"/>
          <w:szCs w:val="18"/>
        </w:rPr>
        <w:t xml:space="preserve">Standard SRB.E.B3.015:1963 (2010). </w:t>
      </w:r>
      <w:r w:rsidRPr="00B057B9">
        <w:rPr>
          <w:i/>
          <w:sz w:val="18"/>
          <w:szCs w:val="18"/>
        </w:rPr>
        <w:t xml:space="preserve">Institut za standardizaciju Srbije, </w:t>
      </w:r>
      <w:r w:rsidRPr="00451D51">
        <w:rPr>
          <w:sz w:val="18"/>
          <w:szCs w:val="18"/>
        </w:rPr>
        <w:t>Službeni glasnik 13/65,</w:t>
      </w:r>
      <w:r w:rsidRPr="00B057B9">
        <w:rPr>
          <w:i/>
          <w:sz w:val="18"/>
          <w:szCs w:val="18"/>
        </w:rPr>
        <w:t xml:space="preserve"> 1ED. </w:t>
      </w:r>
      <w:r w:rsidRPr="00B057B9">
        <w:rPr>
          <w:sz w:val="18"/>
          <w:szCs w:val="18"/>
        </w:rPr>
        <w:t>Republika Srbija.</w:t>
      </w:r>
    </w:p>
    <w:p w:rsidR="004B12D7" w:rsidRPr="00B057B9" w:rsidRDefault="004B12D7" w:rsidP="00B057B9">
      <w:pPr>
        <w:ind w:left="425" w:hanging="425"/>
        <w:jc w:val="both"/>
        <w:rPr>
          <w:sz w:val="18"/>
          <w:szCs w:val="18"/>
        </w:rPr>
      </w:pPr>
      <w:r w:rsidRPr="00B057B9">
        <w:rPr>
          <w:sz w:val="18"/>
          <w:szCs w:val="18"/>
        </w:rPr>
        <w:t xml:space="preserve">Škorić, A., Filipovski, G. &amp; Ćirić, M. (1985). </w:t>
      </w:r>
      <w:r w:rsidRPr="00B057B9">
        <w:rPr>
          <w:i/>
          <w:sz w:val="18"/>
          <w:szCs w:val="18"/>
        </w:rPr>
        <w:t>Klasifikacija zemljišta Jugoslavije</w:t>
      </w:r>
      <w:r w:rsidRPr="00B057B9">
        <w:rPr>
          <w:sz w:val="18"/>
          <w:szCs w:val="18"/>
        </w:rPr>
        <w:t>. Akademija nauka i umjetnosti Bosne i Hercegovine, Posebna izdanja, Knjiga LXXVIII, Sarajevo.</w:t>
      </w:r>
    </w:p>
    <w:p w:rsidR="004B12D7" w:rsidRPr="00B057B9" w:rsidRDefault="004B12D7" w:rsidP="00B057B9">
      <w:pPr>
        <w:ind w:left="425" w:hanging="425"/>
        <w:jc w:val="both"/>
        <w:rPr>
          <w:sz w:val="18"/>
          <w:szCs w:val="18"/>
        </w:rPr>
      </w:pPr>
      <w:r w:rsidRPr="00B057B9">
        <w:rPr>
          <w:sz w:val="18"/>
          <w:szCs w:val="18"/>
        </w:rPr>
        <w:t xml:space="preserve">Tomić, M., Nikolić, R., Furman, T., Savin, L., Radanović, D. &amp; Simikić, M. (2004). Analiza uticaja sabijanja zemljišta na prinos kamilice. </w:t>
      </w:r>
      <w:r w:rsidRPr="00B057B9">
        <w:rPr>
          <w:i/>
          <w:sz w:val="18"/>
          <w:szCs w:val="18"/>
        </w:rPr>
        <w:t xml:space="preserve">Traktor i pogonske mašine, </w:t>
      </w:r>
      <w:r w:rsidRPr="00451D51">
        <w:rPr>
          <w:sz w:val="18"/>
          <w:szCs w:val="18"/>
        </w:rPr>
        <w:t>9(4),</w:t>
      </w:r>
      <w:r w:rsidRPr="00B057B9">
        <w:rPr>
          <w:sz w:val="18"/>
          <w:szCs w:val="18"/>
        </w:rPr>
        <w:t xml:space="preserve"> 99-104.</w:t>
      </w:r>
    </w:p>
    <w:p w:rsidR="006843C0" w:rsidRDefault="006843C0" w:rsidP="00471B41">
      <w:pPr>
        <w:jc w:val="both"/>
        <w:rPr>
          <w:sz w:val="24"/>
          <w:szCs w:val="24"/>
          <w:lang w:bidi="fa-IR"/>
        </w:rPr>
      </w:pPr>
    </w:p>
    <w:p w:rsidR="006843C0" w:rsidRPr="00B10D67" w:rsidRDefault="006843C0" w:rsidP="00471B41">
      <w:pPr>
        <w:jc w:val="both"/>
        <w:rPr>
          <w:sz w:val="24"/>
          <w:szCs w:val="24"/>
          <w:lang w:bidi="fa-IR"/>
        </w:rPr>
      </w:pPr>
    </w:p>
    <w:p w:rsidR="000D7789" w:rsidRPr="00D7697A" w:rsidRDefault="000D7789" w:rsidP="000D7789">
      <w:pPr>
        <w:autoSpaceDE w:val="0"/>
        <w:autoSpaceDN w:val="0"/>
        <w:adjustRightInd w:val="0"/>
        <w:ind w:left="709" w:hanging="709"/>
        <w:jc w:val="right"/>
        <w:rPr>
          <w:sz w:val="18"/>
          <w:szCs w:val="18"/>
        </w:rPr>
      </w:pPr>
      <w:r w:rsidRPr="00D7697A">
        <w:rPr>
          <w:sz w:val="18"/>
          <w:szCs w:val="18"/>
        </w:rPr>
        <w:t xml:space="preserve">Received: </w:t>
      </w:r>
      <w:r w:rsidR="00451D51" w:rsidRPr="00D7697A">
        <w:rPr>
          <w:sz w:val="18"/>
          <w:szCs w:val="18"/>
        </w:rPr>
        <w:t>January</w:t>
      </w:r>
      <w:r w:rsidRPr="00D7697A">
        <w:rPr>
          <w:sz w:val="18"/>
          <w:szCs w:val="18"/>
        </w:rPr>
        <w:t xml:space="preserve"> </w:t>
      </w:r>
      <w:r w:rsidR="00451D51" w:rsidRPr="00D7697A">
        <w:rPr>
          <w:sz w:val="18"/>
          <w:szCs w:val="18"/>
        </w:rPr>
        <w:t>21</w:t>
      </w:r>
      <w:r w:rsidRPr="00D7697A">
        <w:rPr>
          <w:sz w:val="18"/>
          <w:szCs w:val="18"/>
        </w:rPr>
        <w:t>, 201</w:t>
      </w:r>
      <w:r w:rsidR="00451D51" w:rsidRPr="00D7697A">
        <w:rPr>
          <w:sz w:val="18"/>
          <w:szCs w:val="18"/>
        </w:rPr>
        <w:t>6</w:t>
      </w:r>
    </w:p>
    <w:p w:rsidR="000D7789" w:rsidRPr="007A4B8C" w:rsidRDefault="000D7789" w:rsidP="000D7789">
      <w:pPr>
        <w:autoSpaceDE w:val="0"/>
        <w:autoSpaceDN w:val="0"/>
        <w:adjustRightInd w:val="0"/>
        <w:ind w:left="709" w:hanging="709"/>
        <w:jc w:val="right"/>
        <w:rPr>
          <w:sz w:val="18"/>
          <w:szCs w:val="18"/>
        </w:rPr>
      </w:pPr>
      <w:r w:rsidRPr="00D7697A">
        <w:rPr>
          <w:sz w:val="18"/>
          <w:szCs w:val="18"/>
        </w:rPr>
        <w:t xml:space="preserve">Accepted: </w:t>
      </w:r>
      <w:r w:rsidR="00451D51" w:rsidRPr="00D7697A">
        <w:rPr>
          <w:sz w:val="18"/>
          <w:szCs w:val="18"/>
        </w:rPr>
        <w:t>June</w:t>
      </w:r>
      <w:r w:rsidRPr="00D7697A">
        <w:rPr>
          <w:sz w:val="18"/>
          <w:szCs w:val="18"/>
        </w:rPr>
        <w:t xml:space="preserve"> </w:t>
      </w:r>
      <w:r w:rsidR="00451D51" w:rsidRPr="00D7697A">
        <w:rPr>
          <w:sz w:val="18"/>
          <w:szCs w:val="18"/>
        </w:rPr>
        <w:t>6</w:t>
      </w:r>
      <w:r w:rsidRPr="00D7697A">
        <w:rPr>
          <w:sz w:val="18"/>
          <w:szCs w:val="18"/>
        </w:rPr>
        <w:t>, 201</w:t>
      </w:r>
      <w:r w:rsidR="00451D51" w:rsidRPr="00D7697A">
        <w:rPr>
          <w:sz w:val="18"/>
          <w:szCs w:val="18"/>
        </w:rPr>
        <w:t>6</w:t>
      </w:r>
    </w:p>
    <w:p w:rsidR="004B12D7" w:rsidRPr="00B057B9" w:rsidRDefault="004B12D7" w:rsidP="00B057B9">
      <w:pPr>
        <w:jc w:val="center"/>
        <w:rPr>
          <w:bCs/>
          <w:sz w:val="22"/>
          <w:szCs w:val="22"/>
          <w:lang w:val="en-US"/>
        </w:rPr>
      </w:pPr>
      <w:r w:rsidRPr="00B057B9">
        <w:rPr>
          <w:bCs/>
          <w:sz w:val="22"/>
          <w:szCs w:val="22"/>
          <w:lang w:val="en-US"/>
        </w:rPr>
        <w:lastRenderedPageBreak/>
        <w:t xml:space="preserve">UTICAJ TIPA KOMBAJNA I VREMENA UBIRANJA NA KVALITET </w:t>
      </w:r>
    </w:p>
    <w:p w:rsidR="004B12D7" w:rsidRPr="00B057B9" w:rsidRDefault="004B12D7" w:rsidP="00B057B9">
      <w:pPr>
        <w:jc w:val="center"/>
        <w:rPr>
          <w:bCs/>
          <w:sz w:val="22"/>
          <w:szCs w:val="22"/>
          <w:lang w:val="en-US"/>
        </w:rPr>
      </w:pPr>
      <w:r w:rsidRPr="00B057B9">
        <w:rPr>
          <w:bCs/>
          <w:sz w:val="22"/>
          <w:szCs w:val="22"/>
          <w:lang w:val="en-US"/>
        </w:rPr>
        <w:t>UBRANE KAMILICE</w:t>
      </w:r>
    </w:p>
    <w:p w:rsidR="004B12D7" w:rsidRPr="00B057B9" w:rsidRDefault="004B12D7" w:rsidP="00B057B9">
      <w:pPr>
        <w:jc w:val="center"/>
        <w:rPr>
          <w:bCs/>
          <w:sz w:val="22"/>
          <w:szCs w:val="22"/>
          <w:lang w:val="en-US"/>
        </w:rPr>
      </w:pPr>
    </w:p>
    <w:p w:rsidR="004B12D7" w:rsidRPr="00B057B9" w:rsidRDefault="004B12D7" w:rsidP="00B057B9">
      <w:pPr>
        <w:jc w:val="center"/>
        <w:rPr>
          <w:b/>
          <w:sz w:val="22"/>
          <w:szCs w:val="22"/>
        </w:rPr>
      </w:pPr>
      <w:r w:rsidRPr="00B057B9">
        <w:rPr>
          <w:b/>
          <w:sz w:val="22"/>
          <w:szCs w:val="22"/>
        </w:rPr>
        <w:t>Miloš B. Pajić</w:t>
      </w:r>
      <w:r w:rsidRPr="00B057B9">
        <w:rPr>
          <w:rStyle w:val="FootnoteReference"/>
          <w:b/>
          <w:sz w:val="22"/>
          <w:szCs w:val="22"/>
        </w:rPr>
        <w:footnoteReference w:customMarkFollows="1" w:id="3"/>
        <w:t>*</w:t>
      </w:r>
      <w:r w:rsidRPr="00B057B9">
        <w:rPr>
          <w:b/>
          <w:sz w:val="22"/>
          <w:szCs w:val="22"/>
        </w:rPr>
        <w:t>, Vesna S. Pajić, Sanjin M. Ivanović, Mićo V. Oljača,</w:t>
      </w:r>
    </w:p>
    <w:p w:rsidR="004B12D7" w:rsidRPr="00B057B9" w:rsidRDefault="004B12D7" w:rsidP="00B057B9">
      <w:pPr>
        <w:jc w:val="center"/>
        <w:rPr>
          <w:b/>
          <w:sz w:val="22"/>
          <w:szCs w:val="22"/>
          <w:vertAlign w:val="superscript"/>
        </w:rPr>
      </w:pPr>
      <w:r w:rsidRPr="00B057B9">
        <w:rPr>
          <w:b/>
          <w:sz w:val="22"/>
          <w:szCs w:val="22"/>
        </w:rPr>
        <w:t>Kosta B. Gligorević, Dušan R. Radojičić, Milan S. Dražić</w:t>
      </w:r>
      <w:r w:rsidR="00B057B9">
        <w:rPr>
          <w:b/>
          <w:sz w:val="22"/>
          <w:szCs w:val="22"/>
        </w:rPr>
        <w:t xml:space="preserve"> i </w:t>
      </w:r>
      <w:r w:rsidRPr="00B057B9">
        <w:rPr>
          <w:b/>
          <w:sz w:val="22"/>
          <w:szCs w:val="22"/>
        </w:rPr>
        <w:t>Ivan J. Zlatanović</w:t>
      </w:r>
    </w:p>
    <w:p w:rsidR="004B12D7" w:rsidRPr="00B057B9" w:rsidRDefault="004B12D7" w:rsidP="00B057B9">
      <w:pPr>
        <w:jc w:val="center"/>
        <w:rPr>
          <w:b/>
          <w:sz w:val="22"/>
          <w:szCs w:val="22"/>
        </w:rPr>
      </w:pPr>
    </w:p>
    <w:p w:rsidR="004B12D7" w:rsidRPr="00B057B9" w:rsidRDefault="004B12D7" w:rsidP="00B057B9">
      <w:pPr>
        <w:jc w:val="center"/>
        <w:rPr>
          <w:sz w:val="22"/>
          <w:szCs w:val="22"/>
        </w:rPr>
      </w:pPr>
      <w:r w:rsidRPr="00B057B9">
        <w:rPr>
          <w:sz w:val="22"/>
          <w:szCs w:val="22"/>
        </w:rPr>
        <w:t xml:space="preserve">Univerzitet u Beogradu, Poljoprivredni fakultet, </w:t>
      </w:r>
    </w:p>
    <w:p w:rsidR="004B12D7" w:rsidRPr="00B057B9" w:rsidRDefault="004B12D7" w:rsidP="00B057B9">
      <w:pPr>
        <w:jc w:val="center"/>
        <w:rPr>
          <w:sz w:val="22"/>
          <w:szCs w:val="22"/>
        </w:rPr>
      </w:pPr>
      <w:r w:rsidRPr="00B057B9">
        <w:rPr>
          <w:sz w:val="22"/>
          <w:szCs w:val="22"/>
        </w:rPr>
        <w:t>Nemanjina 6, 11080 Beograd - Zemun, Srbija</w:t>
      </w:r>
    </w:p>
    <w:p w:rsidR="004B12D7" w:rsidRPr="00B057B9" w:rsidRDefault="004B12D7" w:rsidP="00B057B9">
      <w:pPr>
        <w:jc w:val="center"/>
        <w:rPr>
          <w:sz w:val="22"/>
          <w:szCs w:val="22"/>
        </w:rPr>
      </w:pPr>
    </w:p>
    <w:p w:rsidR="004B12D7" w:rsidRPr="00B057B9" w:rsidRDefault="004B12D7" w:rsidP="00B057B9">
      <w:pPr>
        <w:jc w:val="center"/>
        <w:rPr>
          <w:bCs/>
          <w:sz w:val="22"/>
          <w:szCs w:val="22"/>
        </w:rPr>
      </w:pPr>
      <w:r w:rsidRPr="00B057B9">
        <w:rPr>
          <w:bCs/>
          <w:sz w:val="22"/>
          <w:szCs w:val="22"/>
        </w:rPr>
        <w:t>R e z i m e</w:t>
      </w:r>
    </w:p>
    <w:p w:rsidR="004B12D7" w:rsidRPr="00B057B9" w:rsidRDefault="004B12D7" w:rsidP="00B057B9">
      <w:pPr>
        <w:jc w:val="center"/>
        <w:rPr>
          <w:bCs/>
          <w:sz w:val="22"/>
          <w:szCs w:val="22"/>
        </w:rPr>
      </w:pPr>
    </w:p>
    <w:p w:rsidR="004B12D7" w:rsidRPr="00B057B9" w:rsidRDefault="004B12D7" w:rsidP="00B057B9">
      <w:pPr>
        <w:ind w:firstLine="426"/>
        <w:jc w:val="both"/>
        <w:rPr>
          <w:bCs/>
          <w:sz w:val="22"/>
          <w:szCs w:val="22"/>
        </w:rPr>
      </w:pPr>
      <w:r w:rsidRPr="00B057B9">
        <w:rPr>
          <w:bCs/>
          <w:sz w:val="22"/>
          <w:szCs w:val="22"/>
        </w:rPr>
        <w:t>Ovaj rad predstavlja rezultat istraživanja u okviru koga su praćeni efekti mehanizovanog ubiranja na prinos i kvalitet ubrane kamilice. Kamilica je ubirana u tri različita vremenska intervala (T1 – 240 dana, T2 – 250 dana i T3 – 260 dana nakon setve) sa tri koncepcijski različita kombajna. Ostvareni rezultati ukazuju da tip kombajna ima značajan uticaj na kvalitet ubrane kamilice, dok takav uticaj nije izražen kada se posmatra termin ubiranja kamilice.</w:t>
      </w:r>
      <w:r w:rsidR="00B057B9">
        <w:rPr>
          <w:bCs/>
          <w:sz w:val="22"/>
          <w:szCs w:val="22"/>
        </w:rPr>
        <w:t xml:space="preserve"> </w:t>
      </w:r>
      <w:r w:rsidRPr="00B057B9">
        <w:rPr>
          <w:bCs/>
          <w:sz w:val="22"/>
          <w:szCs w:val="22"/>
        </w:rPr>
        <w:t>Kvalitet ubrane kamilice je klasifikovan u 4 kategorije, gde je uočeno da veći broj obrtaja beračkog uređaja povećava učešće I kategorije kvaliteta. Kombajn A ostvaruje 54,79% I kategorije kvaliteta ubrane kamilice u odnosu na kombajn B sa 50,26% i kombajn C sa 42,93%.</w:t>
      </w:r>
    </w:p>
    <w:p w:rsidR="004B12D7" w:rsidRPr="00B057B9" w:rsidRDefault="004B12D7" w:rsidP="00B057B9">
      <w:pPr>
        <w:ind w:firstLine="426"/>
        <w:jc w:val="both"/>
        <w:rPr>
          <w:sz w:val="22"/>
          <w:szCs w:val="22"/>
        </w:rPr>
      </w:pPr>
      <w:r w:rsidRPr="00B057B9">
        <w:rPr>
          <w:b/>
          <w:bCs/>
          <w:sz w:val="22"/>
          <w:szCs w:val="22"/>
        </w:rPr>
        <w:t xml:space="preserve">Ključne reči: </w:t>
      </w:r>
      <w:r w:rsidRPr="00B057B9">
        <w:rPr>
          <w:sz w:val="22"/>
          <w:szCs w:val="22"/>
        </w:rPr>
        <w:t>kamilica, kombajn, vreme ubiranja, kvalitet ubiranja, berački uređaj.</w:t>
      </w:r>
    </w:p>
    <w:p w:rsidR="004B12D7" w:rsidRPr="00B057B9" w:rsidRDefault="004B12D7" w:rsidP="00B057B9">
      <w:pPr>
        <w:ind w:firstLine="426"/>
        <w:rPr>
          <w:sz w:val="22"/>
          <w:szCs w:val="22"/>
        </w:rPr>
      </w:pPr>
    </w:p>
    <w:p w:rsidR="004B12D7" w:rsidRPr="00B057B9" w:rsidRDefault="004B12D7" w:rsidP="00B057B9">
      <w:pPr>
        <w:ind w:firstLine="426"/>
        <w:rPr>
          <w:sz w:val="22"/>
          <w:szCs w:val="22"/>
        </w:rPr>
      </w:pPr>
    </w:p>
    <w:p w:rsidR="004B12D7" w:rsidRPr="00B057B9" w:rsidRDefault="004B12D7" w:rsidP="00B057B9">
      <w:pPr>
        <w:ind w:firstLine="426"/>
        <w:rPr>
          <w:sz w:val="22"/>
          <w:szCs w:val="22"/>
        </w:rPr>
      </w:pPr>
    </w:p>
    <w:p w:rsidR="004E27AF" w:rsidRPr="00B057B9" w:rsidRDefault="004E27AF" w:rsidP="00B057B9">
      <w:pPr>
        <w:ind w:firstLine="426"/>
        <w:rPr>
          <w:sz w:val="22"/>
          <w:szCs w:val="22"/>
        </w:rPr>
      </w:pPr>
    </w:p>
    <w:p w:rsidR="00D31CE6" w:rsidRPr="00D7697A" w:rsidRDefault="00D31CE6" w:rsidP="00D31CE6">
      <w:pPr>
        <w:autoSpaceDE w:val="0"/>
        <w:autoSpaceDN w:val="0"/>
        <w:adjustRightInd w:val="0"/>
        <w:ind w:left="709" w:hanging="709"/>
        <w:jc w:val="right"/>
        <w:rPr>
          <w:sz w:val="18"/>
          <w:szCs w:val="18"/>
        </w:rPr>
      </w:pPr>
      <w:r w:rsidRPr="00D7697A">
        <w:rPr>
          <w:sz w:val="18"/>
          <w:szCs w:val="18"/>
        </w:rPr>
        <w:t xml:space="preserve">Primljeno: </w:t>
      </w:r>
      <w:r w:rsidR="00D7697A" w:rsidRPr="00D7697A">
        <w:rPr>
          <w:sz w:val="18"/>
          <w:szCs w:val="18"/>
        </w:rPr>
        <w:t>21</w:t>
      </w:r>
      <w:r w:rsidRPr="00D7697A">
        <w:rPr>
          <w:sz w:val="18"/>
          <w:szCs w:val="18"/>
        </w:rPr>
        <w:t xml:space="preserve">. </w:t>
      </w:r>
      <w:r w:rsidR="00D7697A" w:rsidRPr="00D7697A">
        <w:rPr>
          <w:sz w:val="18"/>
          <w:szCs w:val="18"/>
        </w:rPr>
        <w:t>januara</w:t>
      </w:r>
      <w:r w:rsidRPr="00D7697A">
        <w:rPr>
          <w:sz w:val="18"/>
          <w:szCs w:val="18"/>
        </w:rPr>
        <w:t xml:space="preserve"> 201</w:t>
      </w:r>
      <w:r w:rsidR="00D7697A" w:rsidRPr="00D7697A">
        <w:rPr>
          <w:sz w:val="18"/>
          <w:szCs w:val="18"/>
        </w:rPr>
        <w:t>6</w:t>
      </w:r>
      <w:r w:rsidRPr="00D7697A">
        <w:rPr>
          <w:sz w:val="18"/>
          <w:szCs w:val="18"/>
        </w:rPr>
        <w:t>.</w:t>
      </w:r>
    </w:p>
    <w:p w:rsidR="00D31CE6" w:rsidRDefault="00D31CE6" w:rsidP="00D31CE6">
      <w:pPr>
        <w:autoSpaceDE w:val="0"/>
        <w:autoSpaceDN w:val="0"/>
        <w:adjustRightInd w:val="0"/>
        <w:ind w:left="709" w:hanging="709"/>
        <w:jc w:val="right"/>
        <w:rPr>
          <w:sz w:val="18"/>
          <w:szCs w:val="18"/>
        </w:rPr>
      </w:pPr>
      <w:r w:rsidRPr="00D7697A">
        <w:rPr>
          <w:sz w:val="18"/>
          <w:szCs w:val="18"/>
        </w:rPr>
        <w:t xml:space="preserve">Odobreno: </w:t>
      </w:r>
      <w:r w:rsidR="00D7697A" w:rsidRPr="00D7697A">
        <w:rPr>
          <w:sz w:val="18"/>
          <w:szCs w:val="18"/>
        </w:rPr>
        <w:t>6</w:t>
      </w:r>
      <w:r w:rsidRPr="00D7697A">
        <w:rPr>
          <w:sz w:val="18"/>
          <w:szCs w:val="18"/>
        </w:rPr>
        <w:t xml:space="preserve">. </w:t>
      </w:r>
      <w:r w:rsidR="00D7697A" w:rsidRPr="00D7697A">
        <w:rPr>
          <w:sz w:val="18"/>
          <w:szCs w:val="18"/>
        </w:rPr>
        <w:t xml:space="preserve">juna </w:t>
      </w:r>
      <w:r w:rsidR="00757720" w:rsidRPr="00D7697A">
        <w:rPr>
          <w:sz w:val="18"/>
          <w:szCs w:val="18"/>
        </w:rPr>
        <w:t>201</w:t>
      </w:r>
      <w:r w:rsidR="00D7697A" w:rsidRPr="00D7697A">
        <w:rPr>
          <w:sz w:val="18"/>
          <w:szCs w:val="18"/>
        </w:rPr>
        <w:t>6</w:t>
      </w:r>
      <w:r w:rsidRPr="00D7697A">
        <w:rPr>
          <w:sz w:val="18"/>
          <w:szCs w:val="18"/>
        </w:rPr>
        <w:t>.</w:t>
      </w:r>
    </w:p>
    <w:p w:rsidR="00D31CE6" w:rsidRDefault="00D31CE6" w:rsidP="00D31CE6">
      <w:pPr>
        <w:pStyle w:val="BodyTextIndent"/>
        <w:ind w:left="1440" w:hanging="720"/>
        <w:jc w:val="center"/>
        <w:rPr>
          <w:rStyle w:val="hps"/>
          <w:lang w:val="sr-Latn-CS"/>
        </w:rPr>
      </w:pPr>
    </w:p>
    <w:p w:rsidR="00AF283F" w:rsidRDefault="00AF283F" w:rsidP="00D31CE6">
      <w:pPr>
        <w:pStyle w:val="BodyTextIndent"/>
        <w:ind w:left="1440" w:hanging="720"/>
        <w:jc w:val="center"/>
        <w:rPr>
          <w:rStyle w:val="hps"/>
          <w:lang w:val="sr-Latn-CS"/>
        </w:rPr>
      </w:pPr>
    </w:p>
    <w:sectPr w:rsidR="00AF283F" w:rsidSect="007D65BE">
      <w:headerReference w:type="even" r:id="rId17"/>
      <w:headerReference w:type="default" r:id="rId18"/>
      <w:headerReference w:type="first" r:id="rId19"/>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47C" w:rsidRDefault="0001047C">
      <w:r>
        <w:separator/>
      </w:r>
    </w:p>
  </w:endnote>
  <w:endnote w:type="continuationSeparator" w:id="1">
    <w:p w:rsidR="0001047C" w:rsidRDefault="000104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47C" w:rsidRDefault="0001047C">
      <w:r>
        <w:separator/>
      </w:r>
    </w:p>
  </w:footnote>
  <w:footnote w:type="continuationSeparator" w:id="1">
    <w:p w:rsidR="0001047C" w:rsidRDefault="0001047C">
      <w:r>
        <w:continuationSeparator/>
      </w:r>
    </w:p>
  </w:footnote>
  <w:footnote w:id="2">
    <w:p w:rsidR="00451D51" w:rsidRPr="004B12D7" w:rsidRDefault="00451D51" w:rsidP="004B12D7">
      <w:pPr>
        <w:pStyle w:val="FootnoteText"/>
        <w:rPr>
          <w:sz w:val="18"/>
          <w:szCs w:val="18"/>
        </w:rPr>
      </w:pPr>
      <w:r w:rsidRPr="004B12D7">
        <w:rPr>
          <w:rStyle w:val="FootnoteReference"/>
          <w:sz w:val="18"/>
          <w:szCs w:val="18"/>
        </w:rPr>
        <w:t>*</w:t>
      </w:r>
      <w:r w:rsidRPr="004B12D7">
        <w:rPr>
          <w:sz w:val="18"/>
          <w:szCs w:val="18"/>
        </w:rPr>
        <w:t>Corresponding author: e-mail: paja@agrif.bg.ac.rs</w:t>
      </w:r>
    </w:p>
  </w:footnote>
  <w:footnote w:id="3">
    <w:p w:rsidR="00451D51" w:rsidRPr="00D57695" w:rsidRDefault="00451D51" w:rsidP="004B12D7">
      <w:pPr>
        <w:pStyle w:val="FootnoteText"/>
        <w:rPr>
          <w:lang w:val="en-US"/>
        </w:rPr>
      </w:pPr>
      <w:r w:rsidRPr="00B057B9">
        <w:rPr>
          <w:rStyle w:val="FootnoteReference"/>
          <w:sz w:val="18"/>
          <w:szCs w:val="18"/>
        </w:rPr>
        <w:t>*</w:t>
      </w:r>
      <w:r w:rsidRPr="00B057B9">
        <w:rPr>
          <w:sz w:val="18"/>
          <w:szCs w:val="18"/>
        </w:rPr>
        <w:t>Autor za kontakt</w:t>
      </w:r>
      <w:r>
        <w:rPr>
          <w:sz w:val="18"/>
          <w:szCs w:val="18"/>
        </w:rPr>
        <w:t>:</w:t>
      </w:r>
      <w:r w:rsidRPr="00B057B9">
        <w:rPr>
          <w:sz w:val="18"/>
          <w:szCs w:val="18"/>
        </w:rPr>
        <w:t xml:space="preserve"> e-mail: paja@agrif.bg.ac.rs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51" w:rsidRDefault="00F73999" w:rsidP="003E2BC8">
    <w:pPr>
      <w:pStyle w:val="Header"/>
      <w:framePr w:wrap="around" w:vAnchor="text" w:hAnchor="page" w:x="2264" w:y="24"/>
      <w:rPr>
        <w:rStyle w:val="PageNumber"/>
        <w:sz w:val="18"/>
      </w:rPr>
    </w:pPr>
    <w:r w:rsidRPr="004D3E6C">
      <w:rPr>
        <w:rStyle w:val="PageNumber"/>
        <w:sz w:val="18"/>
      </w:rPr>
      <w:fldChar w:fldCharType="begin"/>
    </w:r>
    <w:r w:rsidR="00451D51" w:rsidRPr="004D3E6C">
      <w:rPr>
        <w:rStyle w:val="PageNumber"/>
        <w:sz w:val="18"/>
      </w:rPr>
      <w:instrText xml:space="preserve">PAGE  </w:instrText>
    </w:r>
    <w:r w:rsidRPr="004D3E6C">
      <w:rPr>
        <w:rStyle w:val="PageNumber"/>
        <w:sz w:val="18"/>
      </w:rPr>
      <w:fldChar w:fldCharType="separate"/>
    </w:r>
    <w:r w:rsidR="00641259">
      <w:rPr>
        <w:rStyle w:val="PageNumber"/>
        <w:noProof/>
        <w:sz w:val="18"/>
      </w:rPr>
      <w:t>12</w:t>
    </w:r>
    <w:r w:rsidRPr="004D3E6C">
      <w:rPr>
        <w:rStyle w:val="PageNumber"/>
        <w:sz w:val="18"/>
      </w:rPr>
      <w:fldChar w:fldCharType="end"/>
    </w:r>
  </w:p>
  <w:p w:rsidR="00451D51" w:rsidRPr="004B12D7" w:rsidRDefault="00451D51" w:rsidP="007873B0">
    <w:pPr>
      <w:pStyle w:val="Header"/>
      <w:pBdr>
        <w:bottom w:val="single" w:sz="4" w:space="1" w:color="auto"/>
      </w:pBdr>
      <w:jc w:val="center"/>
      <w:rPr>
        <w:sz w:val="18"/>
        <w:szCs w:val="18"/>
        <w:lang w:val="en-US"/>
      </w:rPr>
    </w:pPr>
    <w:r w:rsidRPr="004B12D7">
      <w:rPr>
        <w:sz w:val="18"/>
        <w:szCs w:val="18"/>
      </w:rPr>
      <w:t>Miloš B. Pajić</w:t>
    </w:r>
    <w:r w:rsidRPr="004B12D7">
      <w:rPr>
        <w:sz w:val="18"/>
        <w:szCs w:val="18"/>
        <w:lang w:val="sr-Latn-CS"/>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D51" w:rsidRPr="009C09D1" w:rsidRDefault="00F73999">
    <w:pPr>
      <w:pStyle w:val="Header"/>
      <w:framePr w:wrap="around" w:vAnchor="text" w:hAnchor="margin" w:xAlign="outside" w:y="1"/>
      <w:rPr>
        <w:rStyle w:val="PageNumber"/>
        <w:color w:val="FF0000"/>
        <w:sz w:val="18"/>
      </w:rPr>
    </w:pPr>
    <w:r w:rsidRPr="004D3E6C">
      <w:rPr>
        <w:rStyle w:val="PageNumber"/>
        <w:sz w:val="18"/>
      </w:rPr>
      <w:fldChar w:fldCharType="begin"/>
    </w:r>
    <w:r w:rsidR="00451D51" w:rsidRPr="004D3E6C">
      <w:rPr>
        <w:rStyle w:val="PageNumber"/>
        <w:sz w:val="18"/>
      </w:rPr>
      <w:instrText xml:space="preserve">PAGE  </w:instrText>
    </w:r>
    <w:r w:rsidRPr="004D3E6C">
      <w:rPr>
        <w:rStyle w:val="PageNumber"/>
        <w:sz w:val="18"/>
      </w:rPr>
      <w:fldChar w:fldCharType="separate"/>
    </w:r>
    <w:r w:rsidR="00641259">
      <w:rPr>
        <w:rStyle w:val="PageNumber"/>
        <w:noProof/>
        <w:sz w:val="18"/>
      </w:rPr>
      <w:t>11</w:t>
    </w:r>
    <w:r w:rsidRPr="004D3E6C">
      <w:rPr>
        <w:rStyle w:val="PageNumber"/>
        <w:sz w:val="18"/>
      </w:rPr>
      <w:fldChar w:fldCharType="end"/>
    </w:r>
  </w:p>
  <w:p w:rsidR="00451D51" w:rsidRPr="00C17CFB" w:rsidRDefault="00451D51" w:rsidP="00C17CFB">
    <w:pPr>
      <w:jc w:val="center"/>
      <w:rPr>
        <w:bCs/>
        <w:sz w:val="18"/>
        <w:szCs w:val="18"/>
        <w:lang w:val="en-US"/>
      </w:rPr>
    </w:pPr>
    <w:r w:rsidRPr="00C17CFB">
      <w:rPr>
        <w:bCs/>
        <w:sz w:val="18"/>
        <w:szCs w:val="18"/>
        <w:lang w:val="en-US"/>
      </w:rPr>
      <w:t xml:space="preserve">Influence of harvester type and harvesting time on quality of harvested chamomile </w:t>
    </w:r>
  </w:p>
  <w:p w:rsidR="00451D51" w:rsidRPr="00C17CFB" w:rsidRDefault="00451D51" w:rsidP="00C17CFB">
    <w:pPr>
      <w:pStyle w:val="Header"/>
      <w:pBdr>
        <w:bottom w:val="single" w:sz="4" w:space="1" w:color="auto"/>
      </w:pBdr>
      <w:jc w:val="center"/>
      <w:rPr>
        <w:color w:val="FF0000"/>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451D51" w:rsidRPr="003E2BC8" w:rsidTr="00623218">
      <w:tc>
        <w:tcPr>
          <w:tcW w:w="3686" w:type="dxa"/>
        </w:tcPr>
        <w:p w:rsidR="00451D51" w:rsidRPr="004D3E6C" w:rsidRDefault="00451D51">
          <w:pPr>
            <w:rPr>
              <w:sz w:val="18"/>
              <w:szCs w:val="18"/>
              <w:lang w:val="en-US"/>
            </w:rPr>
          </w:pPr>
          <w:r w:rsidRPr="004D3E6C">
            <w:rPr>
              <w:sz w:val="18"/>
              <w:szCs w:val="18"/>
              <w:lang w:val="en-US"/>
            </w:rPr>
            <w:t>Journal of Agricultural Sciences</w:t>
          </w:r>
        </w:p>
        <w:p w:rsidR="00451D51" w:rsidRPr="004D3E6C" w:rsidRDefault="00451D51" w:rsidP="006211A0">
          <w:pPr>
            <w:rPr>
              <w:sz w:val="18"/>
              <w:szCs w:val="18"/>
              <w:lang w:val="en-US"/>
            </w:rPr>
          </w:pPr>
          <w:r>
            <w:rPr>
              <w:sz w:val="18"/>
              <w:szCs w:val="18"/>
              <w:lang w:val="en-US"/>
            </w:rPr>
            <w:t>Vol. 61</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6</w:t>
          </w:r>
        </w:p>
        <w:p w:rsidR="00451D51" w:rsidRPr="00621E03" w:rsidRDefault="00451D51" w:rsidP="0019645B">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451D51" w:rsidRPr="00334CD0" w:rsidRDefault="00451D51" w:rsidP="002C2784">
          <w:pPr>
            <w:pStyle w:val="BodyText"/>
            <w:tabs>
              <w:tab w:val="right" w:leader="dot" w:pos="7371"/>
            </w:tabs>
            <w:spacing w:after="0"/>
            <w:jc w:val="right"/>
            <w:rPr>
              <w:sz w:val="18"/>
              <w:szCs w:val="18"/>
              <w:lang w:val="sr-Latn-CS"/>
            </w:rPr>
          </w:pPr>
          <w:r w:rsidRPr="00334CD0">
            <w:rPr>
              <w:sz w:val="18"/>
              <w:szCs w:val="18"/>
            </w:rPr>
            <w:t xml:space="preserve">DOI: </w:t>
          </w:r>
        </w:p>
        <w:p w:rsidR="00451D51" w:rsidRPr="003E2BC8" w:rsidRDefault="00451D51" w:rsidP="002C2784">
          <w:pPr>
            <w:tabs>
              <w:tab w:val="right" w:leader="dot" w:pos="7371"/>
            </w:tabs>
            <w:jc w:val="right"/>
            <w:rPr>
              <w:sz w:val="18"/>
              <w:szCs w:val="18"/>
            </w:rPr>
          </w:pPr>
          <w:r w:rsidRPr="00334CD0">
            <w:rPr>
              <w:sz w:val="18"/>
              <w:szCs w:val="18"/>
              <w:lang w:val="en-US"/>
            </w:rPr>
            <w:t>UDC:</w:t>
          </w:r>
        </w:p>
        <w:p w:rsidR="00451D51" w:rsidRPr="003E2BC8" w:rsidRDefault="00451D51" w:rsidP="002C2784">
          <w:pPr>
            <w:jc w:val="right"/>
            <w:rPr>
              <w:sz w:val="18"/>
              <w:szCs w:val="18"/>
              <w:highlight w:val="yellow"/>
            </w:rPr>
          </w:pPr>
          <w:r w:rsidRPr="003E2BC8">
            <w:rPr>
              <w:sz w:val="18"/>
              <w:szCs w:val="18"/>
              <w:lang w:val="en-US"/>
            </w:rPr>
            <w:t>Original scientific paper</w:t>
          </w:r>
        </w:p>
      </w:tc>
    </w:tr>
  </w:tbl>
  <w:p w:rsidR="00451D51" w:rsidRPr="00621E03" w:rsidRDefault="00451D51">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312"/>
    <w:multiLevelType w:val="hybridMultilevel"/>
    <w:tmpl w:val="7BDC2D60"/>
    <w:lvl w:ilvl="0" w:tplc="081A0001">
      <w:start w:val="1"/>
      <w:numFmt w:val="bullet"/>
      <w:lvlText w:val=""/>
      <w:lvlJc w:val="left"/>
      <w:pPr>
        <w:tabs>
          <w:tab w:val="num" w:pos="1440"/>
        </w:tabs>
        <w:ind w:left="1440" w:hanging="360"/>
      </w:pPr>
      <w:rPr>
        <w:rFonts w:ascii="Symbol" w:hAnsi="Symbol" w:hint="default"/>
      </w:rPr>
    </w:lvl>
    <w:lvl w:ilvl="1" w:tplc="081A0003">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1">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6">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7">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E2FD7"/>
    <w:multiLevelType w:val="hybridMultilevel"/>
    <w:tmpl w:val="09AEA428"/>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2">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0E26B62"/>
    <w:multiLevelType w:val="multilevel"/>
    <w:tmpl w:val="9E0CE3C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8">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9">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0">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6C3F7123"/>
    <w:multiLevelType w:val="hybridMultilevel"/>
    <w:tmpl w:val="687488AE"/>
    <w:lvl w:ilvl="0" w:tplc="4FDC3F28">
      <w:start w:val="8"/>
      <w:numFmt w:val="bullet"/>
      <w:lvlText w:val=""/>
      <w:lvlJc w:val="left"/>
      <w:pPr>
        <w:tabs>
          <w:tab w:val="num" w:pos="1068"/>
        </w:tabs>
        <w:ind w:left="1068" w:hanging="360"/>
      </w:pPr>
      <w:rPr>
        <w:rFonts w:ascii="Symbol" w:eastAsia="SimSun" w:hAnsi="Symbol" w:cs="Arial" w:hint="default"/>
      </w:rPr>
    </w:lvl>
    <w:lvl w:ilvl="1" w:tplc="081A0003" w:tentative="1">
      <w:start w:val="1"/>
      <w:numFmt w:val="bullet"/>
      <w:lvlText w:val="o"/>
      <w:lvlJc w:val="left"/>
      <w:pPr>
        <w:tabs>
          <w:tab w:val="num" w:pos="1788"/>
        </w:tabs>
        <w:ind w:left="1788" w:hanging="360"/>
      </w:pPr>
      <w:rPr>
        <w:rFonts w:ascii="Courier New" w:hAnsi="Courier New" w:cs="Courier New" w:hint="default"/>
      </w:rPr>
    </w:lvl>
    <w:lvl w:ilvl="2" w:tplc="081A0005" w:tentative="1">
      <w:start w:val="1"/>
      <w:numFmt w:val="bullet"/>
      <w:lvlText w:val=""/>
      <w:lvlJc w:val="left"/>
      <w:pPr>
        <w:tabs>
          <w:tab w:val="num" w:pos="2508"/>
        </w:tabs>
        <w:ind w:left="2508" w:hanging="360"/>
      </w:pPr>
      <w:rPr>
        <w:rFonts w:ascii="Wingdings" w:hAnsi="Wingdings" w:hint="default"/>
      </w:rPr>
    </w:lvl>
    <w:lvl w:ilvl="3" w:tplc="081A0001" w:tentative="1">
      <w:start w:val="1"/>
      <w:numFmt w:val="bullet"/>
      <w:lvlText w:val=""/>
      <w:lvlJc w:val="left"/>
      <w:pPr>
        <w:tabs>
          <w:tab w:val="num" w:pos="3228"/>
        </w:tabs>
        <w:ind w:left="3228" w:hanging="360"/>
      </w:pPr>
      <w:rPr>
        <w:rFonts w:ascii="Symbol" w:hAnsi="Symbol" w:hint="default"/>
      </w:rPr>
    </w:lvl>
    <w:lvl w:ilvl="4" w:tplc="081A0003" w:tentative="1">
      <w:start w:val="1"/>
      <w:numFmt w:val="bullet"/>
      <w:lvlText w:val="o"/>
      <w:lvlJc w:val="left"/>
      <w:pPr>
        <w:tabs>
          <w:tab w:val="num" w:pos="3948"/>
        </w:tabs>
        <w:ind w:left="3948" w:hanging="360"/>
      </w:pPr>
      <w:rPr>
        <w:rFonts w:ascii="Courier New" w:hAnsi="Courier New" w:cs="Courier New" w:hint="default"/>
      </w:rPr>
    </w:lvl>
    <w:lvl w:ilvl="5" w:tplc="081A0005" w:tentative="1">
      <w:start w:val="1"/>
      <w:numFmt w:val="bullet"/>
      <w:lvlText w:val=""/>
      <w:lvlJc w:val="left"/>
      <w:pPr>
        <w:tabs>
          <w:tab w:val="num" w:pos="4668"/>
        </w:tabs>
        <w:ind w:left="4668" w:hanging="360"/>
      </w:pPr>
      <w:rPr>
        <w:rFonts w:ascii="Wingdings" w:hAnsi="Wingdings" w:hint="default"/>
      </w:rPr>
    </w:lvl>
    <w:lvl w:ilvl="6" w:tplc="081A0001" w:tentative="1">
      <w:start w:val="1"/>
      <w:numFmt w:val="bullet"/>
      <w:lvlText w:val=""/>
      <w:lvlJc w:val="left"/>
      <w:pPr>
        <w:tabs>
          <w:tab w:val="num" w:pos="5388"/>
        </w:tabs>
        <w:ind w:left="5388" w:hanging="360"/>
      </w:pPr>
      <w:rPr>
        <w:rFonts w:ascii="Symbol" w:hAnsi="Symbol" w:hint="default"/>
      </w:rPr>
    </w:lvl>
    <w:lvl w:ilvl="7" w:tplc="081A0003" w:tentative="1">
      <w:start w:val="1"/>
      <w:numFmt w:val="bullet"/>
      <w:lvlText w:val="o"/>
      <w:lvlJc w:val="left"/>
      <w:pPr>
        <w:tabs>
          <w:tab w:val="num" w:pos="6108"/>
        </w:tabs>
        <w:ind w:left="6108" w:hanging="360"/>
      </w:pPr>
      <w:rPr>
        <w:rFonts w:ascii="Courier New" w:hAnsi="Courier New" w:cs="Courier New" w:hint="default"/>
      </w:rPr>
    </w:lvl>
    <w:lvl w:ilvl="8" w:tplc="081A0005" w:tentative="1">
      <w:start w:val="1"/>
      <w:numFmt w:val="bullet"/>
      <w:lvlText w:val=""/>
      <w:lvlJc w:val="left"/>
      <w:pPr>
        <w:tabs>
          <w:tab w:val="num" w:pos="6828"/>
        </w:tabs>
        <w:ind w:left="6828" w:hanging="360"/>
      </w:pPr>
      <w:rPr>
        <w:rFonts w:ascii="Wingdings" w:hAnsi="Wingdings" w:hint="default"/>
      </w:rPr>
    </w:lvl>
  </w:abstractNum>
  <w:abstractNum w:abstractNumId="22">
    <w:nsid w:val="6DE11009"/>
    <w:multiLevelType w:val="hybridMultilevel"/>
    <w:tmpl w:val="9404047A"/>
    <w:lvl w:ilvl="0" w:tplc="4CD2729A">
      <w:start w:val="1"/>
      <w:numFmt w:val="bullet"/>
      <w:lvlText w:val=""/>
      <w:lvlJc w:val="left"/>
      <w:pPr>
        <w:tabs>
          <w:tab w:val="num" w:pos="1440"/>
        </w:tabs>
        <w:ind w:left="1440" w:hanging="360"/>
      </w:pPr>
      <w:rPr>
        <w:rFonts w:ascii="Symbol" w:hAnsi="Symbol" w:hint="default"/>
      </w:rPr>
    </w:lvl>
    <w:lvl w:ilvl="1" w:tplc="081A0003">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23">
    <w:nsid w:val="6EBF674C"/>
    <w:multiLevelType w:val="hybridMultilevel"/>
    <w:tmpl w:val="1948219E"/>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4">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77501479"/>
    <w:multiLevelType w:val="hybridMultilevel"/>
    <w:tmpl w:val="3F0ADCC0"/>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29">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065CC"/>
    <w:multiLevelType w:val="hybridMultilevel"/>
    <w:tmpl w:val="208C0656"/>
    <w:lvl w:ilvl="0" w:tplc="081A0001">
      <w:start w:val="1"/>
      <w:numFmt w:val="bullet"/>
      <w:lvlText w:val=""/>
      <w:lvlJc w:val="left"/>
      <w:pPr>
        <w:tabs>
          <w:tab w:val="num" w:pos="1428"/>
        </w:tabs>
        <w:ind w:left="1428" w:hanging="360"/>
      </w:pPr>
      <w:rPr>
        <w:rFonts w:ascii="Symbol" w:hAnsi="Symbol" w:hint="default"/>
      </w:rPr>
    </w:lvl>
    <w:lvl w:ilvl="1" w:tplc="081A0003" w:tentative="1">
      <w:start w:val="1"/>
      <w:numFmt w:val="bullet"/>
      <w:lvlText w:val="o"/>
      <w:lvlJc w:val="left"/>
      <w:pPr>
        <w:tabs>
          <w:tab w:val="num" w:pos="2148"/>
        </w:tabs>
        <w:ind w:left="2148" w:hanging="360"/>
      </w:pPr>
      <w:rPr>
        <w:rFonts w:ascii="Courier New" w:hAnsi="Courier New" w:cs="Courier New" w:hint="default"/>
      </w:rPr>
    </w:lvl>
    <w:lvl w:ilvl="2" w:tplc="081A0005" w:tentative="1">
      <w:start w:val="1"/>
      <w:numFmt w:val="bullet"/>
      <w:lvlText w:val=""/>
      <w:lvlJc w:val="left"/>
      <w:pPr>
        <w:tabs>
          <w:tab w:val="num" w:pos="2868"/>
        </w:tabs>
        <w:ind w:left="2868" w:hanging="360"/>
      </w:pPr>
      <w:rPr>
        <w:rFonts w:ascii="Wingdings" w:hAnsi="Wingdings" w:hint="default"/>
      </w:rPr>
    </w:lvl>
    <w:lvl w:ilvl="3" w:tplc="081A0001" w:tentative="1">
      <w:start w:val="1"/>
      <w:numFmt w:val="bullet"/>
      <w:lvlText w:val=""/>
      <w:lvlJc w:val="left"/>
      <w:pPr>
        <w:tabs>
          <w:tab w:val="num" w:pos="3588"/>
        </w:tabs>
        <w:ind w:left="3588" w:hanging="360"/>
      </w:pPr>
      <w:rPr>
        <w:rFonts w:ascii="Symbol" w:hAnsi="Symbol" w:hint="default"/>
      </w:rPr>
    </w:lvl>
    <w:lvl w:ilvl="4" w:tplc="081A0003" w:tentative="1">
      <w:start w:val="1"/>
      <w:numFmt w:val="bullet"/>
      <w:lvlText w:val="o"/>
      <w:lvlJc w:val="left"/>
      <w:pPr>
        <w:tabs>
          <w:tab w:val="num" w:pos="4308"/>
        </w:tabs>
        <w:ind w:left="4308" w:hanging="360"/>
      </w:pPr>
      <w:rPr>
        <w:rFonts w:ascii="Courier New" w:hAnsi="Courier New" w:cs="Courier New" w:hint="default"/>
      </w:rPr>
    </w:lvl>
    <w:lvl w:ilvl="5" w:tplc="081A0005" w:tentative="1">
      <w:start w:val="1"/>
      <w:numFmt w:val="bullet"/>
      <w:lvlText w:val=""/>
      <w:lvlJc w:val="left"/>
      <w:pPr>
        <w:tabs>
          <w:tab w:val="num" w:pos="5028"/>
        </w:tabs>
        <w:ind w:left="5028" w:hanging="360"/>
      </w:pPr>
      <w:rPr>
        <w:rFonts w:ascii="Wingdings" w:hAnsi="Wingdings" w:hint="default"/>
      </w:rPr>
    </w:lvl>
    <w:lvl w:ilvl="6" w:tplc="081A0001" w:tentative="1">
      <w:start w:val="1"/>
      <w:numFmt w:val="bullet"/>
      <w:lvlText w:val=""/>
      <w:lvlJc w:val="left"/>
      <w:pPr>
        <w:tabs>
          <w:tab w:val="num" w:pos="5748"/>
        </w:tabs>
        <w:ind w:left="5748" w:hanging="360"/>
      </w:pPr>
      <w:rPr>
        <w:rFonts w:ascii="Symbol" w:hAnsi="Symbol" w:hint="default"/>
      </w:rPr>
    </w:lvl>
    <w:lvl w:ilvl="7" w:tplc="081A0003" w:tentative="1">
      <w:start w:val="1"/>
      <w:numFmt w:val="bullet"/>
      <w:lvlText w:val="o"/>
      <w:lvlJc w:val="left"/>
      <w:pPr>
        <w:tabs>
          <w:tab w:val="num" w:pos="6468"/>
        </w:tabs>
        <w:ind w:left="6468" w:hanging="360"/>
      </w:pPr>
      <w:rPr>
        <w:rFonts w:ascii="Courier New" w:hAnsi="Courier New" w:cs="Courier New" w:hint="default"/>
      </w:rPr>
    </w:lvl>
    <w:lvl w:ilvl="8" w:tplc="081A0005" w:tentative="1">
      <w:start w:val="1"/>
      <w:numFmt w:val="bullet"/>
      <w:lvlText w:val=""/>
      <w:lvlJc w:val="left"/>
      <w:pPr>
        <w:tabs>
          <w:tab w:val="num" w:pos="7188"/>
        </w:tabs>
        <w:ind w:left="7188" w:hanging="360"/>
      </w:pPr>
      <w:rPr>
        <w:rFonts w:ascii="Wingdings" w:hAnsi="Wingdings" w:hint="default"/>
      </w:rPr>
    </w:lvl>
  </w:abstractNum>
  <w:num w:numId="1">
    <w:abstractNumId w:val="26"/>
  </w:num>
  <w:num w:numId="2">
    <w:abstractNumId w:val="16"/>
  </w:num>
  <w:num w:numId="3">
    <w:abstractNumId w:val="5"/>
  </w:num>
  <w:num w:numId="4">
    <w:abstractNumId w:val="4"/>
  </w:num>
  <w:num w:numId="5">
    <w:abstractNumId w:val="17"/>
  </w:num>
  <w:num w:numId="6">
    <w:abstractNumId w:val="25"/>
  </w:num>
  <w:num w:numId="7">
    <w:abstractNumId w:val="8"/>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27"/>
  </w:num>
  <w:num w:numId="13">
    <w:abstractNumId w:val="6"/>
  </w:num>
  <w:num w:numId="14">
    <w:abstractNumId w:val="24"/>
  </w:num>
  <w:num w:numId="15">
    <w:abstractNumId w:val="19"/>
  </w:num>
  <w:num w:numId="16">
    <w:abstractNumId w:val="13"/>
  </w:num>
  <w:num w:numId="17">
    <w:abstractNumId w:val="15"/>
  </w:num>
  <w:num w:numId="18">
    <w:abstractNumId w:val="7"/>
  </w:num>
  <w:num w:numId="19">
    <w:abstractNumId w:val="2"/>
  </w:num>
  <w:num w:numId="20">
    <w:abstractNumId w:val="29"/>
  </w:num>
  <w:num w:numId="21">
    <w:abstractNumId w:val="9"/>
  </w:num>
  <w:num w:numId="22">
    <w:abstractNumId w:val="1"/>
  </w:num>
  <w:num w:numId="23">
    <w:abstractNumId w:val="10"/>
  </w:num>
  <w:num w:numId="24">
    <w:abstractNumId w:val="14"/>
  </w:num>
  <w:num w:numId="25">
    <w:abstractNumId w:val="0"/>
  </w:num>
  <w:num w:numId="26">
    <w:abstractNumId w:val="28"/>
  </w:num>
  <w:num w:numId="27">
    <w:abstractNumId w:val="22"/>
  </w:num>
  <w:num w:numId="28">
    <w:abstractNumId w:val="30"/>
  </w:num>
  <w:num w:numId="29">
    <w:abstractNumId w:val="23"/>
  </w:num>
  <w:num w:numId="30">
    <w:abstractNumId w:val="21"/>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49154"/>
  </w:hdrShapeDefaults>
  <w:footnotePr>
    <w:numFmt w:val="chicago"/>
    <w:footnote w:id="0"/>
    <w:footnote w:id="1"/>
  </w:footnotePr>
  <w:endnotePr>
    <w:numFmt w:val="chicago"/>
    <w:endnote w:id="0"/>
    <w:endnote w:id="1"/>
  </w:endnotePr>
  <w:compat/>
  <w:rsids>
    <w:rsidRoot w:val="00864A51"/>
    <w:rsid w:val="00000392"/>
    <w:rsid w:val="00001280"/>
    <w:rsid w:val="0000183B"/>
    <w:rsid w:val="0000417E"/>
    <w:rsid w:val="000058A0"/>
    <w:rsid w:val="00006BE4"/>
    <w:rsid w:val="00007AC9"/>
    <w:rsid w:val="00007C2C"/>
    <w:rsid w:val="0001047C"/>
    <w:rsid w:val="00014B65"/>
    <w:rsid w:val="00016C42"/>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D1FFB"/>
    <w:rsid w:val="000D20CD"/>
    <w:rsid w:val="000D219A"/>
    <w:rsid w:val="000D35CB"/>
    <w:rsid w:val="000D5967"/>
    <w:rsid w:val="000D7789"/>
    <w:rsid w:val="000E2F35"/>
    <w:rsid w:val="000E62B7"/>
    <w:rsid w:val="000E734C"/>
    <w:rsid w:val="000F0A5C"/>
    <w:rsid w:val="000F430C"/>
    <w:rsid w:val="000F4FEB"/>
    <w:rsid w:val="000F54D7"/>
    <w:rsid w:val="0010112D"/>
    <w:rsid w:val="00101949"/>
    <w:rsid w:val="0010338D"/>
    <w:rsid w:val="001039D2"/>
    <w:rsid w:val="001070DF"/>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5C7F"/>
    <w:rsid w:val="001566F5"/>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5C45"/>
    <w:rsid w:val="00187E8B"/>
    <w:rsid w:val="00191CF5"/>
    <w:rsid w:val="001923D4"/>
    <w:rsid w:val="0019272C"/>
    <w:rsid w:val="0019645B"/>
    <w:rsid w:val="0019713E"/>
    <w:rsid w:val="00197F4A"/>
    <w:rsid w:val="001A3703"/>
    <w:rsid w:val="001A5B51"/>
    <w:rsid w:val="001A5CDE"/>
    <w:rsid w:val="001A678F"/>
    <w:rsid w:val="001A6AA7"/>
    <w:rsid w:val="001A715D"/>
    <w:rsid w:val="001A72B6"/>
    <w:rsid w:val="001B1F31"/>
    <w:rsid w:val="001B4F0F"/>
    <w:rsid w:val="001B5731"/>
    <w:rsid w:val="001B5AD8"/>
    <w:rsid w:val="001C2948"/>
    <w:rsid w:val="001C2F84"/>
    <w:rsid w:val="001C3835"/>
    <w:rsid w:val="001C3E7F"/>
    <w:rsid w:val="001C4938"/>
    <w:rsid w:val="001C5C0A"/>
    <w:rsid w:val="001C733F"/>
    <w:rsid w:val="001D0468"/>
    <w:rsid w:val="001D72E6"/>
    <w:rsid w:val="001D742E"/>
    <w:rsid w:val="001E2AF3"/>
    <w:rsid w:val="001E5108"/>
    <w:rsid w:val="001E5401"/>
    <w:rsid w:val="001E5955"/>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1650"/>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41E8"/>
    <w:rsid w:val="002E204F"/>
    <w:rsid w:val="002E2B30"/>
    <w:rsid w:val="002E357B"/>
    <w:rsid w:val="002E3AE3"/>
    <w:rsid w:val="002E4BAE"/>
    <w:rsid w:val="002E5831"/>
    <w:rsid w:val="002E6660"/>
    <w:rsid w:val="002E746A"/>
    <w:rsid w:val="002F1017"/>
    <w:rsid w:val="002F1527"/>
    <w:rsid w:val="002F18D9"/>
    <w:rsid w:val="0030070D"/>
    <w:rsid w:val="00300E3E"/>
    <w:rsid w:val="0030448E"/>
    <w:rsid w:val="00306CCB"/>
    <w:rsid w:val="00315827"/>
    <w:rsid w:val="00320918"/>
    <w:rsid w:val="0032797E"/>
    <w:rsid w:val="00330389"/>
    <w:rsid w:val="00332631"/>
    <w:rsid w:val="00334CD0"/>
    <w:rsid w:val="00341C52"/>
    <w:rsid w:val="00343CA3"/>
    <w:rsid w:val="00344572"/>
    <w:rsid w:val="00347495"/>
    <w:rsid w:val="00347C0A"/>
    <w:rsid w:val="00353031"/>
    <w:rsid w:val="003543CF"/>
    <w:rsid w:val="00354809"/>
    <w:rsid w:val="00356585"/>
    <w:rsid w:val="003602BA"/>
    <w:rsid w:val="00360938"/>
    <w:rsid w:val="00361020"/>
    <w:rsid w:val="00364F8E"/>
    <w:rsid w:val="003672C1"/>
    <w:rsid w:val="003714DF"/>
    <w:rsid w:val="003720F5"/>
    <w:rsid w:val="003729A7"/>
    <w:rsid w:val="00376847"/>
    <w:rsid w:val="0037750B"/>
    <w:rsid w:val="00383B59"/>
    <w:rsid w:val="00390EB7"/>
    <w:rsid w:val="00390FEC"/>
    <w:rsid w:val="00391156"/>
    <w:rsid w:val="003936E8"/>
    <w:rsid w:val="0039631A"/>
    <w:rsid w:val="003A1DCA"/>
    <w:rsid w:val="003A21E7"/>
    <w:rsid w:val="003A30DA"/>
    <w:rsid w:val="003A6E32"/>
    <w:rsid w:val="003A76D9"/>
    <w:rsid w:val="003A7767"/>
    <w:rsid w:val="003B03F3"/>
    <w:rsid w:val="003B2519"/>
    <w:rsid w:val="003B702E"/>
    <w:rsid w:val="003C0D55"/>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254B6"/>
    <w:rsid w:val="004271D0"/>
    <w:rsid w:val="0043112D"/>
    <w:rsid w:val="00432A68"/>
    <w:rsid w:val="00432E5C"/>
    <w:rsid w:val="00436406"/>
    <w:rsid w:val="0043669D"/>
    <w:rsid w:val="00443BDD"/>
    <w:rsid w:val="00444D1C"/>
    <w:rsid w:val="00445C0F"/>
    <w:rsid w:val="004474A8"/>
    <w:rsid w:val="00450137"/>
    <w:rsid w:val="00450F2B"/>
    <w:rsid w:val="00451D51"/>
    <w:rsid w:val="00452570"/>
    <w:rsid w:val="00462CD6"/>
    <w:rsid w:val="00463915"/>
    <w:rsid w:val="00464F68"/>
    <w:rsid w:val="0046534D"/>
    <w:rsid w:val="004662BB"/>
    <w:rsid w:val="00471B41"/>
    <w:rsid w:val="00472923"/>
    <w:rsid w:val="00477547"/>
    <w:rsid w:val="004779C9"/>
    <w:rsid w:val="004814CA"/>
    <w:rsid w:val="00482CCE"/>
    <w:rsid w:val="004845FE"/>
    <w:rsid w:val="004878F2"/>
    <w:rsid w:val="00487C4F"/>
    <w:rsid w:val="004917BA"/>
    <w:rsid w:val="004919B2"/>
    <w:rsid w:val="00492E22"/>
    <w:rsid w:val="00495F7E"/>
    <w:rsid w:val="004A0319"/>
    <w:rsid w:val="004A127D"/>
    <w:rsid w:val="004A3AC5"/>
    <w:rsid w:val="004A4F37"/>
    <w:rsid w:val="004A73DA"/>
    <w:rsid w:val="004B12D7"/>
    <w:rsid w:val="004B149C"/>
    <w:rsid w:val="004B2694"/>
    <w:rsid w:val="004B6C6B"/>
    <w:rsid w:val="004C0B0D"/>
    <w:rsid w:val="004C1146"/>
    <w:rsid w:val="004C2D0D"/>
    <w:rsid w:val="004C6D10"/>
    <w:rsid w:val="004D16FA"/>
    <w:rsid w:val="004D3E6C"/>
    <w:rsid w:val="004D49A0"/>
    <w:rsid w:val="004D69D5"/>
    <w:rsid w:val="004D6FC4"/>
    <w:rsid w:val="004E00BB"/>
    <w:rsid w:val="004E27AF"/>
    <w:rsid w:val="004E7C02"/>
    <w:rsid w:val="004F0D80"/>
    <w:rsid w:val="004F4232"/>
    <w:rsid w:val="00500CFE"/>
    <w:rsid w:val="005012CC"/>
    <w:rsid w:val="005048B0"/>
    <w:rsid w:val="00504F0C"/>
    <w:rsid w:val="00515087"/>
    <w:rsid w:val="00516C2D"/>
    <w:rsid w:val="005278ED"/>
    <w:rsid w:val="005279A8"/>
    <w:rsid w:val="00527AFA"/>
    <w:rsid w:val="00532C8D"/>
    <w:rsid w:val="00533506"/>
    <w:rsid w:val="00540672"/>
    <w:rsid w:val="0054077F"/>
    <w:rsid w:val="005408C3"/>
    <w:rsid w:val="0054273B"/>
    <w:rsid w:val="00543705"/>
    <w:rsid w:val="00545825"/>
    <w:rsid w:val="00547315"/>
    <w:rsid w:val="00550A20"/>
    <w:rsid w:val="00555FC3"/>
    <w:rsid w:val="005568B0"/>
    <w:rsid w:val="00560D9E"/>
    <w:rsid w:val="00564A31"/>
    <w:rsid w:val="00566E23"/>
    <w:rsid w:val="005701BF"/>
    <w:rsid w:val="00570C77"/>
    <w:rsid w:val="005718B8"/>
    <w:rsid w:val="00571DA7"/>
    <w:rsid w:val="005721ED"/>
    <w:rsid w:val="0057425E"/>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B6160"/>
    <w:rsid w:val="005C0CCD"/>
    <w:rsid w:val="005C3211"/>
    <w:rsid w:val="005C4877"/>
    <w:rsid w:val="005C6333"/>
    <w:rsid w:val="005D155E"/>
    <w:rsid w:val="005D33B7"/>
    <w:rsid w:val="005D652A"/>
    <w:rsid w:val="005E09F2"/>
    <w:rsid w:val="005E6D25"/>
    <w:rsid w:val="005F0C25"/>
    <w:rsid w:val="005F199C"/>
    <w:rsid w:val="005F208F"/>
    <w:rsid w:val="005F4FC8"/>
    <w:rsid w:val="005F5D22"/>
    <w:rsid w:val="005F64EC"/>
    <w:rsid w:val="00605F2F"/>
    <w:rsid w:val="00606666"/>
    <w:rsid w:val="00606C9A"/>
    <w:rsid w:val="006073C5"/>
    <w:rsid w:val="00607488"/>
    <w:rsid w:val="00611D95"/>
    <w:rsid w:val="00612461"/>
    <w:rsid w:val="00612B09"/>
    <w:rsid w:val="00613F7F"/>
    <w:rsid w:val="006173F5"/>
    <w:rsid w:val="00617E26"/>
    <w:rsid w:val="006211A0"/>
    <w:rsid w:val="0062191C"/>
    <w:rsid w:val="00621E03"/>
    <w:rsid w:val="00623218"/>
    <w:rsid w:val="006232A9"/>
    <w:rsid w:val="00630109"/>
    <w:rsid w:val="0063062C"/>
    <w:rsid w:val="00634E04"/>
    <w:rsid w:val="006353FE"/>
    <w:rsid w:val="00636F1B"/>
    <w:rsid w:val="0063701B"/>
    <w:rsid w:val="00641259"/>
    <w:rsid w:val="006451EA"/>
    <w:rsid w:val="006455D7"/>
    <w:rsid w:val="00651560"/>
    <w:rsid w:val="00652429"/>
    <w:rsid w:val="0065321F"/>
    <w:rsid w:val="0065457B"/>
    <w:rsid w:val="006551FB"/>
    <w:rsid w:val="00655780"/>
    <w:rsid w:val="00656F57"/>
    <w:rsid w:val="006571BF"/>
    <w:rsid w:val="00657FBA"/>
    <w:rsid w:val="006613EB"/>
    <w:rsid w:val="00663042"/>
    <w:rsid w:val="006635DE"/>
    <w:rsid w:val="006638FB"/>
    <w:rsid w:val="0066394C"/>
    <w:rsid w:val="00665B12"/>
    <w:rsid w:val="00667131"/>
    <w:rsid w:val="00667C62"/>
    <w:rsid w:val="00670B16"/>
    <w:rsid w:val="00670E61"/>
    <w:rsid w:val="00681447"/>
    <w:rsid w:val="0068162E"/>
    <w:rsid w:val="0068279C"/>
    <w:rsid w:val="00682935"/>
    <w:rsid w:val="00683D05"/>
    <w:rsid w:val="006843C0"/>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5F"/>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0E54"/>
    <w:rsid w:val="00702E5B"/>
    <w:rsid w:val="00706C1B"/>
    <w:rsid w:val="00706F3E"/>
    <w:rsid w:val="007070FB"/>
    <w:rsid w:val="007102A9"/>
    <w:rsid w:val="00711578"/>
    <w:rsid w:val="00711B4E"/>
    <w:rsid w:val="00712A9D"/>
    <w:rsid w:val="00713171"/>
    <w:rsid w:val="00714BE3"/>
    <w:rsid w:val="00715877"/>
    <w:rsid w:val="00716D56"/>
    <w:rsid w:val="00720DFC"/>
    <w:rsid w:val="00720FE6"/>
    <w:rsid w:val="00721FF0"/>
    <w:rsid w:val="0072623C"/>
    <w:rsid w:val="0072664E"/>
    <w:rsid w:val="00753D32"/>
    <w:rsid w:val="00757720"/>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271A"/>
    <w:rsid w:val="00783406"/>
    <w:rsid w:val="00784AA9"/>
    <w:rsid w:val="007851A6"/>
    <w:rsid w:val="00785B1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4AE3"/>
    <w:rsid w:val="008379C6"/>
    <w:rsid w:val="00837A24"/>
    <w:rsid w:val="00844730"/>
    <w:rsid w:val="00846243"/>
    <w:rsid w:val="008464B4"/>
    <w:rsid w:val="00852E7F"/>
    <w:rsid w:val="00854799"/>
    <w:rsid w:val="00857AF9"/>
    <w:rsid w:val="00862BA4"/>
    <w:rsid w:val="00863E2C"/>
    <w:rsid w:val="00864A51"/>
    <w:rsid w:val="00865DF1"/>
    <w:rsid w:val="00867166"/>
    <w:rsid w:val="008677E9"/>
    <w:rsid w:val="008678B9"/>
    <w:rsid w:val="008709E1"/>
    <w:rsid w:val="00871BED"/>
    <w:rsid w:val="00872C71"/>
    <w:rsid w:val="008738E4"/>
    <w:rsid w:val="00873AC1"/>
    <w:rsid w:val="00875670"/>
    <w:rsid w:val="00886F15"/>
    <w:rsid w:val="0089166F"/>
    <w:rsid w:val="00892888"/>
    <w:rsid w:val="008929DF"/>
    <w:rsid w:val="00893E4F"/>
    <w:rsid w:val="00896017"/>
    <w:rsid w:val="00897FE3"/>
    <w:rsid w:val="008A0D57"/>
    <w:rsid w:val="008A123F"/>
    <w:rsid w:val="008A1D83"/>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1859"/>
    <w:rsid w:val="00922274"/>
    <w:rsid w:val="00924CEF"/>
    <w:rsid w:val="0092541A"/>
    <w:rsid w:val="00926BAD"/>
    <w:rsid w:val="009276D2"/>
    <w:rsid w:val="0093135D"/>
    <w:rsid w:val="00934029"/>
    <w:rsid w:val="00934EEA"/>
    <w:rsid w:val="009355FB"/>
    <w:rsid w:val="009356E0"/>
    <w:rsid w:val="00942ED6"/>
    <w:rsid w:val="009447B8"/>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177"/>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9F1"/>
    <w:rsid w:val="009C09D1"/>
    <w:rsid w:val="009C2C52"/>
    <w:rsid w:val="009C459C"/>
    <w:rsid w:val="009C5B6C"/>
    <w:rsid w:val="009C691F"/>
    <w:rsid w:val="009D0393"/>
    <w:rsid w:val="009D28A7"/>
    <w:rsid w:val="009D4071"/>
    <w:rsid w:val="009D70FD"/>
    <w:rsid w:val="009E014D"/>
    <w:rsid w:val="009E0F74"/>
    <w:rsid w:val="009E59C8"/>
    <w:rsid w:val="009E6A46"/>
    <w:rsid w:val="009F1776"/>
    <w:rsid w:val="009F2345"/>
    <w:rsid w:val="009F3E64"/>
    <w:rsid w:val="009F64D8"/>
    <w:rsid w:val="00A0090E"/>
    <w:rsid w:val="00A02B44"/>
    <w:rsid w:val="00A058EC"/>
    <w:rsid w:val="00A05CC6"/>
    <w:rsid w:val="00A10BD5"/>
    <w:rsid w:val="00A127DD"/>
    <w:rsid w:val="00A12CF5"/>
    <w:rsid w:val="00A15D57"/>
    <w:rsid w:val="00A167D4"/>
    <w:rsid w:val="00A24693"/>
    <w:rsid w:val="00A25ADE"/>
    <w:rsid w:val="00A26053"/>
    <w:rsid w:val="00A30EA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5910"/>
    <w:rsid w:val="00A870B2"/>
    <w:rsid w:val="00A877A4"/>
    <w:rsid w:val="00A90C15"/>
    <w:rsid w:val="00A913A2"/>
    <w:rsid w:val="00A949EF"/>
    <w:rsid w:val="00A94BAD"/>
    <w:rsid w:val="00A965A2"/>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F0364"/>
    <w:rsid w:val="00AF084A"/>
    <w:rsid w:val="00AF0976"/>
    <w:rsid w:val="00AF1E3D"/>
    <w:rsid w:val="00AF2080"/>
    <w:rsid w:val="00AF283F"/>
    <w:rsid w:val="00AF6A40"/>
    <w:rsid w:val="00B010C5"/>
    <w:rsid w:val="00B011CE"/>
    <w:rsid w:val="00B017CE"/>
    <w:rsid w:val="00B057B9"/>
    <w:rsid w:val="00B0763A"/>
    <w:rsid w:val="00B1002E"/>
    <w:rsid w:val="00B13B7F"/>
    <w:rsid w:val="00B17E64"/>
    <w:rsid w:val="00B225AE"/>
    <w:rsid w:val="00B24B31"/>
    <w:rsid w:val="00B30468"/>
    <w:rsid w:val="00B320FF"/>
    <w:rsid w:val="00B3497D"/>
    <w:rsid w:val="00B3505D"/>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107E"/>
    <w:rsid w:val="00B72EB5"/>
    <w:rsid w:val="00B73BF8"/>
    <w:rsid w:val="00B74975"/>
    <w:rsid w:val="00B76A11"/>
    <w:rsid w:val="00B77038"/>
    <w:rsid w:val="00B80DEE"/>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2885"/>
    <w:rsid w:val="00BC374F"/>
    <w:rsid w:val="00BC4156"/>
    <w:rsid w:val="00BC53DC"/>
    <w:rsid w:val="00BC54A3"/>
    <w:rsid w:val="00BC64DA"/>
    <w:rsid w:val="00BC7589"/>
    <w:rsid w:val="00BD0172"/>
    <w:rsid w:val="00BD10E6"/>
    <w:rsid w:val="00BD3528"/>
    <w:rsid w:val="00BD3A97"/>
    <w:rsid w:val="00BE033D"/>
    <w:rsid w:val="00BE1B5B"/>
    <w:rsid w:val="00BE3464"/>
    <w:rsid w:val="00BE3D09"/>
    <w:rsid w:val="00BE3D8A"/>
    <w:rsid w:val="00BE48C5"/>
    <w:rsid w:val="00BF03D7"/>
    <w:rsid w:val="00BF1B57"/>
    <w:rsid w:val="00BF2242"/>
    <w:rsid w:val="00BF24F6"/>
    <w:rsid w:val="00BF5398"/>
    <w:rsid w:val="00BF6AF1"/>
    <w:rsid w:val="00C03B4C"/>
    <w:rsid w:val="00C054E6"/>
    <w:rsid w:val="00C0588D"/>
    <w:rsid w:val="00C114F2"/>
    <w:rsid w:val="00C11650"/>
    <w:rsid w:val="00C118BC"/>
    <w:rsid w:val="00C11EB3"/>
    <w:rsid w:val="00C17CFB"/>
    <w:rsid w:val="00C21ABF"/>
    <w:rsid w:val="00C252DF"/>
    <w:rsid w:val="00C255C5"/>
    <w:rsid w:val="00C2665B"/>
    <w:rsid w:val="00C30EB3"/>
    <w:rsid w:val="00C31FBC"/>
    <w:rsid w:val="00C373E1"/>
    <w:rsid w:val="00C41475"/>
    <w:rsid w:val="00C42917"/>
    <w:rsid w:val="00C5046D"/>
    <w:rsid w:val="00C55C1E"/>
    <w:rsid w:val="00C5685E"/>
    <w:rsid w:val="00C56E4F"/>
    <w:rsid w:val="00C576B9"/>
    <w:rsid w:val="00C604B8"/>
    <w:rsid w:val="00C639B2"/>
    <w:rsid w:val="00C63AEF"/>
    <w:rsid w:val="00C662F8"/>
    <w:rsid w:val="00C66764"/>
    <w:rsid w:val="00C66C37"/>
    <w:rsid w:val="00C67305"/>
    <w:rsid w:val="00C7265C"/>
    <w:rsid w:val="00C749D6"/>
    <w:rsid w:val="00C74BB7"/>
    <w:rsid w:val="00C7688F"/>
    <w:rsid w:val="00C828AD"/>
    <w:rsid w:val="00C85591"/>
    <w:rsid w:val="00C91E64"/>
    <w:rsid w:val="00C949E3"/>
    <w:rsid w:val="00C96B26"/>
    <w:rsid w:val="00CA4429"/>
    <w:rsid w:val="00CA46BD"/>
    <w:rsid w:val="00CB149D"/>
    <w:rsid w:val="00CB31B6"/>
    <w:rsid w:val="00CB3971"/>
    <w:rsid w:val="00CB4974"/>
    <w:rsid w:val="00CB5069"/>
    <w:rsid w:val="00CB51E3"/>
    <w:rsid w:val="00CB6242"/>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30950"/>
    <w:rsid w:val="00D31CE6"/>
    <w:rsid w:val="00D361B4"/>
    <w:rsid w:val="00D37C5D"/>
    <w:rsid w:val="00D41687"/>
    <w:rsid w:val="00D444B7"/>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697A"/>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7796"/>
    <w:rsid w:val="00DF52EB"/>
    <w:rsid w:val="00DF5F81"/>
    <w:rsid w:val="00E0048F"/>
    <w:rsid w:val="00E10641"/>
    <w:rsid w:val="00E13530"/>
    <w:rsid w:val="00E17013"/>
    <w:rsid w:val="00E216BB"/>
    <w:rsid w:val="00E2365E"/>
    <w:rsid w:val="00E24BF0"/>
    <w:rsid w:val="00E32DB8"/>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6F7B"/>
    <w:rsid w:val="00EB770E"/>
    <w:rsid w:val="00EC1B40"/>
    <w:rsid w:val="00EC5081"/>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57F01"/>
    <w:rsid w:val="00F62F1B"/>
    <w:rsid w:val="00F656E1"/>
    <w:rsid w:val="00F70A2F"/>
    <w:rsid w:val="00F71A33"/>
    <w:rsid w:val="00F71F16"/>
    <w:rsid w:val="00F72132"/>
    <w:rsid w:val="00F73999"/>
    <w:rsid w:val="00F73F51"/>
    <w:rsid w:val="00F83EE0"/>
    <w:rsid w:val="00F879DE"/>
    <w:rsid w:val="00F913BA"/>
    <w:rsid w:val="00F93E41"/>
    <w:rsid w:val="00F942F1"/>
    <w:rsid w:val="00F97E69"/>
    <w:rsid w:val="00FA10B6"/>
    <w:rsid w:val="00FA3E3E"/>
    <w:rsid w:val="00FA5B67"/>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E63DC"/>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qFormat/>
    <w:rsid w:val="002A2342"/>
    <w:pPr>
      <w:keepNext/>
      <w:jc w:val="center"/>
      <w:outlineLvl w:val="0"/>
    </w:pPr>
    <w:rPr>
      <w:b/>
      <w:sz w:val="22"/>
      <w:szCs w:val="22"/>
    </w:rPr>
  </w:style>
  <w:style w:type="paragraph" w:styleId="Heading2">
    <w:name w:val="heading 2"/>
    <w:basedOn w:val="Normal"/>
    <w:next w:val="Normal"/>
    <w:link w:val="Heading2Char"/>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val="en-US" w:eastAsia="en-US"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hpsatn">
    <w:name w:val="hps atn"/>
    <w:basedOn w:val="DefaultParagraphFont"/>
    <w:rsid w:val="004B12D7"/>
  </w:style>
  <w:style w:type="character" w:customStyle="1" w:styleId="FontStyle103">
    <w:name w:val="Font Style103"/>
    <w:rsid w:val="004B12D7"/>
    <w:rPr>
      <w:rFonts w:ascii="Book Antiqua" w:hAnsi="Book Antiqua" w:cs="Book Antiqua"/>
      <w:color w:val="000000"/>
      <w:sz w:val="18"/>
      <w:szCs w:val="18"/>
    </w:rPr>
  </w:style>
  <w:style w:type="character" w:customStyle="1" w:styleId="FontStyle105">
    <w:name w:val="Font Style105"/>
    <w:rsid w:val="004B12D7"/>
    <w:rPr>
      <w:rFonts w:ascii="Book Antiqua" w:hAnsi="Book Antiqua" w:cs="Book Antiqua"/>
      <w:b/>
      <w:bCs/>
      <w:color w:val="000000"/>
      <w:sz w:val="18"/>
      <w:szCs w:val="18"/>
    </w:rPr>
  </w:style>
  <w:style w:type="paragraph" w:customStyle="1" w:styleId="NormalWeb9">
    <w:name w:val="Normal (Web)9"/>
    <w:basedOn w:val="Normal"/>
    <w:rsid w:val="004B12D7"/>
    <w:rPr>
      <w:rFonts w:eastAsia="SimSun"/>
      <w:color w:val="000000"/>
      <w:sz w:val="18"/>
      <w:szCs w:val="18"/>
      <w:lang w:val="sr-Latn-CS" w:eastAsia="zh-CN"/>
    </w:rPr>
  </w:style>
  <w:style w:type="character" w:customStyle="1" w:styleId="fieldlabel4">
    <w:name w:val="fieldlabel4"/>
    <w:rsid w:val="004B12D7"/>
    <w:rPr>
      <w:b/>
      <w:bCs/>
      <w:shd w:val="clear" w:color="auto" w:fill="F7F9FA"/>
    </w:rPr>
  </w:style>
  <w:style w:type="paragraph" w:styleId="z-TopofForm">
    <w:name w:val="HTML Top of Form"/>
    <w:basedOn w:val="Normal"/>
    <w:next w:val="Normal"/>
    <w:link w:val="z-TopofFormChar"/>
    <w:hidden/>
    <w:rsid w:val="004B12D7"/>
    <w:pPr>
      <w:pBdr>
        <w:bottom w:val="single" w:sz="6" w:space="1" w:color="auto"/>
      </w:pBdr>
      <w:jc w:val="center"/>
    </w:pPr>
    <w:rPr>
      <w:rFonts w:ascii="Arial" w:eastAsia="SimSun" w:hAnsi="Arial" w:cs="Arial"/>
      <w:vanish/>
      <w:sz w:val="16"/>
      <w:szCs w:val="16"/>
      <w:lang w:val="sr-Latn-CS" w:eastAsia="zh-CN"/>
    </w:rPr>
  </w:style>
  <w:style w:type="character" w:customStyle="1" w:styleId="z-TopofFormChar">
    <w:name w:val="z-Top of Form Char"/>
    <w:basedOn w:val="DefaultParagraphFont"/>
    <w:link w:val="z-TopofForm"/>
    <w:rsid w:val="004B12D7"/>
    <w:rPr>
      <w:rFonts w:ascii="Arial" w:eastAsia="SimSun" w:hAnsi="Arial" w:cs="Arial"/>
      <w:vanish/>
      <w:sz w:val="16"/>
      <w:szCs w:val="16"/>
      <w:lang w:val="sr-Latn-CS" w:eastAsia="zh-CN"/>
    </w:rPr>
  </w:style>
  <w:style w:type="paragraph" w:styleId="z-BottomofForm">
    <w:name w:val="HTML Bottom of Form"/>
    <w:basedOn w:val="Normal"/>
    <w:next w:val="Normal"/>
    <w:link w:val="z-BottomofFormChar"/>
    <w:hidden/>
    <w:rsid w:val="004B12D7"/>
    <w:pPr>
      <w:pBdr>
        <w:top w:val="single" w:sz="6" w:space="1" w:color="auto"/>
      </w:pBdr>
      <w:jc w:val="center"/>
    </w:pPr>
    <w:rPr>
      <w:rFonts w:ascii="Arial" w:eastAsia="SimSun" w:hAnsi="Arial" w:cs="Arial"/>
      <w:vanish/>
      <w:sz w:val="16"/>
      <w:szCs w:val="16"/>
      <w:lang w:val="sr-Latn-CS" w:eastAsia="zh-CN"/>
    </w:rPr>
  </w:style>
  <w:style w:type="character" w:customStyle="1" w:styleId="z-BottomofFormChar">
    <w:name w:val="z-Bottom of Form Char"/>
    <w:basedOn w:val="DefaultParagraphFont"/>
    <w:link w:val="z-BottomofForm"/>
    <w:rsid w:val="004B12D7"/>
    <w:rPr>
      <w:rFonts w:ascii="Arial" w:eastAsia="SimSun" w:hAnsi="Arial" w:cs="Arial"/>
      <w:vanish/>
      <w:sz w:val="16"/>
      <w:szCs w:val="16"/>
      <w:lang w:val="sr-Latn-CS" w:eastAsia="zh-CN"/>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agris.fao.org/?query=%2Bauthor:%22Stepanovic,%20B.%2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gris.fao.org/?query=%2Bauthor:%22Radanovic,%20D.%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st-world.org/ResultPublicationDetails.aspx?ResultPublicationId=97ffdd2d8fbe49cd8e6b32a9c355acb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gris.fao.org/?query=%2Bauthor:%22Maksimovic,%20S.%22" TargetMode="External"/><Relationship Id="rId5" Type="http://schemas.openxmlformats.org/officeDocument/2006/relationships/webSettings" Target="webSettings.xml"/><Relationship Id="rId15" Type="http://schemas.openxmlformats.org/officeDocument/2006/relationships/hyperlink" Target="http://agris.fao.org/?query=%2Bauthor:%22Brkic,%20S.%22"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agris.fao.org/?query=%2Bauthor:%22Tasic,%20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8D98D-CCA5-48AE-AA4F-1422A929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4392</Words>
  <Characters>25040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4</cp:revision>
  <cp:lastPrinted>2016-06-20T07:13:00Z</cp:lastPrinted>
  <dcterms:created xsi:type="dcterms:W3CDTF">2016-06-27T11:22:00Z</dcterms:created>
  <dcterms:modified xsi:type="dcterms:W3CDTF">2016-06-28T09:41:00Z</dcterms:modified>
</cp:coreProperties>
</file>