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01" w:rsidRPr="00BD5001" w:rsidRDefault="00BD5001" w:rsidP="00CE254F">
      <w:pPr>
        <w:spacing w:line="240" w:lineRule="auto"/>
        <w:jc w:val="center"/>
        <w:rPr>
          <w:rFonts w:ascii="Arial" w:hAnsi="Arial" w:cs="Arial"/>
          <w:b/>
          <w:sz w:val="32"/>
          <w:szCs w:val="32"/>
        </w:rPr>
      </w:pPr>
      <w:r w:rsidRPr="00BD5001">
        <w:rPr>
          <w:rFonts w:ascii="Arial" w:hAnsi="Arial" w:cs="Arial"/>
          <w:b/>
          <w:sz w:val="32"/>
          <w:szCs w:val="32"/>
        </w:rPr>
        <w:t>Estimation</w:t>
      </w:r>
      <w:r w:rsidR="00487C47">
        <w:rPr>
          <w:rFonts w:ascii="Arial" w:hAnsi="Arial" w:cs="Arial"/>
          <w:b/>
          <w:sz w:val="32"/>
          <w:szCs w:val="32"/>
        </w:rPr>
        <w:t xml:space="preserve"> of Transmission Mechanism of Monetary Policy</w:t>
      </w:r>
      <w:r w:rsidRPr="00BD5001">
        <w:rPr>
          <w:rFonts w:ascii="Arial" w:hAnsi="Arial" w:cs="Arial"/>
          <w:b/>
          <w:sz w:val="32"/>
          <w:szCs w:val="32"/>
        </w:rPr>
        <w:t xml:space="preserve"> in Serbia</w:t>
      </w:r>
    </w:p>
    <w:p w:rsidR="00BD5001" w:rsidRDefault="00BD5001" w:rsidP="00CE254F">
      <w:pPr>
        <w:spacing w:line="240" w:lineRule="auto"/>
        <w:jc w:val="both"/>
        <w:rPr>
          <w:rFonts w:ascii="Arial" w:hAnsi="Arial" w:cs="Arial"/>
          <w:i/>
          <w:sz w:val="20"/>
          <w:szCs w:val="20"/>
        </w:rPr>
      </w:pPr>
      <w:r w:rsidRPr="004A1341">
        <w:rPr>
          <w:rFonts w:ascii="Arial" w:hAnsi="Arial" w:cs="Arial"/>
          <w:b/>
          <w:i/>
          <w:sz w:val="20"/>
          <w:szCs w:val="20"/>
        </w:rPr>
        <w:t>Abstract</w:t>
      </w:r>
      <w:r w:rsidRPr="004A1341">
        <w:rPr>
          <w:rFonts w:ascii="Arial" w:hAnsi="Arial" w:cs="Arial"/>
          <w:i/>
          <w:sz w:val="20"/>
          <w:szCs w:val="20"/>
        </w:rPr>
        <w:t xml:space="preserve">: Transmission mechanism of monetary policy recently has been subject to several studies in Serbia. The so called “black box” </w:t>
      </w:r>
      <w:r w:rsidR="00444194" w:rsidRPr="004A1341">
        <w:rPr>
          <w:rFonts w:ascii="Arial" w:hAnsi="Arial" w:cs="Arial"/>
          <w:i/>
          <w:sz w:val="20"/>
          <w:szCs w:val="20"/>
        </w:rPr>
        <w:t xml:space="preserve">of monetary policy is investigated with aim to identify the effects of transmission channel in environment where exchange rate has dominant role in central bank operations. Therefore, it is a challenge </w:t>
      </w:r>
      <w:r w:rsidR="00487C47">
        <w:rPr>
          <w:rFonts w:ascii="Arial" w:hAnsi="Arial" w:cs="Arial"/>
          <w:i/>
          <w:sz w:val="20"/>
          <w:szCs w:val="20"/>
        </w:rPr>
        <w:t xml:space="preserve">to </w:t>
      </w:r>
      <w:r w:rsidR="00444194" w:rsidRPr="004A1341">
        <w:rPr>
          <w:rFonts w:ascii="Arial" w:hAnsi="Arial" w:cs="Arial"/>
          <w:i/>
          <w:sz w:val="20"/>
          <w:szCs w:val="20"/>
        </w:rPr>
        <w:t xml:space="preserve">approach this problem in inflation targeting regime where is expected to prevail key interest rate as main policy instrument. </w:t>
      </w:r>
      <w:r w:rsidR="00487C47">
        <w:rPr>
          <w:rFonts w:ascii="Arial" w:hAnsi="Arial" w:cs="Arial"/>
          <w:i/>
          <w:sz w:val="20"/>
          <w:szCs w:val="20"/>
        </w:rPr>
        <w:t>S</w:t>
      </w:r>
      <w:r w:rsidR="004A1341" w:rsidRPr="004A1341">
        <w:rPr>
          <w:rFonts w:ascii="Arial" w:hAnsi="Arial" w:cs="Arial"/>
          <w:i/>
          <w:sz w:val="20"/>
          <w:szCs w:val="20"/>
        </w:rPr>
        <w:t xml:space="preserve">tudy employs unrestricted Vector </w:t>
      </w:r>
      <w:proofErr w:type="spellStart"/>
      <w:r w:rsidR="004A1341" w:rsidRPr="004A1341">
        <w:rPr>
          <w:rFonts w:ascii="Arial" w:hAnsi="Arial" w:cs="Arial"/>
          <w:i/>
          <w:sz w:val="20"/>
          <w:szCs w:val="20"/>
        </w:rPr>
        <w:t>Autoregression</w:t>
      </w:r>
      <w:proofErr w:type="spellEnd"/>
      <w:r w:rsidR="004A1341" w:rsidRPr="004A1341">
        <w:rPr>
          <w:rFonts w:ascii="Arial" w:hAnsi="Arial" w:cs="Arial"/>
          <w:i/>
          <w:sz w:val="20"/>
          <w:szCs w:val="20"/>
        </w:rPr>
        <w:t xml:space="preserve"> model to estimate significance of exchange rate and interest rate channel. As expected, exchange rate has far more stronger influence on inflation, even though there are some signs of interest rate channel existence. </w:t>
      </w:r>
      <w:r w:rsidR="004A1341">
        <w:rPr>
          <w:rFonts w:ascii="Arial" w:hAnsi="Arial" w:cs="Arial"/>
          <w:i/>
          <w:sz w:val="20"/>
          <w:szCs w:val="20"/>
        </w:rPr>
        <w:t xml:space="preserve">Introducing </w:t>
      </w:r>
      <w:proofErr w:type="spellStart"/>
      <w:r w:rsidR="004A1341">
        <w:rPr>
          <w:rFonts w:ascii="Arial" w:hAnsi="Arial" w:cs="Arial"/>
          <w:i/>
          <w:sz w:val="20"/>
          <w:szCs w:val="20"/>
        </w:rPr>
        <w:t>Euribor</w:t>
      </w:r>
      <w:proofErr w:type="spellEnd"/>
      <w:r w:rsidR="004A1341">
        <w:rPr>
          <w:rFonts w:ascii="Arial" w:hAnsi="Arial" w:cs="Arial"/>
          <w:i/>
          <w:sz w:val="20"/>
          <w:szCs w:val="20"/>
        </w:rPr>
        <w:t xml:space="preserve"> as endogenous variables in VAR system </w:t>
      </w:r>
      <w:r w:rsidR="004B30B1">
        <w:rPr>
          <w:rFonts w:ascii="Arial" w:hAnsi="Arial" w:cs="Arial"/>
          <w:i/>
          <w:sz w:val="20"/>
          <w:szCs w:val="20"/>
        </w:rPr>
        <w:t xml:space="preserve">displayed important impact on real variables.  </w:t>
      </w:r>
    </w:p>
    <w:p w:rsidR="00642242" w:rsidRPr="004A1341" w:rsidRDefault="00642242" w:rsidP="00CE254F">
      <w:pPr>
        <w:spacing w:line="240" w:lineRule="auto"/>
        <w:jc w:val="both"/>
        <w:rPr>
          <w:rFonts w:ascii="Arial" w:hAnsi="Arial" w:cs="Arial"/>
          <w:i/>
          <w:sz w:val="20"/>
          <w:szCs w:val="20"/>
        </w:rPr>
      </w:pPr>
      <w:r>
        <w:rPr>
          <w:rFonts w:ascii="Arial" w:hAnsi="Arial" w:cs="Arial"/>
          <w:i/>
          <w:sz w:val="20"/>
          <w:szCs w:val="20"/>
        </w:rPr>
        <w:t xml:space="preserve">Keywords: monetary policy, inflation targeting, exchange rate, interest rate, </w:t>
      </w:r>
      <w:r w:rsidR="00775079">
        <w:rPr>
          <w:rFonts w:ascii="Arial" w:hAnsi="Arial" w:cs="Arial"/>
          <w:i/>
          <w:sz w:val="20"/>
          <w:szCs w:val="20"/>
        </w:rPr>
        <w:t>inflation</w:t>
      </w:r>
      <w:r>
        <w:rPr>
          <w:rFonts w:ascii="Arial" w:hAnsi="Arial" w:cs="Arial"/>
          <w:i/>
          <w:sz w:val="20"/>
          <w:szCs w:val="20"/>
        </w:rPr>
        <w:t xml:space="preserve">, Serbia </w:t>
      </w:r>
    </w:p>
    <w:p w:rsidR="00487C47" w:rsidRDefault="00487C47" w:rsidP="00CE254F">
      <w:pPr>
        <w:spacing w:line="240" w:lineRule="auto"/>
        <w:jc w:val="center"/>
        <w:rPr>
          <w:rFonts w:ascii="Arial" w:hAnsi="Arial" w:cs="Arial"/>
          <w:b/>
          <w:sz w:val="24"/>
          <w:szCs w:val="24"/>
        </w:rPr>
      </w:pPr>
      <w:proofErr w:type="spellStart"/>
      <w:r>
        <w:rPr>
          <w:rFonts w:ascii="Arial" w:hAnsi="Arial" w:cs="Arial"/>
          <w:b/>
          <w:sz w:val="24"/>
          <w:szCs w:val="24"/>
        </w:rPr>
        <w:t>Ocena</w:t>
      </w:r>
      <w:proofErr w:type="spellEnd"/>
      <w:r>
        <w:rPr>
          <w:rFonts w:ascii="Arial" w:hAnsi="Arial" w:cs="Arial"/>
          <w:b/>
          <w:sz w:val="24"/>
          <w:szCs w:val="24"/>
        </w:rPr>
        <w:t xml:space="preserve"> </w:t>
      </w:r>
      <w:proofErr w:type="spellStart"/>
      <w:r>
        <w:rPr>
          <w:rFonts w:ascii="Arial" w:hAnsi="Arial" w:cs="Arial"/>
          <w:b/>
          <w:sz w:val="24"/>
          <w:szCs w:val="24"/>
        </w:rPr>
        <w:t>transmisionog</w:t>
      </w:r>
      <w:proofErr w:type="spellEnd"/>
      <w:r>
        <w:rPr>
          <w:rFonts w:ascii="Arial" w:hAnsi="Arial" w:cs="Arial"/>
          <w:b/>
          <w:sz w:val="24"/>
          <w:szCs w:val="24"/>
        </w:rPr>
        <w:t xml:space="preserve"> </w:t>
      </w:r>
      <w:proofErr w:type="spellStart"/>
      <w:r>
        <w:rPr>
          <w:rFonts w:ascii="Arial" w:hAnsi="Arial" w:cs="Arial"/>
          <w:b/>
          <w:sz w:val="24"/>
          <w:szCs w:val="24"/>
        </w:rPr>
        <w:t>mehanizma</w:t>
      </w:r>
      <w:proofErr w:type="spellEnd"/>
      <w:r>
        <w:rPr>
          <w:rFonts w:ascii="Arial" w:hAnsi="Arial" w:cs="Arial"/>
          <w:b/>
          <w:sz w:val="24"/>
          <w:szCs w:val="24"/>
        </w:rPr>
        <w:t xml:space="preserve"> </w:t>
      </w:r>
      <w:proofErr w:type="spellStart"/>
      <w:r>
        <w:rPr>
          <w:rFonts w:ascii="Arial" w:hAnsi="Arial" w:cs="Arial"/>
          <w:b/>
          <w:sz w:val="24"/>
          <w:szCs w:val="24"/>
        </w:rPr>
        <w:t>monetarne</w:t>
      </w:r>
      <w:proofErr w:type="spellEnd"/>
      <w:r>
        <w:rPr>
          <w:rFonts w:ascii="Arial" w:hAnsi="Arial" w:cs="Arial"/>
          <w:b/>
          <w:sz w:val="24"/>
          <w:szCs w:val="24"/>
        </w:rPr>
        <w:t xml:space="preserve"> </w:t>
      </w:r>
      <w:proofErr w:type="spellStart"/>
      <w:r>
        <w:rPr>
          <w:rFonts w:ascii="Arial" w:hAnsi="Arial" w:cs="Arial"/>
          <w:b/>
          <w:sz w:val="24"/>
          <w:szCs w:val="24"/>
        </w:rPr>
        <w:t>politike</w:t>
      </w:r>
      <w:proofErr w:type="spellEnd"/>
      <w:r>
        <w:rPr>
          <w:rFonts w:ascii="Arial" w:hAnsi="Arial" w:cs="Arial"/>
          <w:b/>
          <w:sz w:val="24"/>
          <w:szCs w:val="24"/>
        </w:rPr>
        <w:t xml:space="preserve"> u </w:t>
      </w:r>
      <w:proofErr w:type="spellStart"/>
      <w:r>
        <w:rPr>
          <w:rFonts w:ascii="Arial" w:hAnsi="Arial" w:cs="Arial"/>
          <w:b/>
          <w:sz w:val="24"/>
          <w:szCs w:val="24"/>
        </w:rPr>
        <w:t>Srbije</w:t>
      </w:r>
      <w:proofErr w:type="spellEnd"/>
    </w:p>
    <w:p w:rsidR="00487C47" w:rsidRPr="003A3EE3" w:rsidRDefault="00487C47" w:rsidP="00CE254F">
      <w:pPr>
        <w:spacing w:line="240" w:lineRule="auto"/>
        <w:jc w:val="both"/>
        <w:rPr>
          <w:rFonts w:ascii="Arial" w:hAnsi="Arial" w:cs="Arial"/>
          <w:i/>
          <w:sz w:val="20"/>
          <w:szCs w:val="20"/>
          <w:lang w:val="sr-Latn-RS"/>
        </w:rPr>
      </w:pPr>
      <w:proofErr w:type="spellStart"/>
      <w:r w:rsidRPr="003A3EE3">
        <w:rPr>
          <w:rFonts w:ascii="Arial" w:hAnsi="Arial" w:cs="Arial"/>
          <w:b/>
          <w:i/>
          <w:sz w:val="20"/>
          <w:szCs w:val="20"/>
        </w:rPr>
        <w:t>Apstrakt</w:t>
      </w:r>
      <w:proofErr w:type="gramStart"/>
      <w:r w:rsidRPr="003A3EE3">
        <w:rPr>
          <w:rFonts w:ascii="Arial" w:hAnsi="Arial" w:cs="Arial"/>
          <w:b/>
          <w:i/>
          <w:sz w:val="20"/>
          <w:szCs w:val="20"/>
        </w:rPr>
        <w:t>:</w:t>
      </w:r>
      <w:r w:rsidRPr="003A3EE3">
        <w:rPr>
          <w:rFonts w:ascii="Arial" w:hAnsi="Arial" w:cs="Arial"/>
          <w:i/>
          <w:sz w:val="20"/>
          <w:szCs w:val="20"/>
        </w:rPr>
        <w:t>Transmisioni</w:t>
      </w:r>
      <w:proofErr w:type="spellEnd"/>
      <w:proofErr w:type="gramEnd"/>
      <w:r w:rsidRPr="003A3EE3">
        <w:rPr>
          <w:rFonts w:ascii="Arial" w:hAnsi="Arial" w:cs="Arial"/>
          <w:i/>
          <w:sz w:val="20"/>
          <w:szCs w:val="20"/>
        </w:rPr>
        <w:t xml:space="preserve"> </w:t>
      </w:r>
      <w:proofErr w:type="spellStart"/>
      <w:r w:rsidRPr="003A3EE3">
        <w:rPr>
          <w:rFonts w:ascii="Arial" w:hAnsi="Arial" w:cs="Arial"/>
          <w:i/>
          <w:sz w:val="20"/>
          <w:szCs w:val="20"/>
        </w:rPr>
        <w:t>mehanizam</w:t>
      </w:r>
      <w:proofErr w:type="spellEnd"/>
      <w:r w:rsidRPr="003A3EE3">
        <w:rPr>
          <w:rFonts w:ascii="Arial" w:hAnsi="Arial" w:cs="Arial"/>
          <w:i/>
          <w:sz w:val="20"/>
          <w:szCs w:val="20"/>
        </w:rPr>
        <w:t xml:space="preserve"> </w:t>
      </w:r>
      <w:proofErr w:type="spellStart"/>
      <w:r w:rsidRPr="003A3EE3">
        <w:rPr>
          <w:rFonts w:ascii="Arial" w:hAnsi="Arial" w:cs="Arial"/>
          <w:i/>
          <w:sz w:val="20"/>
          <w:szCs w:val="20"/>
        </w:rPr>
        <w:t>monetaren</w:t>
      </w:r>
      <w:proofErr w:type="spellEnd"/>
      <w:r w:rsidRPr="003A3EE3">
        <w:rPr>
          <w:rFonts w:ascii="Arial" w:hAnsi="Arial" w:cs="Arial"/>
          <w:i/>
          <w:sz w:val="20"/>
          <w:szCs w:val="20"/>
        </w:rPr>
        <w:t xml:space="preserve"> </w:t>
      </w:r>
      <w:proofErr w:type="spellStart"/>
      <w:r w:rsidRPr="003A3EE3">
        <w:rPr>
          <w:rFonts w:ascii="Arial" w:hAnsi="Arial" w:cs="Arial"/>
          <w:i/>
          <w:sz w:val="20"/>
          <w:szCs w:val="20"/>
        </w:rPr>
        <w:t>politike</w:t>
      </w:r>
      <w:proofErr w:type="spellEnd"/>
      <w:r w:rsidRPr="003A3EE3">
        <w:rPr>
          <w:rFonts w:ascii="Arial" w:hAnsi="Arial" w:cs="Arial"/>
          <w:i/>
          <w:sz w:val="20"/>
          <w:szCs w:val="20"/>
        </w:rPr>
        <w:t xml:space="preserve"> je u </w:t>
      </w:r>
      <w:proofErr w:type="spellStart"/>
      <w:r w:rsidRPr="003A3EE3">
        <w:rPr>
          <w:rFonts w:ascii="Arial" w:hAnsi="Arial" w:cs="Arial"/>
          <w:i/>
          <w:sz w:val="20"/>
          <w:szCs w:val="20"/>
        </w:rPr>
        <w:t>skorije</w:t>
      </w:r>
      <w:proofErr w:type="spellEnd"/>
      <w:r w:rsidRPr="003A3EE3">
        <w:rPr>
          <w:rFonts w:ascii="Arial" w:hAnsi="Arial" w:cs="Arial"/>
          <w:i/>
          <w:sz w:val="20"/>
          <w:szCs w:val="20"/>
        </w:rPr>
        <w:t xml:space="preserve"> </w:t>
      </w:r>
      <w:proofErr w:type="spellStart"/>
      <w:r w:rsidRPr="003A3EE3">
        <w:rPr>
          <w:rFonts w:ascii="Arial" w:hAnsi="Arial" w:cs="Arial"/>
          <w:i/>
          <w:sz w:val="20"/>
          <w:szCs w:val="20"/>
        </w:rPr>
        <w:t>vreme</w:t>
      </w:r>
      <w:proofErr w:type="spellEnd"/>
      <w:r w:rsidRPr="003A3EE3">
        <w:rPr>
          <w:rFonts w:ascii="Arial" w:hAnsi="Arial" w:cs="Arial"/>
          <w:i/>
          <w:sz w:val="20"/>
          <w:szCs w:val="20"/>
        </w:rPr>
        <w:t xml:space="preserve"> bio </w:t>
      </w:r>
      <w:proofErr w:type="spellStart"/>
      <w:r w:rsidRPr="003A3EE3">
        <w:rPr>
          <w:rFonts w:ascii="Arial" w:hAnsi="Arial" w:cs="Arial"/>
          <w:i/>
          <w:sz w:val="20"/>
          <w:szCs w:val="20"/>
        </w:rPr>
        <w:t>predmet</w:t>
      </w:r>
      <w:proofErr w:type="spellEnd"/>
      <w:r w:rsidRPr="003A3EE3">
        <w:rPr>
          <w:rFonts w:ascii="Arial" w:hAnsi="Arial" w:cs="Arial"/>
          <w:i/>
          <w:sz w:val="20"/>
          <w:szCs w:val="20"/>
        </w:rPr>
        <w:t xml:space="preserve"> </w:t>
      </w:r>
      <w:proofErr w:type="spellStart"/>
      <w:r w:rsidRPr="003A3EE3">
        <w:rPr>
          <w:rFonts w:ascii="Arial" w:hAnsi="Arial" w:cs="Arial"/>
          <w:i/>
          <w:sz w:val="20"/>
          <w:szCs w:val="20"/>
        </w:rPr>
        <w:t>nekoliko</w:t>
      </w:r>
      <w:proofErr w:type="spellEnd"/>
      <w:r w:rsidRPr="003A3EE3">
        <w:rPr>
          <w:rFonts w:ascii="Arial" w:hAnsi="Arial" w:cs="Arial"/>
          <w:i/>
          <w:sz w:val="20"/>
          <w:szCs w:val="20"/>
        </w:rPr>
        <w:t xml:space="preserve"> </w:t>
      </w:r>
      <w:proofErr w:type="spellStart"/>
      <w:r w:rsidRPr="003A3EE3">
        <w:rPr>
          <w:rFonts w:ascii="Arial" w:hAnsi="Arial" w:cs="Arial"/>
          <w:i/>
          <w:sz w:val="20"/>
          <w:szCs w:val="20"/>
        </w:rPr>
        <w:t>studija</w:t>
      </w:r>
      <w:proofErr w:type="spellEnd"/>
      <w:r w:rsidRPr="003A3EE3">
        <w:rPr>
          <w:rFonts w:ascii="Arial" w:hAnsi="Arial" w:cs="Arial"/>
          <w:i/>
          <w:sz w:val="20"/>
          <w:szCs w:val="20"/>
        </w:rPr>
        <w:t xml:space="preserve"> u </w:t>
      </w:r>
      <w:proofErr w:type="spellStart"/>
      <w:r w:rsidRPr="003A3EE3">
        <w:rPr>
          <w:rFonts w:ascii="Arial" w:hAnsi="Arial" w:cs="Arial"/>
          <w:i/>
          <w:sz w:val="20"/>
          <w:szCs w:val="20"/>
        </w:rPr>
        <w:t>Srbiji.Tzv</w:t>
      </w:r>
      <w:proofErr w:type="spellEnd"/>
      <w:r w:rsidRPr="003A3EE3">
        <w:rPr>
          <w:rFonts w:ascii="Arial" w:hAnsi="Arial" w:cs="Arial"/>
          <w:i/>
          <w:sz w:val="20"/>
          <w:szCs w:val="20"/>
        </w:rPr>
        <w:t>. “</w:t>
      </w:r>
      <w:proofErr w:type="spellStart"/>
      <w:proofErr w:type="gramStart"/>
      <w:r w:rsidRPr="003A3EE3">
        <w:rPr>
          <w:rFonts w:ascii="Arial" w:hAnsi="Arial" w:cs="Arial"/>
          <w:i/>
          <w:sz w:val="20"/>
          <w:szCs w:val="20"/>
        </w:rPr>
        <w:t>crna</w:t>
      </w:r>
      <w:proofErr w:type="spellEnd"/>
      <w:proofErr w:type="gramEnd"/>
      <w:r w:rsidRPr="003A3EE3">
        <w:rPr>
          <w:rFonts w:ascii="Arial" w:hAnsi="Arial" w:cs="Arial"/>
          <w:i/>
          <w:sz w:val="20"/>
          <w:szCs w:val="20"/>
        </w:rPr>
        <w:t xml:space="preserve"> </w:t>
      </w:r>
      <w:proofErr w:type="spellStart"/>
      <w:r w:rsidRPr="003A3EE3">
        <w:rPr>
          <w:rFonts w:ascii="Arial" w:hAnsi="Arial" w:cs="Arial"/>
          <w:i/>
          <w:sz w:val="20"/>
          <w:szCs w:val="20"/>
        </w:rPr>
        <w:t>kutija</w:t>
      </w:r>
      <w:proofErr w:type="spellEnd"/>
      <w:r w:rsidRPr="003A3EE3">
        <w:rPr>
          <w:rFonts w:ascii="Arial" w:hAnsi="Arial" w:cs="Arial"/>
          <w:i/>
          <w:sz w:val="20"/>
          <w:szCs w:val="20"/>
        </w:rPr>
        <w:t xml:space="preserve">” </w:t>
      </w:r>
      <w:proofErr w:type="spellStart"/>
      <w:r w:rsidRPr="003A3EE3">
        <w:rPr>
          <w:rFonts w:ascii="Arial" w:hAnsi="Arial" w:cs="Arial"/>
          <w:i/>
          <w:sz w:val="20"/>
          <w:szCs w:val="20"/>
        </w:rPr>
        <w:t>monetarne</w:t>
      </w:r>
      <w:proofErr w:type="spellEnd"/>
      <w:r w:rsidRPr="003A3EE3">
        <w:rPr>
          <w:rFonts w:ascii="Arial" w:hAnsi="Arial" w:cs="Arial"/>
          <w:i/>
          <w:sz w:val="20"/>
          <w:szCs w:val="20"/>
        </w:rPr>
        <w:t xml:space="preserve"> p</w:t>
      </w:r>
      <w:r w:rsidRPr="003A3EE3">
        <w:rPr>
          <w:rFonts w:ascii="Arial" w:hAnsi="Arial" w:cs="Arial"/>
          <w:i/>
          <w:sz w:val="20"/>
          <w:szCs w:val="20"/>
          <w:lang w:val="sr-Latn-RS"/>
        </w:rPr>
        <w:t>olitike istraživana je sa ciljem da se uoče efekti tranmsisionog mehanizma u okruženje sa dominantnom ulogom deviznog kursa kao instrumenta centralne banke. zbog toga, i sam je izazov suočiti se sa ovim problemom kada se u režimu ciljanja inflacije očekuje veća uloga referentne kamatne stope kao glavnog instrumenta monenetarne politike. U studiji je primenjen nerestrikovani model vektorske autoregresije kako bi se ispito značaj kanala deviznog kursa i kanala kamatne stope. Kao što se moglo i očekivati, devizni kurs ima daleko jači uticaj na inflaciju nego što to ima referentna kam</w:t>
      </w:r>
      <w:r w:rsidR="00B63358" w:rsidRPr="003A3EE3">
        <w:rPr>
          <w:rFonts w:ascii="Arial" w:hAnsi="Arial" w:cs="Arial"/>
          <w:i/>
          <w:sz w:val="20"/>
          <w:szCs w:val="20"/>
          <w:lang w:val="sr-Latn-RS"/>
        </w:rPr>
        <w:t xml:space="preserve">atna stopa, iako ima naznaka o postojanju kamatnog kanala. Uvođenje Euribor  kamatne stope kao endogene varijable u VAR sistem dolazi se do zaključka da strana kamatan stopa ima značajan uticaj na kretanje realnih varijabli. </w:t>
      </w:r>
    </w:p>
    <w:p w:rsidR="00775079" w:rsidRDefault="00775079" w:rsidP="00CE254F">
      <w:pPr>
        <w:spacing w:line="240" w:lineRule="auto"/>
        <w:jc w:val="both"/>
        <w:rPr>
          <w:rFonts w:ascii="Arial" w:hAnsi="Arial" w:cs="Arial"/>
          <w:i/>
          <w:sz w:val="20"/>
          <w:szCs w:val="20"/>
          <w:lang w:val="sr-Latn-RS"/>
        </w:rPr>
      </w:pPr>
      <w:r w:rsidRPr="003A3EE3">
        <w:rPr>
          <w:rFonts w:ascii="Arial" w:hAnsi="Arial" w:cs="Arial"/>
          <w:b/>
          <w:i/>
          <w:sz w:val="20"/>
          <w:szCs w:val="20"/>
          <w:lang w:val="sr-Latn-RS"/>
        </w:rPr>
        <w:t>Ključne reči</w:t>
      </w:r>
      <w:r w:rsidRPr="003A3EE3">
        <w:rPr>
          <w:rFonts w:ascii="Arial" w:hAnsi="Arial" w:cs="Arial"/>
          <w:i/>
          <w:sz w:val="20"/>
          <w:szCs w:val="20"/>
          <w:lang w:val="sr-Latn-RS"/>
        </w:rPr>
        <w:t>: monetarna politika, ciljanje inflacije, devizni kurs, kamatna stopa, inflacija, Srbija</w:t>
      </w:r>
    </w:p>
    <w:p w:rsidR="00CE254F" w:rsidRPr="003A3EE3" w:rsidRDefault="00CE254F" w:rsidP="00CE254F">
      <w:pPr>
        <w:spacing w:line="240" w:lineRule="auto"/>
        <w:jc w:val="both"/>
        <w:rPr>
          <w:rFonts w:ascii="Arial" w:hAnsi="Arial" w:cs="Arial"/>
          <w:i/>
          <w:sz w:val="20"/>
          <w:szCs w:val="20"/>
          <w:lang w:val="sr-Latn-RS"/>
        </w:rPr>
      </w:pPr>
    </w:p>
    <w:p w:rsidR="00F21B79" w:rsidRPr="00CE254F" w:rsidRDefault="00F21B79" w:rsidP="00CE254F">
      <w:pPr>
        <w:pStyle w:val="ListParagraph"/>
        <w:numPr>
          <w:ilvl w:val="0"/>
          <w:numId w:val="2"/>
        </w:numPr>
        <w:spacing w:line="240" w:lineRule="auto"/>
        <w:jc w:val="center"/>
        <w:rPr>
          <w:rFonts w:ascii="Arial" w:hAnsi="Arial" w:cs="Arial"/>
          <w:b/>
          <w:sz w:val="24"/>
          <w:szCs w:val="24"/>
        </w:rPr>
      </w:pPr>
      <w:r w:rsidRPr="00CE254F">
        <w:rPr>
          <w:rFonts w:ascii="Arial" w:hAnsi="Arial" w:cs="Arial"/>
          <w:b/>
          <w:sz w:val="24"/>
          <w:szCs w:val="24"/>
        </w:rPr>
        <w:t>Introduction</w:t>
      </w:r>
    </w:p>
    <w:p w:rsidR="00CE254F" w:rsidRDefault="00CE254F" w:rsidP="00CE254F">
      <w:pPr>
        <w:spacing w:line="240" w:lineRule="auto"/>
        <w:jc w:val="both"/>
        <w:rPr>
          <w:rFonts w:ascii="Arial" w:hAnsi="Arial" w:cs="Arial"/>
          <w:sz w:val="20"/>
          <w:szCs w:val="20"/>
        </w:rPr>
      </w:pP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As in the case of most countries of Eastern Europe who successfully passed the transition, the main </w:t>
      </w:r>
      <w:r w:rsidR="00497CCE">
        <w:rPr>
          <w:rFonts w:ascii="Arial" w:hAnsi="Arial" w:cs="Arial"/>
          <w:sz w:val="20"/>
          <w:szCs w:val="20"/>
        </w:rPr>
        <w:t>goal</w:t>
      </w:r>
      <w:r w:rsidRPr="00BD5001">
        <w:rPr>
          <w:rFonts w:ascii="Arial" w:hAnsi="Arial" w:cs="Arial"/>
          <w:sz w:val="20"/>
          <w:szCs w:val="20"/>
        </w:rPr>
        <w:t xml:space="preserve"> of monetary policy in Serbia after the democratic changes was combating with high and volatile inflation. During that period, the new government faced serious structural economic problems and macroeconomic imbalances. National bank of Serbia used exchange rate as a main monetary tool. This instrument was very successful nominal anchor in disinflation process, however, created unfavorable situation in balance of payments. Exchange rate appreciation had negative influence on current account and caused high capital inflows. The resulting negative current account balance </w:t>
      </w:r>
      <w:r w:rsidR="00497CCE" w:rsidRPr="00BD5001">
        <w:rPr>
          <w:rFonts w:ascii="Arial" w:hAnsi="Arial" w:cs="Arial"/>
          <w:sz w:val="20"/>
          <w:szCs w:val="20"/>
        </w:rPr>
        <w:t>triggered</w:t>
      </w:r>
      <w:r w:rsidRPr="00BD5001">
        <w:rPr>
          <w:rFonts w:ascii="Arial" w:hAnsi="Arial" w:cs="Arial"/>
          <w:sz w:val="20"/>
          <w:szCs w:val="20"/>
        </w:rPr>
        <w:t xml:space="preserve"> rising import dependence of Serbian economy, which strengthened the role of exchange rate. Beside</w:t>
      </w:r>
      <w:r w:rsidR="00024114">
        <w:rPr>
          <w:rFonts w:ascii="Arial" w:hAnsi="Arial" w:cs="Arial"/>
          <w:sz w:val="20"/>
          <w:szCs w:val="20"/>
        </w:rPr>
        <w:t>s</w:t>
      </w:r>
      <w:r w:rsidRPr="00BD5001">
        <w:rPr>
          <w:rFonts w:ascii="Arial" w:hAnsi="Arial" w:cs="Arial"/>
          <w:sz w:val="20"/>
          <w:szCs w:val="20"/>
        </w:rPr>
        <w:t xml:space="preserve">, high capital inflows and credit expansion </w:t>
      </w:r>
      <w:r w:rsidR="00EF17EA">
        <w:rPr>
          <w:rFonts w:ascii="Arial" w:hAnsi="Arial" w:cs="Arial"/>
          <w:sz w:val="20"/>
          <w:szCs w:val="20"/>
        </w:rPr>
        <w:t>had le</w:t>
      </w:r>
      <w:r w:rsidRPr="00BD5001">
        <w:rPr>
          <w:rFonts w:ascii="Arial" w:hAnsi="Arial" w:cs="Arial"/>
          <w:sz w:val="20"/>
          <w:szCs w:val="20"/>
        </w:rPr>
        <w:t>d to increasing inflation in the case when exchange rate couldn’t serve as a single instrument to constrain inflation. For monetary authorities it was clear that current monetary policy is limited when comes to macroeconomic stability. Introducing new framework of monetary policy, National bank of Serbia based its policy on principles of inflation targeti</w:t>
      </w:r>
      <w:r w:rsidR="00EF17EA">
        <w:rPr>
          <w:rFonts w:ascii="Arial" w:hAnsi="Arial" w:cs="Arial"/>
          <w:sz w:val="20"/>
          <w:szCs w:val="20"/>
        </w:rPr>
        <w:t>ng, where the main instrument is</w:t>
      </w:r>
      <w:r w:rsidRPr="00BD5001">
        <w:rPr>
          <w:rFonts w:ascii="Arial" w:hAnsi="Arial" w:cs="Arial"/>
          <w:sz w:val="20"/>
          <w:szCs w:val="20"/>
        </w:rPr>
        <w:t xml:space="preserve"> key interest rate. </w:t>
      </w:r>
    </w:p>
    <w:p w:rsidR="00F21B79"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One of the first studies which tried to estimate transmission process in Serbia is paper by </w:t>
      </w:r>
      <w:proofErr w:type="spellStart"/>
      <w:r w:rsidRPr="00BD5001">
        <w:rPr>
          <w:rFonts w:ascii="Arial" w:hAnsi="Arial" w:cs="Arial"/>
          <w:sz w:val="20"/>
          <w:szCs w:val="20"/>
        </w:rPr>
        <w:t>by</w:t>
      </w:r>
      <w:proofErr w:type="spellEnd"/>
      <w:r w:rsidRPr="00BD5001">
        <w:rPr>
          <w:rFonts w:ascii="Arial" w:hAnsi="Arial" w:cs="Arial"/>
          <w:sz w:val="20"/>
          <w:szCs w:val="20"/>
        </w:rPr>
        <w:t xml:space="preserve"> </w:t>
      </w:r>
      <w:proofErr w:type="spellStart"/>
      <w:r w:rsidRPr="00BD5001">
        <w:rPr>
          <w:rFonts w:ascii="Arial" w:hAnsi="Arial" w:cs="Arial"/>
          <w:sz w:val="20"/>
          <w:szCs w:val="20"/>
        </w:rPr>
        <w:t>Vilaret</w:t>
      </w:r>
      <w:proofErr w:type="spellEnd"/>
      <w:r w:rsidRPr="00BD5001">
        <w:rPr>
          <w:rFonts w:ascii="Arial" w:hAnsi="Arial" w:cs="Arial"/>
          <w:sz w:val="20"/>
          <w:szCs w:val="20"/>
        </w:rPr>
        <w:t xml:space="preserve"> and </w:t>
      </w:r>
      <w:proofErr w:type="spellStart"/>
      <w:r w:rsidRPr="00BD5001">
        <w:rPr>
          <w:rFonts w:ascii="Arial" w:hAnsi="Arial" w:cs="Arial"/>
          <w:sz w:val="20"/>
          <w:szCs w:val="20"/>
        </w:rPr>
        <w:t>Palic</w:t>
      </w:r>
      <w:proofErr w:type="spellEnd"/>
      <w:r w:rsidRPr="00BD5001">
        <w:rPr>
          <w:rFonts w:ascii="Arial" w:hAnsi="Arial" w:cs="Arial"/>
          <w:sz w:val="20"/>
          <w:szCs w:val="20"/>
        </w:rPr>
        <w:t xml:space="preserve"> (2006), where authors investigated exchange rate pass through using ADL and recursive VAR. Their analysis find the evidence of exchange rate pass through, but incomplete and below one. Dragutinovic (2008) also finds evidence of incomplete exchange rate pass through, using the same methodology. The effect of exchange rate is asymmetric, where retail prices react differently during appreciation and depreciation. The transmission effect is higher in case of depreciation than during </w:t>
      </w:r>
      <w:r w:rsidRPr="00BD5001">
        <w:rPr>
          <w:rFonts w:ascii="Arial" w:hAnsi="Arial" w:cs="Arial"/>
          <w:sz w:val="20"/>
          <w:szCs w:val="20"/>
        </w:rPr>
        <w:lastRenderedPageBreak/>
        <w:t xml:space="preserve">appreciation. </w:t>
      </w:r>
      <w:proofErr w:type="spellStart"/>
      <w:r w:rsidRPr="00BD5001">
        <w:rPr>
          <w:rFonts w:ascii="Arial" w:hAnsi="Arial" w:cs="Arial"/>
          <w:sz w:val="20"/>
          <w:szCs w:val="20"/>
        </w:rPr>
        <w:t>Additionaly</w:t>
      </w:r>
      <w:proofErr w:type="spellEnd"/>
      <w:proofErr w:type="gramStart"/>
      <w:r w:rsidRPr="00BD5001">
        <w:rPr>
          <w:rFonts w:ascii="Arial" w:hAnsi="Arial" w:cs="Arial"/>
          <w:sz w:val="20"/>
          <w:szCs w:val="20"/>
        </w:rPr>
        <w:t>,,</w:t>
      </w:r>
      <w:proofErr w:type="gramEnd"/>
      <w:r w:rsidRPr="00BD5001">
        <w:rPr>
          <w:rFonts w:ascii="Arial" w:hAnsi="Arial" w:cs="Arial"/>
          <w:sz w:val="20"/>
          <w:szCs w:val="20"/>
        </w:rPr>
        <w:t xml:space="preserve"> </w:t>
      </w:r>
      <w:proofErr w:type="spellStart"/>
      <w:r w:rsidRPr="00BD5001">
        <w:rPr>
          <w:rFonts w:ascii="Arial" w:hAnsi="Arial" w:cs="Arial"/>
          <w:sz w:val="20"/>
          <w:szCs w:val="20"/>
        </w:rPr>
        <w:t>Tasic</w:t>
      </w:r>
      <w:proofErr w:type="spellEnd"/>
      <w:r w:rsidRPr="00BD5001">
        <w:rPr>
          <w:rFonts w:ascii="Arial" w:hAnsi="Arial" w:cs="Arial"/>
          <w:sz w:val="20"/>
          <w:szCs w:val="20"/>
        </w:rPr>
        <w:t xml:space="preserve"> (2008) also investigate exchange rate pass through finding short and long term coefficients below one. </w:t>
      </w:r>
      <w:proofErr w:type="spellStart"/>
      <w:r w:rsidRPr="00BD5001">
        <w:rPr>
          <w:rFonts w:ascii="Arial" w:hAnsi="Arial" w:cs="Arial"/>
          <w:sz w:val="20"/>
          <w:szCs w:val="20"/>
        </w:rPr>
        <w:t>Aleksic</w:t>
      </w:r>
      <w:proofErr w:type="spellEnd"/>
      <w:r w:rsidRPr="00BD5001">
        <w:rPr>
          <w:rFonts w:ascii="Arial" w:hAnsi="Arial" w:cs="Arial"/>
          <w:sz w:val="20"/>
          <w:szCs w:val="20"/>
        </w:rPr>
        <w:t xml:space="preserve"> at all (2008) investigates interest rate channel taking into consideration high level of </w:t>
      </w:r>
      <w:proofErr w:type="spellStart"/>
      <w:r w:rsidRPr="00BD5001">
        <w:rPr>
          <w:rFonts w:ascii="Arial" w:hAnsi="Arial" w:cs="Arial"/>
          <w:sz w:val="20"/>
          <w:szCs w:val="20"/>
        </w:rPr>
        <w:t>eurisation</w:t>
      </w:r>
      <w:proofErr w:type="spellEnd"/>
      <w:r w:rsidRPr="00BD5001">
        <w:rPr>
          <w:rFonts w:ascii="Arial" w:hAnsi="Arial" w:cs="Arial"/>
          <w:sz w:val="20"/>
          <w:szCs w:val="20"/>
        </w:rPr>
        <w:t xml:space="preserve"> in Serbia, </w:t>
      </w:r>
      <w:r w:rsidR="00A04024">
        <w:rPr>
          <w:rFonts w:ascii="Arial" w:hAnsi="Arial" w:cs="Arial"/>
          <w:sz w:val="20"/>
          <w:szCs w:val="20"/>
        </w:rPr>
        <w:t xml:space="preserve">using </w:t>
      </w:r>
      <w:r w:rsidRPr="00BD5001">
        <w:rPr>
          <w:rFonts w:ascii="Arial" w:hAnsi="Arial" w:cs="Arial"/>
          <w:sz w:val="20"/>
          <w:szCs w:val="20"/>
        </w:rPr>
        <w:t>SURE method</w:t>
      </w:r>
      <w:r w:rsidR="00A04024">
        <w:rPr>
          <w:rFonts w:ascii="Arial" w:hAnsi="Arial" w:cs="Arial"/>
          <w:sz w:val="20"/>
          <w:szCs w:val="20"/>
        </w:rPr>
        <w:t xml:space="preserve"> as empirical tool</w:t>
      </w:r>
      <w:r w:rsidRPr="00BD5001">
        <w:rPr>
          <w:rFonts w:ascii="Arial" w:hAnsi="Arial" w:cs="Arial"/>
          <w:sz w:val="20"/>
          <w:szCs w:val="20"/>
        </w:rPr>
        <w:t xml:space="preserve">. </w:t>
      </w:r>
      <w:r w:rsidR="00A04024">
        <w:rPr>
          <w:rFonts w:ascii="Arial" w:hAnsi="Arial" w:cs="Arial"/>
          <w:sz w:val="20"/>
          <w:szCs w:val="20"/>
        </w:rPr>
        <w:t>According to results, i</w:t>
      </w:r>
      <w:r w:rsidRPr="00BD5001">
        <w:rPr>
          <w:rFonts w:ascii="Arial" w:hAnsi="Arial" w:cs="Arial"/>
          <w:sz w:val="20"/>
          <w:szCs w:val="20"/>
        </w:rPr>
        <w:t xml:space="preserve">nterest rate channel is significant only when </w:t>
      </w:r>
      <w:proofErr w:type="spellStart"/>
      <w:r w:rsidRPr="00BD5001">
        <w:rPr>
          <w:rFonts w:ascii="Arial" w:hAnsi="Arial" w:cs="Arial"/>
          <w:sz w:val="20"/>
          <w:szCs w:val="20"/>
        </w:rPr>
        <w:t>eurisation</w:t>
      </w:r>
      <w:proofErr w:type="spellEnd"/>
      <w:r w:rsidRPr="00BD5001">
        <w:rPr>
          <w:rFonts w:ascii="Arial" w:hAnsi="Arial" w:cs="Arial"/>
          <w:sz w:val="20"/>
          <w:szCs w:val="20"/>
        </w:rPr>
        <w:t xml:space="preserve"> is under control. </w:t>
      </w:r>
      <w:proofErr w:type="spellStart"/>
      <w:r w:rsidRPr="00BD5001">
        <w:rPr>
          <w:rFonts w:ascii="Arial" w:hAnsi="Arial" w:cs="Arial"/>
          <w:sz w:val="20"/>
          <w:szCs w:val="20"/>
        </w:rPr>
        <w:t>Josifidis</w:t>
      </w:r>
      <w:proofErr w:type="spellEnd"/>
      <w:r w:rsidRPr="00BD5001">
        <w:rPr>
          <w:rFonts w:ascii="Arial" w:hAnsi="Arial" w:cs="Arial"/>
          <w:sz w:val="20"/>
          <w:szCs w:val="20"/>
        </w:rPr>
        <w:t xml:space="preserve">, </w:t>
      </w:r>
      <w:proofErr w:type="spellStart"/>
      <w:r w:rsidRPr="00BD5001">
        <w:rPr>
          <w:rFonts w:ascii="Arial" w:hAnsi="Arial" w:cs="Arial"/>
          <w:sz w:val="20"/>
          <w:szCs w:val="20"/>
        </w:rPr>
        <w:t>Allegret</w:t>
      </w:r>
      <w:proofErr w:type="spellEnd"/>
      <w:r w:rsidRPr="00BD5001">
        <w:rPr>
          <w:rFonts w:ascii="Arial" w:hAnsi="Arial" w:cs="Arial"/>
          <w:sz w:val="20"/>
          <w:szCs w:val="20"/>
        </w:rPr>
        <w:t xml:space="preserve"> &amp; </w:t>
      </w:r>
      <w:proofErr w:type="spellStart"/>
      <w:r w:rsidRPr="00BD5001">
        <w:rPr>
          <w:rFonts w:ascii="Arial" w:hAnsi="Arial" w:cs="Arial"/>
          <w:sz w:val="20"/>
          <w:szCs w:val="20"/>
        </w:rPr>
        <w:t>Beker-Pucar</w:t>
      </w:r>
      <w:proofErr w:type="spellEnd"/>
      <w:r w:rsidRPr="00BD5001">
        <w:rPr>
          <w:rFonts w:ascii="Arial" w:hAnsi="Arial" w:cs="Arial"/>
          <w:sz w:val="20"/>
          <w:szCs w:val="20"/>
        </w:rPr>
        <w:t xml:space="preserve"> (2009) estimate exchange rate and interest rate pass through to consumer prices, using VAR/VEC econometric tool for Poland, Czech Republic, Slovakia and Serbia. Exchange rate channel is present in Serbia, while the interest rate is weak. </w:t>
      </w:r>
      <w:proofErr w:type="spellStart"/>
      <w:r w:rsidRPr="00BD5001">
        <w:rPr>
          <w:rFonts w:ascii="Arial" w:hAnsi="Arial" w:cs="Arial"/>
          <w:sz w:val="20"/>
          <w:szCs w:val="20"/>
        </w:rPr>
        <w:t>Kujundzic</w:t>
      </w:r>
      <w:proofErr w:type="spellEnd"/>
      <w:r w:rsidRPr="00BD5001">
        <w:rPr>
          <w:rFonts w:ascii="Arial" w:hAnsi="Arial" w:cs="Arial"/>
          <w:sz w:val="20"/>
          <w:szCs w:val="20"/>
        </w:rPr>
        <w:t xml:space="preserve"> and </w:t>
      </w:r>
      <w:proofErr w:type="spellStart"/>
      <w:r w:rsidRPr="00BD5001">
        <w:rPr>
          <w:rFonts w:ascii="Arial" w:hAnsi="Arial" w:cs="Arial"/>
          <w:sz w:val="20"/>
          <w:szCs w:val="20"/>
        </w:rPr>
        <w:t>Otasevic</w:t>
      </w:r>
      <w:proofErr w:type="spellEnd"/>
      <w:r w:rsidRPr="00BD5001">
        <w:rPr>
          <w:rFonts w:ascii="Arial" w:hAnsi="Arial" w:cs="Arial"/>
          <w:sz w:val="20"/>
          <w:szCs w:val="20"/>
        </w:rPr>
        <w:t xml:space="preserve"> (2012) investigate credit channel in </w:t>
      </w:r>
      <w:proofErr w:type="spellStart"/>
      <w:r w:rsidRPr="00BD5001">
        <w:rPr>
          <w:rFonts w:ascii="Arial" w:hAnsi="Arial" w:cs="Arial"/>
          <w:sz w:val="20"/>
          <w:szCs w:val="20"/>
        </w:rPr>
        <w:t>euroised</w:t>
      </w:r>
      <w:proofErr w:type="spellEnd"/>
      <w:r w:rsidRPr="00BD5001">
        <w:rPr>
          <w:rFonts w:ascii="Arial" w:hAnsi="Arial" w:cs="Arial"/>
          <w:sz w:val="20"/>
          <w:szCs w:val="20"/>
        </w:rPr>
        <w:t xml:space="preserve"> economy. Their findings indicate that the growth of domestic currency bank loans is responsive to</w:t>
      </w:r>
      <w:r w:rsidR="00E10487">
        <w:rPr>
          <w:rFonts w:ascii="Arial" w:hAnsi="Arial" w:cs="Arial"/>
          <w:sz w:val="20"/>
          <w:szCs w:val="20"/>
        </w:rPr>
        <w:t xml:space="preserve"> </w:t>
      </w:r>
      <w:r w:rsidRPr="00BD5001">
        <w:rPr>
          <w:rFonts w:ascii="Arial" w:hAnsi="Arial" w:cs="Arial"/>
          <w:sz w:val="20"/>
          <w:szCs w:val="20"/>
        </w:rPr>
        <w:t>the domestic and foreign reference rate. On the other hand</w:t>
      </w:r>
      <w:r w:rsidR="00E10487">
        <w:rPr>
          <w:rFonts w:ascii="Arial" w:hAnsi="Arial" w:cs="Arial"/>
          <w:sz w:val="20"/>
          <w:szCs w:val="20"/>
        </w:rPr>
        <w:t xml:space="preserve">, authors find weak evidence of </w:t>
      </w:r>
      <w:r w:rsidRPr="00BD5001">
        <w:rPr>
          <w:rFonts w:ascii="Arial" w:hAnsi="Arial" w:cs="Arial"/>
          <w:sz w:val="20"/>
          <w:szCs w:val="20"/>
        </w:rPr>
        <w:t xml:space="preserve">the existence of a bank lending channel through foreign currency loans. There are also studies of transmission mechanism for new European Union members who successfully passed transition process. For Czech Republic, </w:t>
      </w:r>
      <w:proofErr w:type="spellStart"/>
      <w:r w:rsidR="00E10487">
        <w:rPr>
          <w:rFonts w:ascii="Arial" w:hAnsi="Arial" w:cs="Arial"/>
          <w:sz w:val="20"/>
          <w:szCs w:val="20"/>
        </w:rPr>
        <w:t>Franta</w:t>
      </w:r>
      <w:proofErr w:type="spellEnd"/>
      <w:r w:rsidR="00E10487">
        <w:rPr>
          <w:rFonts w:ascii="Arial" w:hAnsi="Arial" w:cs="Arial"/>
          <w:sz w:val="20"/>
          <w:szCs w:val="20"/>
        </w:rPr>
        <w:t xml:space="preserve"> at </w:t>
      </w:r>
      <w:proofErr w:type="spellStart"/>
      <w:r w:rsidR="00E10487">
        <w:rPr>
          <w:rFonts w:ascii="Arial" w:hAnsi="Arial" w:cs="Arial"/>
          <w:sz w:val="20"/>
          <w:szCs w:val="20"/>
        </w:rPr>
        <w:t>al</w:t>
      </w:r>
      <w:proofErr w:type="spellEnd"/>
      <w:r w:rsidR="00E10487">
        <w:rPr>
          <w:rFonts w:ascii="Arial" w:hAnsi="Arial" w:cs="Arial"/>
          <w:sz w:val="20"/>
          <w:szCs w:val="20"/>
        </w:rPr>
        <w:t xml:space="preserve"> (2012)</w:t>
      </w:r>
      <w:r w:rsidRPr="00BD5001">
        <w:rPr>
          <w:rFonts w:ascii="Arial" w:hAnsi="Arial" w:cs="Arial"/>
          <w:b/>
          <w:sz w:val="20"/>
          <w:szCs w:val="20"/>
        </w:rPr>
        <w:t xml:space="preserve"> </w:t>
      </w:r>
      <w:r w:rsidRPr="00BD5001">
        <w:rPr>
          <w:rFonts w:ascii="Arial" w:hAnsi="Arial" w:cs="Arial"/>
          <w:sz w:val="20"/>
          <w:szCs w:val="20"/>
        </w:rPr>
        <w:t xml:space="preserve">use Bayesian vector </w:t>
      </w:r>
      <w:proofErr w:type="spellStart"/>
      <w:r w:rsidRPr="00BD5001">
        <w:rPr>
          <w:rFonts w:ascii="Arial" w:hAnsi="Arial" w:cs="Arial"/>
          <w:sz w:val="20"/>
          <w:szCs w:val="20"/>
        </w:rPr>
        <w:t>autoregression</w:t>
      </w:r>
      <w:proofErr w:type="spellEnd"/>
      <w:r w:rsidRPr="00BD5001">
        <w:rPr>
          <w:rFonts w:ascii="Arial" w:hAnsi="Arial" w:cs="Arial"/>
          <w:sz w:val="20"/>
          <w:szCs w:val="20"/>
        </w:rPr>
        <w:t xml:space="preserve"> (TVP BVAR) model with stochastic volatility to estimate the evolution of the monetary policy transmission mechanism. Study reports increasing responsiveness of output and prices to monetary policy shocks until the global financial crisis. During crisis time, the responsiveness of output and prices to monetary shocks did not increase, but remained largely constant at the pre-crisis level. </w:t>
      </w:r>
      <w:proofErr w:type="spellStart"/>
      <w:r w:rsidRPr="00BD5001">
        <w:rPr>
          <w:rFonts w:ascii="Arial" w:hAnsi="Arial" w:cs="Arial"/>
          <w:sz w:val="20"/>
          <w:szCs w:val="20"/>
        </w:rPr>
        <w:t>Babecka-Kucharcukova</w:t>
      </w:r>
      <w:proofErr w:type="spellEnd"/>
      <w:r w:rsidRPr="00BD5001">
        <w:rPr>
          <w:rFonts w:ascii="Arial" w:hAnsi="Arial" w:cs="Arial"/>
          <w:sz w:val="20"/>
          <w:szCs w:val="20"/>
        </w:rPr>
        <w:t xml:space="preserve"> (2009) finds that speed of the exchange rate shock transmission to all prices is quite high, but low during the period of inflation targeting. There is also evidence that tradable goods react much more to an e</w:t>
      </w:r>
      <w:r w:rsidR="00CB12DF">
        <w:rPr>
          <w:rFonts w:ascii="Arial" w:hAnsi="Arial" w:cs="Arial"/>
          <w:sz w:val="20"/>
          <w:szCs w:val="20"/>
        </w:rPr>
        <w:t>xchange rate shock than do non-</w:t>
      </w:r>
      <w:r w:rsidRPr="00BD5001">
        <w:rPr>
          <w:rFonts w:ascii="Arial" w:hAnsi="Arial" w:cs="Arial"/>
          <w:sz w:val="20"/>
          <w:szCs w:val="20"/>
        </w:rPr>
        <w:t xml:space="preserve">tradable goods, in line with the theoretical foundations. Besides, the magnitude of the exchange rate pass-through decreases from the initial stage of production to final good. </w:t>
      </w:r>
      <w:proofErr w:type="spellStart"/>
      <w:r w:rsidR="00BD7499">
        <w:rPr>
          <w:rFonts w:ascii="Arial" w:hAnsi="Arial" w:cs="Arial"/>
          <w:sz w:val="20"/>
          <w:szCs w:val="20"/>
        </w:rPr>
        <w:t>Łyziak</w:t>
      </w:r>
      <w:proofErr w:type="spellEnd"/>
      <w:r w:rsidR="00BD7499" w:rsidRPr="00BD5001">
        <w:rPr>
          <w:rFonts w:ascii="Arial" w:hAnsi="Arial" w:cs="Arial"/>
          <w:sz w:val="20"/>
          <w:szCs w:val="20"/>
        </w:rPr>
        <w:t xml:space="preserve"> </w:t>
      </w:r>
      <w:r w:rsidRPr="00BD5001">
        <w:rPr>
          <w:rFonts w:ascii="Arial" w:hAnsi="Arial" w:cs="Arial"/>
          <w:sz w:val="20"/>
          <w:szCs w:val="20"/>
        </w:rPr>
        <w:t xml:space="preserve">at all (2014) investigate structural features of Polish economy and estimate the channels of monetary policy. Evidence shows decreasing influence of exchange rate pass through on consumption prices, due to large degree of a structural nature, reflecting changes in the production process, related to the growing share of production by international firms. In addition, it seems that the inflation response to changes in the central bank interest rates is stronger than the result arising from previous assessments. Authors presume that </w:t>
      </w:r>
      <w:proofErr w:type="spellStart"/>
      <w:r w:rsidRPr="00BD5001">
        <w:rPr>
          <w:rFonts w:ascii="Arial" w:hAnsi="Arial" w:cs="Arial"/>
          <w:sz w:val="20"/>
          <w:szCs w:val="20"/>
        </w:rPr>
        <w:t>t</w:t>
      </w:r>
      <w:proofErr w:type="spellEnd"/>
      <w:r w:rsidRPr="00BD5001">
        <w:rPr>
          <w:rFonts w:ascii="Arial" w:hAnsi="Arial" w:cs="Arial"/>
          <w:sz w:val="20"/>
          <w:szCs w:val="20"/>
        </w:rPr>
        <w:t xml:space="preserve"> might stem from faster and slightly stronger influence of demand pressure on prices and from increased degree of forward-</w:t>
      </w:r>
      <w:proofErr w:type="spellStart"/>
      <w:r w:rsidRPr="00BD5001">
        <w:rPr>
          <w:rFonts w:ascii="Arial" w:hAnsi="Arial" w:cs="Arial"/>
          <w:sz w:val="20"/>
          <w:szCs w:val="20"/>
        </w:rPr>
        <w:t>lookingness</w:t>
      </w:r>
      <w:proofErr w:type="spellEnd"/>
      <w:r w:rsidRPr="00BD5001">
        <w:rPr>
          <w:rFonts w:ascii="Arial" w:hAnsi="Arial" w:cs="Arial"/>
          <w:sz w:val="20"/>
          <w:szCs w:val="20"/>
        </w:rPr>
        <w:t xml:space="preserve"> in the economy. </w:t>
      </w:r>
      <w:proofErr w:type="spellStart"/>
      <w:r w:rsidRPr="00BD5001">
        <w:rPr>
          <w:rFonts w:ascii="Arial" w:hAnsi="Arial" w:cs="Arial"/>
          <w:sz w:val="20"/>
          <w:szCs w:val="20"/>
        </w:rPr>
        <w:t>Darvas</w:t>
      </w:r>
      <w:proofErr w:type="spellEnd"/>
      <w:r w:rsidRPr="00BD5001">
        <w:rPr>
          <w:rFonts w:ascii="Arial" w:hAnsi="Arial" w:cs="Arial"/>
          <w:sz w:val="20"/>
          <w:szCs w:val="20"/>
        </w:rPr>
        <w:t xml:space="preserve"> (2012) uses structural time-varying coefficient vector </w:t>
      </w:r>
      <w:proofErr w:type="spellStart"/>
      <w:r w:rsidRPr="00BD5001">
        <w:rPr>
          <w:rFonts w:ascii="Arial" w:hAnsi="Arial" w:cs="Arial"/>
          <w:sz w:val="20"/>
          <w:szCs w:val="20"/>
        </w:rPr>
        <w:t>autoregressions</w:t>
      </w:r>
      <w:proofErr w:type="spellEnd"/>
      <w:r w:rsidRPr="00BD5001">
        <w:rPr>
          <w:rFonts w:ascii="Arial" w:hAnsi="Arial" w:cs="Arial"/>
          <w:sz w:val="20"/>
          <w:szCs w:val="20"/>
        </w:rPr>
        <w:t xml:space="preserve"> to investigate transmission mechanism in Czech Republic, Hungary and Poland in comparison with that in the euro area. Results indicate that response of output to a monetary shock has changed in the euro area as well as in the Czech Republic, Hungary and Poland. Also, “at the last observation of our sample, the fourth quarter of 2011, among the three countries studied, monetary policy was the most powerful in Poland and just slightly less powerful than that in the euro area (though with a different time profile), but the strength of monetary policy was less in Hungary and the Czech Republic.” (</w:t>
      </w:r>
      <w:proofErr w:type="spellStart"/>
      <w:r w:rsidRPr="00BD5001">
        <w:rPr>
          <w:rFonts w:ascii="Arial" w:hAnsi="Arial" w:cs="Arial"/>
          <w:sz w:val="20"/>
          <w:szCs w:val="20"/>
        </w:rPr>
        <w:t>Darvas</w:t>
      </w:r>
      <w:proofErr w:type="spellEnd"/>
      <w:r w:rsidRPr="00BD5001">
        <w:rPr>
          <w:rFonts w:ascii="Arial" w:hAnsi="Arial" w:cs="Arial"/>
          <w:sz w:val="20"/>
          <w:szCs w:val="20"/>
        </w:rPr>
        <w:t>, 2012)</w:t>
      </w:r>
    </w:p>
    <w:p w:rsidR="006911DA" w:rsidRPr="00BD5001" w:rsidRDefault="006911DA" w:rsidP="006911DA">
      <w:pPr>
        <w:spacing w:line="240" w:lineRule="auto"/>
        <w:jc w:val="both"/>
        <w:rPr>
          <w:rFonts w:ascii="Arial" w:hAnsi="Arial" w:cs="Arial"/>
          <w:sz w:val="20"/>
          <w:szCs w:val="20"/>
        </w:rPr>
      </w:pPr>
      <w:r w:rsidRPr="00BD5001">
        <w:rPr>
          <w:rFonts w:ascii="Arial" w:hAnsi="Arial" w:cs="Arial"/>
          <w:sz w:val="20"/>
          <w:szCs w:val="20"/>
        </w:rPr>
        <w:t xml:space="preserve">In this paper will be analyzed some of the key structural factors of Serbian market which are identified as main obstacles for monetary changes transmission. To estimate the efficiency of transmission mechanism of monetary policy in Serbia via exchange and interest rate channel, </w:t>
      </w:r>
      <w:proofErr w:type="spellStart"/>
      <w:r w:rsidRPr="00BD5001">
        <w:rPr>
          <w:rFonts w:ascii="Arial" w:hAnsi="Arial" w:cs="Arial"/>
          <w:sz w:val="20"/>
          <w:szCs w:val="20"/>
        </w:rPr>
        <w:t>ieconometric</w:t>
      </w:r>
      <w:proofErr w:type="spellEnd"/>
      <w:r w:rsidRPr="00BD5001">
        <w:rPr>
          <w:rFonts w:ascii="Arial" w:hAnsi="Arial" w:cs="Arial"/>
          <w:sz w:val="20"/>
          <w:szCs w:val="20"/>
        </w:rPr>
        <w:t xml:space="preserve"> tool of vector </w:t>
      </w:r>
      <w:proofErr w:type="spellStart"/>
      <w:r w:rsidRPr="00BD5001">
        <w:rPr>
          <w:rFonts w:ascii="Arial" w:hAnsi="Arial" w:cs="Arial"/>
          <w:sz w:val="20"/>
          <w:szCs w:val="20"/>
        </w:rPr>
        <w:t>autoregression</w:t>
      </w:r>
      <w:proofErr w:type="spellEnd"/>
      <w:r w:rsidRPr="00BD5001">
        <w:rPr>
          <w:rFonts w:ascii="Arial" w:hAnsi="Arial" w:cs="Arial"/>
          <w:sz w:val="20"/>
          <w:szCs w:val="20"/>
        </w:rPr>
        <w:t xml:space="preserve"> is used. The period in the analysis is from January 2007 to December 2014, using monthly data. </w:t>
      </w:r>
    </w:p>
    <w:p w:rsidR="006911DA" w:rsidRDefault="006911DA" w:rsidP="00CE254F">
      <w:pPr>
        <w:spacing w:line="240" w:lineRule="auto"/>
        <w:jc w:val="both"/>
        <w:rPr>
          <w:rFonts w:ascii="Arial" w:hAnsi="Arial" w:cs="Arial"/>
          <w:sz w:val="20"/>
          <w:szCs w:val="20"/>
        </w:rPr>
      </w:pPr>
    </w:p>
    <w:p w:rsidR="00CB12DF" w:rsidRPr="00BD5001" w:rsidRDefault="00CB12DF" w:rsidP="00CE254F">
      <w:pPr>
        <w:spacing w:line="240" w:lineRule="auto"/>
        <w:jc w:val="both"/>
        <w:rPr>
          <w:rFonts w:ascii="Arial" w:hAnsi="Arial" w:cs="Arial"/>
          <w:sz w:val="20"/>
          <w:szCs w:val="20"/>
        </w:rPr>
      </w:pPr>
    </w:p>
    <w:p w:rsidR="00F21B79" w:rsidRPr="00CB12DF" w:rsidRDefault="00F21B79" w:rsidP="00CB12DF">
      <w:pPr>
        <w:pStyle w:val="ListParagraph"/>
        <w:numPr>
          <w:ilvl w:val="0"/>
          <w:numId w:val="2"/>
        </w:numPr>
        <w:spacing w:line="240" w:lineRule="auto"/>
        <w:jc w:val="center"/>
        <w:rPr>
          <w:rFonts w:ascii="Arial" w:hAnsi="Arial" w:cs="Arial"/>
          <w:b/>
          <w:sz w:val="24"/>
          <w:szCs w:val="24"/>
        </w:rPr>
      </w:pPr>
      <w:r w:rsidRPr="00CB12DF">
        <w:rPr>
          <w:rFonts w:ascii="Arial" w:hAnsi="Arial" w:cs="Arial"/>
          <w:b/>
          <w:sz w:val="24"/>
          <w:szCs w:val="24"/>
        </w:rPr>
        <w:t>Some structural features of financial market and economy</w:t>
      </w:r>
    </w:p>
    <w:p w:rsidR="00CB12DF" w:rsidRDefault="00CB12DF" w:rsidP="00CE254F">
      <w:pPr>
        <w:spacing w:line="240" w:lineRule="auto"/>
        <w:jc w:val="both"/>
        <w:rPr>
          <w:rFonts w:ascii="Arial" w:hAnsi="Arial" w:cs="Arial"/>
          <w:sz w:val="20"/>
          <w:szCs w:val="20"/>
        </w:rPr>
      </w:pPr>
    </w:p>
    <w:p w:rsidR="00F21B79" w:rsidRPr="00BD5001" w:rsidRDefault="00A33964" w:rsidP="00CE254F">
      <w:pPr>
        <w:spacing w:line="240" w:lineRule="auto"/>
        <w:jc w:val="both"/>
        <w:rPr>
          <w:rFonts w:ascii="Arial" w:hAnsi="Arial" w:cs="Arial"/>
          <w:sz w:val="20"/>
          <w:szCs w:val="20"/>
        </w:rPr>
      </w:pPr>
      <w:r w:rsidRPr="00BD5001">
        <w:rPr>
          <w:rFonts w:ascii="Arial" w:hAnsi="Arial" w:cs="Arial"/>
          <w:sz w:val="20"/>
          <w:szCs w:val="20"/>
        </w:rPr>
        <w:t>Structural characteristics of financial sector and economy present</w:t>
      </w:r>
      <w:r w:rsidR="00F21B79" w:rsidRPr="00BD5001">
        <w:rPr>
          <w:rFonts w:ascii="Arial" w:hAnsi="Arial" w:cs="Arial"/>
          <w:sz w:val="20"/>
          <w:szCs w:val="20"/>
        </w:rPr>
        <w:t xml:space="preserve"> crucial conditions for efficient transmission mechanism. There is tight connection between matching the criteria of inflation targeting with these structural features. In this respect, we can indicate the conditions for inflation targeting, such as independence and credibility of central bank, well developed financial ma</w:t>
      </w:r>
      <w:r w:rsidRPr="00BD5001">
        <w:rPr>
          <w:rFonts w:ascii="Arial" w:hAnsi="Arial" w:cs="Arial"/>
          <w:sz w:val="20"/>
          <w:szCs w:val="20"/>
        </w:rPr>
        <w:t>rket, fiscal discipline. Besides</w:t>
      </w:r>
      <w:r w:rsidR="00F21B79" w:rsidRPr="00BD5001">
        <w:rPr>
          <w:rFonts w:ascii="Arial" w:hAnsi="Arial" w:cs="Arial"/>
          <w:sz w:val="20"/>
          <w:szCs w:val="20"/>
        </w:rPr>
        <w:t xml:space="preserve"> that, it is necessary to consider other characteristics that are crucial for transmission mechanism, such as structure of financial system, </w:t>
      </w:r>
      <w:proofErr w:type="spellStart"/>
      <w:r w:rsidR="00F21B79" w:rsidRPr="00BD5001">
        <w:rPr>
          <w:rFonts w:ascii="Arial" w:hAnsi="Arial" w:cs="Arial"/>
          <w:sz w:val="20"/>
          <w:szCs w:val="20"/>
        </w:rPr>
        <w:t>eurisation</w:t>
      </w:r>
      <w:proofErr w:type="spellEnd"/>
      <w:r w:rsidR="00F21B79" w:rsidRPr="00BD5001">
        <w:rPr>
          <w:rFonts w:ascii="Arial" w:hAnsi="Arial" w:cs="Arial"/>
          <w:sz w:val="20"/>
          <w:szCs w:val="20"/>
        </w:rPr>
        <w:t xml:space="preserve">, speculative investors. </w: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lastRenderedPageBreak/>
        <w:t xml:space="preserve">One of the main </w:t>
      </w:r>
      <w:r w:rsidR="00A33964" w:rsidRPr="00BD5001">
        <w:rPr>
          <w:rFonts w:ascii="Arial" w:hAnsi="Arial" w:cs="Arial"/>
          <w:sz w:val="20"/>
          <w:szCs w:val="20"/>
        </w:rPr>
        <w:t>difficulties</w:t>
      </w:r>
      <w:r w:rsidRPr="00BD5001">
        <w:rPr>
          <w:rFonts w:ascii="Arial" w:hAnsi="Arial" w:cs="Arial"/>
          <w:sz w:val="20"/>
          <w:szCs w:val="20"/>
        </w:rPr>
        <w:t xml:space="preserve"> for </w:t>
      </w:r>
      <w:r w:rsidR="00A33964" w:rsidRPr="00BD5001">
        <w:rPr>
          <w:rFonts w:ascii="Arial" w:hAnsi="Arial" w:cs="Arial"/>
          <w:sz w:val="20"/>
          <w:szCs w:val="20"/>
        </w:rPr>
        <w:t>unobstructed</w:t>
      </w:r>
      <w:r w:rsidRPr="00BD5001">
        <w:rPr>
          <w:rFonts w:ascii="Arial" w:hAnsi="Arial" w:cs="Arial"/>
          <w:sz w:val="20"/>
          <w:szCs w:val="20"/>
        </w:rPr>
        <w:t xml:space="preserve"> functioning of transmission mechanism </w:t>
      </w:r>
      <w:r w:rsidR="00EE2D71" w:rsidRPr="00BD5001">
        <w:rPr>
          <w:rFonts w:ascii="Arial" w:hAnsi="Arial" w:cs="Arial"/>
          <w:sz w:val="20"/>
          <w:szCs w:val="20"/>
        </w:rPr>
        <w:t xml:space="preserve">in </w:t>
      </w:r>
      <w:r w:rsidRPr="00BD5001">
        <w:rPr>
          <w:rFonts w:ascii="Arial" w:hAnsi="Arial" w:cs="Arial"/>
          <w:sz w:val="20"/>
          <w:szCs w:val="20"/>
        </w:rPr>
        <w:t xml:space="preserve">undeveloped financial market is high level of </w:t>
      </w:r>
      <w:proofErr w:type="spellStart"/>
      <w:r w:rsidRPr="00BD5001">
        <w:rPr>
          <w:rFonts w:ascii="Arial" w:hAnsi="Arial" w:cs="Arial"/>
          <w:sz w:val="20"/>
          <w:szCs w:val="20"/>
        </w:rPr>
        <w:t>eurisation</w:t>
      </w:r>
      <w:proofErr w:type="spellEnd"/>
      <w:r w:rsidRPr="00BD5001">
        <w:rPr>
          <w:rFonts w:ascii="Arial" w:hAnsi="Arial" w:cs="Arial"/>
          <w:sz w:val="20"/>
          <w:szCs w:val="20"/>
        </w:rPr>
        <w:t xml:space="preserve">. The </w:t>
      </w:r>
      <w:r w:rsidR="00EE2D71" w:rsidRPr="00BD5001">
        <w:rPr>
          <w:rFonts w:ascii="Arial" w:hAnsi="Arial" w:cs="Arial"/>
          <w:sz w:val="20"/>
          <w:szCs w:val="20"/>
        </w:rPr>
        <w:t xml:space="preserve">causes of </w:t>
      </w:r>
      <w:proofErr w:type="spellStart"/>
      <w:r w:rsidR="00EE2D71" w:rsidRPr="00BD5001">
        <w:rPr>
          <w:rFonts w:ascii="Arial" w:hAnsi="Arial" w:cs="Arial"/>
          <w:sz w:val="20"/>
          <w:szCs w:val="20"/>
        </w:rPr>
        <w:t>eurisation</w:t>
      </w:r>
      <w:proofErr w:type="spellEnd"/>
      <w:r w:rsidR="00EE2D71" w:rsidRPr="00BD5001">
        <w:rPr>
          <w:rFonts w:ascii="Arial" w:hAnsi="Arial" w:cs="Arial"/>
          <w:sz w:val="20"/>
          <w:szCs w:val="20"/>
        </w:rPr>
        <w:t xml:space="preserve"> in Serbia lay</w:t>
      </w:r>
      <w:r w:rsidRPr="00BD5001">
        <w:rPr>
          <w:rFonts w:ascii="Arial" w:hAnsi="Arial" w:cs="Arial"/>
          <w:sz w:val="20"/>
          <w:szCs w:val="20"/>
        </w:rPr>
        <w:t xml:space="preserve"> in the previous experience with hyperinflation and high volatile inflation, macroeconomic instability and inherited distrust in dinar</w:t>
      </w:r>
      <w:r w:rsidR="00EE2D71" w:rsidRPr="00BD5001">
        <w:rPr>
          <w:rFonts w:ascii="Arial" w:hAnsi="Arial" w:cs="Arial"/>
          <w:sz w:val="20"/>
          <w:szCs w:val="20"/>
        </w:rPr>
        <w:t xml:space="preserve"> (</w:t>
      </w:r>
      <w:proofErr w:type="spellStart"/>
      <w:r w:rsidR="00EE2D71" w:rsidRPr="00BD5001">
        <w:rPr>
          <w:rFonts w:ascii="Arial" w:hAnsi="Arial" w:cs="Arial"/>
          <w:sz w:val="20"/>
          <w:szCs w:val="20"/>
        </w:rPr>
        <w:t>Aleksic</w:t>
      </w:r>
      <w:proofErr w:type="spellEnd"/>
      <w:r w:rsidR="00EE2D71" w:rsidRPr="00BD5001">
        <w:rPr>
          <w:rFonts w:ascii="Arial" w:hAnsi="Arial" w:cs="Arial"/>
          <w:sz w:val="20"/>
          <w:szCs w:val="20"/>
        </w:rPr>
        <w:t xml:space="preserve"> at </w:t>
      </w:r>
      <w:proofErr w:type="spellStart"/>
      <w:r w:rsidR="00EE2D71" w:rsidRPr="00BD5001">
        <w:rPr>
          <w:rFonts w:ascii="Arial" w:hAnsi="Arial" w:cs="Arial"/>
          <w:sz w:val="20"/>
          <w:szCs w:val="20"/>
        </w:rPr>
        <w:t>al</w:t>
      </w:r>
      <w:proofErr w:type="spellEnd"/>
      <w:r w:rsidR="00EE2D71" w:rsidRPr="00BD5001">
        <w:rPr>
          <w:rFonts w:ascii="Arial" w:hAnsi="Arial" w:cs="Arial"/>
          <w:sz w:val="20"/>
          <w:szCs w:val="20"/>
        </w:rPr>
        <w:t xml:space="preserve">, 2008). </w:t>
      </w:r>
      <w:r w:rsidRPr="00BD5001">
        <w:rPr>
          <w:rFonts w:ascii="Arial" w:hAnsi="Arial" w:cs="Arial"/>
          <w:sz w:val="20"/>
          <w:szCs w:val="20"/>
        </w:rPr>
        <w:t xml:space="preserve">Serbia is not </w:t>
      </w:r>
      <w:r w:rsidR="00EE2D71" w:rsidRPr="00BD5001">
        <w:rPr>
          <w:rFonts w:ascii="Arial" w:hAnsi="Arial" w:cs="Arial"/>
          <w:sz w:val="20"/>
          <w:szCs w:val="20"/>
        </w:rPr>
        <w:t xml:space="preserve">only </w:t>
      </w:r>
      <w:r w:rsidRPr="00BD5001">
        <w:rPr>
          <w:rFonts w:ascii="Arial" w:hAnsi="Arial" w:cs="Arial"/>
          <w:sz w:val="20"/>
          <w:szCs w:val="20"/>
        </w:rPr>
        <w:t xml:space="preserve">country with high </w:t>
      </w:r>
      <w:proofErr w:type="spellStart"/>
      <w:r w:rsidRPr="00BD5001">
        <w:rPr>
          <w:rFonts w:ascii="Arial" w:hAnsi="Arial" w:cs="Arial"/>
          <w:sz w:val="20"/>
          <w:szCs w:val="20"/>
        </w:rPr>
        <w:t>eurisation</w:t>
      </w:r>
      <w:proofErr w:type="spellEnd"/>
      <w:r w:rsidRPr="00BD5001">
        <w:rPr>
          <w:rFonts w:ascii="Arial" w:hAnsi="Arial" w:cs="Arial"/>
          <w:sz w:val="20"/>
          <w:szCs w:val="20"/>
        </w:rPr>
        <w:t>, but it is lieder by this criterion in Eastern Europe. Although the participation of foreign currency loans is quite small, the share of dinar loans indexed in foreign currency are extremely high. On the other side, foreign currency deposit also has significant share in total de</w:t>
      </w:r>
      <w:r w:rsidR="00EE2D71" w:rsidRPr="00BD5001">
        <w:rPr>
          <w:rFonts w:ascii="Arial" w:hAnsi="Arial" w:cs="Arial"/>
          <w:sz w:val="20"/>
          <w:szCs w:val="20"/>
        </w:rPr>
        <w:t xml:space="preserve">posits. National bank of Serbia (NBS) </w:t>
      </w:r>
      <w:r w:rsidRPr="00BD5001">
        <w:rPr>
          <w:rFonts w:ascii="Arial" w:hAnsi="Arial" w:cs="Arial"/>
          <w:sz w:val="20"/>
          <w:szCs w:val="20"/>
        </w:rPr>
        <w:t xml:space="preserve">has tried with number of measures to reduce the level of </w:t>
      </w:r>
      <w:proofErr w:type="spellStart"/>
      <w:r w:rsidRPr="00BD5001">
        <w:rPr>
          <w:rFonts w:ascii="Arial" w:hAnsi="Arial" w:cs="Arial"/>
          <w:sz w:val="20"/>
          <w:szCs w:val="20"/>
        </w:rPr>
        <w:t>eurisation</w:t>
      </w:r>
      <w:proofErr w:type="spellEnd"/>
      <w:r w:rsidRPr="00BD5001">
        <w:rPr>
          <w:rFonts w:ascii="Arial" w:hAnsi="Arial" w:cs="Arial"/>
          <w:sz w:val="20"/>
          <w:szCs w:val="20"/>
        </w:rPr>
        <w:t xml:space="preserve">. </w:t>
      </w:r>
      <w:proofErr w:type="spellStart"/>
      <w:r w:rsidRPr="00BD5001">
        <w:rPr>
          <w:rFonts w:ascii="Arial" w:hAnsi="Arial" w:cs="Arial"/>
          <w:sz w:val="20"/>
          <w:szCs w:val="20"/>
        </w:rPr>
        <w:t>Dinarisation</w:t>
      </w:r>
      <w:proofErr w:type="spellEnd"/>
      <w:r w:rsidRPr="00BD5001">
        <w:rPr>
          <w:rFonts w:ascii="Arial" w:hAnsi="Arial" w:cs="Arial"/>
          <w:sz w:val="20"/>
          <w:szCs w:val="20"/>
        </w:rPr>
        <w:t xml:space="preserve"> strategy of financial system, which started in 2010, involve</w:t>
      </w:r>
      <w:r w:rsidR="00EE2D71" w:rsidRPr="00BD5001">
        <w:rPr>
          <w:rFonts w:ascii="Arial" w:hAnsi="Arial" w:cs="Arial"/>
          <w:sz w:val="20"/>
          <w:szCs w:val="20"/>
        </w:rPr>
        <w:t>s</w:t>
      </w:r>
      <w:r w:rsidRPr="00BD5001">
        <w:rPr>
          <w:rFonts w:ascii="Arial" w:hAnsi="Arial" w:cs="Arial"/>
          <w:sz w:val="20"/>
          <w:szCs w:val="20"/>
        </w:rPr>
        <w:t xml:space="preserve"> monetary policy measures to contribute better </w:t>
      </w:r>
      <w:r w:rsidR="00EE2D71" w:rsidRPr="00BD5001">
        <w:rPr>
          <w:rFonts w:ascii="Arial" w:hAnsi="Arial" w:cs="Arial"/>
          <w:sz w:val="20"/>
          <w:szCs w:val="20"/>
        </w:rPr>
        <w:t>macroeconomic performance, develop</w:t>
      </w:r>
      <w:r w:rsidRPr="00BD5001">
        <w:rPr>
          <w:rFonts w:ascii="Arial" w:hAnsi="Arial" w:cs="Arial"/>
          <w:sz w:val="20"/>
          <w:szCs w:val="20"/>
        </w:rPr>
        <w:t xml:space="preserve">ment of dinar financial instrument, and exchange rate swaps. </w:t>
      </w:r>
    </w:p>
    <w:p w:rsidR="00F21B79" w:rsidRPr="00BD5001" w:rsidRDefault="00853A21" w:rsidP="00CE254F">
      <w:pPr>
        <w:spacing w:line="240" w:lineRule="auto"/>
        <w:jc w:val="both"/>
        <w:rPr>
          <w:rFonts w:ascii="Arial" w:hAnsi="Arial" w:cs="Arial"/>
          <w:sz w:val="20"/>
          <w:szCs w:val="20"/>
        </w:rPr>
      </w:pPr>
      <w:r w:rsidRPr="00BD5001">
        <w:rPr>
          <w:rFonts w:ascii="Arial" w:hAnsi="Arial" w:cs="Arial"/>
          <w:sz w:val="20"/>
          <w:szCs w:val="20"/>
        </w:rPr>
        <w:t>Furthermore</w:t>
      </w:r>
      <w:r w:rsidR="00F21B79" w:rsidRPr="00BD5001">
        <w:rPr>
          <w:rFonts w:ascii="Arial" w:hAnsi="Arial" w:cs="Arial"/>
          <w:sz w:val="20"/>
          <w:szCs w:val="20"/>
        </w:rPr>
        <w:t>, the structure of public debt also contribute</w:t>
      </w:r>
      <w:r w:rsidRPr="00BD5001">
        <w:rPr>
          <w:rFonts w:ascii="Arial" w:hAnsi="Arial" w:cs="Arial"/>
          <w:sz w:val="20"/>
          <w:szCs w:val="20"/>
        </w:rPr>
        <w:t>s to</w:t>
      </w:r>
      <w:r w:rsidR="00F21B79" w:rsidRPr="00BD5001">
        <w:rPr>
          <w:rFonts w:ascii="Arial" w:hAnsi="Arial" w:cs="Arial"/>
          <w:sz w:val="20"/>
          <w:szCs w:val="20"/>
        </w:rPr>
        <w:t xml:space="preserve"> high </w:t>
      </w:r>
      <w:proofErr w:type="spellStart"/>
      <w:r w:rsidR="00F21B79" w:rsidRPr="00BD5001">
        <w:rPr>
          <w:rFonts w:ascii="Arial" w:hAnsi="Arial" w:cs="Arial"/>
          <w:sz w:val="20"/>
          <w:szCs w:val="20"/>
        </w:rPr>
        <w:t>eurisation</w:t>
      </w:r>
      <w:proofErr w:type="spellEnd"/>
      <w:r w:rsidR="00F21B79" w:rsidRPr="00BD5001">
        <w:rPr>
          <w:rFonts w:ascii="Arial" w:hAnsi="Arial" w:cs="Arial"/>
          <w:sz w:val="20"/>
          <w:szCs w:val="20"/>
        </w:rPr>
        <w:t xml:space="preserve">. Namely, from the beginning of strategy implementation, the foreign currency share in public debt has been approximately two thirds of total debt. Emission of dinar treasury notes </w:t>
      </w:r>
      <w:proofErr w:type="spellStart"/>
      <w:r w:rsidR="00F21B79" w:rsidRPr="00BD5001">
        <w:rPr>
          <w:rFonts w:ascii="Arial" w:hAnsi="Arial" w:cs="Arial"/>
          <w:sz w:val="20"/>
          <w:szCs w:val="20"/>
        </w:rPr>
        <w:t>partial</w:t>
      </w:r>
      <w:r w:rsidRPr="00BD5001">
        <w:rPr>
          <w:rFonts w:ascii="Arial" w:hAnsi="Arial" w:cs="Arial"/>
          <w:sz w:val="20"/>
          <w:szCs w:val="20"/>
        </w:rPr>
        <w:t>y</w:t>
      </w:r>
      <w:proofErr w:type="spellEnd"/>
      <w:r w:rsidR="00F21B79" w:rsidRPr="00BD5001">
        <w:rPr>
          <w:rFonts w:ascii="Arial" w:hAnsi="Arial" w:cs="Arial"/>
          <w:sz w:val="20"/>
          <w:szCs w:val="20"/>
        </w:rPr>
        <w:t xml:space="preserve"> reduced foreign currency share. </w:t>
      </w:r>
      <w:r w:rsidRPr="00BD5001">
        <w:rPr>
          <w:rFonts w:ascii="Arial" w:hAnsi="Arial" w:cs="Arial"/>
          <w:sz w:val="20"/>
          <w:szCs w:val="20"/>
        </w:rPr>
        <w:t>Besides the lengthening of</w:t>
      </w:r>
      <w:r w:rsidR="00F21B79" w:rsidRPr="00BD5001">
        <w:rPr>
          <w:rFonts w:ascii="Arial" w:hAnsi="Arial" w:cs="Arial"/>
          <w:sz w:val="20"/>
          <w:szCs w:val="20"/>
        </w:rPr>
        <w:t xml:space="preserve"> treasury notes maturity as one of the measures, the development of secondary market of government securities also stimulate </w:t>
      </w:r>
      <w:proofErr w:type="spellStart"/>
      <w:r w:rsidR="00F21B79" w:rsidRPr="00BD5001">
        <w:rPr>
          <w:rFonts w:ascii="Arial" w:hAnsi="Arial" w:cs="Arial"/>
          <w:sz w:val="20"/>
          <w:szCs w:val="20"/>
        </w:rPr>
        <w:t>dinarisation</w:t>
      </w:r>
      <w:proofErr w:type="spellEnd"/>
      <w:r w:rsidR="00F21B79" w:rsidRPr="00BD5001">
        <w:rPr>
          <w:rFonts w:ascii="Arial" w:hAnsi="Arial" w:cs="Arial"/>
          <w:sz w:val="20"/>
          <w:szCs w:val="20"/>
        </w:rPr>
        <w:t xml:space="preserve"> strategy. However, </w:t>
      </w:r>
      <w:r w:rsidRPr="00BD5001">
        <w:rPr>
          <w:rFonts w:ascii="Arial" w:hAnsi="Arial" w:cs="Arial"/>
          <w:sz w:val="20"/>
          <w:szCs w:val="20"/>
        </w:rPr>
        <w:t>data indicate that</w:t>
      </w:r>
      <w:r w:rsidR="00F21B79" w:rsidRPr="00BD5001">
        <w:rPr>
          <w:rFonts w:ascii="Arial" w:hAnsi="Arial" w:cs="Arial"/>
          <w:sz w:val="20"/>
          <w:szCs w:val="20"/>
        </w:rPr>
        <w:t xml:space="preserve"> turnover on thi</w:t>
      </w:r>
      <w:r w:rsidR="009B7484" w:rsidRPr="00BD5001">
        <w:rPr>
          <w:rFonts w:ascii="Arial" w:hAnsi="Arial" w:cs="Arial"/>
          <w:sz w:val="20"/>
          <w:szCs w:val="20"/>
        </w:rPr>
        <w:t>s market is quite insignificant.</w:t>
      </w:r>
      <w:r w:rsidR="00F21B79" w:rsidRPr="00BD5001">
        <w:rPr>
          <w:rFonts w:ascii="Arial" w:hAnsi="Arial" w:cs="Arial"/>
          <w:sz w:val="20"/>
          <w:szCs w:val="20"/>
        </w:rPr>
        <w:t xml:space="preserve"> Also, there is a lack of coordination between monetary and fiscal authorities. At the very </w:t>
      </w:r>
      <w:r w:rsidR="009B7484" w:rsidRPr="00BD5001">
        <w:rPr>
          <w:rFonts w:ascii="Arial" w:hAnsi="Arial" w:cs="Arial"/>
          <w:sz w:val="20"/>
          <w:szCs w:val="20"/>
        </w:rPr>
        <w:t>beginning</w:t>
      </w:r>
      <w:r w:rsidR="00F21B79" w:rsidRPr="00BD5001">
        <w:rPr>
          <w:rFonts w:ascii="Arial" w:hAnsi="Arial" w:cs="Arial"/>
          <w:sz w:val="20"/>
          <w:szCs w:val="20"/>
        </w:rPr>
        <w:t xml:space="preserve"> of implementation, Ministry of Finance started with issues of three, six and twelve month government securities indexed in euros.</w:t>
      </w:r>
      <w:r w:rsidR="009B7484" w:rsidRPr="00BD5001">
        <w:rPr>
          <w:rFonts w:ascii="Arial" w:hAnsi="Arial" w:cs="Arial"/>
          <w:sz w:val="20"/>
          <w:szCs w:val="20"/>
        </w:rPr>
        <w:t xml:space="preserve"> This was clear signal that NBS</w:t>
      </w:r>
      <w:r w:rsidR="00F21B79" w:rsidRPr="00BD5001">
        <w:rPr>
          <w:rFonts w:ascii="Arial" w:hAnsi="Arial" w:cs="Arial"/>
          <w:sz w:val="20"/>
          <w:szCs w:val="20"/>
        </w:rPr>
        <w:t xml:space="preserve"> has no government support in its actions, and it was reflected on strategy implementation. </w:t>
      </w:r>
    </w:p>
    <w:p w:rsidR="00F21B79"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In highly </w:t>
      </w:r>
      <w:proofErr w:type="spellStart"/>
      <w:r w:rsidRPr="00BD5001">
        <w:rPr>
          <w:rFonts w:ascii="Arial" w:hAnsi="Arial" w:cs="Arial"/>
          <w:sz w:val="20"/>
          <w:szCs w:val="20"/>
        </w:rPr>
        <w:t>eurised</w:t>
      </w:r>
      <w:proofErr w:type="spellEnd"/>
      <w:r w:rsidRPr="00BD5001">
        <w:rPr>
          <w:rFonts w:ascii="Arial" w:hAnsi="Arial" w:cs="Arial"/>
          <w:sz w:val="20"/>
          <w:szCs w:val="20"/>
        </w:rPr>
        <w:t xml:space="preserve"> economy, there is always a question of successful inflation targeting. Interest rate channel is supposedly inefficient in the case wh</w:t>
      </w:r>
      <w:r w:rsidR="009B7484" w:rsidRPr="00BD5001">
        <w:rPr>
          <w:rFonts w:ascii="Arial" w:hAnsi="Arial" w:cs="Arial"/>
          <w:sz w:val="20"/>
          <w:szCs w:val="20"/>
        </w:rPr>
        <w:t>en almost two thirds of loans are</w:t>
      </w:r>
      <w:r w:rsidRPr="00BD5001">
        <w:rPr>
          <w:rFonts w:ascii="Arial" w:hAnsi="Arial" w:cs="Arial"/>
          <w:sz w:val="20"/>
          <w:szCs w:val="20"/>
        </w:rPr>
        <w:t xml:space="preserve"> indexed in foreign currency. To count on </w:t>
      </w:r>
      <w:proofErr w:type="spellStart"/>
      <w:r w:rsidRPr="00BD5001">
        <w:rPr>
          <w:rFonts w:ascii="Arial" w:hAnsi="Arial" w:cs="Arial"/>
          <w:sz w:val="20"/>
          <w:szCs w:val="20"/>
        </w:rPr>
        <w:t>deeurisation</w:t>
      </w:r>
      <w:proofErr w:type="spellEnd"/>
      <w:r w:rsidRPr="00BD5001">
        <w:rPr>
          <w:rFonts w:ascii="Arial" w:hAnsi="Arial" w:cs="Arial"/>
          <w:sz w:val="20"/>
          <w:szCs w:val="20"/>
        </w:rPr>
        <w:t xml:space="preserve">, it is </w:t>
      </w:r>
      <w:r w:rsidR="008A2D92" w:rsidRPr="00BD5001">
        <w:rPr>
          <w:rFonts w:ascii="Arial" w:hAnsi="Arial" w:cs="Arial"/>
          <w:sz w:val="20"/>
          <w:szCs w:val="20"/>
        </w:rPr>
        <w:t>necessary to provide macroeconomic</w:t>
      </w:r>
      <w:r w:rsidRPr="00BD5001">
        <w:rPr>
          <w:rFonts w:ascii="Arial" w:hAnsi="Arial" w:cs="Arial"/>
          <w:sz w:val="20"/>
          <w:szCs w:val="20"/>
        </w:rPr>
        <w:t xml:space="preserve"> stability and lower inflation and exchange rate volatility. To achieve these goals, NBS must have credibility of </w:t>
      </w:r>
      <w:proofErr w:type="gramStart"/>
      <w:r w:rsidRPr="00BD5001">
        <w:rPr>
          <w:rFonts w:ascii="Arial" w:hAnsi="Arial" w:cs="Arial"/>
          <w:sz w:val="20"/>
          <w:szCs w:val="20"/>
        </w:rPr>
        <w:t>pursuing  its</w:t>
      </w:r>
      <w:proofErr w:type="gramEnd"/>
      <w:r w:rsidRPr="00BD5001">
        <w:rPr>
          <w:rFonts w:ascii="Arial" w:hAnsi="Arial" w:cs="Arial"/>
          <w:sz w:val="20"/>
          <w:szCs w:val="20"/>
        </w:rPr>
        <w:t xml:space="preserve"> own targets, that needs to be supported by Serbian government. Also, it is necessary to develop financial instrument denominated in local currency, </w:t>
      </w:r>
      <w:r w:rsidR="008A2D92" w:rsidRPr="00BD5001">
        <w:rPr>
          <w:rFonts w:ascii="Arial" w:hAnsi="Arial" w:cs="Arial"/>
          <w:sz w:val="20"/>
          <w:szCs w:val="20"/>
        </w:rPr>
        <w:t>especially</w:t>
      </w:r>
      <w:r w:rsidRPr="00BD5001">
        <w:rPr>
          <w:rFonts w:ascii="Arial" w:hAnsi="Arial" w:cs="Arial"/>
          <w:sz w:val="20"/>
          <w:szCs w:val="20"/>
        </w:rPr>
        <w:t xml:space="preserve"> in the field of government securities, as well as securities of </w:t>
      </w:r>
      <w:r w:rsidR="008A2D92" w:rsidRPr="00BD5001">
        <w:rPr>
          <w:rFonts w:ascii="Arial" w:hAnsi="Arial" w:cs="Arial"/>
          <w:sz w:val="20"/>
          <w:szCs w:val="20"/>
        </w:rPr>
        <w:t>credible</w:t>
      </w:r>
      <w:r w:rsidRPr="00BD5001">
        <w:rPr>
          <w:rFonts w:ascii="Arial" w:hAnsi="Arial" w:cs="Arial"/>
          <w:sz w:val="20"/>
          <w:szCs w:val="20"/>
        </w:rPr>
        <w:t xml:space="preserve"> financial institutions. Nevertheless, according to </w:t>
      </w:r>
      <w:proofErr w:type="spellStart"/>
      <w:r w:rsidRPr="00BD5001">
        <w:rPr>
          <w:rFonts w:ascii="Arial" w:hAnsi="Arial" w:cs="Arial"/>
          <w:sz w:val="20"/>
          <w:szCs w:val="20"/>
        </w:rPr>
        <w:t>Chailloux</w:t>
      </w:r>
      <w:proofErr w:type="spellEnd"/>
      <w:r w:rsidRPr="00BD5001">
        <w:rPr>
          <w:rFonts w:ascii="Arial" w:hAnsi="Arial" w:cs="Arial"/>
          <w:sz w:val="20"/>
          <w:szCs w:val="20"/>
        </w:rPr>
        <w:t xml:space="preserve"> </w:t>
      </w:r>
      <w:r w:rsidR="00527131">
        <w:rPr>
          <w:rFonts w:ascii="Arial" w:hAnsi="Arial" w:cs="Arial"/>
          <w:sz w:val="20"/>
          <w:szCs w:val="20"/>
        </w:rPr>
        <w:t xml:space="preserve">at </w:t>
      </w:r>
      <w:proofErr w:type="spellStart"/>
      <w:r w:rsidR="00527131">
        <w:rPr>
          <w:rFonts w:ascii="Arial" w:hAnsi="Arial" w:cs="Arial"/>
          <w:sz w:val="20"/>
          <w:szCs w:val="20"/>
        </w:rPr>
        <w:t>al</w:t>
      </w:r>
      <w:proofErr w:type="spellEnd"/>
      <w:r w:rsidR="00527131">
        <w:rPr>
          <w:rFonts w:ascii="Arial" w:hAnsi="Arial" w:cs="Arial"/>
          <w:sz w:val="20"/>
          <w:szCs w:val="20"/>
        </w:rPr>
        <w:t xml:space="preserve"> </w:t>
      </w:r>
      <w:r w:rsidRPr="00BD5001">
        <w:rPr>
          <w:rFonts w:ascii="Arial" w:hAnsi="Arial" w:cs="Arial"/>
          <w:sz w:val="20"/>
          <w:szCs w:val="20"/>
        </w:rPr>
        <w:t xml:space="preserve">(2010), it is essential to limit net foreign currency open position, maintain instruments to stimulate dinar saving, limit issues of indexed loans to households with low income and public sector. In that sense, as a part of short term measures, it is necessary to </w:t>
      </w:r>
      <w:r w:rsidR="00B93F7A">
        <w:rPr>
          <w:rFonts w:ascii="Arial" w:hAnsi="Arial" w:cs="Arial"/>
          <w:sz w:val="20"/>
          <w:szCs w:val="20"/>
        </w:rPr>
        <w:t>encourage issues of</w:t>
      </w:r>
      <w:r w:rsidRPr="00BD5001">
        <w:rPr>
          <w:rFonts w:ascii="Arial" w:hAnsi="Arial" w:cs="Arial"/>
          <w:sz w:val="20"/>
          <w:szCs w:val="20"/>
        </w:rPr>
        <w:t xml:space="preserve"> loans in local currency rather than limit the indexed loans. </w:t>
      </w:r>
    </w:p>
    <w:p w:rsidR="003A6A77" w:rsidRDefault="00D26E0D" w:rsidP="00D26E0D">
      <w:pPr>
        <w:spacing w:line="240" w:lineRule="auto"/>
        <w:jc w:val="both"/>
        <w:rPr>
          <w:rFonts w:ascii="Arial" w:hAnsi="Arial" w:cs="Arial"/>
          <w:sz w:val="20"/>
          <w:szCs w:val="20"/>
        </w:rPr>
      </w:pPr>
      <w:r w:rsidRPr="00BD5001">
        <w:rPr>
          <w:rFonts w:ascii="Arial" w:hAnsi="Arial" w:cs="Arial"/>
          <w:sz w:val="20"/>
          <w:szCs w:val="20"/>
        </w:rPr>
        <w:t>Money market presents the first phase of monetary transmission, where central bank controls short term segment of financial market. This is processed through determination of key interest that affect yield curve in the segments of financial market relative to investment decisions of private sector, monetary dynam</w:t>
      </w:r>
      <w:r w:rsidR="00B93F7A">
        <w:rPr>
          <w:rFonts w:ascii="Arial" w:hAnsi="Arial" w:cs="Arial"/>
          <w:sz w:val="20"/>
          <w:szCs w:val="20"/>
        </w:rPr>
        <w:t>ic and price stability. Using the</w:t>
      </w:r>
      <w:r w:rsidRPr="00BD5001">
        <w:rPr>
          <w:rFonts w:ascii="Arial" w:hAnsi="Arial" w:cs="Arial"/>
          <w:sz w:val="20"/>
          <w:szCs w:val="20"/>
        </w:rPr>
        <w:t xml:space="preserve"> opportunity to monitor interest rates with similar maturity, central bank can influenced longer maturities. Functional and liquid money market is fundament which provides central banks to achieve price stability goals. Serbia money market is undeveloped in terms of financial instruments and maturities. There is no presence of instruments characterized for developed markets such as certificate of deposits, commercial paper and interbank repo operations (IMF, 2010). High </w:t>
      </w:r>
      <w:proofErr w:type="spellStart"/>
      <w:r w:rsidRPr="00BD5001">
        <w:rPr>
          <w:rFonts w:ascii="Arial" w:hAnsi="Arial" w:cs="Arial"/>
          <w:sz w:val="20"/>
          <w:szCs w:val="20"/>
        </w:rPr>
        <w:t>eurisation</w:t>
      </w:r>
      <w:proofErr w:type="spellEnd"/>
      <w:r w:rsidRPr="00BD5001">
        <w:rPr>
          <w:rFonts w:ascii="Arial" w:hAnsi="Arial" w:cs="Arial"/>
          <w:sz w:val="20"/>
          <w:szCs w:val="20"/>
        </w:rPr>
        <w:t xml:space="preserve"> of banks’ balance sheet position does not motivate banks to actively manage dinar liquidity. Therefore, market activity is mainly focused on two week repo operations. </w:t>
      </w:r>
    </w:p>
    <w:p w:rsidR="00BC365A" w:rsidRDefault="00BC365A" w:rsidP="00D26E0D">
      <w:pPr>
        <w:spacing w:line="240" w:lineRule="auto"/>
        <w:jc w:val="both"/>
        <w:rPr>
          <w:rFonts w:ascii="Arial" w:hAnsi="Arial" w:cs="Arial"/>
          <w:sz w:val="20"/>
          <w:szCs w:val="20"/>
        </w:rPr>
      </w:pPr>
      <w:r>
        <w:rPr>
          <w:rFonts w:ascii="Arial" w:hAnsi="Arial" w:cs="Arial"/>
          <w:sz w:val="20"/>
          <w:szCs w:val="20"/>
        </w:rPr>
        <w:t xml:space="preserve">High turnovers on repo operation are followed by relatively high key interest rate. In this case, financial institutions are motivated go gain risk free profit rather than manage its own liquidity. Therefore, there was evidence of speculative </w:t>
      </w:r>
      <w:proofErr w:type="gramStart"/>
      <w:r>
        <w:rPr>
          <w:rFonts w:ascii="Arial" w:hAnsi="Arial" w:cs="Arial"/>
          <w:sz w:val="20"/>
          <w:szCs w:val="20"/>
        </w:rPr>
        <w:t>investors</w:t>
      </w:r>
      <w:proofErr w:type="gramEnd"/>
      <w:r>
        <w:rPr>
          <w:rFonts w:ascii="Arial" w:hAnsi="Arial" w:cs="Arial"/>
          <w:sz w:val="20"/>
          <w:szCs w:val="20"/>
        </w:rPr>
        <w:t xml:space="preserve"> presence who pursued speculative “carry trade”. </w:t>
      </w:r>
      <w:r w:rsidR="00ED0D15">
        <w:rPr>
          <w:rFonts w:ascii="Arial" w:hAnsi="Arial" w:cs="Arial"/>
          <w:sz w:val="20"/>
          <w:szCs w:val="20"/>
        </w:rPr>
        <w:t xml:space="preserve">In this case, interest rate losses its main role, while exchange rate strengthens the influence on macroeconomic activities. </w:t>
      </w:r>
    </w:p>
    <w:p w:rsidR="00D26E0D" w:rsidRPr="00BD5001" w:rsidRDefault="00D26E0D" w:rsidP="00D26E0D">
      <w:pPr>
        <w:spacing w:line="240" w:lineRule="auto"/>
        <w:jc w:val="both"/>
        <w:rPr>
          <w:rFonts w:ascii="Arial" w:hAnsi="Arial" w:cs="Arial"/>
          <w:sz w:val="20"/>
          <w:szCs w:val="20"/>
        </w:rPr>
      </w:pPr>
      <w:r w:rsidRPr="00BD5001">
        <w:rPr>
          <w:rFonts w:ascii="Arial" w:hAnsi="Arial" w:cs="Arial"/>
          <w:sz w:val="20"/>
          <w:szCs w:val="20"/>
        </w:rPr>
        <w:t xml:space="preserve">On the other hand, secondary money market practically doesn’t exist since the turnovers are very low. Concentration on money market also matters in terms of transmission channels efficiency. Concentrated market and participants with monopolistic position leads to uncompetitive formation of interest rates and wide spreads, which disturbs credit and interest rate channel even if the first phase of transmission. </w:t>
      </w:r>
      <w:proofErr w:type="gramStart"/>
      <w:r w:rsidRPr="00BD5001">
        <w:rPr>
          <w:rFonts w:ascii="Arial" w:hAnsi="Arial" w:cs="Arial"/>
          <w:sz w:val="20"/>
          <w:szCs w:val="20"/>
        </w:rPr>
        <w:t>Although data on this matter are not available, as an approximation can serve share of five largest participants in treasury notes and NBS bills.</w:t>
      </w:r>
      <w:proofErr w:type="gramEnd"/>
      <w:r w:rsidRPr="00BD5001">
        <w:rPr>
          <w:rFonts w:ascii="Arial" w:hAnsi="Arial" w:cs="Arial"/>
          <w:sz w:val="20"/>
          <w:szCs w:val="20"/>
        </w:rPr>
        <w:t xml:space="preserve"> Data presented in table below exhibit relatively high money market concentration in Serbia. </w:t>
      </w:r>
    </w:p>
    <w:p w:rsidR="00D26E0D" w:rsidRPr="00BD5001" w:rsidRDefault="00D26E0D" w:rsidP="00D26E0D">
      <w:pPr>
        <w:pStyle w:val="Caption"/>
        <w:rPr>
          <w:rFonts w:ascii="Arial" w:hAnsi="Arial" w:cs="Arial"/>
          <w:sz w:val="20"/>
          <w:szCs w:val="20"/>
        </w:rPr>
      </w:pPr>
      <w:r w:rsidRPr="00BD5001">
        <w:rPr>
          <w:rFonts w:ascii="Arial" w:hAnsi="Arial" w:cs="Arial"/>
          <w:sz w:val="20"/>
          <w:szCs w:val="20"/>
        </w:rPr>
        <w:lastRenderedPageBreak/>
        <w:t xml:space="preserve">Table </w:t>
      </w:r>
      <w:r w:rsidRPr="00BD5001">
        <w:rPr>
          <w:rFonts w:ascii="Arial" w:hAnsi="Arial" w:cs="Arial"/>
          <w:sz w:val="20"/>
          <w:szCs w:val="20"/>
        </w:rPr>
        <w:fldChar w:fldCharType="begin"/>
      </w:r>
      <w:r w:rsidRPr="00BD5001">
        <w:rPr>
          <w:rFonts w:ascii="Arial" w:hAnsi="Arial" w:cs="Arial"/>
          <w:sz w:val="20"/>
          <w:szCs w:val="20"/>
        </w:rPr>
        <w:instrText xml:space="preserve"> SEQ Table \* ARABIC </w:instrText>
      </w:r>
      <w:r w:rsidRPr="00BD5001">
        <w:rPr>
          <w:rFonts w:ascii="Arial" w:hAnsi="Arial" w:cs="Arial"/>
          <w:sz w:val="20"/>
          <w:szCs w:val="20"/>
        </w:rPr>
        <w:fldChar w:fldCharType="separate"/>
      </w:r>
      <w:r w:rsidR="006946C4">
        <w:rPr>
          <w:rFonts w:ascii="Arial" w:hAnsi="Arial" w:cs="Arial"/>
          <w:noProof/>
          <w:sz w:val="20"/>
          <w:szCs w:val="20"/>
        </w:rPr>
        <w:t>1</w:t>
      </w:r>
      <w:r w:rsidRPr="00BD5001">
        <w:rPr>
          <w:rFonts w:ascii="Arial" w:hAnsi="Arial" w:cs="Arial"/>
          <w:sz w:val="20"/>
          <w:szCs w:val="20"/>
        </w:rPr>
        <w:fldChar w:fldCharType="end"/>
      </w:r>
      <w:r w:rsidRPr="00BD5001">
        <w:rPr>
          <w:rFonts w:ascii="Arial" w:hAnsi="Arial" w:cs="Arial"/>
          <w:sz w:val="20"/>
          <w:szCs w:val="20"/>
        </w:rPr>
        <w:t xml:space="preserve"> Money market concentration</w:t>
      </w:r>
    </w:p>
    <w:tbl>
      <w:tblPr>
        <w:tblStyle w:val="TableGrid"/>
        <w:tblW w:w="0" w:type="auto"/>
        <w:tblLayout w:type="fixed"/>
        <w:tblLook w:val="04A0" w:firstRow="1" w:lastRow="0" w:firstColumn="1" w:lastColumn="0" w:noHBand="0" w:noVBand="1"/>
      </w:tblPr>
      <w:tblGrid>
        <w:gridCol w:w="817"/>
        <w:gridCol w:w="4412"/>
        <w:gridCol w:w="4347"/>
      </w:tblGrid>
      <w:tr w:rsidR="00D26E0D" w:rsidRPr="00BD5001" w:rsidTr="00BD5D07">
        <w:trPr>
          <w:trHeight w:val="300"/>
        </w:trPr>
        <w:tc>
          <w:tcPr>
            <w:tcW w:w="817" w:type="dxa"/>
            <w:noWrap/>
            <w:hideMark/>
          </w:tcPr>
          <w:p w:rsidR="00D26E0D" w:rsidRPr="001D3306" w:rsidRDefault="00D26E0D" w:rsidP="00BD5D07">
            <w:pPr>
              <w:ind w:firstLine="284"/>
              <w:contextualSpacing/>
              <w:jc w:val="center"/>
              <w:rPr>
                <w:rFonts w:ascii="Arial" w:eastAsia="Times New Roman" w:hAnsi="Arial" w:cs="Arial"/>
                <w:b/>
                <w:bCs/>
                <w:sz w:val="20"/>
                <w:szCs w:val="20"/>
                <w:lang w:val="ru-RU"/>
              </w:rPr>
            </w:pPr>
          </w:p>
        </w:tc>
        <w:tc>
          <w:tcPr>
            <w:tcW w:w="4412" w:type="dxa"/>
            <w:noWrap/>
            <w:hideMark/>
          </w:tcPr>
          <w:p w:rsidR="00D26E0D" w:rsidRPr="001D3306" w:rsidRDefault="00D26E0D" w:rsidP="00BD5D07">
            <w:pPr>
              <w:ind w:firstLine="284"/>
              <w:contextualSpacing/>
              <w:jc w:val="center"/>
              <w:rPr>
                <w:rFonts w:ascii="Arial" w:eastAsia="Times New Roman" w:hAnsi="Arial" w:cs="Arial"/>
                <w:b/>
                <w:bCs/>
                <w:sz w:val="20"/>
                <w:szCs w:val="20"/>
              </w:rPr>
            </w:pPr>
            <w:r w:rsidRPr="00BD5001">
              <w:rPr>
                <w:rFonts w:ascii="Arial" w:eastAsia="Times New Roman" w:hAnsi="Arial" w:cs="Arial"/>
                <w:b/>
                <w:bCs/>
                <w:sz w:val="20"/>
                <w:szCs w:val="20"/>
              </w:rPr>
              <w:t>NSB bills market</w:t>
            </w:r>
          </w:p>
        </w:tc>
        <w:tc>
          <w:tcPr>
            <w:tcW w:w="4347" w:type="dxa"/>
            <w:noWrap/>
            <w:hideMark/>
          </w:tcPr>
          <w:p w:rsidR="00D26E0D" w:rsidRPr="001D3306" w:rsidRDefault="00D26E0D" w:rsidP="00BD5D07">
            <w:pPr>
              <w:ind w:firstLine="284"/>
              <w:contextualSpacing/>
              <w:jc w:val="center"/>
              <w:rPr>
                <w:rFonts w:ascii="Arial" w:eastAsia="Times New Roman" w:hAnsi="Arial" w:cs="Arial"/>
                <w:b/>
                <w:bCs/>
                <w:sz w:val="20"/>
                <w:szCs w:val="20"/>
              </w:rPr>
            </w:pPr>
            <w:r w:rsidRPr="00BD5001">
              <w:rPr>
                <w:rFonts w:ascii="Arial" w:eastAsia="Times New Roman" w:hAnsi="Arial" w:cs="Arial"/>
                <w:b/>
                <w:bCs/>
                <w:sz w:val="20"/>
                <w:szCs w:val="20"/>
              </w:rPr>
              <w:t>Treasury notes market</w:t>
            </w:r>
          </w:p>
        </w:tc>
      </w:tr>
      <w:tr w:rsidR="00D26E0D" w:rsidRPr="001D3306" w:rsidTr="00BD5D07">
        <w:trPr>
          <w:trHeight w:val="300"/>
        </w:trPr>
        <w:tc>
          <w:tcPr>
            <w:tcW w:w="817" w:type="dxa"/>
            <w:noWrap/>
            <w:hideMark/>
          </w:tcPr>
          <w:p w:rsidR="00D26E0D" w:rsidRPr="001D3306" w:rsidRDefault="00D26E0D" w:rsidP="00BD5D07">
            <w:pPr>
              <w:contextualSpacing/>
              <w:rPr>
                <w:rFonts w:ascii="Arial" w:eastAsia="Times New Roman" w:hAnsi="Arial" w:cs="Arial"/>
                <w:b/>
                <w:bCs/>
                <w:sz w:val="20"/>
                <w:szCs w:val="20"/>
                <w:lang w:val="sr-Cyrl-CS"/>
              </w:rPr>
            </w:pPr>
            <w:r w:rsidRPr="001D3306">
              <w:rPr>
                <w:rFonts w:ascii="Arial" w:eastAsia="Times New Roman" w:hAnsi="Arial" w:cs="Arial"/>
                <w:b/>
                <w:bCs/>
                <w:sz w:val="20"/>
                <w:szCs w:val="20"/>
              </w:rPr>
              <w:t>2011</w:t>
            </w:r>
            <w:r w:rsidRPr="001D3306">
              <w:rPr>
                <w:rFonts w:ascii="Arial" w:eastAsia="Times New Roman" w:hAnsi="Arial" w:cs="Arial"/>
                <w:b/>
                <w:bCs/>
                <w:sz w:val="20"/>
                <w:szCs w:val="20"/>
                <w:lang w:val="sr-Cyrl-CS"/>
              </w:rPr>
              <w:t>.</w:t>
            </w:r>
          </w:p>
        </w:tc>
        <w:tc>
          <w:tcPr>
            <w:tcW w:w="4412" w:type="dxa"/>
            <w:noWrap/>
          </w:tcPr>
          <w:p w:rsidR="00D26E0D" w:rsidRPr="001D3306" w:rsidRDefault="00D26E0D" w:rsidP="00BD5D07">
            <w:pPr>
              <w:ind w:firstLine="284"/>
              <w:contextualSpacing/>
              <w:rPr>
                <w:rFonts w:ascii="Arial" w:eastAsia="Times New Roman" w:hAnsi="Arial" w:cs="Arial"/>
                <w:sz w:val="20"/>
                <w:szCs w:val="20"/>
                <w:lang w:val="sr-Cyrl-RS"/>
              </w:rPr>
            </w:pPr>
            <w:r w:rsidRPr="001D3306">
              <w:rPr>
                <w:rFonts w:ascii="Arial" w:eastAsia="Times New Roman" w:hAnsi="Arial" w:cs="Arial"/>
                <w:sz w:val="20"/>
                <w:szCs w:val="20"/>
                <w:lang w:val="sr-Cyrl-RS"/>
              </w:rPr>
              <w:t xml:space="preserve">  </w:t>
            </w:r>
            <w:r w:rsidRPr="00BD5001">
              <w:rPr>
                <w:rFonts w:ascii="Arial" w:eastAsia="Times New Roman" w:hAnsi="Arial" w:cs="Arial"/>
                <w:sz w:val="20"/>
                <w:szCs w:val="20"/>
                <w:lang w:val="sr-Cyrl-RS"/>
              </w:rPr>
              <w:t xml:space="preserve">                         </w:t>
            </w:r>
            <w:r w:rsidRPr="001D3306">
              <w:rPr>
                <w:rFonts w:ascii="Arial" w:eastAsia="Times New Roman" w:hAnsi="Arial" w:cs="Arial"/>
                <w:sz w:val="20"/>
                <w:szCs w:val="20"/>
              </w:rPr>
              <w:t>60,7</w:t>
            </w:r>
            <w:r w:rsidRPr="001D3306">
              <w:rPr>
                <w:rFonts w:ascii="Arial" w:eastAsia="Times New Roman" w:hAnsi="Arial" w:cs="Arial"/>
                <w:sz w:val="20"/>
                <w:szCs w:val="20"/>
                <w:lang w:val="sr-Cyrl-RS"/>
              </w:rPr>
              <w:t>%</w:t>
            </w:r>
          </w:p>
        </w:tc>
        <w:tc>
          <w:tcPr>
            <w:tcW w:w="4347" w:type="dxa"/>
            <w:noWrap/>
          </w:tcPr>
          <w:p w:rsidR="00D26E0D" w:rsidRPr="001D3306" w:rsidRDefault="00D26E0D" w:rsidP="00BD5D07">
            <w:pPr>
              <w:ind w:firstLine="284"/>
              <w:contextualSpacing/>
              <w:jc w:val="center"/>
              <w:rPr>
                <w:rFonts w:ascii="Arial" w:eastAsia="Times New Roman" w:hAnsi="Arial" w:cs="Arial"/>
                <w:sz w:val="20"/>
                <w:szCs w:val="20"/>
                <w:lang w:val="sr-Cyrl-RS"/>
              </w:rPr>
            </w:pPr>
            <w:r w:rsidRPr="001D3306">
              <w:rPr>
                <w:rFonts w:ascii="Arial" w:eastAsia="Times New Roman" w:hAnsi="Arial" w:cs="Arial"/>
                <w:sz w:val="20"/>
                <w:szCs w:val="20"/>
              </w:rPr>
              <w:t>88,75</w:t>
            </w:r>
            <w:r w:rsidRPr="001D3306">
              <w:rPr>
                <w:rFonts w:ascii="Arial" w:eastAsia="Times New Roman" w:hAnsi="Arial" w:cs="Arial"/>
                <w:sz w:val="20"/>
                <w:szCs w:val="20"/>
                <w:lang w:val="sr-Cyrl-RS"/>
              </w:rPr>
              <w:t>%</w:t>
            </w:r>
          </w:p>
        </w:tc>
      </w:tr>
      <w:tr w:rsidR="00D26E0D" w:rsidRPr="001D3306" w:rsidTr="00BD5D07">
        <w:trPr>
          <w:trHeight w:val="300"/>
        </w:trPr>
        <w:tc>
          <w:tcPr>
            <w:tcW w:w="817" w:type="dxa"/>
            <w:noWrap/>
            <w:hideMark/>
          </w:tcPr>
          <w:p w:rsidR="00D26E0D" w:rsidRPr="001D3306" w:rsidRDefault="00D26E0D" w:rsidP="00BD5D07">
            <w:pPr>
              <w:contextualSpacing/>
              <w:rPr>
                <w:rFonts w:ascii="Arial" w:eastAsia="Times New Roman" w:hAnsi="Arial" w:cs="Arial"/>
                <w:b/>
                <w:bCs/>
                <w:sz w:val="20"/>
                <w:szCs w:val="20"/>
                <w:lang w:val="sr-Cyrl-CS"/>
              </w:rPr>
            </w:pPr>
            <w:r w:rsidRPr="001D3306">
              <w:rPr>
                <w:rFonts w:ascii="Arial" w:eastAsia="Times New Roman" w:hAnsi="Arial" w:cs="Arial"/>
                <w:b/>
                <w:bCs/>
                <w:sz w:val="20"/>
                <w:szCs w:val="20"/>
              </w:rPr>
              <w:t>20</w:t>
            </w:r>
            <w:r w:rsidRPr="001D3306">
              <w:rPr>
                <w:rFonts w:ascii="Arial" w:eastAsia="Times New Roman" w:hAnsi="Arial" w:cs="Arial"/>
                <w:b/>
                <w:bCs/>
                <w:sz w:val="20"/>
                <w:szCs w:val="20"/>
                <w:lang w:val="sr-Cyrl-RS"/>
              </w:rPr>
              <w:t>12</w:t>
            </w:r>
            <w:r w:rsidRPr="001D3306">
              <w:rPr>
                <w:rFonts w:ascii="Arial" w:eastAsia="Times New Roman" w:hAnsi="Arial" w:cs="Arial"/>
                <w:b/>
                <w:bCs/>
                <w:sz w:val="20"/>
                <w:szCs w:val="20"/>
                <w:lang w:val="sr-Cyrl-CS"/>
              </w:rPr>
              <w:t>.</w:t>
            </w:r>
          </w:p>
        </w:tc>
        <w:tc>
          <w:tcPr>
            <w:tcW w:w="4412" w:type="dxa"/>
            <w:noWrap/>
          </w:tcPr>
          <w:p w:rsidR="00D26E0D" w:rsidRPr="001D3306" w:rsidRDefault="00D26E0D" w:rsidP="00BD5D07">
            <w:pPr>
              <w:contextualSpacing/>
              <w:jc w:val="center"/>
              <w:rPr>
                <w:rFonts w:ascii="Arial" w:eastAsia="Times New Roman" w:hAnsi="Arial" w:cs="Arial"/>
                <w:sz w:val="20"/>
                <w:szCs w:val="20"/>
                <w:lang w:val="sr-Cyrl-RS"/>
              </w:rPr>
            </w:pPr>
            <w:r w:rsidRPr="001D3306">
              <w:rPr>
                <w:rFonts w:ascii="Arial" w:eastAsia="Times New Roman" w:hAnsi="Arial" w:cs="Arial"/>
                <w:sz w:val="20"/>
                <w:szCs w:val="20"/>
                <w:lang w:val="sr-Cyrl-RS"/>
              </w:rPr>
              <w:t>56%</w:t>
            </w:r>
          </w:p>
        </w:tc>
        <w:tc>
          <w:tcPr>
            <w:tcW w:w="4347" w:type="dxa"/>
            <w:noWrap/>
          </w:tcPr>
          <w:p w:rsidR="00D26E0D" w:rsidRPr="001D3306" w:rsidRDefault="00D26E0D" w:rsidP="00BD5D07">
            <w:pPr>
              <w:ind w:firstLine="284"/>
              <w:contextualSpacing/>
              <w:jc w:val="center"/>
              <w:rPr>
                <w:rFonts w:ascii="Arial" w:eastAsia="Times New Roman" w:hAnsi="Arial" w:cs="Arial"/>
                <w:sz w:val="20"/>
                <w:szCs w:val="20"/>
                <w:lang w:val="sr-Cyrl-RS"/>
              </w:rPr>
            </w:pPr>
            <w:r w:rsidRPr="001D3306">
              <w:rPr>
                <w:rFonts w:ascii="Arial" w:eastAsia="Times New Roman" w:hAnsi="Arial" w:cs="Arial"/>
                <w:sz w:val="20"/>
                <w:szCs w:val="20"/>
                <w:lang w:val="sr-Cyrl-RS"/>
              </w:rPr>
              <w:t>76,39%</w:t>
            </w:r>
          </w:p>
        </w:tc>
      </w:tr>
      <w:tr w:rsidR="00D26E0D" w:rsidRPr="001D3306" w:rsidTr="00BD5D07">
        <w:trPr>
          <w:trHeight w:val="300"/>
        </w:trPr>
        <w:tc>
          <w:tcPr>
            <w:tcW w:w="817" w:type="dxa"/>
            <w:noWrap/>
            <w:hideMark/>
          </w:tcPr>
          <w:p w:rsidR="00D26E0D" w:rsidRPr="001D3306" w:rsidRDefault="00D26E0D" w:rsidP="00BD5D07">
            <w:pPr>
              <w:contextualSpacing/>
              <w:rPr>
                <w:rFonts w:ascii="Arial" w:eastAsia="Times New Roman" w:hAnsi="Arial" w:cs="Arial"/>
                <w:b/>
                <w:bCs/>
                <w:sz w:val="20"/>
                <w:szCs w:val="20"/>
                <w:lang w:val="sr-Cyrl-CS"/>
              </w:rPr>
            </w:pPr>
            <w:r w:rsidRPr="001D3306">
              <w:rPr>
                <w:rFonts w:ascii="Arial" w:eastAsia="Times New Roman" w:hAnsi="Arial" w:cs="Arial"/>
                <w:b/>
                <w:bCs/>
                <w:sz w:val="20"/>
                <w:szCs w:val="20"/>
              </w:rPr>
              <w:t>20</w:t>
            </w:r>
            <w:r w:rsidRPr="001D3306">
              <w:rPr>
                <w:rFonts w:ascii="Arial" w:eastAsia="Times New Roman" w:hAnsi="Arial" w:cs="Arial"/>
                <w:b/>
                <w:bCs/>
                <w:sz w:val="20"/>
                <w:szCs w:val="20"/>
                <w:lang w:val="sr-Cyrl-RS"/>
              </w:rPr>
              <w:t>14</w:t>
            </w:r>
            <w:r w:rsidRPr="001D3306">
              <w:rPr>
                <w:rFonts w:ascii="Arial" w:eastAsia="Times New Roman" w:hAnsi="Arial" w:cs="Arial"/>
                <w:b/>
                <w:bCs/>
                <w:sz w:val="20"/>
                <w:szCs w:val="20"/>
                <w:lang w:val="sr-Cyrl-CS"/>
              </w:rPr>
              <w:t>.</w:t>
            </w:r>
          </w:p>
        </w:tc>
        <w:tc>
          <w:tcPr>
            <w:tcW w:w="4412" w:type="dxa"/>
            <w:noWrap/>
          </w:tcPr>
          <w:p w:rsidR="00D26E0D" w:rsidRPr="001D3306" w:rsidRDefault="00D26E0D" w:rsidP="00BD5D07">
            <w:pPr>
              <w:ind w:firstLine="284"/>
              <w:contextualSpacing/>
              <w:jc w:val="center"/>
              <w:rPr>
                <w:rFonts w:ascii="Arial" w:eastAsia="Times New Roman" w:hAnsi="Arial" w:cs="Arial"/>
                <w:sz w:val="20"/>
                <w:szCs w:val="20"/>
                <w:lang w:val="sr-Cyrl-RS"/>
              </w:rPr>
            </w:pPr>
            <w:r w:rsidRPr="001D3306">
              <w:rPr>
                <w:rFonts w:ascii="Arial" w:eastAsia="Times New Roman" w:hAnsi="Arial" w:cs="Arial"/>
                <w:sz w:val="20"/>
                <w:szCs w:val="20"/>
                <w:lang w:val="sr-Cyrl-RS"/>
              </w:rPr>
              <w:t>61,27%</w:t>
            </w:r>
          </w:p>
        </w:tc>
        <w:tc>
          <w:tcPr>
            <w:tcW w:w="4347" w:type="dxa"/>
            <w:noWrap/>
          </w:tcPr>
          <w:p w:rsidR="00D26E0D" w:rsidRPr="001D3306" w:rsidRDefault="00D26E0D" w:rsidP="00BD5D07">
            <w:pPr>
              <w:contextualSpacing/>
              <w:jc w:val="center"/>
              <w:rPr>
                <w:rFonts w:ascii="Arial" w:eastAsia="Times New Roman" w:hAnsi="Arial" w:cs="Arial"/>
                <w:sz w:val="20"/>
                <w:szCs w:val="20"/>
                <w:lang w:val="sr-Cyrl-RS"/>
              </w:rPr>
            </w:pPr>
            <w:r w:rsidRPr="001D3306">
              <w:rPr>
                <w:rFonts w:ascii="Arial" w:eastAsia="Times New Roman" w:hAnsi="Arial" w:cs="Arial"/>
                <w:sz w:val="20"/>
                <w:szCs w:val="20"/>
                <w:lang w:val="sr-Cyrl-RS"/>
              </w:rPr>
              <w:t xml:space="preserve">      72,47%</w:t>
            </w:r>
          </w:p>
        </w:tc>
      </w:tr>
    </w:tbl>
    <w:p w:rsidR="00D26E0D" w:rsidRPr="00BD5001" w:rsidRDefault="00D26E0D" w:rsidP="00D26E0D">
      <w:pPr>
        <w:spacing w:line="240" w:lineRule="auto"/>
        <w:jc w:val="both"/>
        <w:rPr>
          <w:rFonts w:ascii="Arial" w:hAnsi="Arial" w:cs="Arial"/>
          <w:sz w:val="20"/>
          <w:szCs w:val="20"/>
        </w:rPr>
      </w:pPr>
      <w:r w:rsidRPr="00BD5001">
        <w:rPr>
          <w:rFonts w:ascii="Arial" w:hAnsi="Arial" w:cs="Arial"/>
          <w:sz w:val="20"/>
          <w:szCs w:val="20"/>
        </w:rPr>
        <w:t>Source: Central Securities Depository and Clearing House</w: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Highly concentrated banking sector</w:t>
      </w:r>
      <w:r w:rsidR="00B93F7A">
        <w:rPr>
          <w:rFonts w:ascii="Arial" w:hAnsi="Arial" w:cs="Arial"/>
          <w:sz w:val="20"/>
          <w:szCs w:val="20"/>
        </w:rPr>
        <w:t xml:space="preserve"> also</w:t>
      </w:r>
      <w:r w:rsidRPr="00BD5001">
        <w:rPr>
          <w:rFonts w:ascii="Arial" w:hAnsi="Arial" w:cs="Arial"/>
          <w:sz w:val="20"/>
          <w:szCs w:val="20"/>
        </w:rPr>
        <w:t xml:space="preserve"> </w:t>
      </w:r>
      <w:r w:rsidR="008A2D92" w:rsidRPr="00BD5001">
        <w:rPr>
          <w:rFonts w:ascii="Arial" w:hAnsi="Arial" w:cs="Arial"/>
          <w:sz w:val="20"/>
          <w:szCs w:val="20"/>
        </w:rPr>
        <w:t>disrupts</w:t>
      </w:r>
      <w:r w:rsidRPr="00BD5001">
        <w:rPr>
          <w:rFonts w:ascii="Arial" w:hAnsi="Arial" w:cs="Arial"/>
          <w:sz w:val="20"/>
          <w:szCs w:val="20"/>
        </w:rPr>
        <w:t xml:space="preserve"> normal transmission of monetary policy. It is caused by the larger banks which influence the movement of interest rates on loans and deposits. The le</w:t>
      </w:r>
      <w:r w:rsidR="008A2D92" w:rsidRPr="00BD5001">
        <w:rPr>
          <w:rFonts w:ascii="Arial" w:hAnsi="Arial" w:cs="Arial"/>
          <w:sz w:val="20"/>
          <w:szCs w:val="20"/>
        </w:rPr>
        <w:t>vel of competition has impact on</w:t>
      </w:r>
      <w:r w:rsidRPr="00BD5001">
        <w:rPr>
          <w:rFonts w:ascii="Arial" w:hAnsi="Arial" w:cs="Arial"/>
          <w:sz w:val="20"/>
          <w:szCs w:val="20"/>
        </w:rPr>
        <w:t xml:space="preserve"> forming prices of banking product. The effect of market concentration on prices in modern literature is defined with to opposite hypothesis (</w:t>
      </w:r>
      <w:proofErr w:type="spellStart"/>
      <w:r w:rsidRPr="00BD5001">
        <w:rPr>
          <w:rFonts w:ascii="Arial" w:hAnsi="Arial" w:cs="Arial"/>
          <w:sz w:val="20"/>
          <w:szCs w:val="20"/>
        </w:rPr>
        <w:t>Corvoiser</w:t>
      </w:r>
      <w:proofErr w:type="spellEnd"/>
      <w:r w:rsidRPr="00BD5001">
        <w:rPr>
          <w:rFonts w:ascii="Arial" w:hAnsi="Arial" w:cs="Arial"/>
          <w:sz w:val="20"/>
          <w:szCs w:val="20"/>
        </w:rPr>
        <w:t xml:space="preserve">, S., </w:t>
      </w:r>
      <w:proofErr w:type="spellStart"/>
      <w:r w:rsidRPr="00BD5001">
        <w:rPr>
          <w:rFonts w:ascii="Arial" w:hAnsi="Arial" w:cs="Arial"/>
          <w:sz w:val="20"/>
          <w:szCs w:val="20"/>
        </w:rPr>
        <w:t>Gropp</w:t>
      </w:r>
      <w:proofErr w:type="spellEnd"/>
      <w:r w:rsidRPr="00BD5001">
        <w:rPr>
          <w:rFonts w:ascii="Arial" w:hAnsi="Arial" w:cs="Arial"/>
          <w:sz w:val="20"/>
          <w:szCs w:val="20"/>
        </w:rPr>
        <w:t>, R., 2002). “Structure conduct hypothesis” indicate</w:t>
      </w:r>
      <w:r w:rsidR="008A2D92" w:rsidRPr="00BD5001">
        <w:rPr>
          <w:rFonts w:ascii="Arial" w:hAnsi="Arial" w:cs="Arial"/>
          <w:sz w:val="20"/>
          <w:szCs w:val="20"/>
        </w:rPr>
        <w:t>s</w:t>
      </w:r>
      <w:r w:rsidRPr="00BD5001">
        <w:rPr>
          <w:rFonts w:ascii="Arial" w:hAnsi="Arial" w:cs="Arial"/>
          <w:sz w:val="20"/>
          <w:szCs w:val="20"/>
        </w:rPr>
        <w:t xml:space="preserve"> that higher concentration leads </w:t>
      </w:r>
      <w:r w:rsidR="008A2D92" w:rsidRPr="00BD5001">
        <w:rPr>
          <w:rFonts w:ascii="Arial" w:hAnsi="Arial" w:cs="Arial"/>
          <w:sz w:val="20"/>
          <w:szCs w:val="20"/>
        </w:rPr>
        <w:t xml:space="preserve">to </w:t>
      </w:r>
      <w:r w:rsidRPr="00BD5001">
        <w:rPr>
          <w:rFonts w:ascii="Arial" w:hAnsi="Arial" w:cs="Arial"/>
          <w:sz w:val="20"/>
          <w:szCs w:val="20"/>
        </w:rPr>
        <w:t xml:space="preserve">prices that are </w:t>
      </w:r>
      <w:r w:rsidR="008A2D92" w:rsidRPr="00BD5001">
        <w:rPr>
          <w:rFonts w:ascii="Arial" w:hAnsi="Arial" w:cs="Arial"/>
          <w:sz w:val="20"/>
          <w:szCs w:val="20"/>
        </w:rPr>
        <w:t>unfavorable</w:t>
      </w:r>
      <w:r w:rsidRPr="00BD5001">
        <w:rPr>
          <w:rFonts w:ascii="Arial" w:hAnsi="Arial" w:cs="Arial"/>
          <w:sz w:val="20"/>
          <w:szCs w:val="20"/>
        </w:rPr>
        <w:t xml:space="preserve"> to client. According to hypothesis, only banks</w:t>
      </w:r>
      <w:r w:rsidR="002E7A42" w:rsidRPr="00BD5001">
        <w:rPr>
          <w:rFonts w:ascii="Arial" w:hAnsi="Arial" w:cs="Arial"/>
          <w:sz w:val="20"/>
          <w:szCs w:val="20"/>
        </w:rPr>
        <w:t xml:space="preserve"> with</w:t>
      </w:r>
      <w:r w:rsidRPr="00BD5001">
        <w:rPr>
          <w:rFonts w:ascii="Arial" w:hAnsi="Arial" w:cs="Arial"/>
          <w:sz w:val="20"/>
          <w:szCs w:val="20"/>
        </w:rPr>
        <w:t xml:space="preserve"> higher market share and better differentiated products can influence interest rates and </w:t>
      </w:r>
      <w:r w:rsidR="002E7A42" w:rsidRPr="00BD5001">
        <w:rPr>
          <w:rFonts w:ascii="Arial" w:hAnsi="Arial" w:cs="Arial"/>
          <w:sz w:val="20"/>
          <w:szCs w:val="20"/>
        </w:rPr>
        <w:t>earn</w:t>
      </w:r>
      <w:r w:rsidRPr="00BD5001">
        <w:rPr>
          <w:rFonts w:ascii="Arial" w:hAnsi="Arial" w:cs="Arial"/>
          <w:sz w:val="20"/>
          <w:szCs w:val="20"/>
        </w:rPr>
        <w:t xml:space="preserve"> profit. Opposed to that, “efficient structure” hypothesis indicates that concentration </w:t>
      </w:r>
      <w:r w:rsidR="00667F54" w:rsidRPr="00BD5001">
        <w:rPr>
          <w:rFonts w:ascii="Arial" w:hAnsi="Arial" w:cs="Arial"/>
          <w:sz w:val="20"/>
          <w:szCs w:val="20"/>
        </w:rPr>
        <w:t>uplift</w:t>
      </w:r>
      <w:r w:rsidRPr="00BD5001">
        <w:rPr>
          <w:rFonts w:ascii="Arial" w:hAnsi="Arial" w:cs="Arial"/>
          <w:sz w:val="20"/>
          <w:szCs w:val="20"/>
        </w:rPr>
        <w:t xml:space="preserve"> overall sector efficiency. Th</w:t>
      </w:r>
      <w:r w:rsidR="00667F54" w:rsidRPr="00BD5001">
        <w:rPr>
          <w:rFonts w:ascii="Arial" w:hAnsi="Arial" w:cs="Arial"/>
          <w:sz w:val="20"/>
          <w:szCs w:val="20"/>
        </w:rPr>
        <w:t>e assumption</w:t>
      </w:r>
      <w:r w:rsidRPr="00BD5001">
        <w:rPr>
          <w:rFonts w:ascii="Arial" w:hAnsi="Arial" w:cs="Arial"/>
          <w:sz w:val="20"/>
          <w:szCs w:val="20"/>
        </w:rPr>
        <w:t xml:space="preserve"> is when increasing market share of more efficient banks, these banks take over less efficient. If this is a case, bank</w:t>
      </w:r>
      <w:r w:rsidR="00667F54" w:rsidRPr="00BD5001">
        <w:rPr>
          <w:rFonts w:ascii="Arial" w:hAnsi="Arial" w:cs="Arial"/>
          <w:sz w:val="20"/>
          <w:szCs w:val="20"/>
        </w:rPr>
        <w:t>s can price loans and deposits i</w:t>
      </w:r>
      <w:r w:rsidRPr="00BD5001">
        <w:rPr>
          <w:rFonts w:ascii="Arial" w:hAnsi="Arial" w:cs="Arial"/>
          <w:sz w:val="20"/>
          <w:szCs w:val="20"/>
        </w:rPr>
        <w:t xml:space="preserve">n more competitive way even on highly concentrated market. </w: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Banking sector in Serbia is not concentrated, according to data related to </w:t>
      </w:r>
      <w:proofErr w:type="spellStart"/>
      <w:r w:rsidRPr="00BD5001">
        <w:rPr>
          <w:rFonts w:ascii="Arial" w:hAnsi="Arial" w:cs="Arial"/>
          <w:sz w:val="20"/>
          <w:szCs w:val="20"/>
        </w:rPr>
        <w:t>Herfindahl</w:t>
      </w:r>
      <w:proofErr w:type="spellEnd"/>
      <w:r w:rsidRPr="00BD5001">
        <w:rPr>
          <w:rFonts w:ascii="Arial" w:hAnsi="Arial" w:cs="Arial"/>
          <w:sz w:val="20"/>
          <w:szCs w:val="20"/>
        </w:rPr>
        <w:t xml:space="preserve">-Hirschman index </w:t>
      </w:r>
      <w:r w:rsidRPr="004D042F">
        <w:rPr>
          <w:rFonts w:ascii="Arial" w:hAnsi="Arial" w:cs="Arial"/>
          <w:sz w:val="20"/>
          <w:szCs w:val="20"/>
        </w:rPr>
        <w:t>(</w:t>
      </w:r>
      <w:r w:rsidR="00667F54" w:rsidRPr="004D042F">
        <w:rPr>
          <w:rFonts w:ascii="Arial" w:hAnsi="Arial" w:cs="Arial"/>
          <w:sz w:val="20"/>
          <w:szCs w:val="20"/>
        </w:rPr>
        <w:t>see R</w:t>
      </w:r>
      <w:r w:rsidRPr="004D042F">
        <w:rPr>
          <w:rFonts w:ascii="Arial" w:hAnsi="Arial" w:cs="Arial"/>
          <w:sz w:val="20"/>
          <w:szCs w:val="20"/>
        </w:rPr>
        <w:t xml:space="preserve">eports on banking sector, </w:t>
      </w:r>
      <w:r w:rsidR="00667F54" w:rsidRPr="004D042F">
        <w:rPr>
          <w:rFonts w:ascii="Arial" w:hAnsi="Arial" w:cs="Arial"/>
          <w:sz w:val="20"/>
          <w:szCs w:val="20"/>
        </w:rPr>
        <w:t>NBS</w:t>
      </w:r>
      <w:r w:rsidRPr="004D042F">
        <w:rPr>
          <w:rFonts w:ascii="Arial" w:hAnsi="Arial" w:cs="Arial"/>
          <w:sz w:val="20"/>
          <w:szCs w:val="20"/>
        </w:rPr>
        <w:t xml:space="preserve">). However, there </w:t>
      </w:r>
      <w:r w:rsidR="00667F54" w:rsidRPr="004D042F">
        <w:rPr>
          <w:rFonts w:ascii="Arial" w:hAnsi="Arial" w:cs="Arial"/>
          <w:sz w:val="20"/>
          <w:szCs w:val="20"/>
        </w:rPr>
        <w:t xml:space="preserve">are </w:t>
      </w:r>
      <w:r w:rsidRPr="004D042F">
        <w:rPr>
          <w:rFonts w:ascii="Arial" w:hAnsi="Arial" w:cs="Arial"/>
          <w:sz w:val="20"/>
          <w:szCs w:val="20"/>
        </w:rPr>
        <w:t xml:space="preserve">some other issues </w:t>
      </w:r>
      <w:r w:rsidR="00667F54" w:rsidRPr="004D042F">
        <w:rPr>
          <w:rFonts w:ascii="Arial" w:hAnsi="Arial" w:cs="Arial"/>
          <w:sz w:val="20"/>
          <w:szCs w:val="20"/>
        </w:rPr>
        <w:t>associated</w:t>
      </w:r>
      <w:r w:rsidRPr="004D042F">
        <w:rPr>
          <w:rFonts w:ascii="Arial" w:hAnsi="Arial" w:cs="Arial"/>
          <w:sz w:val="20"/>
          <w:szCs w:val="20"/>
        </w:rPr>
        <w:t xml:space="preserve"> to </w:t>
      </w:r>
      <w:r w:rsidR="00667F54" w:rsidRPr="004D042F">
        <w:rPr>
          <w:rFonts w:ascii="Arial" w:hAnsi="Arial" w:cs="Arial"/>
          <w:sz w:val="20"/>
          <w:szCs w:val="20"/>
        </w:rPr>
        <w:t>competition</w:t>
      </w:r>
      <w:r w:rsidR="00667F54" w:rsidRPr="00BD5001">
        <w:rPr>
          <w:rFonts w:ascii="Arial" w:hAnsi="Arial" w:cs="Arial"/>
          <w:sz w:val="20"/>
          <w:szCs w:val="20"/>
        </w:rPr>
        <w:t xml:space="preserve"> that needs to </w:t>
      </w:r>
      <w:proofErr w:type="spellStart"/>
      <w:r w:rsidR="00667F54" w:rsidRPr="00BD5001">
        <w:rPr>
          <w:rFonts w:ascii="Arial" w:hAnsi="Arial" w:cs="Arial"/>
          <w:sz w:val="20"/>
          <w:szCs w:val="20"/>
        </w:rPr>
        <w:t>ne</w:t>
      </w:r>
      <w:proofErr w:type="spellEnd"/>
      <w:r w:rsidR="00667F54" w:rsidRPr="00BD5001">
        <w:rPr>
          <w:rFonts w:ascii="Arial" w:hAnsi="Arial" w:cs="Arial"/>
          <w:sz w:val="20"/>
          <w:szCs w:val="20"/>
        </w:rPr>
        <w:t xml:space="preserve"> examined, such as ownership structure of five larger banks. </w:t>
      </w:r>
    </w:p>
    <w:p w:rsidR="00667F54" w:rsidRPr="00BD5001" w:rsidRDefault="009943EB" w:rsidP="00CE254F">
      <w:pPr>
        <w:pStyle w:val="Caption"/>
        <w:rPr>
          <w:rFonts w:ascii="Arial" w:hAnsi="Arial" w:cs="Arial"/>
          <w:sz w:val="20"/>
          <w:szCs w:val="20"/>
        </w:rPr>
      </w:pPr>
      <w:r w:rsidRPr="00BD5001">
        <w:rPr>
          <w:rFonts w:ascii="Arial" w:hAnsi="Arial" w:cs="Arial"/>
          <w:sz w:val="20"/>
          <w:szCs w:val="20"/>
        </w:rPr>
        <w:t xml:space="preserve">Table </w:t>
      </w:r>
      <w:r w:rsidRPr="00BD5001">
        <w:rPr>
          <w:rFonts w:ascii="Arial" w:hAnsi="Arial" w:cs="Arial"/>
          <w:sz w:val="20"/>
          <w:szCs w:val="20"/>
        </w:rPr>
        <w:fldChar w:fldCharType="begin"/>
      </w:r>
      <w:r w:rsidRPr="00BD5001">
        <w:rPr>
          <w:rFonts w:ascii="Arial" w:hAnsi="Arial" w:cs="Arial"/>
          <w:sz w:val="20"/>
          <w:szCs w:val="20"/>
        </w:rPr>
        <w:instrText xml:space="preserve"> SEQ Table \* ARABIC </w:instrText>
      </w:r>
      <w:r w:rsidRPr="00BD5001">
        <w:rPr>
          <w:rFonts w:ascii="Arial" w:hAnsi="Arial" w:cs="Arial"/>
          <w:sz w:val="20"/>
          <w:szCs w:val="20"/>
        </w:rPr>
        <w:fldChar w:fldCharType="separate"/>
      </w:r>
      <w:r w:rsidR="006946C4">
        <w:rPr>
          <w:rFonts w:ascii="Arial" w:hAnsi="Arial" w:cs="Arial"/>
          <w:noProof/>
          <w:sz w:val="20"/>
          <w:szCs w:val="20"/>
        </w:rPr>
        <w:t>2</w:t>
      </w:r>
      <w:r w:rsidRPr="00BD5001">
        <w:rPr>
          <w:rFonts w:ascii="Arial" w:hAnsi="Arial" w:cs="Arial"/>
          <w:sz w:val="20"/>
          <w:szCs w:val="20"/>
        </w:rPr>
        <w:fldChar w:fldCharType="end"/>
      </w:r>
      <w:r w:rsidRPr="00BD5001">
        <w:rPr>
          <w:rFonts w:ascii="Arial" w:hAnsi="Arial" w:cs="Arial"/>
          <w:sz w:val="20"/>
          <w:szCs w:val="20"/>
        </w:rPr>
        <w:t xml:space="preserve"> </w:t>
      </w:r>
      <w:proofErr w:type="gramStart"/>
      <w:r w:rsidR="00667F54" w:rsidRPr="00BD5001">
        <w:rPr>
          <w:rFonts w:ascii="Arial" w:hAnsi="Arial" w:cs="Arial"/>
          <w:sz w:val="20"/>
          <w:szCs w:val="20"/>
        </w:rPr>
        <w:t>The</w:t>
      </w:r>
      <w:proofErr w:type="gramEnd"/>
      <w:r w:rsidR="00667F54" w:rsidRPr="00BD5001">
        <w:rPr>
          <w:rFonts w:ascii="Arial" w:hAnsi="Arial" w:cs="Arial"/>
          <w:sz w:val="20"/>
          <w:szCs w:val="20"/>
        </w:rPr>
        <w:t xml:space="preserve"> share of banks with foreign capital in five </w:t>
      </w:r>
      <w:r w:rsidR="00F76F34" w:rsidRPr="00BD5001">
        <w:rPr>
          <w:rFonts w:ascii="Arial" w:hAnsi="Arial" w:cs="Arial"/>
          <w:sz w:val="20"/>
          <w:szCs w:val="20"/>
        </w:rPr>
        <w:t>largest</w:t>
      </w:r>
      <w:r w:rsidR="00667F54" w:rsidRPr="00BD5001">
        <w:rPr>
          <w:rFonts w:ascii="Arial" w:hAnsi="Arial" w:cs="Arial"/>
          <w:sz w:val="20"/>
          <w:szCs w:val="20"/>
        </w:rPr>
        <w:t xml:space="preserve"> bank</w:t>
      </w:r>
      <w:r w:rsidR="00F76F34" w:rsidRPr="00BD5001">
        <w:rPr>
          <w:rFonts w:ascii="Arial" w:hAnsi="Arial" w:cs="Arial"/>
          <w:sz w:val="20"/>
          <w:szCs w:val="20"/>
        </w:rPr>
        <w:t>s</w:t>
      </w:r>
      <w:r w:rsidR="00667F54" w:rsidRPr="00BD5001">
        <w:rPr>
          <w:rFonts w:ascii="Arial" w:hAnsi="Arial" w:cs="Arial"/>
          <w:sz w:val="20"/>
          <w:szCs w:val="20"/>
        </w:rPr>
        <w:t xml:space="preserve"> in Serbia on 31</w:t>
      </w:r>
      <w:r w:rsidR="00F76F34" w:rsidRPr="00BD5001">
        <w:rPr>
          <w:rFonts w:ascii="Arial" w:hAnsi="Arial" w:cs="Arial"/>
          <w:sz w:val="20"/>
          <w:szCs w:val="20"/>
        </w:rPr>
        <w:t>.12.2014</w:t>
      </w:r>
    </w:p>
    <w:tbl>
      <w:tblPr>
        <w:tblStyle w:val="TableGrid"/>
        <w:tblW w:w="4082" w:type="pct"/>
        <w:tblLook w:val="04A0" w:firstRow="1" w:lastRow="0" w:firstColumn="1" w:lastColumn="0" w:noHBand="0" w:noVBand="1"/>
      </w:tblPr>
      <w:tblGrid>
        <w:gridCol w:w="2484"/>
        <w:gridCol w:w="3251"/>
        <w:gridCol w:w="3662"/>
      </w:tblGrid>
      <w:tr w:rsidR="009943EB" w:rsidRPr="00CB12DF" w:rsidTr="00CB12DF">
        <w:trPr>
          <w:trHeight w:val="300"/>
        </w:trPr>
        <w:tc>
          <w:tcPr>
            <w:tcW w:w="2145" w:type="pct"/>
            <w:tcBorders>
              <w:top w:val="double" w:sz="4" w:space="0" w:color="auto"/>
              <w:bottom w:val="double" w:sz="4" w:space="0" w:color="auto"/>
            </w:tcBorders>
            <w:noWrap/>
            <w:hideMark/>
          </w:tcPr>
          <w:p w:rsidR="00667F54" w:rsidRPr="00CB12DF" w:rsidRDefault="00667F54" w:rsidP="00CE254F">
            <w:pPr>
              <w:ind w:firstLine="284"/>
              <w:jc w:val="center"/>
              <w:rPr>
                <w:rFonts w:ascii="Arial" w:hAnsi="Arial" w:cs="Arial"/>
                <w:color w:val="000000"/>
                <w:sz w:val="20"/>
                <w:szCs w:val="20"/>
              </w:rPr>
            </w:pPr>
          </w:p>
        </w:tc>
        <w:tc>
          <w:tcPr>
            <w:tcW w:w="1142" w:type="pct"/>
            <w:tcBorders>
              <w:top w:val="double" w:sz="4" w:space="0" w:color="auto"/>
              <w:bottom w:val="double" w:sz="4" w:space="0" w:color="auto"/>
            </w:tcBorders>
            <w:noWrap/>
            <w:hideMark/>
          </w:tcPr>
          <w:p w:rsidR="00667F54" w:rsidRPr="00CB12DF" w:rsidRDefault="009943EB" w:rsidP="00CB12DF">
            <w:pPr>
              <w:ind w:firstLine="284"/>
              <w:jc w:val="center"/>
              <w:rPr>
                <w:rFonts w:ascii="Arial" w:hAnsi="Arial" w:cs="Arial"/>
                <w:b/>
                <w:color w:val="000000"/>
                <w:sz w:val="20"/>
                <w:szCs w:val="20"/>
              </w:rPr>
            </w:pPr>
            <w:r w:rsidRPr="00CB12DF">
              <w:rPr>
                <w:rFonts w:ascii="Arial" w:hAnsi="Arial" w:cs="Arial"/>
                <w:b/>
                <w:color w:val="000000"/>
                <w:sz w:val="20"/>
                <w:szCs w:val="20"/>
              </w:rPr>
              <w:t>Share in banking system assets</w:t>
            </w:r>
          </w:p>
        </w:tc>
        <w:tc>
          <w:tcPr>
            <w:tcW w:w="1712" w:type="pct"/>
            <w:tcBorders>
              <w:top w:val="double" w:sz="4" w:space="0" w:color="auto"/>
              <w:bottom w:val="double" w:sz="4" w:space="0" w:color="auto"/>
            </w:tcBorders>
            <w:noWrap/>
            <w:hideMark/>
          </w:tcPr>
          <w:p w:rsidR="00667F54" w:rsidRPr="00CB12DF" w:rsidRDefault="009943EB" w:rsidP="00CB12DF">
            <w:pPr>
              <w:ind w:firstLine="284"/>
              <w:jc w:val="center"/>
              <w:rPr>
                <w:rFonts w:ascii="Arial" w:hAnsi="Arial" w:cs="Arial"/>
                <w:b/>
                <w:color w:val="000000"/>
                <w:sz w:val="20"/>
                <w:szCs w:val="20"/>
              </w:rPr>
            </w:pPr>
            <w:r w:rsidRPr="00CB12DF">
              <w:rPr>
                <w:rFonts w:ascii="Arial" w:hAnsi="Arial" w:cs="Arial"/>
                <w:b/>
                <w:color w:val="000000"/>
                <w:sz w:val="20"/>
                <w:szCs w:val="20"/>
              </w:rPr>
              <w:t>Share in banking system employees</w:t>
            </w:r>
          </w:p>
        </w:tc>
      </w:tr>
      <w:tr w:rsidR="009943EB" w:rsidRPr="00BD5001" w:rsidTr="00CB12DF">
        <w:trPr>
          <w:trHeight w:val="300"/>
        </w:trPr>
        <w:tc>
          <w:tcPr>
            <w:tcW w:w="2145" w:type="pct"/>
            <w:tcBorders>
              <w:top w:val="double" w:sz="4" w:space="0" w:color="auto"/>
            </w:tcBorders>
            <w:noWrap/>
            <w:hideMark/>
          </w:tcPr>
          <w:p w:rsidR="00667F54" w:rsidRPr="00CB12DF" w:rsidRDefault="009943EB" w:rsidP="00CE254F">
            <w:pPr>
              <w:rPr>
                <w:rFonts w:ascii="Arial" w:hAnsi="Arial" w:cs="Arial"/>
                <w:color w:val="000000"/>
                <w:sz w:val="20"/>
                <w:szCs w:val="20"/>
              </w:rPr>
            </w:pPr>
            <w:r w:rsidRPr="00CB12DF">
              <w:rPr>
                <w:rFonts w:ascii="Arial" w:hAnsi="Arial" w:cs="Arial"/>
                <w:color w:val="000000"/>
                <w:sz w:val="20"/>
                <w:szCs w:val="20"/>
              </w:rPr>
              <w:t>Banks with foreign capital</w:t>
            </w:r>
          </w:p>
        </w:tc>
        <w:tc>
          <w:tcPr>
            <w:tcW w:w="1142" w:type="pct"/>
            <w:tcBorders>
              <w:top w:val="double" w:sz="4" w:space="0" w:color="auto"/>
            </w:tcBorders>
            <w:noWrap/>
            <w:hideMark/>
          </w:tcPr>
          <w:p w:rsidR="00667F54" w:rsidRPr="00BD5001" w:rsidRDefault="00667F54" w:rsidP="00CB12DF">
            <w:pPr>
              <w:ind w:firstLine="284"/>
              <w:jc w:val="center"/>
              <w:rPr>
                <w:rFonts w:ascii="Arial" w:hAnsi="Arial" w:cs="Arial"/>
                <w:color w:val="000000"/>
                <w:sz w:val="20"/>
                <w:szCs w:val="20"/>
              </w:rPr>
            </w:pPr>
            <w:r w:rsidRPr="00BD5001">
              <w:rPr>
                <w:rFonts w:ascii="Arial" w:hAnsi="Arial" w:cs="Arial"/>
                <w:color w:val="000000"/>
                <w:sz w:val="20"/>
                <w:szCs w:val="20"/>
              </w:rPr>
              <w:t>7</w:t>
            </w:r>
            <w:r w:rsidRPr="00BD5001">
              <w:rPr>
                <w:rFonts w:ascii="Arial" w:hAnsi="Arial" w:cs="Arial"/>
                <w:color w:val="000000"/>
                <w:sz w:val="20"/>
                <w:szCs w:val="20"/>
                <w:lang w:val="sr-Cyrl-RS"/>
              </w:rPr>
              <w:t>4</w:t>
            </w:r>
            <w:r w:rsidRPr="00BD5001">
              <w:rPr>
                <w:rFonts w:ascii="Arial" w:hAnsi="Arial" w:cs="Arial"/>
                <w:color w:val="000000"/>
                <w:sz w:val="20"/>
                <w:szCs w:val="20"/>
              </w:rPr>
              <w:t>,</w:t>
            </w:r>
            <w:r w:rsidRPr="00BD5001">
              <w:rPr>
                <w:rFonts w:ascii="Arial" w:hAnsi="Arial" w:cs="Arial"/>
                <w:color w:val="000000"/>
                <w:sz w:val="20"/>
                <w:szCs w:val="20"/>
                <w:lang w:val="sr-Cyrl-RS"/>
              </w:rPr>
              <w:t>7</w:t>
            </w:r>
            <w:r w:rsidRPr="00BD5001">
              <w:rPr>
                <w:rFonts w:ascii="Arial" w:hAnsi="Arial" w:cs="Arial"/>
                <w:color w:val="000000"/>
                <w:sz w:val="20"/>
                <w:szCs w:val="20"/>
              </w:rPr>
              <w:t>0%</w:t>
            </w:r>
          </w:p>
        </w:tc>
        <w:tc>
          <w:tcPr>
            <w:tcW w:w="1712" w:type="pct"/>
            <w:tcBorders>
              <w:top w:val="double" w:sz="4" w:space="0" w:color="auto"/>
            </w:tcBorders>
            <w:noWrap/>
            <w:hideMark/>
          </w:tcPr>
          <w:p w:rsidR="00667F54" w:rsidRPr="00BD5001" w:rsidRDefault="00667F54" w:rsidP="00CB12DF">
            <w:pPr>
              <w:ind w:firstLine="284"/>
              <w:jc w:val="center"/>
              <w:rPr>
                <w:rFonts w:ascii="Arial" w:hAnsi="Arial" w:cs="Arial"/>
                <w:color w:val="000000"/>
                <w:sz w:val="20"/>
                <w:szCs w:val="20"/>
              </w:rPr>
            </w:pPr>
            <w:r w:rsidRPr="00BD5001">
              <w:rPr>
                <w:rFonts w:ascii="Arial" w:hAnsi="Arial" w:cs="Arial"/>
                <w:color w:val="000000"/>
                <w:sz w:val="20"/>
                <w:szCs w:val="20"/>
                <w:lang w:val="sr-Cyrl-RS"/>
              </w:rPr>
              <w:t>67,8</w:t>
            </w:r>
            <w:r w:rsidRPr="00BD5001">
              <w:rPr>
                <w:rFonts w:ascii="Arial" w:hAnsi="Arial" w:cs="Arial"/>
                <w:color w:val="000000"/>
                <w:sz w:val="20"/>
                <w:szCs w:val="20"/>
              </w:rPr>
              <w:t>%</w:t>
            </w:r>
          </w:p>
        </w:tc>
      </w:tr>
    </w:tbl>
    <w:p w:rsidR="00667F54" w:rsidRPr="00BD5001" w:rsidRDefault="003B6BCD" w:rsidP="00CE254F">
      <w:pPr>
        <w:spacing w:line="240" w:lineRule="auto"/>
        <w:jc w:val="both"/>
        <w:rPr>
          <w:rFonts w:ascii="Arial" w:hAnsi="Arial" w:cs="Arial"/>
          <w:sz w:val="20"/>
          <w:szCs w:val="20"/>
        </w:rPr>
      </w:pPr>
      <w:r w:rsidRPr="00BD5001">
        <w:rPr>
          <w:rFonts w:ascii="Arial" w:hAnsi="Arial" w:cs="Arial"/>
          <w:sz w:val="20"/>
          <w:szCs w:val="20"/>
        </w:rPr>
        <w:t>Source: NBS</w: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Ownership structure determines bank competition. Banks with high</w:t>
      </w:r>
      <w:r w:rsidR="00CB12DF">
        <w:rPr>
          <w:rFonts w:ascii="Arial" w:hAnsi="Arial" w:cs="Arial"/>
          <w:sz w:val="20"/>
          <w:szCs w:val="20"/>
        </w:rPr>
        <w:t xml:space="preserve">er stake of foreign capital have </w:t>
      </w:r>
      <w:r w:rsidRPr="00BD5001">
        <w:rPr>
          <w:rFonts w:ascii="Arial" w:hAnsi="Arial" w:cs="Arial"/>
          <w:sz w:val="20"/>
          <w:szCs w:val="20"/>
        </w:rPr>
        <w:t xml:space="preserve">opportunity </w:t>
      </w:r>
      <w:r w:rsidR="009D4319" w:rsidRPr="00BD5001">
        <w:rPr>
          <w:rFonts w:ascii="Arial" w:hAnsi="Arial" w:cs="Arial"/>
          <w:sz w:val="20"/>
          <w:szCs w:val="20"/>
        </w:rPr>
        <w:t>to</w:t>
      </w:r>
      <w:r w:rsidRPr="00BD5001">
        <w:rPr>
          <w:rFonts w:ascii="Arial" w:hAnsi="Arial" w:cs="Arial"/>
          <w:sz w:val="20"/>
          <w:szCs w:val="20"/>
        </w:rPr>
        <w:t xml:space="preserve"> finance</w:t>
      </w:r>
      <w:r w:rsidR="009D4319" w:rsidRPr="00BD5001">
        <w:rPr>
          <w:rFonts w:ascii="Arial" w:hAnsi="Arial" w:cs="Arial"/>
          <w:sz w:val="20"/>
          <w:szCs w:val="20"/>
        </w:rPr>
        <w:t xml:space="preserve"> its activities</w:t>
      </w:r>
      <w:r w:rsidRPr="00BD5001">
        <w:rPr>
          <w:rFonts w:ascii="Arial" w:hAnsi="Arial" w:cs="Arial"/>
          <w:sz w:val="20"/>
          <w:szCs w:val="20"/>
        </w:rPr>
        <w:t xml:space="preserve"> on international money market through its headquarters abroad. As the price of money abroad is more </w:t>
      </w:r>
      <w:r w:rsidR="009D4319" w:rsidRPr="00BD5001">
        <w:rPr>
          <w:rFonts w:ascii="Arial" w:hAnsi="Arial" w:cs="Arial"/>
          <w:sz w:val="20"/>
          <w:szCs w:val="20"/>
        </w:rPr>
        <w:t>favorable</w:t>
      </w:r>
      <w:r w:rsidRPr="00BD5001">
        <w:rPr>
          <w:rFonts w:ascii="Arial" w:hAnsi="Arial" w:cs="Arial"/>
          <w:sz w:val="20"/>
          <w:szCs w:val="20"/>
        </w:rPr>
        <w:t xml:space="preserve"> than on the Serbian market, they are in position to form more competitive interest rates, still having a signi</w:t>
      </w:r>
      <w:r w:rsidR="00CB12DF">
        <w:rPr>
          <w:rFonts w:ascii="Arial" w:hAnsi="Arial" w:cs="Arial"/>
          <w:sz w:val="20"/>
          <w:szCs w:val="20"/>
        </w:rPr>
        <w:t>ficant yield. Price of capital o</w:t>
      </w:r>
      <w:r w:rsidRPr="00BD5001">
        <w:rPr>
          <w:rFonts w:ascii="Arial" w:hAnsi="Arial" w:cs="Arial"/>
          <w:sz w:val="20"/>
          <w:szCs w:val="20"/>
        </w:rPr>
        <w:t>n international market is lower than domes</w:t>
      </w:r>
      <w:r w:rsidR="009D4319" w:rsidRPr="00BD5001">
        <w:rPr>
          <w:rFonts w:ascii="Arial" w:hAnsi="Arial" w:cs="Arial"/>
          <w:sz w:val="20"/>
          <w:szCs w:val="20"/>
        </w:rPr>
        <w:t>tic interest rates on deposit, s</w:t>
      </w:r>
      <w:r w:rsidRPr="00BD5001">
        <w:rPr>
          <w:rFonts w:ascii="Arial" w:hAnsi="Arial" w:cs="Arial"/>
          <w:sz w:val="20"/>
          <w:szCs w:val="20"/>
        </w:rPr>
        <w:t xml:space="preserve">o it can </w:t>
      </w:r>
      <w:r w:rsidR="009D4319" w:rsidRPr="00BD5001">
        <w:rPr>
          <w:rFonts w:ascii="Arial" w:hAnsi="Arial" w:cs="Arial"/>
          <w:sz w:val="20"/>
          <w:szCs w:val="20"/>
        </w:rPr>
        <w:t>be observed</w:t>
      </w:r>
      <w:r w:rsidRPr="00BD5001">
        <w:rPr>
          <w:rFonts w:ascii="Arial" w:hAnsi="Arial" w:cs="Arial"/>
          <w:sz w:val="20"/>
          <w:szCs w:val="20"/>
        </w:rPr>
        <w:t xml:space="preserve"> that in balance sheet of foreign banks there is no concept of traditional banking. Besid</w:t>
      </w:r>
      <w:r w:rsidR="009D4319" w:rsidRPr="00BD5001">
        <w:rPr>
          <w:rFonts w:ascii="Arial" w:hAnsi="Arial" w:cs="Arial"/>
          <w:sz w:val="20"/>
          <w:szCs w:val="20"/>
        </w:rPr>
        <w:t>e</w:t>
      </w:r>
      <w:r w:rsidR="00CB12DF">
        <w:rPr>
          <w:rFonts w:ascii="Arial" w:hAnsi="Arial" w:cs="Arial"/>
          <w:sz w:val="20"/>
          <w:szCs w:val="20"/>
        </w:rPr>
        <w:t>s</w:t>
      </w:r>
      <w:r w:rsidR="009D4319" w:rsidRPr="00BD5001">
        <w:rPr>
          <w:rFonts w:ascii="Arial" w:hAnsi="Arial" w:cs="Arial"/>
          <w:sz w:val="20"/>
          <w:szCs w:val="20"/>
        </w:rPr>
        <w:t>, NBS data shows that there is</w:t>
      </w:r>
      <w:r w:rsidRPr="00BD5001">
        <w:rPr>
          <w:rFonts w:ascii="Arial" w:hAnsi="Arial" w:cs="Arial"/>
          <w:sz w:val="20"/>
          <w:szCs w:val="20"/>
        </w:rPr>
        <w:t xml:space="preserve"> only one domestic bank among five largest, which is financed mainly through domestic deposits base. Such structure of banking system implies concentrated market. Banks with foreign ownership are not </w:t>
      </w:r>
      <w:r w:rsidR="009D4319" w:rsidRPr="00BD5001">
        <w:rPr>
          <w:rFonts w:ascii="Arial" w:hAnsi="Arial" w:cs="Arial"/>
          <w:sz w:val="20"/>
          <w:szCs w:val="20"/>
        </w:rPr>
        <w:t>limited</w:t>
      </w:r>
      <w:r w:rsidRPr="00BD5001">
        <w:rPr>
          <w:rFonts w:ascii="Arial" w:hAnsi="Arial" w:cs="Arial"/>
          <w:sz w:val="20"/>
          <w:szCs w:val="20"/>
        </w:rPr>
        <w:t xml:space="preserve"> with deposit base, as well as the deposit interest rates when forming the loan prices. </w:t>
      </w:r>
      <w:r w:rsidR="009D4319" w:rsidRPr="00BD5001">
        <w:rPr>
          <w:rFonts w:ascii="Arial" w:hAnsi="Arial" w:cs="Arial"/>
          <w:sz w:val="20"/>
          <w:szCs w:val="20"/>
        </w:rPr>
        <w:t>Consequently</w:t>
      </w:r>
      <w:r w:rsidRPr="00BD5001">
        <w:rPr>
          <w:rFonts w:ascii="Arial" w:hAnsi="Arial" w:cs="Arial"/>
          <w:sz w:val="20"/>
          <w:szCs w:val="20"/>
        </w:rPr>
        <w:t xml:space="preserve">, they are in position to determine lower deposit interest rates which </w:t>
      </w:r>
      <w:r w:rsidR="009D4319" w:rsidRPr="00BD5001">
        <w:rPr>
          <w:rFonts w:ascii="Arial" w:hAnsi="Arial" w:cs="Arial"/>
          <w:sz w:val="20"/>
          <w:szCs w:val="20"/>
        </w:rPr>
        <w:t>broaden</w:t>
      </w:r>
      <w:r w:rsidRPr="00BD5001">
        <w:rPr>
          <w:rFonts w:ascii="Arial" w:hAnsi="Arial" w:cs="Arial"/>
          <w:sz w:val="20"/>
          <w:szCs w:val="20"/>
        </w:rPr>
        <w:t xml:space="preserve"> inter</w:t>
      </w:r>
      <w:r w:rsidR="009D4319" w:rsidRPr="00BD5001">
        <w:rPr>
          <w:rFonts w:ascii="Arial" w:hAnsi="Arial" w:cs="Arial"/>
          <w:sz w:val="20"/>
          <w:szCs w:val="20"/>
        </w:rPr>
        <w:t>est rates spread, as well as increases</w:t>
      </w:r>
      <w:r w:rsidRPr="00BD5001">
        <w:rPr>
          <w:rFonts w:ascii="Arial" w:hAnsi="Arial" w:cs="Arial"/>
          <w:sz w:val="20"/>
          <w:szCs w:val="20"/>
        </w:rPr>
        <w:t xml:space="preserve"> profit. </w:t>
      </w:r>
    </w:p>
    <w:p w:rsidR="00A907A7" w:rsidRPr="00BD5001" w:rsidRDefault="00A907A7" w:rsidP="00CE254F">
      <w:pPr>
        <w:pStyle w:val="Caption"/>
        <w:rPr>
          <w:rFonts w:ascii="Arial" w:hAnsi="Arial" w:cs="Arial"/>
          <w:sz w:val="20"/>
          <w:szCs w:val="20"/>
        </w:rPr>
      </w:pPr>
      <w:r w:rsidRPr="00BD5001">
        <w:rPr>
          <w:rFonts w:ascii="Arial" w:hAnsi="Arial" w:cs="Arial"/>
          <w:sz w:val="20"/>
          <w:szCs w:val="20"/>
        </w:rPr>
        <w:t xml:space="preserve">Graph </w:t>
      </w:r>
      <w:r w:rsidRPr="00BD5001">
        <w:rPr>
          <w:rFonts w:ascii="Arial" w:hAnsi="Arial" w:cs="Arial"/>
          <w:sz w:val="20"/>
          <w:szCs w:val="20"/>
        </w:rPr>
        <w:fldChar w:fldCharType="begin"/>
      </w:r>
      <w:r w:rsidRPr="00BD5001">
        <w:rPr>
          <w:rFonts w:ascii="Arial" w:hAnsi="Arial" w:cs="Arial"/>
          <w:sz w:val="20"/>
          <w:szCs w:val="20"/>
        </w:rPr>
        <w:instrText xml:space="preserve"> SEQ Graph \* ARABIC </w:instrText>
      </w:r>
      <w:r w:rsidRPr="00BD5001">
        <w:rPr>
          <w:rFonts w:ascii="Arial" w:hAnsi="Arial" w:cs="Arial"/>
          <w:sz w:val="20"/>
          <w:szCs w:val="20"/>
        </w:rPr>
        <w:fldChar w:fldCharType="separate"/>
      </w:r>
      <w:r w:rsidRPr="00BD5001">
        <w:rPr>
          <w:rFonts w:ascii="Arial" w:hAnsi="Arial" w:cs="Arial"/>
          <w:noProof/>
          <w:sz w:val="20"/>
          <w:szCs w:val="20"/>
        </w:rPr>
        <w:t>1</w:t>
      </w:r>
      <w:r w:rsidRPr="00BD5001">
        <w:rPr>
          <w:rFonts w:ascii="Arial" w:hAnsi="Arial" w:cs="Arial"/>
          <w:sz w:val="20"/>
          <w:szCs w:val="20"/>
        </w:rPr>
        <w:fldChar w:fldCharType="end"/>
      </w:r>
      <w:r w:rsidRPr="00BD5001">
        <w:rPr>
          <w:rFonts w:ascii="Arial" w:hAnsi="Arial" w:cs="Arial"/>
          <w:sz w:val="20"/>
          <w:szCs w:val="20"/>
        </w:rPr>
        <w:t xml:space="preserve"> Interest rate spread on loans and deposits</w:t>
      </w:r>
    </w:p>
    <w:p w:rsidR="00F21B79" w:rsidRPr="00BD5001" w:rsidRDefault="00A907A7" w:rsidP="00CE254F">
      <w:pPr>
        <w:spacing w:line="240" w:lineRule="auto"/>
        <w:jc w:val="center"/>
        <w:rPr>
          <w:rFonts w:ascii="Arial" w:hAnsi="Arial" w:cs="Arial"/>
          <w:sz w:val="20"/>
          <w:szCs w:val="20"/>
        </w:rPr>
      </w:pPr>
      <w:r w:rsidRPr="00BD5001">
        <w:rPr>
          <w:rFonts w:ascii="Arial" w:hAnsi="Arial" w:cs="Arial"/>
          <w:noProof/>
          <w:sz w:val="20"/>
          <w:szCs w:val="20"/>
        </w:rPr>
        <w:lastRenderedPageBreak/>
        <w:drawing>
          <wp:inline distT="0" distB="0" distL="0" distR="0" wp14:anchorId="32B2377D" wp14:editId="7A078109">
            <wp:extent cx="3353812" cy="20160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3812" cy="2016000"/>
                    </a:xfrm>
                    <a:prstGeom prst="rect">
                      <a:avLst/>
                    </a:prstGeom>
                    <a:noFill/>
                  </pic:spPr>
                </pic:pic>
              </a:graphicData>
            </a:graphic>
          </wp:inline>
        </w:drawing>
      </w:r>
    </w:p>
    <w:p w:rsidR="003B6BCD" w:rsidRPr="00BD5001" w:rsidRDefault="003B6BCD" w:rsidP="00CE254F">
      <w:pPr>
        <w:spacing w:line="240" w:lineRule="auto"/>
        <w:ind w:left="1440" w:firstLine="720"/>
        <w:rPr>
          <w:rFonts w:ascii="Arial" w:hAnsi="Arial" w:cs="Arial"/>
          <w:sz w:val="20"/>
          <w:szCs w:val="20"/>
        </w:rPr>
      </w:pPr>
      <w:r w:rsidRPr="00BD5001">
        <w:rPr>
          <w:rFonts w:ascii="Arial" w:hAnsi="Arial" w:cs="Arial"/>
          <w:sz w:val="20"/>
          <w:szCs w:val="20"/>
        </w:rPr>
        <w:t>Source: NBS</w:t>
      </w:r>
    </w:p>
    <w:p w:rsidR="00F21B79" w:rsidRDefault="00F21B79" w:rsidP="00D26E0D">
      <w:pPr>
        <w:spacing w:line="240" w:lineRule="auto"/>
        <w:jc w:val="both"/>
        <w:rPr>
          <w:rFonts w:ascii="Arial" w:hAnsi="Arial" w:cs="Arial"/>
          <w:sz w:val="20"/>
          <w:szCs w:val="20"/>
        </w:rPr>
      </w:pPr>
      <w:r w:rsidRPr="00BD5001">
        <w:rPr>
          <w:rFonts w:ascii="Arial" w:hAnsi="Arial" w:cs="Arial"/>
          <w:sz w:val="20"/>
          <w:szCs w:val="20"/>
        </w:rPr>
        <w:t xml:space="preserve">Spread volatility during the analyzed period is mainly influenced by loan interest rate. It is especially significant after the intensification of global financial crisis, while the changes of deposit interest rates remained quite low. </w:t>
      </w:r>
    </w:p>
    <w:p w:rsidR="00BF7F89" w:rsidRPr="00BD5001" w:rsidRDefault="00BF7F89" w:rsidP="00CE254F">
      <w:pPr>
        <w:spacing w:line="240" w:lineRule="auto"/>
        <w:jc w:val="both"/>
        <w:rPr>
          <w:rFonts w:ascii="Arial" w:hAnsi="Arial" w:cs="Arial"/>
          <w:sz w:val="20"/>
          <w:szCs w:val="20"/>
        </w:rPr>
      </w:pPr>
    </w:p>
    <w:p w:rsidR="00F21B79" w:rsidRPr="00D26E0D" w:rsidRDefault="00F21B79" w:rsidP="00D26E0D">
      <w:pPr>
        <w:pStyle w:val="ListParagraph"/>
        <w:numPr>
          <w:ilvl w:val="0"/>
          <w:numId w:val="2"/>
        </w:numPr>
        <w:spacing w:line="240" w:lineRule="auto"/>
        <w:jc w:val="center"/>
        <w:rPr>
          <w:rFonts w:ascii="Arial" w:hAnsi="Arial" w:cs="Arial"/>
          <w:b/>
          <w:sz w:val="24"/>
          <w:szCs w:val="24"/>
        </w:rPr>
      </w:pPr>
      <w:r w:rsidRPr="00D26E0D">
        <w:rPr>
          <w:rFonts w:ascii="Arial" w:hAnsi="Arial" w:cs="Arial"/>
          <w:b/>
          <w:sz w:val="24"/>
          <w:szCs w:val="24"/>
        </w:rPr>
        <w:t>Data and methodology</w:t>
      </w:r>
    </w:p>
    <w:p w:rsidR="00814EC5" w:rsidRDefault="00814EC5" w:rsidP="00CE254F">
      <w:pPr>
        <w:spacing w:line="240" w:lineRule="auto"/>
        <w:rPr>
          <w:rFonts w:ascii="Arial" w:hAnsi="Arial" w:cs="Arial"/>
          <w:sz w:val="20"/>
          <w:szCs w:val="20"/>
        </w:rPr>
      </w:pPr>
    </w:p>
    <w:p w:rsidR="00F21B79" w:rsidRPr="00BD5001" w:rsidRDefault="00F21B79" w:rsidP="00CE254F">
      <w:pPr>
        <w:spacing w:line="240" w:lineRule="auto"/>
        <w:rPr>
          <w:rFonts w:ascii="Arial" w:hAnsi="Arial" w:cs="Arial"/>
          <w:sz w:val="20"/>
          <w:szCs w:val="20"/>
        </w:rPr>
      </w:pPr>
      <w:r w:rsidRPr="00BD5001">
        <w:rPr>
          <w:rFonts w:ascii="Arial" w:hAnsi="Arial" w:cs="Arial"/>
          <w:sz w:val="20"/>
          <w:szCs w:val="20"/>
        </w:rPr>
        <w:t xml:space="preserve">Estimation analysis of </w:t>
      </w:r>
      <w:r w:rsidR="003B6BCD" w:rsidRPr="00BD5001">
        <w:rPr>
          <w:rFonts w:ascii="Arial" w:hAnsi="Arial" w:cs="Arial"/>
          <w:sz w:val="20"/>
          <w:szCs w:val="20"/>
        </w:rPr>
        <w:t>transmission</w:t>
      </w:r>
      <w:r w:rsidRPr="00BD5001">
        <w:rPr>
          <w:rFonts w:ascii="Arial" w:hAnsi="Arial" w:cs="Arial"/>
          <w:sz w:val="20"/>
          <w:szCs w:val="20"/>
        </w:rPr>
        <w:t xml:space="preserve"> mechanism in Serbia is based on monthly data between the periods January 2007-</w:t>
      </w:r>
      <w:r w:rsidR="00814EC5">
        <w:rPr>
          <w:rFonts w:ascii="Arial" w:hAnsi="Arial" w:cs="Arial"/>
          <w:sz w:val="20"/>
          <w:szCs w:val="20"/>
        </w:rPr>
        <w:t>D</w:t>
      </w:r>
      <w:r w:rsidRPr="00BD5001">
        <w:rPr>
          <w:rFonts w:ascii="Arial" w:hAnsi="Arial" w:cs="Arial"/>
          <w:sz w:val="20"/>
          <w:szCs w:val="20"/>
        </w:rPr>
        <w:t>ecember 2014. Variables used in study are:</w:t>
      </w:r>
    </w:p>
    <w:p w:rsidR="00F21B79" w:rsidRPr="00BD5001" w:rsidRDefault="00F21B79" w:rsidP="00CE254F">
      <w:pPr>
        <w:pStyle w:val="ListParagraph"/>
        <w:numPr>
          <w:ilvl w:val="0"/>
          <w:numId w:val="1"/>
        </w:numPr>
        <w:spacing w:line="240" w:lineRule="auto"/>
        <w:rPr>
          <w:rFonts w:ascii="Arial" w:hAnsi="Arial" w:cs="Arial"/>
          <w:sz w:val="20"/>
          <w:szCs w:val="20"/>
        </w:rPr>
      </w:pPr>
      <w:r w:rsidRPr="00BD5001">
        <w:rPr>
          <w:rFonts w:ascii="Arial" w:hAnsi="Arial" w:cs="Arial"/>
          <w:sz w:val="20"/>
          <w:szCs w:val="20"/>
        </w:rPr>
        <w:t xml:space="preserve">Real GDP, quarterly series are decomposed to monthly series using ECOTRIM software, using Boot, </w:t>
      </w:r>
      <w:proofErr w:type="spellStart"/>
      <w:r w:rsidRPr="00BD5001">
        <w:rPr>
          <w:rFonts w:ascii="Arial" w:hAnsi="Arial" w:cs="Arial"/>
          <w:sz w:val="20"/>
          <w:szCs w:val="20"/>
        </w:rPr>
        <w:t>Feibes</w:t>
      </w:r>
      <w:proofErr w:type="spellEnd"/>
      <w:r w:rsidRPr="00BD5001">
        <w:rPr>
          <w:rFonts w:ascii="Arial" w:hAnsi="Arial" w:cs="Arial"/>
          <w:sz w:val="20"/>
          <w:szCs w:val="20"/>
        </w:rPr>
        <w:t xml:space="preserve"> and </w:t>
      </w:r>
      <w:proofErr w:type="spellStart"/>
      <w:r w:rsidRPr="00BD5001">
        <w:rPr>
          <w:rFonts w:ascii="Arial" w:hAnsi="Arial" w:cs="Arial"/>
          <w:sz w:val="20"/>
          <w:szCs w:val="20"/>
        </w:rPr>
        <w:t>Lisman</w:t>
      </w:r>
      <w:proofErr w:type="spellEnd"/>
      <w:r w:rsidRPr="00BD5001">
        <w:rPr>
          <w:rFonts w:ascii="Arial" w:hAnsi="Arial" w:cs="Arial"/>
          <w:sz w:val="20"/>
          <w:szCs w:val="20"/>
        </w:rPr>
        <w:t xml:space="preserve"> (BF</w:t>
      </w:r>
      <w:r w:rsidR="00B93F7A">
        <w:rPr>
          <w:rFonts w:ascii="Arial" w:hAnsi="Arial" w:cs="Arial"/>
          <w:sz w:val="20"/>
          <w:szCs w:val="20"/>
        </w:rPr>
        <w:t>L) smoothing method – variable y</w:t>
      </w:r>
    </w:p>
    <w:p w:rsidR="00F21B79" w:rsidRPr="00BD5001" w:rsidRDefault="00B93F7A" w:rsidP="00CE254F">
      <w:pPr>
        <w:pStyle w:val="ListParagraph"/>
        <w:numPr>
          <w:ilvl w:val="0"/>
          <w:numId w:val="1"/>
        </w:numPr>
        <w:spacing w:line="240" w:lineRule="auto"/>
        <w:rPr>
          <w:rFonts w:ascii="Arial" w:hAnsi="Arial" w:cs="Arial"/>
          <w:sz w:val="20"/>
          <w:szCs w:val="20"/>
        </w:rPr>
      </w:pPr>
      <w:r>
        <w:rPr>
          <w:rFonts w:ascii="Arial" w:hAnsi="Arial" w:cs="Arial"/>
          <w:sz w:val="20"/>
          <w:szCs w:val="20"/>
        </w:rPr>
        <w:t>consumer price index- variable p</w:t>
      </w:r>
    </w:p>
    <w:p w:rsidR="00F21B79" w:rsidRPr="00BD5001" w:rsidRDefault="00F21B79" w:rsidP="00CE254F">
      <w:pPr>
        <w:pStyle w:val="ListParagraph"/>
        <w:numPr>
          <w:ilvl w:val="0"/>
          <w:numId w:val="1"/>
        </w:numPr>
        <w:spacing w:line="240" w:lineRule="auto"/>
        <w:rPr>
          <w:rFonts w:ascii="Arial" w:hAnsi="Arial" w:cs="Arial"/>
          <w:sz w:val="20"/>
          <w:szCs w:val="20"/>
        </w:rPr>
      </w:pPr>
      <w:r w:rsidRPr="00BD5001">
        <w:rPr>
          <w:rFonts w:ascii="Arial" w:hAnsi="Arial" w:cs="Arial"/>
          <w:sz w:val="20"/>
          <w:szCs w:val="20"/>
        </w:rPr>
        <w:t xml:space="preserve">real effective exchange rate-variable </w:t>
      </w:r>
      <w:r w:rsidR="00B93F7A">
        <w:rPr>
          <w:rFonts w:ascii="Arial" w:hAnsi="Arial" w:cs="Arial"/>
          <w:sz w:val="20"/>
          <w:szCs w:val="20"/>
        </w:rPr>
        <w:t>reer1</w:t>
      </w:r>
    </w:p>
    <w:p w:rsidR="00F21B79" w:rsidRPr="00BD5001" w:rsidRDefault="00F21B79" w:rsidP="00CE254F">
      <w:pPr>
        <w:pStyle w:val="ListParagraph"/>
        <w:numPr>
          <w:ilvl w:val="0"/>
          <w:numId w:val="1"/>
        </w:numPr>
        <w:spacing w:line="240" w:lineRule="auto"/>
        <w:rPr>
          <w:rFonts w:ascii="Arial" w:hAnsi="Arial" w:cs="Arial"/>
          <w:sz w:val="20"/>
          <w:szCs w:val="20"/>
        </w:rPr>
      </w:pPr>
      <w:r w:rsidRPr="00BD5001">
        <w:rPr>
          <w:rFonts w:ascii="Arial" w:hAnsi="Arial" w:cs="Arial"/>
          <w:sz w:val="20"/>
          <w:szCs w:val="20"/>
        </w:rPr>
        <w:t xml:space="preserve">key interest rate-variable </w:t>
      </w:r>
      <w:r w:rsidR="00B93F7A">
        <w:rPr>
          <w:rFonts w:ascii="Arial" w:hAnsi="Arial" w:cs="Arial"/>
          <w:sz w:val="20"/>
          <w:szCs w:val="20"/>
        </w:rPr>
        <w:t>repo</w:t>
      </w:r>
    </w:p>
    <w:p w:rsidR="00F21B79" w:rsidRPr="00BD5001" w:rsidRDefault="005A63B3" w:rsidP="00CE254F">
      <w:pPr>
        <w:pStyle w:val="ListParagraph"/>
        <w:numPr>
          <w:ilvl w:val="0"/>
          <w:numId w:val="1"/>
        </w:numPr>
        <w:spacing w:line="240" w:lineRule="auto"/>
        <w:rPr>
          <w:rFonts w:ascii="Arial" w:hAnsi="Arial" w:cs="Arial"/>
          <w:sz w:val="20"/>
          <w:szCs w:val="20"/>
        </w:rPr>
      </w:pPr>
      <w:r>
        <w:rPr>
          <w:rFonts w:ascii="Arial" w:hAnsi="Arial" w:cs="Arial"/>
          <w:sz w:val="20"/>
          <w:szCs w:val="20"/>
        </w:rPr>
        <w:t>monetary aggregate m3-variable M</w:t>
      </w:r>
      <w:r w:rsidR="00F21B79" w:rsidRPr="00BD5001">
        <w:rPr>
          <w:rFonts w:ascii="Arial" w:hAnsi="Arial" w:cs="Arial"/>
          <w:sz w:val="20"/>
          <w:szCs w:val="20"/>
        </w:rPr>
        <w:t>3</w:t>
      </w:r>
    </w:p>
    <w:p w:rsidR="00F21B79" w:rsidRPr="00BD5001" w:rsidRDefault="00F21B79" w:rsidP="00CE254F">
      <w:pPr>
        <w:pStyle w:val="ListParagraph"/>
        <w:numPr>
          <w:ilvl w:val="0"/>
          <w:numId w:val="1"/>
        </w:numPr>
        <w:spacing w:line="240" w:lineRule="auto"/>
        <w:rPr>
          <w:rFonts w:ascii="Arial" w:hAnsi="Arial" w:cs="Arial"/>
          <w:sz w:val="20"/>
          <w:szCs w:val="20"/>
        </w:rPr>
      </w:pPr>
      <w:r w:rsidRPr="00BD5001">
        <w:rPr>
          <w:rFonts w:ascii="Arial" w:hAnsi="Arial" w:cs="Arial"/>
          <w:sz w:val="20"/>
          <w:szCs w:val="20"/>
        </w:rPr>
        <w:t xml:space="preserve">three month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interest rate-variable </w:t>
      </w:r>
      <w:proofErr w:type="spellStart"/>
      <w:r w:rsidR="00B93F7A">
        <w:rPr>
          <w:rFonts w:ascii="Arial" w:hAnsi="Arial" w:cs="Arial"/>
          <w:sz w:val="20"/>
          <w:szCs w:val="20"/>
        </w:rPr>
        <w:t>euribor</w:t>
      </w:r>
      <w:proofErr w:type="spellEnd"/>
    </w:p>
    <w:p w:rsidR="00F21B79" w:rsidRPr="00BD5001" w:rsidRDefault="00F21B79" w:rsidP="00CE254F">
      <w:pPr>
        <w:pStyle w:val="ListParagraph"/>
        <w:numPr>
          <w:ilvl w:val="0"/>
          <w:numId w:val="1"/>
        </w:numPr>
        <w:spacing w:line="240" w:lineRule="auto"/>
        <w:rPr>
          <w:rFonts w:ascii="Arial" w:hAnsi="Arial" w:cs="Arial"/>
          <w:sz w:val="20"/>
          <w:szCs w:val="20"/>
        </w:rPr>
      </w:pPr>
      <w:r w:rsidRPr="00BD5001">
        <w:rPr>
          <w:rFonts w:ascii="Arial" w:hAnsi="Arial" w:cs="Arial"/>
          <w:sz w:val="20"/>
          <w:szCs w:val="20"/>
        </w:rPr>
        <w:t>world oil price- variable oil</w: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In empirical analysis of transmission mechanism there will be analyzed the interest and exchange rate channel. Beside the analysis of interest rate and exchange rate shock, </w:t>
      </w:r>
      <w:r w:rsidR="00B94B5B" w:rsidRPr="00BD5001">
        <w:rPr>
          <w:rFonts w:ascii="Arial" w:hAnsi="Arial" w:cs="Arial"/>
          <w:sz w:val="20"/>
          <w:szCs w:val="20"/>
        </w:rPr>
        <w:t xml:space="preserve">it is </w:t>
      </w:r>
      <w:r w:rsidRPr="00BD5001">
        <w:rPr>
          <w:rFonts w:ascii="Arial" w:hAnsi="Arial" w:cs="Arial"/>
          <w:sz w:val="20"/>
          <w:szCs w:val="20"/>
        </w:rPr>
        <w:t xml:space="preserve">also </w:t>
      </w:r>
      <w:r w:rsidR="00B94B5B" w:rsidRPr="00BD5001">
        <w:rPr>
          <w:rFonts w:ascii="Arial" w:hAnsi="Arial" w:cs="Arial"/>
          <w:sz w:val="20"/>
          <w:szCs w:val="20"/>
        </w:rPr>
        <w:t xml:space="preserve">studied </w:t>
      </w:r>
      <w:r w:rsidRPr="00BD5001">
        <w:rPr>
          <w:rFonts w:ascii="Arial" w:hAnsi="Arial" w:cs="Arial"/>
          <w:sz w:val="20"/>
          <w:szCs w:val="20"/>
        </w:rPr>
        <w:t xml:space="preserve">the influence of </w:t>
      </w:r>
      <w:r w:rsidR="00B94B5B" w:rsidRPr="00BD5001">
        <w:rPr>
          <w:rFonts w:ascii="Arial" w:hAnsi="Arial" w:cs="Arial"/>
          <w:sz w:val="20"/>
          <w:szCs w:val="20"/>
        </w:rPr>
        <w:t>expansionary</w:t>
      </w:r>
      <w:r w:rsidRPr="00BD5001">
        <w:rPr>
          <w:rFonts w:ascii="Arial" w:hAnsi="Arial" w:cs="Arial"/>
          <w:sz w:val="20"/>
          <w:szCs w:val="20"/>
        </w:rPr>
        <w:t xml:space="preserve"> monetary policy on real varia</w:t>
      </w:r>
      <w:r w:rsidR="00B94B5B" w:rsidRPr="00BD5001">
        <w:rPr>
          <w:rFonts w:ascii="Arial" w:hAnsi="Arial" w:cs="Arial"/>
          <w:sz w:val="20"/>
          <w:szCs w:val="20"/>
        </w:rPr>
        <w:t>bles using monetary aggregate M3</w:t>
      </w:r>
      <w:r w:rsidRPr="00BD5001">
        <w:rPr>
          <w:rFonts w:ascii="Arial" w:hAnsi="Arial" w:cs="Arial"/>
          <w:sz w:val="20"/>
          <w:szCs w:val="20"/>
        </w:rPr>
        <w:t xml:space="preserve">. Two specification of model are defined, with goal to better identify proper model. </w:t>
      </w:r>
    </w:p>
    <w:p w:rsidR="00F21B79" w:rsidRPr="00BD5001" w:rsidRDefault="00F81CFF" w:rsidP="00CE254F">
      <w:pPr>
        <w:spacing w:line="240" w:lineRule="auto"/>
        <w:rPr>
          <w:rFonts w:ascii="Arial" w:hAnsi="Arial" w:cs="Arial"/>
          <w:sz w:val="20"/>
          <w:szCs w:val="20"/>
        </w:rPr>
      </w:pPr>
      <w:r>
        <w:rPr>
          <w:rFonts w:ascii="Arial" w:hAnsi="Arial" w:cs="Arial"/>
          <w:sz w:val="20"/>
          <w:szCs w:val="20"/>
        </w:rPr>
        <w:t>First mode</w:t>
      </w:r>
      <w:r w:rsidR="00A654BA">
        <w:rPr>
          <w:rFonts w:ascii="Arial" w:hAnsi="Arial" w:cs="Arial"/>
          <w:sz w:val="20"/>
          <w:szCs w:val="20"/>
        </w:rPr>
        <w:t>l</w:t>
      </w:r>
      <w:r>
        <w:rPr>
          <w:rFonts w:ascii="Arial" w:hAnsi="Arial" w:cs="Arial"/>
          <w:sz w:val="20"/>
          <w:szCs w:val="20"/>
        </w:rPr>
        <w:t xml:space="preserve">, </w:t>
      </w:r>
      <w:r w:rsidRPr="00A654BA">
        <w:rPr>
          <w:rFonts w:ascii="Arial" w:hAnsi="Arial" w:cs="Arial"/>
          <w:i/>
          <w:sz w:val="20"/>
          <w:szCs w:val="20"/>
        </w:rPr>
        <w:t>Model 1</w:t>
      </w:r>
      <w:r>
        <w:rPr>
          <w:rFonts w:ascii="Arial" w:hAnsi="Arial" w:cs="Arial"/>
          <w:sz w:val="20"/>
          <w:szCs w:val="20"/>
        </w:rPr>
        <w:t xml:space="preserve">, </w:t>
      </w:r>
      <w:r w:rsidR="00F21B79" w:rsidRPr="00BD5001">
        <w:rPr>
          <w:rFonts w:ascii="Arial" w:hAnsi="Arial" w:cs="Arial"/>
          <w:sz w:val="20"/>
          <w:szCs w:val="20"/>
        </w:rPr>
        <w:t>contain</w:t>
      </w:r>
      <w:r w:rsidR="00A654BA">
        <w:rPr>
          <w:rFonts w:ascii="Arial" w:hAnsi="Arial" w:cs="Arial"/>
          <w:sz w:val="20"/>
          <w:szCs w:val="20"/>
        </w:rPr>
        <w:t>s</w:t>
      </w:r>
      <w:r w:rsidR="00F21B79" w:rsidRPr="00BD5001">
        <w:rPr>
          <w:rFonts w:ascii="Arial" w:hAnsi="Arial" w:cs="Arial"/>
          <w:sz w:val="20"/>
          <w:szCs w:val="20"/>
        </w:rPr>
        <w:t xml:space="preserve"> endogenous and exogenous variable</w:t>
      </w:r>
      <w:r w:rsidR="007B0C26">
        <w:rPr>
          <w:rFonts w:ascii="Arial" w:hAnsi="Arial" w:cs="Arial"/>
          <w:sz w:val="20"/>
          <w:szCs w:val="20"/>
        </w:rPr>
        <w:t>s</w:t>
      </w:r>
      <w:r w:rsidR="00F21B79" w:rsidRPr="00BD5001">
        <w:rPr>
          <w:rFonts w:ascii="Arial" w:hAnsi="Arial" w:cs="Arial"/>
          <w:sz w:val="20"/>
          <w:szCs w:val="20"/>
        </w:rPr>
        <w:t xml:space="preserve"> presented with following equation. </w:t>
      </w:r>
    </w:p>
    <w:p w:rsidR="00F21B79" w:rsidRPr="00BD5001" w:rsidRDefault="00B94B5B" w:rsidP="00CE254F">
      <w:pPr>
        <w:spacing w:after="0" w:line="240" w:lineRule="auto"/>
        <w:ind w:firstLine="340"/>
        <w:contextualSpacing/>
        <w:rPr>
          <w:rFonts w:ascii="Arial" w:hAnsi="Arial" w:cs="Arial"/>
          <w:sz w:val="20"/>
          <w:szCs w:val="20"/>
        </w:rPr>
      </w:pPr>
      <w:r w:rsidRPr="00BD5001">
        <w:rPr>
          <w:rFonts w:ascii="Arial" w:hAnsi="Arial" w:cs="Arial"/>
          <w:position w:val="-12"/>
          <w:sz w:val="20"/>
          <w:szCs w:val="20"/>
        </w:rPr>
        <w:object w:dxaOrig="2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pt;height:17.85pt" o:ole="">
            <v:imagedata r:id="rId10" o:title=""/>
          </v:shape>
          <o:OLEObject Type="Embed" ProgID="Equation.3" ShapeID="_x0000_i1025" DrawAspect="Content" ObjectID="_1503725204" r:id="rId11"/>
        </w:object>
      </w:r>
    </w:p>
    <w:p w:rsidR="00F21B79" w:rsidRPr="00BD5001" w:rsidRDefault="00B94B5B" w:rsidP="00CE254F">
      <w:pPr>
        <w:spacing w:line="240" w:lineRule="auto"/>
        <w:jc w:val="both"/>
        <w:rPr>
          <w:rFonts w:ascii="Arial" w:hAnsi="Arial" w:cs="Arial"/>
          <w:sz w:val="20"/>
          <w:szCs w:val="20"/>
        </w:rPr>
      </w:pPr>
      <w:r w:rsidRPr="00BD5001">
        <w:rPr>
          <w:rFonts w:ascii="Arial" w:hAnsi="Arial" w:cs="Arial"/>
          <w:sz w:val="20"/>
          <w:szCs w:val="20"/>
        </w:rPr>
        <w:t>W</w:t>
      </w:r>
      <w:r w:rsidR="00F21B79" w:rsidRPr="00BD5001">
        <w:rPr>
          <w:rFonts w:ascii="Arial" w:hAnsi="Arial" w:cs="Arial"/>
          <w:sz w:val="20"/>
          <w:szCs w:val="20"/>
        </w:rPr>
        <w:t>here</w:t>
      </w:r>
      <w:r w:rsidRPr="00BD5001">
        <w:rPr>
          <w:rFonts w:ascii="Arial" w:hAnsi="Arial" w:cs="Arial"/>
          <w:sz w:val="20"/>
          <w:szCs w:val="20"/>
        </w:rPr>
        <w:t xml:space="preserve"> </w:t>
      </w:r>
      <w:r w:rsidRPr="00BD5001">
        <w:rPr>
          <w:rFonts w:ascii="Arial" w:hAnsi="Arial" w:cs="Arial"/>
          <w:position w:val="-12"/>
          <w:sz w:val="20"/>
          <w:szCs w:val="20"/>
        </w:rPr>
        <w:object w:dxaOrig="240" w:dyaOrig="360">
          <v:shape id="_x0000_i1026" type="#_x0000_t75" style="width:12.1pt;height:17.85pt" o:ole="">
            <v:imagedata r:id="rId12" o:title=""/>
          </v:shape>
          <o:OLEObject Type="Embed" ProgID="Equation.3" ShapeID="_x0000_i1026" DrawAspect="Content" ObjectID="_1503725205" r:id="rId13"/>
        </w:object>
      </w:r>
      <w:r w:rsidR="00F21B79" w:rsidRPr="00BD5001">
        <w:rPr>
          <w:rFonts w:ascii="Arial" w:hAnsi="Arial" w:cs="Arial"/>
          <w:sz w:val="20"/>
          <w:szCs w:val="20"/>
        </w:rPr>
        <w:t xml:space="preserve">is vector endogenous variables, while </w:t>
      </w:r>
      <w:r w:rsidRPr="00BD5001">
        <w:rPr>
          <w:rFonts w:ascii="Arial" w:hAnsi="Arial" w:cs="Arial"/>
          <w:position w:val="-12"/>
          <w:sz w:val="20"/>
          <w:szCs w:val="20"/>
        </w:rPr>
        <w:object w:dxaOrig="320" w:dyaOrig="360">
          <v:shape id="_x0000_i1027" type="#_x0000_t75" style="width:16.15pt;height:17.85pt" o:ole="">
            <v:imagedata r:id="rId14" o:title=""/>
          </v:shape>
          <o:OLEObject Type="Embed" ProgID="Equation.3" ShapeID="_x0000_i1027" DrawAspect="Content" ObjectID="_1503725206" r:id="rId15"/>
        </w:object>
      </w:r>
      <w:r w:rsidRPr="00BD5001">
        <w:rPr>
          <w:rFonts w:ascii="Arial" w:hAnsi="Arial" w:cs="Arial"/>
          <w:sz w:val="20"/>
          <w:szCs w:val="20"/>
        </w:rPr>
        <w:t xml:space="preserve">  is vector of</w:t>
      </w:r>
      <w:r w:rsidR="007B0C26">
        <w:rPr>
          <w:rFonts w:ascii="Arial" w:hAnsi="Arial" w:cs="Arial"/>
          <w:sz w:val="20"/>
          <w:szCs w:val="20"/>
        </w:rPr>
        <w:t xml:space="preserve"> </w:t>
      </w:r>
      <w:r w:rsidR="00F21B79" w:rsidRPr="00BD5001">
        <w:rPr>
          <w:rFonts w:ascii="Arial" w:hAnsi="Arial" w:cs="Arial"/>
          <w:sz w:val="20"/>
          <w:szCs w:val="20"/>
        </w:rPr>
        <w:t xml:space="preserve">exogenous variables. In first specification endogenous vector contains real GDP, consumer price index, key interest rate, monetary aggregate </w:t>
      </w:r>
      <w:r w:rsidRPr="00BD5001">
        <w:rPr>
          <w:rFonts w:ascii="Arial" w:hAnsi="Arial" w:cs="Arial"/>
          <w:sz w:val="20"/>
          <w:szCs w:val="20"/>
        </w:rPr>
        <w:t xml:space="preserve">M3 </w:t>
      </w:r>
      <w:r w:rsidR="00F21B79" w:rsidRPr="00BD5001">
        <w:rPr>
          <w:rFonts w:ascii="Arial" w:hAnsi="Arial" w:cs="Arial"/>
          <w:sz w:val="20"/>
          <w:szCs w:val="20"/>
        </w:rPr>
        <w:t xml:space="preserve">and </w:t>
      </w:r>
      <w:r w:rsidRPr="00BD5001">
        <w:rPr>
          <w:rFonts w:ascii="Arial" w:hAnsi="Arial" w:cs="Arial"/>
          <w:sz w:val="20"/>
          <w:szCs w:val="20"/>
        </w:rPr>
        <w:t xml:space="preserve">real effective exchange rate. The </w:t>
      </w:r>
      <w:r w:rsidR="00F21B79" w:rsidRPr="00BD5001">
        <w:rPr>
          <w:rFonts w:ascii="Arial" w:hAnsi="Arial" w:cs="Arial"/>
          <w:sz w:val="20"/>
          <w:szCs w:val="20"/>
        </w:rPr>
        <w:t xml:space="preserve">order </w:t>
      </w:r>
      <w:r w:rsidR="00097109" w:rsidRPr="00BD5001">
        <w:rPr>
          <w:rFonts w:ascii="Arial" w:hAnsi="Arial" w:cs="Arial"/>
          <w:sz w:val="20"/>
          <w:szCs w:val="20"/>
        </w:rPr>
        <w:t xml:space="preserve">of </w:t>
      </w:r>
      <w:r w:rsidR="00F21B79" w:rsidRPr="00BD5001">
        <w:rPr>
          <w:rFonts w:ascii="Arial" w:hAnsi="Arial" w:cs="Arial"/>
          <w:sz w:val="20"/>
          <w:szCs w:val="20"/>
        </w:rPr>
        <w:t xml:space="preserve">monetary aggregate and exchange rate variables are determined by assumption that exchange rate is momently affected by different shocks, while money supply is solely affected by monetary variables. Supporting assumption is that in short term, shocks on real variables of monetary policy doesn’t have simultaneous effect on real GDP and prices, due to slow reaction of real sector on monetary and exchange rate shocks. </w:t>
      </w:r>
    </w:p>
    <w:p w:rsidR="00F21B79" w:rsidRPr="00BD5001" w:rsidRDefault="002F1757" w:rsidP="00CE254F">
      <w:pPr>
        <w:spacing w:line="240" w:lineRule="auto"/>
        <w:rPr>
          <w:rFonts w:ascii="Arial" w:hAnsi="Arial" w:cs="Arial"/>
          <w:sz w:val="20"/>
          <w:szCs w:val="20"/>
        </w:rPr>
      </w:pPr>
      <w:r w:rsidRPr="00BD5001">
        <w:rPr>
          <w:rFonts w:ascii="Arial" w:hAnsi="Arial" w:cs="Arial"/>
          <w:position w:val="-12"/>
          <w:sz w:val="20"/>
          <w:szCs w:val="20"/>
        </w:rPr>
        <w:object w:dxaOrig="2799" w:dyaOrig="360">
          <v:shape id="_x0000_i1028" type="#_x0000_t75" style="width:140.55pt;height:17.85pt" o:ole="">
            <v:imagedata r:id="rId16" o:title=""/>
          </v:shape>
          <o:OLEObject Type="Embed" ProgID="Equation.3" ShapeID="_x0000_i1028" DrawAspect="Content" ObjectID="_1503725207" r:id="rId17"/>
        </w:object>
      </w:r>
    </w:p>
    <w:p w:rsidR="00F21B79" w:rsidRPr="00BD5001" w:rsidRDefault="00F21B79" w:rsidP="00CE254F">
      <w:pPr>
        <w:spacing w:line="240" w:lineRule="auto"/>
        <w:rPr>
          <w:rFonts w:ascii="Arial" w:hAnsi="Arial" w:cs="Arial"/>
          <w:sz w:val="20"/>
          <w:szCs w:val="20"/>
        </w:rPr>
      </w:pPr>
      <w:r w:rsidRPr="00BD5001">
        <w:rPr>
          <w:rFonts w:ascii="Arial" w:hAnsi="Arial" w:cs="Arial"/>
          <w:sz w:val="20"/>
          <w:szCs w:val="20"/>
        </w:rPr>
        <w:t xml:space="preserve">Vector of exogenous variables contains three month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interest rate and oil price. </w:t>
      </w:r>
    </w:p>
    <w:p w:rsidR="00F21B79" w:rsidRPr="00BD5001" w:rsidRDefault="00F21B79" w:rsidP="00CE254F">
      <w:pPr>
        <w:spacing w:line="240" w:lineRule="auto"/>
        <w:rPr>
          <w:rFonts w:ascii="Arial" w:hAnsi="Arial" w:cs="Arial"/>
          <w:sz w:val="20"/>
          <w:szCs w:val="20"/>
        </w:rPr>
      </w:pPr>
      <w:r w:rsidRPr="00BD5001">
        <w:rPr>
          <w:rFonts w:ascii="Arial" w:hAnsi="Arial" w:cs="Arial"/>
          <w:position w:val="-30"/>
          <w:sz w:val="20"/>
          <w:szCs w:val="20"/>
        </w:rPr>
        <w:object w:dxaOrig="1900" w:dyaOrig="720">
          <v:shape id="_x0000_i1029" type="#_x0000_t75" style="width:96.2pt;height:37.45pt" o:ole="">
            <v:imagedata r:id="rId18" o:title=""/>
          </v:shape>
          <o:OLEObject Type="Embed" ProgID="Equation.3" ShapeID="_x0000_i1029" DrawAspect="Content" ObjectID="_1503725208" r:id="rId19"/>
        </w:objec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The important feature of </w:t>
      </w:r>
      <w:r w:rsidR="003906A4" w:rsidRPr="00BD5001">
        <w:rPr>
          <w:rFonts w:ascii="Arial" w:hAnsi="Arial" w:cs="Arial"/>
          <w:sz w:val="20"/>
          <w:szCs w:val="20"/>
        </w:rPr>
        <w:t>banking sector in</w:t>
      </w:r>
      <w:r w:rsidRPr="00BD5001">
        <w:rPr>
          <w:rFonts w:ascii="Arial" w:hAnsi="Arial" w:cs="Arial"/>
          <w:sz w:val="20"/>
          <w:szCs w:val="20"/>
        </w:rPr>
        <w:t xml:space="preserve"> Serbia </w:t>
      </w:r>
      <w:r w:rsidR="003906A4" w:rsidRPr="00BD5001">
        <w:rPr>
          <w:rFonts w:ascii="Arial" w:hAnsi="Arial" w:cs="Arial"/>
          <w:sz w:val="20"/>
          <w:szCs w:val="20"/>
        </w:rPr>
        <w:t xml:space="preserve">is </w:t>
      </w:r>
      <w:r w:rsidRPr="00BD5001">
        <w:rPr>
          <w:rFonts w:ascii="Arial" w:hAnsi="Arial" w:cs="Arial"/>
          <w:sz w:val="20"/>
          <w:szCs w:val="20"/>
        </w:rPr>
        <w:t>that significant</w:t>
      </w:r>
      <w:r w:rsidR="003906A4" w:rsidRPr="00BD5001">
        <w:rPr>
          <w:rFonts w:ascii="Arial" w:hAnsi="Arial" w:cs="Arial"/>
          <w:sz w:val="20"/>
          <w:szCs w:val="20"/>
        </w:rPr>
        <w:t xml:space="preserve"> number of banks is</w:t>
      </w:r>
      <w:r w:rsidRPr="00BD5001">
        <w:rPr>
          <w:rFonts w:ascii="Arial" w:hAnsi="Arial" w:cs="Arial"/>
          <w:sz w:val="20"/>
          <w:szCs w:val="20"/>
        </w:rPr>
        <w:t xml:space="preserve"> financed from abroad, mostly on European </w:t>
      </w:r>
      <w:r w:rsidR="00B93F7A">
        <w:rPr>
          <w:rFonts w:ascii="Arial" w:hAnsi="Arial" w:cs="Arial"/>
          <w:sz w:val="20"/>
          <w:szCs w:val="20"/>
        </w:rPr>
        <w:t xml:space="preserve">financial </w:t>
      </w:r>
      <w:r w:rsidR="006D6A5D" w:rsidRPr="00BD5001">
        <w:rPr>
          <w:rFonts w:ascii="Arial" w:hAnsi="Arial" w:cs="Arial"/>
          <w:sz w:val="20"/>
          <w:szCs w:val="20"/>
        </w:rPr>
        <w:t>market. Domestic deposit base is</w:t>
      </w:r>
      <w:r w:rsidRPr="00BD5001">
        <w:rPr>
          <w:rFonts w:ascii="Arial" w:hAnsi="Arial" w:cs="Arial"/>
          <w:sz w:val="20"/>
          <w:szCs w:val="20"/>
        </w:rPr>
        <w:t xml:space="preserve"> insufficient for rising loan demand. Interest rate on euro currency is supposed to </w:t>
      </w:r>
      <w:r w:rsidR="00642E9D" w:rsidRPr="00BD5001">
        <w:rPr>
          <w:rFonts w:ascii="Arial" w:hAnsi="Arial" w:cs="Arial"/>
          <w:sz w:val="20"/>
          <w:szCs w:val="20"/>
        </w:rPr>
        <w:t>prominently</w:t>
      </w:r>
      <w:r w:rsidRPr="00BD5001">
        <w:rPr>
          <w:rFonts w:ascii="Arial" w:hAnsi="Arial" w:cs="Arial"/>
          <w:sz w:val="20"/>
          <w:szCs w:val="20"/>
        </w:rPr>
        <w:t xml:space="preserve"> influence the formation of loans interest rates, and therefore aggregate demand. Due to this, in the second model, three month interest rate can be obser</w:t>
      </w:r>
      <w:r w:rsidR="00642E9D" w:rsidRPr="00BD5001">
        <w:rPr>
          <w:rFonts w:ascii="Arial" w:hAnsi="Arial" w:cs="Arial"/>
          <w:sz w:val="20"/>
          <w:szCs w:val="20"/>
        </w:rPr>
        <w:t xml:space="preserve">ved as endogenous </w:t>
      </w:r>
      <w:r w:rsidR="006D6A5D" w:rsidRPr="00BD5001">
        <w:rPr>
          <w:rFonts w:ascii="Arial" w:hAnsi="Arial" w:cs="Arial"/>
          <w:sz w:val="20"/>
          <w:szCs w:val="20"/>
        </w:rPr>
        <w:t xml:space="preserve">variable. </w:t>
      </w:r>
      <w:r w:rsidR="00642E9D" w:rsidRPr="00BD5001">
        <w:rPr>
          <w:rFonts w:ascii="Arial" w:hAnsi="Arial" w:cs="Arial"/>
          <w:sz w:val="20"/>
          <w:szCs w:val="20"/>
        </w:rPr>
        <w:t>N</w:t>
      </w:r>
      <w:r w:rsidR="00F81CFF">
        <w:rPr>
          <w:rFonts w:ascii="Arial" w:hAnsi="Arial" w:cs="Arial"/>
          <w:sz w:val="20"/>
          <w:szCs w:val="20"/>
        </w:rPr>
        <w:t xml:space="preserve">ew specification, </w:t>
      </w:r>
      <w:r w:rsidR="00F81CFF" w:rsidRPr="00A654BA">
        <w:rPr>
          <w:rFonts w:ascii="Arial" w:hAnsi="Arial" w:cs="Arial"/>
          <w:i/>
          <w:sz w:val="20"/>
          <w:szCs w:val="20"/>
        </w:rPr>
        <w:t>Model 2,</w:t>
      </w:r>
      <w:r w:rsidR="00F81CFF">
        <w:rPr>
          <w:rFonts w:ascii="Arial" w:hAnsi="Arial" w:cs="Arial"/>
          <w:sz w:val="20"/>
          <w:szCs w:val="20"/>
        </w:rPr>
        <w:t xml:space="preserve"> i</w:t>
      </w:r>
      <w:r w:rsidRPr="00BD5001">
        <w:rPr>
          <w:rFonts w:ascii="Arial" w:hAnsi="Arial" w:cs="Arial"/>
          <w:sz w:val="20"/>
          <w:szCs w:val="20"/>
        </w:rPr>
        <w:t xml:space="preserve">s presented by following </w:t>
      </w:r>
      <w:r w:rsidR="00642E9D" w:rsidRPr="00BD5001">
        <w:rPr>
          <w:rFonts w:ascii="Arial" w:hAnsi="Arial" w:cs="Arial"/>
          <w:sz w:val="20"/>
          <w:szCs w:val="20"/>
        </w:rPr>
        <w:t>equation</w:t>
      </w:r>
      <w:r w:rsidRPr="00BD5001">
        <w:rPr>
          <w:rFonts w:ascii="Arial" w:hAnsi="Arial" w:cs="Arial"/>
          <w:sz w:val="20"/>
          <w:szCs w:val="20"/>
        </w:rPr>
        <w:t>:</w:t>
      </w:r>
    </w:p>
    <w:p w:rsidR="00F21B79" w:rsidRPr="00BD5001" w:rsidRDefault="002F1757" w:rsidP="00CE254F">
      <w:pPr>
        <w:spacing w:line="240" w:lineRule="auto"/>
        <w:rPr>
          <w:rFonts w:ascii="Arial" w:hAnsi="Arial" w:cs="Arial"/>
          <w:sz w:val="20"/>
          <w:szCs w:val="20"/>
        </w:rPr>
      </w:pPr>
      <w:r w:rsidRPr="00BD5001">
        <w:rPr>
          <w:rFonts w:ascii="Arial" w:hAnsi="Arial" w:cs="Arial"/>
          <w:position w:val="-12"/>
          <w:sz w:val="20"/>
          <w:szCs w:val="20"/>
        </w:rPr>
        <w:object w:dxaOrig="3660" w:dyaOrig="360">
          <v:shape id="_x0000_i1030" type="#_x0000_t75" style="width:183.75pt;height:17.85pt" o:ole="">
            <v:imagedata r:id="rId20" o:title=""/>
          </v:shape>
          <o:OLEObject Type="Embed" ProgID="Equation.3" ShapeID="_x0000_i1030" DrawAspect="Content" ObjectID="_1503725209" r:id="rId21"/>
        </w:objec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While the vector of exogenous variables contains only oil price </w:t>
      </w:r>
    </w:p>
    <w:p w:rsidR="00F21B79" w:rsidRPr="00BD5001" w:rsidRDefault="006D6A5D" w:rsidP="00CE254F">
      <w:pPr>
        <w:spacing w:line="240" w:lineRule="auto"/>
        <w:jc w:val="both"/>
        <w:rPr>
          <w:rFonts w:ascii="Arial" w:hAnsi="Arial" w:cs="Arial"/>
          <w:sz w:val="20"/>
          <w:szCs w:val="20"/>
        </w:rPr>
      </w:pPr>
      <w:r w:rsidRPr="00BD5001">
        <w:rPr>
          <w:rFonts w:ascii="Arial" w:hAnsi="Arial" w:cs="Arial"/>
          <w:sz w:val="20"/>
          <w:szCs w:val="20"/>
        </w:rPr>
        <w:t>Determination of variables order implies</w:t>
      </w:r>
      <w:r w:rsidR="00F21B79" w:rsidRPr="00BD5001">
        <w:rPr>
          <w:rFonts w:ascii="Arial" w:hAnsi="Arial" w:cs="Arial"/>
          <w:sz w:val="20"/>
          <w:szCs w:val="20"/>
        </w:rPr>
        <w:t xml:space="preserve"> that some of the </w:t>
      </w:r>
      <w:r w:rsidRPr="00BD5001">
        <w:rPr>
          <w:rFonts w:ascii="Arial" w:hAnsi="Arial" w:cs="Arial"/>
          <w:sz w:val="20"/>
          <w:szCs w:val="20"/>
        </w:rPr>
        <w:t>variable rather follows</w:t>
      </w:r>
      <w:r w:rsidR="00F21B79" w:rsidRPr="00BD5001">
        <w:rPr>
          <w:rFonts w:ascii="Arial" w:hAnsi="Arial" w:cs="Arial"/>
          <w:sz w:val="20"/>
          <w:szCs w:val="20"/>
        </w:rPr>
        <w:t xml:space="preserve"> than react in relation with other variables. If order is not adequate, the sensitivity of results can be observed by changing the order and recalculating impulse response and variance decomposition. It is important to emphasize that if the residuals are more correlated, it is more importan</w:t>
      </w:r>
      <w:r w:rsidR="005F3C25" w:rsidRPr="00BD5001">
        <w:rPr>
          <w:rFonts w:ascii="Arial" w:hAnsi="Arial" w:cs="Arial"/>
          <w:sz w:val="20"/>
          <w:szCs w:val="20"/>
        </w:rPr>
        <w:t xml:space="preserve">t to properly define the order. </w:t>
      </w:r>
      <w:proofErr w:type="gramStart"/>
      <w:r w:rsidR="005F3C25" w:rsidRPr="00BD5001">
        <w:rPr>
          <w:rFonts w:ascii="Arial" w:hAnsi="Arial" w:cs="Arial"/>
          <w:sz w:val="20"/>
          <w:szCs w:val="20"/>
        </w:rPr>
        <w:t>(</w:t>
      </w:r>
      <w:proofErr w:type="spellStart"/>
      <w:r w:rsidR="005F3C25" w:rsidRPr="00BD5001">
        <w:rPr>
          <w:rFonts w:ascii="Arial" w:hAnsi="Arial" w:cs="Arial"/>
          <w:sz w:val="20"/>
          <w:szCs w:val="20"/>
        </w:rPr>
        <w:t>Lutkepohl</w:t>
      </w:r>
      <w:proofErr w:type="spellEnd"/>
      <w:r w:rsidR="005F3C25" w:rsidRPr="00BD5001">
        <w:rPr>
          <w:rStyle w:val="FootnoteReference"/>
          <w:rFonts w:ascii="Arial" w:hAnsi="Arial" w:cs="Arial"/>
          <w:sz w:val="20"/>
          <w:szCs w:val="20"/>
          <w:vertAlign w:val="baseline"/>
        </w:rPr>
        <w:t xml:space="preserve"> </w:t>
      </w:r>
      <w:r w:rsidR="005F3C25" w:rsidRPr="00BD5001">
        <w:rPr>
          <w:rFonts w:ascii="Arial" w:hAnsi="Arial" w:cs="Arial"/>
          <w:sz w:val="20"/>
          <w:szCs w:val="20"/>
        </w:rPr>
        <w:t>, 1991).</w:t>
      </w:r>
      <w:proofErr w:type="gramEnd"/>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In estimation of relationship between output, prices and monetary variables, stationarity of series is important. As in most models of monetary transmission, there will be presented explicit analysis of long term relationship in economy. </w:t>
      </w:r>
      <w:r w:rsidR="005F3C25" w:rsidRPr="00BD5001">
        <w:rPr>
          <w:rFonts w:ascii="Arial" w:hAnsi="Arial" w:cs="Arial"/>
          <w:sz w:val="20"/>
          <w:szCs w:val="20"/>
        </w:rPr>
        <w:t>Conducting the analysis in levels</w:t>
      </w:r>
      <w:r w:rsidRPr="00BD5001">
        <w:rPr>
          <w:rFonts w:ascii="Arial" w:hAnsi="Arial" w:cs="Arial"/>
          <w:sz w:val="20"/>
          <w:szCs w:val="20"/>
        </w:rPr>
        <w:t xml:space="preserve">, it is allowed implicit </w:t>
      </w:r>
      <w:proofErr w:type="spellStart"/>
      <w:r w:rsidRPr="00BD5001">
        <w:rPr>
          <w:rFonts w:ascii="Arial" w:hAnsi="Arial" w:cs="Arial"/>
          <w:sz w:val="20"/>
          <w:szCs w:val="20"/>
        </w:rPr>
        <w:t>cointegrating</w:t>
      </w:r>
      <w:proofErr w:type="spellEnd"/>
      <w:r w:rsidRPr="00BD5001">
        <w:rPr>
          <w:rFonts w:ascii="Arial" w:hAnsi="Arial" w:cs="Arial"/>
          <w:sz w:val="20"/>
          <w:szCs w:val="20"/>
        </w:rPr>
        <w:t xml:space="preserve"> analysis of series. Implying the restrictions of </w:t>
      </w:r>
      <w:proofErr w:type="spellStart"/>
      <w:r w:rsidRPr="00BD5001">
        <w:rPr>
          <w:rFonts w:ascii="Arial" w:hAnsi="Arial" w:cs="Arial"/>
          <w:sz w:val="20"/>
          <w:szCs w:val="20"/>
        </w:rPr>
        <w:t>cointegration</w:t>
      </w:r>
      <w:proofErr w:type="spellEnd"/>
      <w:r w:rsidRPr="00BD5001">
        <w:rPr>
          <w:rFonts w:ascii="Arial" w:hAnsi="Arial" w:cs="Arial"/>
          <w:sz w:val="20"/>
          <w:szCs w:val="20"/>
        </w:rPr>
        <w:t xml:space="preserve"> on VAR levels, can elevate the estimation efficiency. However, taking into consideration short term series can drive to certain abnormalities. As transmission of monetary policy is short term phenomenon, in some studies is used unrestricted VAR in levels in order to estimate impulse response and variance decomposition in short and long term</w:t>
      </w:r>
      <w:r w:rsidR="00BA587E">
        <w:rPr>
          <w:rFonts w:ascii="Arial" w:hAnsi="Arial" w:cs="Arial"/>
          <w:sz w:val="20"/>
          <w:szCs w:val="20"/>
        </w:rPr>
        <w:t xml:space="preserve"> (</w:t>
      </w:r>
      <w:proofErr w:type="spellStart"/>
      <w:r w:rsidR="00BA587E">
        <w:rPr>
          <w:rFonts w:ascii="Arial" w:hAnsi="Arial" w:cs="Arial"/>
          <w:sz w:val="20"/>
          <w:szCs w:val="20"/>
        </w:rPr>
        <w:t>Favero</w:t>
      </w:r>
      <w:proofErr w:type="spellEnd"/>
      <w:r w:rsidR="00BA587E">
        <w:rPr>
          <w:rFonts w:ascii="Arial" w:hAnsi="Arial" w:cs="Arial"/>
          <w:sz w:val="20"/>
          <w:szCs w:val="20"/>
        </w:rPr>
        <w:t>, 1999)</w:t>
      </w:r>
      <w:bookmarkStart w:id="0" w:name="_GoBack"/>
      <w:bookmarkEnd w:id="0"/>
      <w:r w:rsidRPr="00BD5001">
        <w:rPr>
          <w:rFonts w:ascii="Arial" w:hAnsi="Arial" w:cs="Arial"/>
          <w:sz w:val="20"/>
          <w:szCs w:val="20"/>
        </w:rPr>
        <w:t xml:space="preserve">. </w:t>
      </w:r>
      <w:r w:rsidR="005F3C25" w:rsidRPr="00BD5001">
        <w:rPr>
          <w:rFonts w:ascii="Arial" w:hAnsi="Arial" w:cs="Arial"/>
          <w:sz w:val="20"/>
          <w:szCs w:val="20"/>
        </w:rPr>
        <w:t>Moreover</w:t>
      </w:r>
      <w:r w:rsidRPr="00BD5001">
        <w:rPr>
          <w:rFonts w:ascii="Arial" w:hAnsi="Arial" w:cs="Arial"/>
          <w:sz w:val="20"/>
          <w:szCs w:val="20"/>
        </w:rPr>
        <w:t xml:space="preserve">, in order to estimate shock on variables, it needs to consider all developments in series. By differentiating series in order to gain stationarity, the changes in series that can be crucial for shock analysis are smoothened. Therefore, in this paper we will use variables in levels despite non stationary character. </w:t>
      </w:r>
    </w:p>
    <w:p w:rsidR="00F21B79" w:rsidRPr="00861993" w:rsidRDefault="00F21B79" w:rsidP="00861993">
      <w:pPr>
        <w:pStyle w:val="ListParagraph"/>
        <w:numPr>
          <w:ilvl w:val="0"/>
          <w:numId w:val="2"/>
        </w:numPr>
        <w:spacing w:line="240" w:lineRule="auto"/>
        <w:jc w:val="center"/>
        <w:rPr>
          <w:rFonts w:ascii="Arial" w:hAnsi="Arial" w:cs="Arial"/>
          <w:b/>
          <w:sz w:val="24"/>
          <w:szCs w:val="24"/>
        </w:rPr>
      </w:pPr>
      <w:r w:rsidRPr="00861993">
        <w:rPr>
          <w:rFonts w:ascii="Arial" w:hAnsi="Arial" w:cs="Arial"/>
          <w:b/>
          <w:sz w:val="24"/>
          <w:szCs w:val="24"/>
        </w:rPr>
        <w:t>Results</w:t>
      </w:r>
      <w:r w:rsidR="00BD5001" w:rsidRPr="00861993">
        <w:rPr>
          <w:rFonts w:ascii="Arial" w:hAnsi="Arial" w:cs="Arial"/>
          <w:b/>
          <w:sz w:val="24"/>
          <w:szCs w:val="24"/>
        </w:rPr>
        <w:t xml:space="preserve"> and discussion</w:t>
      </w:r>
    </w:p>
    <w:p w:rsidR="00F21B79"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In order to estimate VAR model, diagnostic test are implied. According to </w:t>
      </w:r>
      <w:proofErr w:type="spellStart"/>
      <w:r w:rsidRPr="00BD5001">
        <w:rPr>
          <w:rFonts w:ascii="Arial" w:hAnsi="Arial" w:cs="Arial"/>
          <w:sz w:val="20"/>
          <w:szCs w:val="20"/>
        </w:rPr>
        <w:t>Akaike</w:t>
      </w:r>
      <w:proofErr w:type="spellEnd"/>
      <w:r w:rsidRPr="00BD5001">
        <w:rPr>
          <w:rFonts w:ascii="Arial" w:hAnsi="Arial" w:cs="Arial"/>
          <w:sz w:val="20"/>
          <w:szCs w:val="20"/>
        </w:rPr>
        <w:t xml:space="preserve"> and Schwarz criteria, chosen number of lags is 3. Model does not suffer from serial correlation and heteroscedasticity, and satisfies the normality condition. </w:t>
      </w:r>
      <w:r w:rsidR="00882EFA" w:rsidRPr="00BD5001">
        <w:rPr>
          <w:rFonts w:ascii="Arial" w:hAnsi="Arial" w:cs="Arial"/>
          <w:sz w:val="20"/>
          <w:szCs w:val="20"/>
        </w:rPr>
        <w:t>Additionally</w:t>
      </w:r>
      <w:r w:rsidRPr="00BD5001">
        <w:rPr>
          <w:rFonts w:ascii="Arial" w:hAnsi="Arial" w:cs="Arial"/>
          <w:sz w:val="20"/>
          <w:szCs w:val="20"/>
        </w:rPr>
        <w:t xml:space="preserve">, model satisfies stability condition, since all unit roots lays in unit root circle. </w:t>
      </w:r>
    </w:p>
    <w:p w:rsidR="006946C4" w:rsidRPr="00BD5001" w:rsidRDefault="006946C4" w:rsidP="006946C4">
      <w:pPr>
        <w:pStyle w:val="Caption"/>
        <w:rPr>
          <w:rFonts w:ascii="Arial" w:hAnsi="Arial" w:cs="Arial"/>
          <w:sz w:val="20"/>
          <w:szCs w:val="20"/>
        </w:rPr>
      </w:pPr>
      <w:r>
        <w:t xml:space="preserve">Figure </w:t>
      </w:r>
      <w:fldSimple w:instr=" SEQ Figure \* ARABIC ">
        <w:r w:rsidR="00861993">
          <w:rPr>
            <w:noProof/>
          </w:rPr>
          <w:t>1</w:t>
        </w:r>
      </w:fldSimple>
      <w:r>
        <w:t xml:space="preserve"> Inverse roots</w:t>
      </w:r>
    </w:p>
    <w:p w:rsidR="00F21B79" w:rsidRDefault="00F21B79" w:rsidP="006946C4">
      <w:pPr>
        <w:spacing w:line="240" w:lineRule="auto"/>
        <w:jc w:val="both"/>
        <w:rPr>
          <w:rFonts w:ascii="Arial" w:hAnsi="Arial" w:cs="Arial"/>
          <w:sz w:val="20"/>
          <w:szCs w:val="20"/>
        </w:rPr>
      </w:pPr>
      <w:r w:rsidRPr="00BD5001">
        <w:rPr>
          <w:rFonts w:ascii="Arial" w:hAnsi="Arial" w:cs="Arial"/>
          <w:noProof/>
          <w:sz w:val="20"/>
          <w:szCs w:val="20"/>
        </w:rPr>
        <w:lastRenderedPageBreak/>
        <w:drawing>
          <wp:inline distT="0" distB="0" distL="0" distR="0" wp14:anchorId="0CEE332E" wp14:editId="292E1765">
            <wp:extent cx="2061810" cy="216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1810" cy="2160000"/>
                    </a:xfrm>
                    <a:prstGeom prst="rect">
                      <a:avLst/>
                    </a:prstGeom>
                    <a:noFill/>
                    <a:ln>
                      <a:noFill/>
                    </a:ln>
                  </pic:spPr>
                </pic:pic>
              </a:graphicData>
            </a:graphic>
          </wp:inline>
        </w:drawing>
      </w:r>
    </w:p>
    <w:p w:rsidR="006946C4" w:rsidRPr="00BD5001" w:rsidRDefault="006946C4" w:rsidP="006946C4">
      <w:pPr>
        <w:spacing w:line="240" w:lineRule="auto"/>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Authos</w:t>
      </w:r>
      <w:proofErr w:type="spellEnd"/>
    </w:p>
    <w:p w:rsidR="00F21B79"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Granger causality test implies correlation between present variable value and past values other variables, but not variables interdependence. This test does not show the sign of correlation. Granger test reports causality of exchange rate to inflation, while other variables don’t cause inflation changes. Monetary aggregate displays causal relationship with GDP. </w:t>
      </w:r>
    </w:p>
    <w:p w:rsidR="006946C4" w:rsidRPr="00BD5001" w:rsidRDefault="006946C4" w:rsidP="006946C4">
      <w:pPr>
        <w:pStyle w:val="Caption"/>
        <w:rPr>
          <w:rFonts w:ascii="Arial" w:hAnsi="Arial" w:cs="Arial"/>
          <w:sz w:val="20"/>
          <w:szCs w:val="20"/>
        </w:rPr>
      </w:pPr>
      <w:r>
        <w:t xml:space="preserve">Table </w:t>
      </w:r>
      <w:fldSimple w:instr=" SEQ Table \* ARABIC ">
        <w:r>
          <w:rPr>
            <w:noProof/>
          </w:rPr>
          <w:t>3</w:t>
        </w:r>
      </w:fldSimple>
      <w:r>
        <w:t xml:space="preserve"> Granger </w:t>
      </w:r>
      <w:proofErr w:type="spellStart"/>
      <w:r>
        <w:t>Causaliy</w:t>
      </w:r>
      <w:proofErr w:type="spellEnd"/>
      <w:r>
        <w:t xml:space="preserve"> Test</w:t>
      </w:r>
    </w:p>
    <w:tbl>
      <w:tblPr>
        <w:tblW w:w="0" w:type="auto"/>
        <w:tblInd w:w="30" w:type="dxa"/>
        <w:tblCellMar>
          <w:left w:w="0" w:type="dxa"/>
          <w:right w:w="0" w:type="dxa"/>
        </w:tblCellMar>
        <w:tblLook w:val="0000" w:firstRow="0" w:lastRow="0" w:firstColumn="0" w:lastColumn="0" w:noHBand="0" w:noVBand="0"/>
      </w:tblPr>
      <w:tblGrid>
        <w:gridCol w:w="1493"/>
        <w:gridCol w:w="1615"/>
        <w:gridCol w:w="405"/>
        <w:gridCol w:w="1212"/>
      </w:tblGrid>
      <w:tr w:rsidR="00F21B79" w:rsidRPr="00BD5001" w:rsidTr="00E052D3">
        <w:trPr>
          <w:trHeight w:val="225"/>
        </w:trPr>
        <w:tc>
          <w:tcPr>
            <w:tcW w:w="0" w:type="auto"/>
            <w:gridSpan w:val="4"/>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 xml:space="preserve">VAR Granger Causality/Block </w:t>
            </w:r>
            <w:proofErr w:type="spellStart"/>
            <w:r w:rsidRPr="00BD5001">
              <w:rPr>
                <w:rFonts w:ascii="Arial" w:hAnsi="Arial" w:cs="Arial"/>
                <w:color w:val="000000"/>
                <w:sz w:val="20"/>
                <w:szCs w:val="20"/>
              </w:rPr>
              <w:t>Exogeneity</w:t>
            </w:r>
            <w:proofErr w:type="spellEnd"/>
            <w:r w:rsidRPr="00BD5001">
              <w:rPr>
                <w:rFonts w:ascii="Arial" w:hAnsi="Arial" w:cs="Arial"/>
                <w:color w:val="000000"/>
                <w:sz w:val="20"/>
                <w:szCs w:val="20"/>
              </w:rPr>
              <w:t xml:space="preserve"> Wald Tests</w:t>
            </w:r>
          </w:p>
        </w:tc>
      </w:tr>
      <w:tr w:rsidR="00F21B79" w:rsidRPr="00BD5001" w:rsidTr="00E052D3">
        <w:trPr>
          <w:trHeight w:hRule="exact" w:val="63"/>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gridSpan w:val="3"/>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Dependent variable: Y</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63"/>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Excluded</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Chi-</w:t>
            </w:r>
            <w:proofErr w:type="spellStart"/>
            <w:r w:rsidRPr="00BD5001">
              <w:rPr>
                <w:rFonts w:ascii="Arial" w:hAnsi="Arial" w:cs="Arial"/>
                <w:color w:val="000000"/>
                <w:sz w:val="20"/>
                <w:szCs w:val="20"/>
              </w:rPr>
              <w:t>sq</w:t>
            </w:r>
            <w:proofErr w:type="spellEnd"/>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roofErr w:type="spellStart"/>
            <w:r w:rsidRPr="00BD5001">
              <w:rPr>
                <w:rFonts w:ascii="Arial" w:hAnsi="Arial" w:cs="Arial"/>
                <w:color w:val="000000"/>
                <w:sz w:val="20"/>
                <w:szCs w:val="20"/>
              </w:rPr>
              <w:t>df</w:t>
            </w:r>
            <w:proofErr w:type="spellEnd"/>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Prob.</w:t>
            </w:r>
          </w:p>
        </w:tc>
      </w:tr>
      <w:tr w:rsidR="00F21B79" w:rsidRPr="00BD5001" w:rsidTr="00E052D3">
        <w:trPr>
          <w:trHeight w:hRule="exact" w:val="63"/>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P</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5.309623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0.1505</w:t>
            </w: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REER1</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1.451769</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0.6934</w:t>
            </w: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M3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10.91117</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0.0122</w:t>
            </w: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REPO</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4.438264</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0.2179</w:t>
            </w:r>
          </w:p>
        </w:tc>
      </w:tr>
      <w:tr w:rsidR="00F21B79" w:rsidRPr="00BD5001" w:rsidTr="00E052D3">
        <w:trPr>
          <w:trHeight w:hRule="exact" w:val="90"/>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All</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20.09132</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12</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0.0654</w:t>
            </w:r>
          </w:p>
        </w:tc>
      </w:tr>
      <w:tr w:rsidR="00F21B79" w:rsidRPr="00BD5001" w:rsidTr="00E052D3">
        <w:trPr>
          <w:trHeight w:hRule="exact" w:val="63"/>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gridSpan w:val="3"/>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Dependent variable: P</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90"/>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Excluded</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Chi-</w:t>
            </w:r>
            <w:proofErr w:type="spellStart"/>
            <w:r w:rsidRPr="00BD5001">
              <w:rPr>
                <w:rFonts w:ascii="Arial" w:hAnsi="Arial" w:cs="Arial"/>
                <w:color w:val="000000"/>
                <w:sz w:val="20"/>
                <w:szCs w:val="20"/>
              </w:rPr>
              <w:t>sq</w:t>
            </w:r>
            <w:proofErr w:type="spellEnd"/>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roofErr w:type="spellStart"/>
            <w:r w:rsidRPr="00BD5001">
              <w:rPr>
                <w:rFonts w:ascii="Arial" w:hAnsi="Arial" w:cs="Arial"/>
                <w:color w:val="000000"/>
                <w:sz w:val="20"/>
                <w:szCs w:val="20"/>
              </w:rPr>
              <w:t>df</w:t>
            </w:r>
            <w:proofErr w:type="spellEnd"/>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Prob.</w:t>
            </w:r>
          </w:p>
        </w:tc>
      </w:tr>
      <w:tr w:rsidR="00F21B79" w:rsidRPr="00BD5001" w:rsidTr="00E052D3">
        <w:trPr>
          <w:trHeight w:hRule="exact" w:val="90"/>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Y</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2.640234</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0.4505</w:t>
            </w: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REER1</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12.49006</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0.0059</w:t>
            </w: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M3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3.388128</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0.3356</w:t>
            </w: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REPO</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0.669819</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3</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0.8803</w:t>
            </w:r>
          </w:p>
        </w:tc>
      </w:tr>
      <w:tr w:rsidR="00F21B79" w:rsidRPr="00BD5001" w:rsidTr="00E052D3">
        <w:trPr>
          <w:trHeight w:hRule="exact" w:val="90"/>
        </w:trPr>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All</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22.93139</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12</w:t>
            </w: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0.0283</w:t>
            </w:r>
          </w:p>
        </w:tc>
      </w:tr>
      <w:tr w:rsidR="00F21B79" w:rsidRPr="00BD5001" w:rsidTr="00E052D3">
        <w:trPr>
          <w:trHeight w:hRule="exact" w:val="90"/>
        </w:trPr>
        <w:tc>
          <w:tcPr>
            <w:tcW w:w="0" w:type="auto"/>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0" w:type="auto"/>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bl>
    <w:p w:rsidR="00F21B79" w:rsidRPr="00BD5001" w:rsidRDefault="006946C4" w:rsidP="00CE254F">
      <w:pPr>
        <w:spacing w:line="240" w:lineRule="auto"/>
        <w:jc w:val="both"/>
        <w:rPr>
          <w:rFonts w:ascii="Arial" w:hAnsi="Arial" w:cs="Arial"/>
          <w:sz w:val="20"/>
          <w:szCs w:val="20"/>
        </w:rPr>
      </w:pPr>
      <w:r>
        <w:rPr>
          <w:rFonts w:ascii="Arial" w:hAnsi="Arial" w:cs="Arial"/>
          <w:sz w:val="20"/>
          <w:szCs w:val="20"/>
        </w:rPr>
        <w:t>Source: Author</w:t>
      </w:r>
    </w:p>
    <w:p w:rsidR="00F21B79" w:rsidRDefault="00F21B79" w:rsidP="00CE254F">
      <w:pPr>
        <w:spacing w:line="240" w:lineRule="auto"/>
        <w:jc w:val="both"/>
        <w:rPr>
          <w:rFonts w:ascii="Arial" w:hAnsi="Arial" w:cs="Arial"/>
          <w:sz w:val="20"/>
          <w:szCs w:val="20"/>
        </w:rPr>
      </w:pPr>
      <w:r w:rsidRPr="00BD5001">
        <w:rPr>
          <w:rFonts w:ascii="Arial" w:hAnsi="Arial" w:cs="Arial"/>
          <w:sz w:val="20"/>
          <w:szCs w:val="20"/>
        </w:rPr>
        <w:t>Impulse response function exhibits all reaction of endogenous variable on unit standard deviation shock. In case of Serbia, unexpected increase of M3 has positive effect on GDP, which is statistically significant between 5</w:t>
      </w:r>
      <w:r w:rsidRPr="00BD5001">
        <w:rPr>
          <w:rFonts w:ascii="Arial" w:hAnsi="Arial" w:cs="Arial"/>
          <w:sz w:val="20"/>
          <w:szCs w:val="20"/>
          <w:vertAlign w:val="superscript"/>
        </w:rPr>
        <w:t>th</w:t>
      </w:r>
      <w:r w:rsidRPr="00BD5001">
        <w:rPr>
          <w:rFonts w:ascii="Arial" w:hAnsi="Arial" w:cs="Arial"/>
          <w:sz w:val="20"/>
          <w:szCs w:val="20"/>
        </w:rPr>
        <w:t xml:space="preserve"> and 8</w:t>
      </w:r>
      <w:r w:rsidRPr="00BD5001">
        <w:rPr>
          <w:rFonts w:ascii="Arial" w:hAnsi="Arial" w:cs="Arial"/>
          <w:sz w:val="20"/>
          <w:szCs w:val="20"/>
          <w:vertAlign w:val="superscript"/>
        </w:rPr>
        <w:t>th</w:t>
      </w:r>
      <w:r w:rsidRPr="00BD5001">
        <w:rPr>
          <w:rFonts w:ascii="Arial" w:hAnsi="Arial" w:cs="Arial"/>
          <w:sz w:val="20"/>
          <w:szCs w:val="20"/>
        </w:rPr>
        <w:t xml:space="preserve"> month. The unexpected shock of other variables </w:t>
      </w:r>
      <w:r w:rsidR="00882EFA">
        <w:rPr>
          <w:rFonts w:ascii="Arial" w:hAnsi="Arial" w:cs="Arial"/>
          <w:sz w:val="20"/>
          <w:szCs w:val="20"/>
        </w:rPr>
        <w:t xml:space="preserve">on GDP </w:t>
      </w:r>
      <w:r w:rsidRPr="00BD5001">
        <w:rPr>
          <w:rFonts w:ascii="Arial" w:hAnsi="Arial" w:cs="Arial"/>
          <w:sz w:val="20"/>
          <w:szCs w:val="20"/>
        </w:rPr>
        <w:t xml:space="preserve">doesn’t have statistical </w:t>
      </w:r>
      <w:proofErr w:type="gramStart"/>
      <w:r w:rsidRPr="00BD5001">
        <w:rPr>
          <w:rFonts w:ascii="Arial" w:hAnsi="Arial" w:cs="Arial"/>
          <w:sz w:val="20"/>
          <w:szCs w:val="20"/>
        </w:rPr>
        <w:t>significance</w:t>
      </w:r>
      <w:r w:rsidR="00882EFA">
        <w:rPr>
          <w:rFonts w:ascii="Arial" w:hAnsi="Arial" w:cs="Arial"/>
          <w:sz w:val="20"/>
          <w:szCs w:val="20"/>
        </w:rPr>
        <w:t xml:space="preserve"> </w:t>
      </w:r>
      <w:r w:rsidRPr="00BD5001">
        <w:rPr>
          <w:rFonts w:ascii="Arial" w:hAnsi="Arial" w:cs="Arial"/>
          <w:sz w:val="20"/>
          <w:szCs w:val="20"/>
        </w:rPr>
        <w:t>.</w:t>
      </w:r>
      <w:proofErr w:type="gramEnd"/>
      <w:r w:rsidRPr="00BD5001">
        <w:rPr>
          <w:rFonts w:ascii="Arial" w:hAnsi="Arial" w:cs="Arial"/>
          <w:sz w:val="20"/>
          <w:szCs w:val="20"/>
        </w:rPr>
        <w:t xml:space="preserve"> Real effective exchange rate has statistically significant impact on inflation. Unexpected appreciation shock cause inflation decrease between 5</w:t>
      </w:r>
      <w:r w:rsidRPr="00BD5001">
        <w:rPr>
          <w:rFonts w:ascii="Arial" w:hAnsi="Arial" w:cs="Arial"/>
          <w:sz w:val="20"/>
          <w:szCs w:val="20"/>
          <w:vertAlign w:val="superscript"/>
        </w:rPr>
        <w:t>th</w:t>
      </w:r>
      <w:r w:rsidRPr="00BD5001">
        <w:rPr>
          <w:rFonts w:ascii="Arial" w:hAnsi="Arial" w:cs="Arial"/>
          <w:sz w:val="20"/>
          <w:szCs w:val="20"/>
        </w:rPr>
        <w:t xml:space="preserve"> and 12</w:t>
      </w:r>
      <w:r w:rsidRPr="00BD5001">
        <w:rPr>
          <w:rFonts w:ascii="Arial" w:hAnsi="Arial" w:cs="Arial"/>
          <w:sz w:val="20"/>
          <w:szCs w:val="20"/>
          <w:vertAlign w:val="superscript"/>
        </w:rPr>
        <w:t>th</w:t>
      </w:r>
      <w:r w:rsidRPr="00BD5001">
        <w:rPr>
          <w:rFonts w:ascii="Arial" w:hAnsi="Arial" w:cs="Arial"/>
          <w:sz w:val="20"/>
          <w:szCs w:val="20"/>
        </w:rPr>
        <w:t xml:space="preserve"> month, afterwards shock diminishes. In addition, shock of monetary aggregate causes increase in inflation in period from 9</w:t>
      </w:r>
      <w:r w:rsidRPr="00BD5001">
        <w:rPr>
          <w:rFonts w:ascii="Arial" w:hAnsi="Arial" w:cs="Arial"/>
          <w:sz w:val="20"/>
          <w:szCs w:val="20"/>
          <w:vertAlign w:val="superscript"/>
        </w:rPr>
        <w:t>th</w:t>
      </w:r>
      <w:r w:rsidRPr="00BD5001">
        <w:rPr>
          <w:rFonts w:ascii="Arial" w:hAnsi="Arial" w:cs="Arial"/>
          <w:sz w:val="20"/>
          <w:szCs w:val="20"/>
        </w:rPr>
        <w:t xml:space="preserve"> to 15</w:t>
      </w:r>
      <w:r w:rsidRPr="00BD5001">
        <w:rPr>
          <w:rFonts w:ascii="Arial" w:hAnsi="Arial" w:cs="Arial"/>
          <w:sz w:val="20"/>
          <w:szCs w:val="20"/>
          <w:vertAlign w:val="superscript"/>
        </w:rPr>
        <w:t>th</w:t>
      </w:r>
      <w:r w:rsidRPr="00BD5001">
        <w:rPr>
          <w:rFonts w:ascii="Arial" w:hAnsi="Arial" w:cs="Arial"/>
          <w:sz w:val="20"/>
          <w:szCs w:val="20"/>
        </w:rPr>
        <w:t xml:space="preserve"> month. Also, </w:t>
      </w:r>
      <w:r w:rsidRPr="00BD5001">
        <w:rPr>
          <w:rFonts w:ascii="Arial" w:hAnsi="Arial" w:cs="Arial"/>
          <w:sz w:val="20"/>
          <w:szCs w:val="20"/>
        </w:rPr>
        <w:lastRenderedPageBreak/>
        <w:t>there is statistical significant reaction of inflation on sudden increase of key interest rate. Inflation decreases in between 11</w:t>
      </w:r>
      <w:r w:rsidRPr="00BD5001">
        <w:rPr>
          <w:rFonts w:ascii="Arial" w:hAnsi="Arial" w:cs="Arial"/>
          <w:sz w:val="20"/>
          <w:szCs w:val="20"/>
          <w:vertAlign w:val="superscript"/>
        </w:rPr>
        <w:t>th</w:t>
      </w:r>
      <w:r w:rsidRPr="00BD5001">
        <w:rPr>
          <w:rFonts w:ascii="Arial" w:hAnsi="Arial" w:cs="Arial"/>
          <w:sz w:val="20"/>
          <w:szCs w:val="20"/>
        </w:rPr>
        <w:t xml:space="preserve"> and 17</w:t>
      </w:r>
      <w:r w:rsidRPr="00BD5001">
        <w:rPr>
          <w:rFonts w:ascii="Arial" w:hAnsi="Arial" w:cs="Arial"/>
          <w:sz w:val="20"/>
          <w:szCs w:val="20"/>
          <w:vertAlign w:val="superscript"/>
        </w:rPr>
        <w:t>th</w:t>
      </w:r>
      <w:r w:rsidRPr="00BD5001">
        <w:rPr>
          <w:rFonts w:ascii="Arial" w:hAnsi="Arial" w:cs="Arial"/>
          <w:sz w:val="20"/>
          <w:szCs w:val="20"/>
        </w:rPr>
        <w:t xml:space="preserve"> month. </w:t>
      </w:r>
    </w:p>
    <w:p w:rsidR="006946C4" w:rsidRPr="00BD5001" w:rsidRDefault="006946C4" w:rsidP="006946C4">
      <w:pPr>
        <w:pStyle w:val="Caption"/>
        <w:rPr>
          <w:rFonts w:ascii="Arial" w:hAnsi="Arial" w:cs="Arial"/>
          <w:sz w:val="20"/>
          <w:szCs w:val="20"/>
        </w:rPr>
      </w:pPr>
      <w:r>
        <w:t xml:space="preserve">Figure </w:t>
      </w:r>
      <w:fldSimple w:instr=" SEQ Figure \* ARABIC ">
        <w:r w:rsidR="00861993">
          <w:rPr>
            <w:noProof/>
          </w:rPr>
          <w:t>2</w:t>
        </w:r>
      </w:fldSimple>
      <w:r>
        <w:t xml:space="preserve"> Impulse Response </w:t>
      </w:r>
    </w:p>
    <w:p w:rsidR="00F21B79" w:rsidRPr="00BD5001" w:rsidRDefault="00F21B79" w:rsidP="00CE254F">
      <w:pPr>
        <w:spacing w:line="240" w:lineRule="auto"/>
        <w:jc w:val="both"/>
        <w:rPr>
          <w:rFonts w:ascii="Arial" w:hAnsi="Arial" w:cs="Arial"/>
          <w:sz w:val="20"/>
          <w:szCs w:val="20"/>
        </w:rPr>
      </w:pPr>
      <w:r w:rsidRPr="00BD5001">
        <w:rPr>
          <w:rFonts w:ascii="Arial" w:hAnsi="Arial" w:cs="Arial"/>
          <w:noProof/>
          <w:sz w:val="20"/>
          <w:szCs w:val="20"/>
        </w:rPr>
        <w:drawing>
          <wp:inline distT="0" distB="0" distL="0" distR="0" wp14:anchorId="6844538F" wp14:editId="204674EF">
            <wp:extent cx="3988046" cy="52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8046" cy="5220000"/>
                    </a:xfrm>
                    <a:prstGeom prst="rect">
                      <a:avLst/>
                    </a:prstGeom>
                    <a:noFill/>
                    <a:ln>
                      <a:noFill/>
                    </a:ln>
                  </pic:spPr>
                </pic:pic>
              </a:graphicData>
            </a:graphic>
          </wp:inline>
        </w:drawing>
      </w:r>
    </w:p>
    <w:p w:rsidR="006946C4" w:rsidRDefault="006946C4" w:rsidP="00CE254F">
      <w:pPr>
        <w:spacing w:line="240" w:lineRule="auto"/>
        <w:jc w:val="both"/>
        <w:rPr>
          <w:rFonts w:ascii="Arial" w:hAnsi="Arial" w:cs="Arial"/>
          <w:sz w:val="20"/>
          <w:szCs w:val="20"/>
        </w:rPr>
      </w:pPr>
      <w:r>
        <w:rPr>
          <w:rFonts w:ascii="Arial" w:hAnsi="Arial" w:cs="Arial"/>
          <w:sz w:val="20"/>
          <w:szCs w:val="20"/>
        </w:rPr>
        <w:t>Source: Author</w: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Variance decomposition is an alternative method impulse response function, where the effects of shock on depended variables are estimated. The technique determine the how much is the forecast error variance for each variable is explained by innovation in system for each independent variable in certain time horizons. In this model, the results of variance decomposition report that in two year period, monetary aggregate explains 7</w:t>
      </w:r>
      <w:proofErr w:type="gramStart"/>
      <w:r w:rsidRPr="00BD5001">
        <w:rPr>
          <w:rFonts w:ascii="Arial" w:hAnsi="Arial" w:cs="Arial"/>
          <w:sz w:val="20"/>
          <w:szCs w:val="20"/>
        </w:rPr>
        <w:t>,6</w:t>
      </w:r>
      <w:proofErr w:type="gramEnd"/>
      <w:r w:rsidRPr="00BD5001">
        <w:rPr>
          <w:rFonts w:ascii="Arial" w:hAnsi="Arial" w:cs="Arial"/>
          <w:sz w:val="20"/>
          <w:szCs w:val="20"/>
        </w:rPr>
        <w:t xml:space="preserve">% , while exchange rate explains 11% GDP fluctuations. Exchange rate has strongest prediction power for inflation. In one year period, exchange rate explains inflation fluctuations in 22%. In two years period M3 explains 14%, and key interest rate 18% inflation fluctuations. </w:t>
      </w:r>
    </w:p>
    <w:p w:rsidR="00F21B79"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In Model </w:t>
      </w:r>
      <w:proofErr w:type="gramStart"/>
      <w:r w:rsidRPr="00BD5001">
        <w:rPr>
          <w:rFonts w:ascii="Arial" w:hAnsi="Arial" w:cs="Arial"/>
          <w:sz w:val="20"/>
          <w:szCs w:val="20"/>
        </w:rPr>
        <w:t>2.,</w:t>
      </w:r>
      <w:proofErr w:type="gramEnd"/>
      <w:r w:rsidRPr="00BD5001">
        <w:rPr>
          <w:rFonts w:ascii="Arial" w:hAnsi="Arial" w:cs="Arial"/>
          <w:sz w:val="20"/>
          <w:szCs w:val="20"/>
        </w:rPr>
        <w:t xml:space="preserve"> three month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is chosen as endogenous variable. Numb of lags is 2, since the model satisfy stability condition. Data reports that there is causal relationship between GDP and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but also between inflation and exchange rate. </w:t>
      </w:r>
    </w:p>
    <w:p w:rsidR="006946C4" w:rsidRPr="00BD5001" w:rsidRDefault="006946C4" w:rsidP="006946C4">
      <w:pPr>
        <w:pStyle w:val="Caption"/>
        <w:rPr>
          <w:rFonts w:ascii="Arial" w:hAnsi="Arial" w:cs="Arial"/>
          <w:sz w:val="20"/>
          <w:szCs w:val="20"/>
        </w:rPr>
      </w:pPr>
      <w:r>
        <w:t xml:space="preserve">Table </w:t>
      </w:r>
      <w:fldSimple w:instr=" SEQ Table \* ARABIC ">
        <w:r>
          <w:rPr>
            <w:noProof/>
          </w:rPr>
          <w:t>4</w:t>
        </w:r>
      </w:fldSimple>
      <w:r>
        <w:t xml:space="preserve"> Granger Causality Test</w:t>
      </w:r>
    </w:p>
    <w:tbl>
      <w:tblPr>
        <w:tblW w:w="0" w:type="auto"/>
        <w:tblInd w:w="30" w:type="dxa"/>
        <w:tblLayout w:type="fixed"/>
        <w:tblCellMar>
          <w:left w:w="0" w:type="dxa"/>
          <w:right w:w="0" w:type="dxa"/>
        </w:tblCellMar>
        <w:tblLook w:val="0000" w:firstRow="0" w:lastRow="0" w:firstColumn="0" w:lastColumn="0" w:noHBand="0" w:noVBand="0"/>
      </w:tblPr>
      <w:tblGrid>
        <w:gridCol w:w="1282"/>
        <w:gridCol w:w="1313"/>
        <w:gridCol w:w="1312"/>
        <w:gridCol w:w="1313"/>
      </w:tblGrid>
      <w:tr w:rsidR="00F21B79" w:rsidRPr="00BD5001" w:rsidTr="00E052D3">
        <w:trPr>
          <w:trHeight w:val="225"/>
        </w:trPr>
        <w:tc>
          <w:tcPr>
            <w:tcW w:w="5220" w:type="dxa"/>
            <w:gridSpan w:val="4"/>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lastRenderedPageBreak/>
              <w:t xml:space="preserve">VAR Granger Causality/Block </w:t>
            </w:r>
            <w:proofErr w:type="spellStart"/>
            <w:r w:rsidRPr="00BD5001">
              <w:rPr>
                <w:rFonts w:ascii="Arial" w:hAnsi="Arial" w:cs="Arial"/>
                <w:color w:val="000000"/>
                <w:sz w:val="20"/>
                <w:szCs w:val="20"/>
              </w:rPr>
              <w:t>Exogeneity</w:t>
            </w:r>
            <w:proofErr w:type="spellEnd"/>
            <w:r w:rsidRPr="00BD5001">
              <w:rPr>
                <w:rFonts w:ascii="Arial" w:hAnsi="Arial" w:cs="Arial"/>
                <w:color w:val="000000"/>
                <w:sz w:val="20"/>
                <w:szCs w:val="20"/>
              </w:rPr>
              <w:t xml:space="preserve"> Wald Tests</w:t>
            </w:r>
          </w:p>
        </w:tc>
      </w:tr>
      <w:tr w:rsidR="00F21B79" w:rsidRPr="00BD5001" w:rsidTr="00E052D3">
        <w:trPr>
          <w:trHeight w:val="225"/>
        </w:trPr>
        <w:tc>
          <w:tcPr>
            <w:tcW w:w="3907" w:type="dxa"/>
            <w:gridSpan w:val="3"/>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Date: 10/09/15   Time: 22:14</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3907" w:type="dxa"/>
            <w:gridSpan w:val="3"/>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Sample: 2007M01 2014M12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3907" w:type="dxa"/>
            <w:gridSpan w:val="3"/>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Included observations: 94</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90"/>
        </w:trPr>
        <w:tc>
          <w:tcPr>
            <w:tcW w:w="128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3907" w:type="dxa"/>
            <w:gridSpan w:val="3"/>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Dependent variable: Y</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90"/>
        </w:trPr>
        <w:tc>
          <w:tcPr>
            <w:tcW w:w="128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Excluded</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Chi-</w:t>
            </w:r>
            <w:proofErr w:type="spellStart"/>
            <w:r w:rsidRPr="00BD5001">
              <w:rPr>
                <w:rFonts w:ascii="Arial" w:hAnsi="Arial" w:cs="Arial"/>
                <w:color w:val="000000"/>
                <w:sz w:val="20"/>
                <w:szCs w:val="20"/>
              </w:rPr>
              <w:t>sq</w:t>
            </w:r>
            <w:proofErr w:type="spellEnd"/>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roofErr w:type="spellStart"/>
            <w:r w:rsidRPr="00BD5001">
              <w:rPr>
                <w:rFonts w:ascii="Arial" w:hAnsi="Arial" w:cs="Arial"/>
                <w:color w:val="000000"/>
                <w:sz w:val="20"/>
                <w:szCs w:val="20"/>
              </w:rPr>
              <w:t>df</w:t>
            </w:r>
            <w:proofErr w:type="spellEnd"/>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Prob.</w:t>
            </w:r>
          </w:p>
        </w:tc>
      </w:tr>
      <w:tr w:rsidR="00F21B79" w:rsidRPr="00BD5001" w:rsidTr="00E052D3">
        <w:trPr>
          <w:trHeight w:hRule="exact" w:val="90"/>
        </w:trPr>
        <w:tc>
          <w:tcPr>
            <w:tcW w:w="128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P</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3.511252</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0.1728</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REER1</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0.471557</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0.7900</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EURIBOR</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11.44860</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0.0033</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M3</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17.27803</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0.0002</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REPO</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1.110345</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0.5740</w:t>
            </w:r>
          </w:p>
        </w:tc>
      </w:tr>
      <w:tr w:rsidR="00F21B79" w:rsidRPr="00BD5001" w:rsidTr="00E052D3">
        <w:trPr>
          <w:trHeight w:hRule="exact" w:val="90"/>
        </w:trPr>
        <w:tc>
          <w:tcPr>
            <w:tcW w:w="128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All</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20.64280</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10</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0.0237</w:t>
            </w:r>
          </w:p>
        </w:tc>
      </w:tr>
      <w:tr w:rsidR="00F21B79" w:rsidRPr="00BD5001" w:rsidTr="00E052D3">
        <w:trPr>
          <w:trHeight w:hRule="exact" w:val="90"/>
        </w:trPr>
        <w:tc>
          <w:tcPr>
            <w:tcW w:w="128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3907" w:type="dxa"/>
            <w:gridSpan w:val="3"/>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rPr>
                <w:rFonts w:ascii="Arial" w:hAnsi="Arial" w:cs="Arial"/>
                <w:color w:val="000000"/>
                <w:sz w:val="20"/>
                <w:szCs w:val="20"/>
              </w:rPr>
            </w:pPr>
            <w:r w:rsidRPr="00BD5001">
              <w:rPr>
                <w:rFonts w:ascii="Arial" w:hAnsi="Arial" w:cs="Arial"/>
                <w:color w:val="000000"/>
                <w:sz w:val="20"/>
                <w:szCs w:val="20"/>
              </w:rPr>
              <w:t>Dependent variable: P</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90"/>
        </w:trPr>
        <w:tc>
          <w:tcPr>
            <w:tcW w:w="128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Excluded</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Chi-</w:t>
            </w:r>
            <w:proofErr w:type="spellStart"/>
            <w:r w:rsidRPr="00BD5001">
              <w:rPr>
                <w:rFonts w:ascii="Arial" w:hAnsi="Arial" w:cs="Arial"/>
                <w:color w:val="000000"/>
                <w:sz w:val="20"/>
                <w:szCs w:val="20"/>
              </w:rPr>
              <w:t>sq</w:t>
            </w:r>
            <w:proofErr w:type="spellEnd"/>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roofErr w:type="spellStart"/>
            <w:r w:rsidRPr="00BD5001">
              <w:rPr>
                <w:rFonts w:ascii="Arial" w:hAnsi="Arial" w:cs="Arial"/>
                <w:color w:val="000000"/>
                <w:sz w:val="20"/>
                <w:szCs w:val="20"/>
              </w:rPr>
              <w:t>df</w:t>
            </w:r>
            <w:proofErr w:type="spellEnd"/>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Prob.</w:t>
            </w:r>
          </w:p>
        </w:tc>
      </w:tr>
      <w:tr w:rsidR="00F21B79" w:rsidRPr="00BD5001" w:rsidTr="00E052D3">
        <w:trPr>
          <w:trHeight w:hRule="exact" w:val="90"/>
        </w:trPr>
        <w:tc>
          <w:tcPr>
            <w:tcW w:w="128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2"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hRule="exact" w:val="13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Y</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0.887370</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0.6417</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REER1</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15.22535</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b/>
                <w:color w:val="000000"/>
                <w:sz w:val="20"/>
                <w:szCs w:val="20"/>
              </w:rPr>
            </w:pPr>
            <w:r w:rsidRPr="00BD5001">
              <w:rPr>
                <w:rFonts w:ascii="Arial" w:hAnsi="Arial" w:cs="Arial"/>
                <w:b/>
                <w:color w:val="000000"/>
                <w:sz w:val="20"/>
                <w:szCs w:val="20"/>
              </w:rPr>
              <w:t> 0.0005</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EURIBOR</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5.279950</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0.0714</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M3</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2.424970</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0.2975</w:t>
            </w:r>
          </w:p>
        </w:tc>
      </w:tr>
      <w:tr w:rsidR="00F21B79" w:rsidRPr="00BD5001" w:rsidTr="00E052D3">
        <w:trPr>
          <w:trHeight w:val="225"/>
        </w:trPr>
        <w:tc>
          <w:tcPr>
            <w:tcW w:w="128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REPO</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0.076079</w:t>
            </w:r>
          </w:p>
        </w:tc>
        <w:tc>
          <w:tcPr>
            <w:tcW w:w="1312"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2</w:t>
            </w:r>
          </w:p>
        </w:tc>
        <w:tc>
          <w:tcPr>
            <w:tcW w:w="1313" w:type="dxa"/>
            <w:tcBorders>
              <w:top w:val="nil"/>
              <w:left w:val="nil"/>
              <w:bottom w:val="nil"/>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r w:rsidRPr="00BD5001">
              <w:rPr>
                <w:rFonts w:ascii="Arial" w:hAnsi="Arial" w:cs="Arial"/>
                <w:color w:val="000000"/>
                <w:sz w:val="20"/>
                <w:szCs w:val="20"/>
              </w:rPr>
              <w:t> 0.9627</w:t>
            </w:r>
          </w:p>
        </w:tc>
      </w:tr>
      <w:tr w:rsidR="00F21B79" w:rsidRPr="00BD5001" w:rsidTr="00E052D3">
        <w:trPr>
          <w:trHeight w:hRule="exact" w:val="90"/>
        </w:trPr>
        <w:tc>
          <w:tcPr>
            <w:tcW w:w="1282" w:type="dxa"/>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2" w:type="dxa"/>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c>
          <w:tcPr>
            <w:tcW w:w="1313" w:type="dxa"/>
            <w:tcBorders>
              <w:top w:val="nil"/>
              <w:left w:val="nil"/>
              <w:bottom w:val="double" w:sz="6" w:space="0" w:color="auto"/>
              <w:right w:val="nil"/>
            </w:tcBorders>
            <w:vAlign w:val="bottom"/>
          </w:tcPr>
          <w:p w:rsidR="00F21B79" w:rsidRPr="00BD5001" w:rsidRDefault="00F21B79" w:rsidP="00CE254F">
            <w:pPr>
              <w:autoSpaceDE w:val="0"/>
              <w:autoSpaceDN w:val="0"/>
              <w:adjustRightInd w:val="0"/>
              <w:spacing w:after="0" w:line="240" w:lineRule="auto"/>
              <w:jc w:val="center"/>
              <w:rPr>
                <w:rFonts w:ascii="Arial" w:hAnsi="Arial" w:cs="Arial"/>
                <w:color w:val="000000"/>
                <w:sz w:val="20"/>
                <w:szCs w:val="20"/>
              </w:rPr>
            </w:pPr>
          </w:p>
        </w:tc>
      </w:tr>
    </w:tbl>
    <w:p w:rsidR="00F21B79" w:rsidRPr="00BD5001" w:rsidRDefault="00861993" w:rsidP="00CE254F">
      <w:pPr>
        <w:spacing w:line="240" w:lineRule="auto"/>
        <w:jc w:val="both"/>
        <w:rPr>
          <w:rFonts w:ascii="Arial" w:hAnsi="Arial" w:cs="Arial"/>
          <w:sz w:val="20"/>
          <w:szCs w:val="20"/>
        </w:rPr>
      </w:pPr>
      <w:r>
        <w:rPr>
          <w:rFonts w:ascii="Arial" w:hAnsi="Arial" w:cs="Arial"/>
          <w:sz w:val="20"/>
          <w:szCs w:val="20"/>
        </w:rPr>
        <w:t>Source: Author</w:t>
      </w:r>
    </w:p>
    <w:p w:rsidR="00F21B79" w:rsidRPr="00BD5001" w:rsidRDefault="00F21B79" w:rsidP="00CE254F">
      <w:pPr>
        <w:spacing w:line="240" w:lineRule="auto"/>
        <w:jc w:val="both"/>
        <w:rPr>
          <w:rFonts w:ascii="Arial" w:hAnsi="Arial" w:cs="Arial"/>
          <w:sz w:val="20"/>
          <w:szCs w:val="20"/>
        </w:rPr>
      </w:pPr>
      <w:r w:rsidRPr="00BD5001">
        <w:rPr>
          <w:rFonts w:ascii="Arial" w:hAnsi="Arial" w:cs="Arial"/>
          <w:sz w:val="20"/>
          <w:szCs w:val="20"/>
        </w:rPr>
        <w:t xml:space="preserve">Introducing </w:t>
      </w:r>
      <w:proofErr w:type="spellStart"/>
      <w:r w:rsidRPr="00BD5001">
        <w:rPr>
          <w:rFonts w:ascii="Arial" w:hAnsi="Arial" w:cs="Arial"/>
          <w:sz w:val="20"/>
          <w:szCs w:val="20"/>
        </w:rPr>
        <w:t>Euribor</w:t>
      </w:r>
      <w:proofErr w:type="spellEnd"/>
      <w:r w:rsidRPr="00BD5001">
        <w:rPr>
          <w:rFonts w:ascii="Arial" w:hAnsi="Arial" w:cs="Arial"/>
          <w:sz w:val="20"/>
          <w:szCs w:val="20"/>
        </w:rPr>
        <w:t>, results slight</w:t>
      </w:r>
      <w:r w:rsidR="00861993">
        <w:rPr>
          <w:rFonts w:ascii="Arial" w:hAnsi="Arial" w:cs="Arial"/>
          <w:sz w:val="20"/>
          <w:szCs w:val="20"/>
        </w:rPr>
        <w:t>ly change in comparison to Model</w:t>
      </w:r>
      <w:r w:rsidRPr="00BD5001">
        <w:rPr>
          <w:rFonts w:ascii="Arial" w:hAnsi="Arial" w:cs="Arial"/>
          <w:sz w:val="20"/>
          <w:szCs w:val="20"/>
        </w:rPr>
        <w:t xml:space="preserve"> 1. Foreign interest rate shock causes an increase of GDP and inflation. In this case “price puzzle” can be take</w:t>
      </w:r>
      <w:r w:rsidR="005D6DD3" w:rsidRPr="00BD5001">
        <w:rPr>
          <w:rFonts w:ascii="Arial" w:hAnsi="Arial" w:cs="Arial"/>
          <w:sz w:val="20"/>
          <w:szCs w:val="20"/>
        </w:rPr>
        <w:t>n</w:t>
      </w:r>
      <w:r w:rsidRPr="00BD5001">
        <w:rPr>
          <w:rFonts w:ascii="Arial" w:hAnsi="Arial" w:cs="Arial"/>
          <w:sz w:val="20"/>
          <w:szCs w:val="20"/>
        </w:rPr>
        <w:t xml:space="preserve"> into consideration, when producers load cost of financing on final products. </w:t>
      </w:r>
      <w:r w:rsidR="0050305C" w:rsidRPr="00BD5001">
        <w:rPr>
          <w:rFonts w:ascii="Arial" w:hAnsi="Arial" w:cs="Arial"/>
          <w:sz w:val="20"/>
          <w:szCs w:val="20"/>
        </w:rPr>
        <w:t xml:space="preserve">There is also a bit of the puzzle when unexpected change of </w:t>
      </w:r>
      <w:proofErr w:type="spellStart"/>
      <w:r w:rsidR="0050305C" w:rsidRPr="00BD5001">
        <w:rPr>
          <w:rFonts w:ascii="Arial" w:hAnsi="Arial" w:cs="Arial"/>
          <w:sz w:val="20"/>
          <w:szCs w:val="20"/>
        </w:rPr>
        <w:t>Euribor</w:t>
      </w:r>
      <w:proofErr w:type="spellEnd"/>
      <w:r w:rsidR="0050305C" w:rsidRPr="00BD5001">
        <w:rPr>
          <w:rFonts w:ascii="Arial" w:hAnsi="Arial" w:cs="Arial"/>
          <w:sz w:val="20"/>
          <w:szCs w:val="20"/>
        </w:rPr>
        <w:t xml:space="preserve"> causes increase of GDP, that can’t be explained by economic intuition. </w:t>
      </w:r>
      <w:r w:rsidRPr="00BD5001">
        <w:rPr>
          <w:rFonts w:ascii="Arial" w:hAnsi="Arial" w:cs="Arial"/>
          <w:sz w:val="20"/>
          <w:szCs w:val="20"/>
        </w:rPr>
        <w:t xml:space="preserve">Other variable reports same impact as in Model 1. </w:t>
      </w:r>
    </w:p>
    <w:p w:rsidR="00F71A8B" w:rsidRDefault="00F71A8B" w:rsidP="00CE254F">
      <w:pPr>
        <w:spacing w:line="240" w:lineRule="auto"/>
        <w:jc w:val="both"/>
        <w:rPr>
          <w:rFonts w:ascii="Arial" w:hAnsi="Arial" w:cs="Arial"/>
          <w:sz w:val="20"/>
          <w:szCs w:val="20"/>
        </w:rPr>
      </w:pPr>
      <w:r w:rsidRPr="00BD5001">
        <w:rPr>
          <w:rFonts w:ascii="Arial" w:hAnsi="Arial" w:cs="Arial"/>
          <w:sz w:val="20"/>
          <w:szCs w:val="20"/>
        </w:rPr>
        <w:t xml:space="preserve">Having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as endogenous variable, smooths the impact of other variables in variance decomposition. Three month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and monetary aggregate explains the greatest proportion of GDP fluctuations. In one year period, exchange rate still has strong predicting power. In two years period, exchange rate explains 19%, while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explains 12% inflation fluctuations. The results clearly indicate that three month </w:t>
      </w:r>
      <w:proofErr w:type="spellStart"/>
      <w:r w:rsidRPr="00BD5001">
        <w:rPr>
          <w:rFonts w:ascii="Arial" w:hAnsi="Arial" w:cs="Arial"/>
          <w:sz w:val="20"/>
          <w:szCs w:val="20"/>
        </w:rPr>
        <w:t>Euribor</w:t>
      </w:r>
      <w:proofErr w:type="spellEnd"/>
      <w:r w:rsidRPr="00BD5001">
        <w:rPr>
          <w:rFonts w:ascii="Arial" w:hAnsi="Arial" w:cs="Arial"/>
          <w:sz w:val="20"/>
          <w:szCs w:val="20"/>
        </w:rPr>
        <w:t xml:space="preserve"> can be considered as endogenous variable and has significant influence on real variables. </w:t>
      </w:r>
    </w:p>
    <w:p w:rsidR="00861993" w:rsidRPr="00BD5001" w:rsidRDefault="00861993" w:rsidP="00861993">
      <w:pPr>
        <w:pStyle w:val="Caption"/>
        <w:rPr>
          <w:rFonts w:ascii="Arial" w:hAnsi="Arial" w:cs="Arial"/>
          <w:sz w:val="20"/>
          <w:szCs w:val="20"/>
        </w:rPr>
      </w:pPr>
      <w:r>
        <w:t xml:space="preserve">Figure </w:t>
      </w:r>
      <w:fldSimple w:instr=" SEQ Figure \* ARABIC ">
        <w:r>
          <w:rPr>
            <w:noProof/>
          </w:rPr>
          <w:t>3</w:t>
        </w:r>
      </w:fldSimple>
      <w:r>
        <w:t xml:space="preserve"> Impulse response</w:t>
      </w:r>
    </w:p>
    <w:p w:rsidR="004A0CB1" w:rsidRDefault="004A0CB1" w:rsidP="00CE254F">
      <w:pPr>
        <w:spacing w:line="240" w:lineRule="auto"/>
        <w:jc w:val="both"/>
        <w:rPr>
          <w:rFonts w:ascii="Arial" w:hAnsi="Arial" w:cs="Arial"/>
          <w:sz w:val="20"/>
          <w:szCs w:val="20"/>
        </w:rPr>
      </w:pPr>
      <w:r w:rsidRPr="00BD5001">
        <w:rPr>
          <w:rFonts w:ascii="Arial" w:hAnsi="Arial" w:cs="Arial"/>
          <w:noProof/>
          <w:sz w:val="20"/>
          <w:szCs w:val="20"/>
        </w:rPr>
        <w:lastRenderedPageBreak/>
        <w:drawing>
          <wp:inline distT="0" distB="0" distL="0" distR="0" wp14:anchorId="4A00C273" wp14:editId="1A309683">
            <wp:extent cx="5943427" cy="507674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076897"/>
                    </a:xfrm>
                    <a:prstGeom prst="rect">
                      <a:avLst/>
                    </a:prstGeom>
                    <a:noFill/>
                    <a:ln>
                      <a:noFill/>
                    </a:ln>
                  </pic:spPr>
                </pic:pic>
              </a:graphicData>
            </a:graphic>
          </wp:inline>
        </w:drawing>
      </w:r>
    </w:p>
    <w:p w:rsidR="00861993" w:rsidRDefault="00861993" w:rsidP="00CE254F">
      <w:pPr>
        <w:spacing w:line="240" w:lineRule="auto"/>
        <w:jc w:val="both"/>
        <w:rPr>
          <w:rFonts w:ascii="Arial" w:hAnsi="Arial" w:cs="Arial"/>
          <w:sz w:val="20"/>
          <w:szCs w:val="20"/>
        </w:rPr>
      </w:pPr>
      <w:r>
        <w:rPr>
          <w:rFonts w:ascii="Arial" w:hAnsi="Arial" w:cs="Arial"/>
          <w:sz w:val="20"/>
          <w:szCs w:val="20"/>
        </w:rPr>
        <w:t>Source: Author</w:t>
      </w:r>
    </w:p>
    <w:p w:rsidR="00861993" w:rsidRPr="00BD5001" w:rsidRDefault="00861993" w:rsidP="00CE254F">
      <w:pPr>
        <w:spacing w:line="240" w:lineRule="auto"/>
        <w:jc w:val="both"/>
        <w:rPr>
          <w:rFonts w:ascii="Arial" w:hAnsi="Arial" w:cs="Arial"/>
          <w:sz w:val="20"/>
          <w:szCs w:val="20"/>
        </w:rPr>
      </w:pPr>
    </w:p>
    <w:p w:rsidR="004A0CB1" w:rsidRPr="00861993" w:rsidRDefault="004A0CB1" w:rsidP="00861993">
      <w:pPr>
        <w:pStyle w:val="ListParagraph"/>
        <w:numPr>
          <w:ilvl w:val="0"/>
          <w:numId w:val="2"/>
        </w:numPr>
        <w:spacing w:line="240" w:lineRule="auto"/>
        <w:jc w:val="center"/>
        <w:rPr>
          <w:rFonts w:ascii="Arial" w:hAnsi="Arial" w:cs="Arial"/>
          <w:b/>
          <w:sz w:val="24"/>
          <w:szCs w:val="24"/>
        </w:rPr>
      </w:pPr>
      <w:r w:rsidRPr="00861993">
        <w:rPr>
          <w:rFonts w:ascii="Arial" w:hAnsi="Arial" w:cs="Arial"/>
          <w:b/>
          <w:sz w:val="24"/>
          <w:szCs w:val="24"/>
        </w:rPr>
        <w:t>Conclusion</w:t>
      </w:r>
    </w:p>
    <w:p w:rsidR="003D5F65" w:rsidRDefault="003D5F65" w:rsidP="00CE254F">
      <w:pPr>
        <w:spacing w:line="240" w:lineRule="auto"/>
        <w:jc w:val="both"/>
        <w:rPr>
          <w:rFonts w:ascii="Arial" w:hAnsi="Arial" w:cs="Arial"/>
          <w:sz w:val="20"/>
          <w:szCs w:val="20"/>
        </w:rPr>
      </w:pPr>
    </w:p>
    <w:p w:rsidR="004A0CB1" w:rsidRPr="00BD5001" w:rsidRDefault="004A0CB1" w:rsidP="00CE254F">
      <w:pPr>
        <w:spacing w:line="240" w:lineRule="auto"/>
        <w:jc w:val="both"/>
        <w:rPr>
          <w:rFonts w:ascii="Arial" w:hAnsi="Arial" w:cs="Arial"/>
          <w:sz w:val="20"/>
          <w:szCs w:val="20"/>
        </w:rPr>
      </w:pPr>
      <w:r w:rsidRPr="00BD5001">
        <w:rPr>
          <w:rFonts w:ascii="Arial" w:hAnsi="Arial" w:cs="Arial"/>
          <w:sz w:val="20"/>
          <w:szCs w:val="20"/>
        </w:rPr>
        <w:t xml:space="preserve">High level of economy </w:t>
      </w:r>
      <w:proofErr w:type="spellStart"/>
      <w:r w:rsidRPr="00BD5001">
        <w:rPr>
          <w:rFonts w:ascii="Arial" w:hAnsi="Arial" w:cs="Arial"/>
          <w:sz w:val="20"/>
          <w:szCs w:val="20"/>
        </w:rPr>
        <w:t>eurisation</w:t>
      </w:r>
      <w:proofErr w:type="spellEnd"/>
      <w:r w:rsidRPr="00BD5001">
        <w:rPr>
          <w:rFonts w:ascii="Arial" w:hAnsi="Arial" w:cs="Arial"/>
          <w:sz w:val="20"/>
          <w:szCs w:val="20"/>
        </w:rPr>
        <w:t xml:space="preserve"> presents key element for such exchange rate significance. In </w:t>
      </w:r>
      <w:r w:rsidR="001040EB" w:rsidRPr="00BD5001">
        <w:rPr>
          <w:rFonts w:ascii="Arial" w:hAnsi="Arial" w:cs="Arial"/>
          <w:sz w:val="20"/>
          <w:szCs w:val="20"/>
        </w:rPr>
        <w:t>these circumstances</w:t>
      </w:r>
      <w:r w:rsidRPr="00BD5001">
        <w:rPr>
          <w:rFonts w:ascii="Arial" w:hAnsi="Arial" w:cs="Arial"/>
          <w:sz w:val="20"/>
          <w:szCs w:val="20"/>
        </w:rPr>
        <w:t xml:space="preserve">, monetary authorities have no so much </w:t>
      </w:r>
      <w:r w:rsidR="00F81CFF" w:rsidRPr="00BD5001">
        <w:rPr>
          <w:rFonts w:ascii="Arial" w:hAnsi="Arial" w:cs="Arial"/>
          <w:sz w:val="20"/>
          <w:szCs w:val="20"/>
        </w:rPr>
        <w:t>option</w:t>
      </w:r>
      <w:r w:rsidRPr="00BD5001">
        <w:rPr>
          <w:rFonts w:ascii="Arial" w:hAnsi="Arial" w:cs="Arial"/>
          <w:sz w:val="20"/>
          <w:szCs w:val="20"/>
        </w:rPr>
        <w:t xml:space="preserve"> in influencing inflation. Narrow set of financial instruments denominated in dinars complicate</w:t>
      </w:r>
      <w:r w:rsidR="00E77AC3">
        <w:rPr>
          <w:rFonts w:ascii="Arial" w:hAnsi="Arial" w:cs="Arial"/>
          <w:sz w:val="20"/>
          <w:szCs w:val="20"/>
        </w:rPr>
        <w:t>s</w:t>
      </w:r>
      <w:r w:rsidRPr="00BD5001">
        <w:rPr>
          <w:rFonts w:ascii="Arial" w:hAnsi="Arial" w:cs="Arial"/>
          <w:sz w:val="20"/>
          <w:szCs w:val="20"/>
        </w:rPr>
        <w:t xml:space="preserve"> implementation of key interest rate as a main instrument of monetary policy in inflation targeting regime. Lack of longer term instruments denominated in dinars </w:t>
      </w:r>
      <w:r w:rsidR="00EF6401" w:rsidRPr="00BD5001">
        <w:rPr>
          <w:rFonts w:ascii="Arial" w:hAnsi="Arial" w:cs="Arial"/>
          <w:sz w:val="20"/>
          <w:szCs w:val="20"/>
        </w:rPr>
        <w:t>prevents</w:t>
      </w:r>
      <w:r w:rsidRPr="00BD5001">
        <w:rPr>
          <w:rFonts w:ascii="Arial" w:hAnsi="Arial" w:cs="Arial"/>
          <w:sz w:val="20"/>
          <w:szCs w:val="20"/>
        </w:rPr>
        <w:t xml:space="preserve"> managing inflationary expectation based on interest rate movements. Accordingly,</w:t>
      </w:r>
      <w:r w:rsidR="00EF6401" w:rsidRPr="00BD5001">
        <w:rPr>
          <w:rFonts w:ascii="Arial" w:hAnsi="Arial" w:cs="Arial"/>
          <w:sz w:val="20"/>
          <w:szCs w:val="20"/>
        </w:rPr>
        <w:t xml:space="preserve"> for successful</w:t>
      </w:r>
      <w:r w:rsidRPr="00BD5001">
        <w:rPr>
          <w:rFonts w:ascii="Arial" w:hAnsi="Arial" w:cs="Arial"/>
          <w:sz w:val="20"/>
          <w:szCs w:val="20"/>
        </w:rPr>
        <w:t xml:space="preserve"> implementation </w:t>
      </w:r>
      <w:r w:rsidR="006D2E38">
        <w:rPr>
          <w:rFonts w:ascii="Arial" w:hAnsi="Arial" w:cs="Arial"/>
          <w:sz w:val="20"/>
          <w:szCs w:val="20"/>
        </w:rPr>
        <w:t xml:space="preserve">of inflation targeting in Serbia, it is necessary </w:t>
      </w:r>
      <w:r w:rsidR="00EF6401" w:rsidRPr="00BD5001">
        <w:rPr>
          <w:rFonts w:ascii="Arial" w:hAnsi="Arial" w:cs="Arial"/>
          <w:sz w:val="20"/>
          <w:szCs w:val="20"/>
        </w:rPr>
        <w:t>to regulate and improve conditions that constrain monetary authorities. Having in mind empirical results which indicate strong influence of exchange rate on inflation, managing inflationary expectations basically depend</w:t>
      </w:r>
      <w:r w:rsidR="00E5754B">
        <w:rPr>
          <w:rFonts w:ascii="Arial" w:hAnsi="Arial" w:cs="Arial"/>
          <w:sz w:val="20"/>
          <w:szCs w:val="20"/>
        </w:rPr>
        <w:t>s</w:t>
      </w:r>
      <w:r w:rsidR="00EF6401" w:rsidRPr="00BD5001">
        <w:rPr>
          <w:rFonts w:ascii="Arial" w:hAnsi="Arial" w:cs="Arial"/>
          <w:sz w:val="20"/>
          <w:szCs w:val="20"/>
        </w:rPr>
        <w:t xml:space="preserve"> on exchange rate moveme</w:t>
      </w:r>
      <w:r w:rsidR="005A63B3">
        <w:rPr>
          <w:rFonts w:ascii="Arial" w:hAnsi="Arial" w:cs="Arial"/>
          <w:sz w:val="20"/>
          <w:szCs w:val="20"/>
        </w:rPr>
        <w:t>nts. The experience</w:t>
      </w:r>
      <w:r w:rsidR="00EF6401" w:rsidRPr="00BD5001">
        <w:rPr>
          <w:rFonts w:ascii="Arial" w:hAnsi="Arial" w:cs="Arial"/>
          <w:sz w:val="20"/>
          <w:szCs w:val="20"/>
        </w:rPr>
        <w:t xml:space="preserve"> of countries that successfully passed transition process shows that with exchange rate volatility </w:t>
      </w:r>
      <w:proofErr w:type="gramStart"/>
      <w:r w:rsidR="00EF6401" w:rsidRPr="00BD5001">
        <w:rPr>
          <w:rFonts w:ascii="Arial" w:hAnsi="Arial" w:cs="Arial"/>
          <w:sz w:val="20"/>
          <w:szCs w:val="20"/>
        </w:rPr>
        <w:t>comes</w:t>
      </w:r>
      <w:proofErr w:type="gramEnd"/>
      <w:r w:rsidR="00EF6401" w:rsidRPr="00BD5001">
        <w:rPr>
          <w:rFonts w:ascii="Arial" w:hAnsi="Arial" w:cs="Arial"/>
          <w:sz w:val="20"/>
          <w:szCs w:val="20"/>
        </w:rPr>
        <w:t xml:space="preserve"> stronger exchange rate channel. Therefore, managing exchange rate fluctuations </w:t>
      </w:r>
      <w:r w:rsidR="00FF3159" w:rsidRPr="00BD5001">
        <w:rPr>
          <w:rFonts w:ascii="Arial" w:hAnsi="Arial" w:cs="Arial"/>
          <w:sz w:val="20"/>
          <w:szCs w:val="20"/>
        </w:rPr>
        <w:t>seems as</w:t>
      </w:r>
      <w:r w:rsidR="00EF6401" w:rsidRPr="00BD5001">
        <w:rPr>
          <w:rFonts w:ascii="Arial" w:hAnsi="Arial" w:cs="Arial"/>
          <w:sz w:val="20"/>
          <w:szCs w:val="20"/>
        </w:rPr>
        <w:t xml:space="preserve"> necessity, </w:t>
      </w:r>
      <w:r w:rsidR="00FF3159" w:rsidRPr="00BD5001">
        <w:rPr>
          <w:rFonts w:ascii="Arial" w:hAnsi="Arial" w:cs="Arial"/>
          <w:sz w:val="20"/>
          <w:szCs w:val="20"/>
        </w:rPr>
        <w:t xml:space="preserve">when NBS indirectly influence foreign exchange market by changing interest rate, or directly by using foreign reserves. Although quite unexpected, there </w:t>
      </w:r>
      <w:proofErr w:type="gramStart"/>
      <w:r w:rsidR="00FF3159" w:rsidRPr="00BD5001">
        <w:rPr>
          <w:rFonts w:ascii="Arial" w:hAnsi="Arial" w:cs="Arial"/>
          <w:sz w:val="20"/>
          <w:szCs w:val="20"/>
        </w:rPr>
        <w:t>is</w:t>
      </w:r>
      <w:proofErr w:type="gramEnd"/>
      <w:r w:rsidR="00FF3159" w:rsidRPr="00BD5001">
        <w:rPr>
          <w:rFonts w:ascii="Arial" w:hAnsi="Arial" w:cs="Arial"/>
          <w:sz w:val="20"/>
          <w:szCs w:val="20"/>
        </w:rPr>
        <w:t xml:space="preserve"> some signs of key interest rate influence on inflation, but the effect is smaller and shorter comparing to </w:t>
      </w:r>
      <w:r w:rsidR="00FF3159" w:rsidRPr="00BD5001">
        <w:rPr>
          <w:rFonts w:ascii="Arial" w:hAnsi="Arial" w:cs="Arial"/>
          <w:sz w:val="20"/>
          <w:szCs w:val="20"/>
        </w:rPr>
        <w:lastRenderedPageBreak/>
        <w:t xml:space="preserve">exchange rate. </w:t>
      </w:r>
      <w:r w:rsidR="000B0B8D" w:rsidRPr="00BD5001">
        <w:rPr>
          <w:rFonts w:ascii="Arial" w:hAnsi="Arial" w:cs="Arial"/>
          <w:sz w:val="20"/>
          <w:szCs w:val="20"/>
        </w:rPr>
        <w:t xml:space="preserve">There is also significant impact of </w:t>
      </w:r>
      <w:r w:rsidR="005A63B3">
        <w:rPr>
          <w:rFonts w:ascii="Arial" w:hAnsi="Arial" w:cs="Arial"/>
          <w:sz w:val="20"/>
          <w:szCs w:val="20"/>
        </w:rPr>
        <w:t>monetary aggregate M</w:t>
      </w:r>
      <w:r w:rsidR="000B0B8D" w:rsidRPr="00BD5001">
        <w:rPr>
          <w:rFonts w:ascii="Arial" w:hAnsi="Arial" w:cs="Arial"/>
          <w:sz w:val="20"/>
          <w:szCs w:val="20"/>
        </w:rPr>
        <w:t xml:space="preserve">3 on both GDP and inflation, which indicate that there is relationship between money supply and real variables. </w:t>
      </w:r>
    </w:p>
    <w:p w:rsidR="00E125F2" w:rsidRDefault="000B0B8D" w:rsidP="00CE254F">
      <w:pPr>
        <w:spacing w:line="240" w:lineRule="auto"/>
        <w:jc w:val="both"/>
        <w:rPr>
          <w:rFonts w:ascii="Arial" w:hAnsi="Arial" w:cs="Arial"/>
          <w:sz w:val="20"/>
          <w:szCs w:val="20"/>
        </w:rPr>
      </w:pPr>
      <w:r w:rsidRPr="00BD5001">
        <w:rPr>
          <w:rFonts w:ascii="Arial" w:hAnsi="Arial" w:cs="Arial"/>
          <w:sz w:val="20"/>
          <w:szCs w:val="20"/>
        </w:rPr>
        <w:t xml:space="preserve">Based on theoretical assumption and empirical evidence, there can be identified </w:t>
      </w:r>
      <w:r w:rsidR="002A57D1" w:rsidRPr="00BD5001">
        <w:rPr>
          <w:rFonts w:ascii="Arial" w:hAnsi="Arial" w:cs="Arial"/>
          <w:sz w:val="20"/>
          <w:szCs w:val="20"/>
        </w:rPr>
        <w:t xml:space="preserve">limitation for </w:t>
      </w:r>
      <w:r w:rsidR="006A3894" w:rsidRPr="00BD5001">
        <w:rPr>
          <w:rFonts w:ascii="Arial" w:hAnsi="Arial" w:cs="Arial"/>
          <w:sz w:val="20"/>
          <w:szCs w:val="20"/>
        </w:rPr>
        <w:t>effective</w:t>
      </w:r>
      <w:r w:rsidR="002A57D1" w:rsidRPr="00BD5001">
        <w:rPr>
          <w:rFonts w:ascii="Arial" w:hAnsi="Arial" w:cs="Arial"/>
          <w:sz w:val="20"/>
          <w:szCs w:val="20"/>
        </w:rPr>
        <w:t xml:space="preserve"> implementation of monetary strategy. Although Serbia is quite unfavorable environment for inflation targeting, </w:t>
      </w:r>
      <w:r w:rsidR="00295B16">
        <w:rPr>
          <w:rFonts w:ascii="Arial" w:hAnsi="Arial" w:cs="Arial"/>
          <w:sz w:val="20"/>
          <w:szCs w:val="20"/>
        </w:rPr>
        <w:t xml:space="preserve">it </w:t>
      </w:r>
      <w:r w:rsidR="002A57D1" w:rsidRPr="00BD5001">
        <w:rPr>
          <w:rFonts w:ascii="Arial" w:hAnsi="Arial" w:cs="Arial"/>
          <w:sz w:val="20"/>
          <w:szCs w:val="20"/>
        </w:rPr>
        <w:t xml:space="preserve">is the most optima solution from this point of view. Targeting exchange rate proved to be time limited, while monetary aggregate targeting is questionable due to unreliable relations between money supply end real </w:t>
      </w:r>
      <w:proofErr w:type="gramStart"/>
      <w:r w:rsidR="002A57D1" w:rsidRPr="00BD5001">
        <w:rPr>
          <w:rFonts w:ascii="Arial" w:hAnsi="Arial" w:cs="Arial"/>
          <w:sz w:val="20"/>
          <w:szCs w:val="20"/>
        </w:rPr>
        <w:t>economy</w:t>
      </w:r>
      <w:proofErr w:type="gramEnd"/>
      <w:r w:rsidR="002A57D1" w:rsidRPr="00BD5001">
        <w:rPr>
          <w:rFonts w:ascii="Arial" w:hAnsi="Arial" w:cs="Arial"/>
          <w:sz w:val="20"/>
          <w:szCs w:val="20"/>
        </w:rPr>
        <w:t xml:space="preserve">. </w:t>
      </w:r>
      <w:r w:rsidR="001847A8" w:rsidRPr="00BD5001">
        <w:rPr>
          <w:rFonts w:ascii="Arial" w:hAnsi="Arial" w:cs="Arial"/>
          <w:sz w:val="20"/>
          <w:szCs w:val="20"/>
        </w:rPr>
        <w:t xml:space="preserve">In order to improve performance of inflation targeting, level of </w:t>
      </w:r>
      <w:proofErr w:type="spellStart"/>
      <w:r w:rsidR="001847A8" w:rsidRPr="00BD5001">
        <w:rPr>
          <w:rFonts w:ascii="Arial" w:hAnsi="Arial" w:cs="Arial"/>
          <w:sz w:val="20"/>
          <w:szCs w:val="20"/>
        </w:rPr>
        <w:t>eurisation</w:t>
      </w:r>
      <w:proofErr w:type="spellEnd"/>
      <w:r w:rsidR="001847A8" w:rsidRPr="00BD5001">
        <w:rPr>
          <w:rFonts w:ascii="Arial" w:hAnsi="Arial" w:cs="Arial"/>
          <w:sz w:val="20"/>
          <w:szCs w:val="20"/>
        </w:rPr>
        <w:t xml:space="preserve"> needs to be lowered. </w:t>
      </w:r>
      <w:proofErr w:type="spellStart"/>
      <w:r w:rsidR="001847A8" w:rsidRPr="00BD5001">
        <w:rPr>
          <w:rFonts w:ascii="Arial" w:hAnsi="Arial" w:cs="Arial"/>
          <w:sz w:val="20"/>
          <w:szCs w:val="20"/>
        </w:rPr>
        <w:t>Dinarisation</w:t>
      </w:r>
      <w:proofErr w:type="spellEnd"/>
      <w:r w:rsidR="001847A8" w:rsidRPr="00BD5001">
        <w:rPr>
          <w:rFonts w:ascii="Arial" w:hAnsi="Arial" w:cs="Arial"/>
          <w:sz w:val="20"/>
          <w:szCs w:val="20"/>
        </w:rPr>
        <w:t xml:space="preserve"> strategy has not considerably improved situation by this moment and it’s even questionable whether is still in operation. </w:t>
      </w:r>
      <w:r w:rsidR="006A3894" w:rsidRPr="00BD5001">
        <w:rPr>
          <w:rFonts w:ascii="Arial" w:hAnsi="Arial" w:cs="Arial"/>
          <w:sz w:val="20"/>
          <w:szCs w:val="20"/>
        </w:rPr>
        <w:t>Moreover, the structure of banking system is not effective provider of monetary policy signals. Therefore, in this surrounding is not reasonable to expect better performance of monetary policy influencing financial market and real economy by key interest rate.</w:t>
      </w:r>
    </w:p>
    <w:p w:rsidR="000B0B8D" w:rsidRDefault="006A3894" w:rsidP="00CE254F">
      <w:pPr>
        <w:spacing w:line="240" w:lineRule="auto"/>
        <w:jc w:val="both"/>
        <w:rPr>
          <w:rFonts w:ascii="Arial" w:hAnsi="Arial" w:cs="Arial"/>
          <w:sz w:val="20"/>
          <w:szCs w:val="20"/>
        </w:rPr>
      </w:pPr>
      <w:r w:rsidRPr="00BD5001">
        <w:rPr>
          <w:rFonts w:ascii="Arial" w:hAnsi="Arial" w:cs="Arial"/>
          <w:sz w:val="20"/>
          <w:szCs w:val="20"/>
        </w:rPr>
        <w:t xml:space="preserve"> </w:t>
      </w:r>
    </w:p>
    <w:p w:rsidR="00C26499" w:rsidRDefault="00E125F2" w:rsidP="00E125F2">
      <w:pPr>
        <w:spacing w:line="240" w:lineRule="auto"/>
        <w:jc w:val="center"/>
        <w:rPr>
          <w:rFonts w:ascii="Arial" w:hAnsi="Arial" w:cs="Arial"/>
          <w:b/>
          <w:sz w:val="24"/>
          <w:szCs w:val="24"/>
        </w:rPr>
      </w:pPr>
      <w:r>
        <w:rPr>
          <w:rFonts w:ascii="Arial" w:hAnsi="Arial" w:cs="Arial"/>
          <w:b/>
          <w:sz w:val="24"/>
          <w:szCs w:val="24"/>
        </w:rPr>
        <w:t>References</w:t>
      </w:r>
    </w:p>
    <w:p w:rsidR="00E125F2" w:rsidRPr="00BD5001" w:rsidRDefault="00E125F2" w:rsidP="00E125F2">
      <w:pPr>
        <w:spacing w:line="240" w:lineRule="auto"/>
        <w:jc w:val="center"/>
        <w:rPr>
          <w:rFonts w:ascii="Arial" w:hAnsi="Arial" w:cs="Arial"/>
          <w:sz w:val="20"/>
          <w:szCs w:val="20"/>
        </w:rPr>
      </w:pPr>
    </w:p>
    <w:p w:rsidR="00CA4224" w:rsidRDefault="00C26499" w:rsidP="00CA4224">
      <w:pPr>
        <w:spacing w:after="0" w:line="240" w:lineRule="auto"/>
        <w:contextualSpacing/>
        <w:jc w:val="both"/>
        <w:rPr>
          <w:rFonts w:ascii="Arial" w:hAnsi="Arial" w:cs="Arial"/>
          <w:sz w:val="20"/>
          <w:szCs w:val="20"/>
          <w:lang w:val="sr-Latn-RS"/>
        </w:rPr>
      </w:pPr>
      <w:r w:rsidRPr="00C26499">
        <w:rPr>
          <w:rFonts w:ascii="Arial" w:hAnsi="Arial" w:cs="Arial"/>
          <w:sz w:val="20"/>
          <w:szCs w:val="20"/>
          <w:lang w:val="sr-Cyrl-RS"/>
        </w:rPr>
        <w:t xml:space="preserve">Aleksić, M., Đurđević, L.J., Palić, M., Tasić, N. (2008) Interest Rate Transmission in a Dollarized </w:t>
      </w:r>
    </w:p>
    <w:p w:rsidR="00F21B79" w:rsidRDefault="00C26499" w:rsidP="00CA4224">
      <w:pPr>
        <w:spacing w:after="0" w:line="240" w:lineRule="auto"/>
        <w:ind w:left="720"/>
        <w:contextualSpacing/>
        <w:jc w:val="both"/>
        <w:rPr>
          <w:rFonts w:ascii="Arial" w:hAnsi="Arial" w:cs="Arial"/>
          <w:sz w:val="20"/>
          <w:szCs w:val="20"/>
          <w:lang w:val="sr-Latn-RS"/>
        </w:rPr>
      </w:pPr>
      <w:r w:rsidRPr="00C26499">
        <w:rPr>
          <w:rFonts w:ascii="Arial" w:hAnsi="Arial" w:cs="Arial"/>
          <w:sz w:val="20"/>
          <w:szCs w:val="20"/>
          <w:lang w:val="sr-Cyrl-RS"/>
        </w:rPr>
        <w:t xml:space="preserve">Economy: the Case of Serbia. in: Working Paper, National Bank of Serbia, (15), </w:t>
      </w:r>
      <w:r w:rsidR="0062089A">
        <w:rPr>
          <w:rFonts w:ascii="Arial" w:hAnsi="Arial" w:cs="Arial"/>
          <w:sz w:val="20"/>
          <w:szCs w:val="20"/>
          <w:lang w:val="sr-Cyrl-RS"/>
        </w:rPr>
        <w:fldChar w:fldCharType="begin"/>
      </w:r>
      <w:r w:rsidR="0062089A">
        <w:rPr>
          <w:rFonts w:ascii="Arial" w:hAnsi="Arial" w:cs="Arial"/>
          <w:sz w:val="20"/>
          <w:szCs w:val="20"/>
          <w:lang w:val="sr-Cyrl-RS"/>
        </w:rPr>
        <w:instrText xml:space="preserve"> HYPERLINK "</w:instrText>
      </w:r>
      <w:r w:rsidR="0062089A" w:rsidRPr="00C26499">
        <w:rPr>
          <w:rFonts w:ascii="Arial" w:hAnsi="Arial" w:cs="Arial"/>
          <w:sz w:val="20"/>
          <w:szCs w:val="20"/>
          <w:lang w:val="sr-Cyrl-RS"/>
        </w:rPr>
        <w:instrText>http://www.nbs.rs/internet/english/90/90_0/</w:instrText>
      </w:r>
      <w:r w:rsidR="0062089A">
        <w:rPr>
          <w:rFonts w:ascii="Arial" w:hAnsi="Arial" w:cs="Arial"/>
          <w:sz w:val="20"/>
          <w:szCs w:val="20"/>
          <w:lang w:val="sr-Cyrl-RS"/>
        </w:rPr>
        <w:instrText xml:space="preserve">" </w:instrText>
      </w:r>
      <w:r w:rsidR="0062089A">
        <w:rPr>
          <w:rFonts w:ascii="Arial" w:hAnsi="Arial" w:cs="Arial"/>
          <w:sz w:val="20"/>
          <w:szCs w:val="20"/>
          <w:lang w:val="sr-Cyrl-RS"/>
        </w:rPr>
        <w:fldChar w:fldCharType="separate"/>
      </w:r>
      <w:r w:rsidR="0062089A" w:rsidRPr="00022E91">
        <w:rPr>
          <w:rStyle w:val="Hyperlink"/>
          <w:rFonts w:ascii="Arial" w:hAnsi="Arial" w:cs="Arial"/>
          <w:sz w:val="20"/>
          <w:szCs w:val="20"/>
          <w:lang w:val="sr-Cyrl-RS"/>
        </w:rPr>
        <w:t>http://www.nbs.rs/internet/english/90/90_0/</w:t>
      </w:r>
      <w:r w:rsidR="0062089A">
        <w:rPr>
          <w:rFonts w:ascii="Arial" w:hAnsi="Arial" w:cs="Arial"/>
          <w:sz w:val="20"/>
          <w:szCs w:val="20"/>
          <w:lang w:val="sr-Cyrl-RS"/>
        </w:rPr>
        <w:fldChar w:fldCharType="end"/>
      </w:r>
    </w:p>
    <w:p w:rsidR="007B3D1F" w:rsidRDefault="007B3D1F" w:rsidP="007B3D1F">
      <w:pPr>
        <w:spacing w:after="0" w:line="240" w:lineRule="auto"/>
        <w:contextualSpacing/>
        <w:jc w:val="both"/>
        <w:rPr>
          <w:rFonts w:ascii="Arial" w:hAnsi="Arial" w:cs="Arial"/>
          <w:sz w:val="20"/>
          <w:szCs w:val="20"/>
          <w:lang w:val="sr-Latn-RS"/>
        </w:rPr>
      </w:pPr>
      <w:r w:rsidRPr="007B3D1F">
        <w:rPr>
          <w:rFonts w:ascii="Arial" w:hAnsi="Arial" w:cs="Arial"/>
          <w:sz w:val="20"/>
          <w:szCs w:val="20"/>
          <w:lang w:val="sr-Latn-RS"/>
        </w:rPr>
        <w:t xml:space="preserve">Babecká-Kucharèuková, </w:t>
      </w:r>
      <w:r>
        <w:rPr>
          <w:rFonts w:ascii="Arial" w:hAnsi="Arial" w:cs="Arial"/>
          <w:sz w:val="20"/>
          <w:szCs w:val="20"/>
          <w:lang w:val="sr-Latn-RS"/>
        </w:rPr>
        <w:t>O. (</w:t>
      </w:r>
      <w:r w:rsidRPr="007B3D1F">
        <w:rPr>
          <w:rFonts w:ascii="Arial" w:hAnsi="Arial" w:cs="Arial"/>
          <w:sz w:val="20"/>
          <w:szCs w:val="20"/>
          <w:lang w:val="sr-Latn-RS"/>
        </w:rPr>
        <w:t>2009</w:t>
      </w:r>
      <w:r>
        <w:rPr>
          <w:rFonts w:ascii="Arial" w:hAnsi="Arial" w:cs="Arial"/>
          <w:sz w:val="20"/>
          <w:szCs w:val="20"/>
          <w:lang w:val="sr-Latn-RS"/>
        </w:rPr>
        <w:t>)</w:t>
      </w:r>
      <w:r w:rsidRPr="007B3D1F">
        <w:rPr>
          <w:rFonts w:ascii="Arial" w:hAnsi="Arial" w:cs="Arial"/>
          <w:sz w:val="20"/>
          <w:szCs w:val="20"/>
          <w:lang w:val="sr-Latn-RS"/>
        </w:rPr>
        <w:t xml:space="preserve">. "Transmission of Exchange Rate Shocks into Domestic Inflation: The </w:t>
      </w:r>
    </w:p>
    <w:p w:rsidR="007B3D1F" w:rsidRDefault="007B3D1F" w:rsidP="007B3D1F">
      <w:pPr>
        <w:spacing w:after="0" w:line="240" w:lineRule="auto"/>
        <w:ind w:left="720"/>
        <w:contextualSpacing/>
        <w:jc w:val="both"/>
        <w:rPr>
          <w:rFonts w:ascii="Arial" w:hAnsi="Arial" w:cs="Arial"/>
          <w:sz w:val="20"/>
          <w:szCs w:val="20"/>
          <w:lang w:val="sr-Latn-RS"/>
        </w:rPr>
      </w:pPr>
      <w:r w:rsidRPr="007B3D1F">
        <w:rPr>
          <w:rFonts w:ascii="Arial" w:hAnsi="Arial" w:cs="Arial"/>
          <w:sz w:val="20"/>
          <w:szCs w:val="20"/>
          <w:lang w:val="sr-Latn-RS"/>
        </w:rPr>
        <w:t>Case of the Czech Republic," Czech Journal of Economics and Finance (Finance a uver), Charles University Prague, Faculty of Social Sciences, vol. 59(2), pages 137-152, June.</w:t>
      </w:r>
    </w:p>
    <w:p w:rsidR="00527131" w:rsidRDefault="00527131" w:rsidP="00BD7499">
      <w:pPr>
        <w:spacing w:after="0" w:line="240" w:lineRule="auto"/>
        <w:contextualSpacing/>
        <w:jc w:val="both"/>
        <w:rPr>
          <w:rFonts w:ascii="Arial" w:hAnsi="Arial" w:cs="Arial"/>
          <w:sz w:val="20"/>
          <w:szCs w:val="20"/>
          <w:lang w:val="sr-Latn-RS"/>
        </w:rPr>
      </w:pPr>
      <w:r w:rsidRPr="00527131">
        <w:rPr>
          <w:rFonts w:ascii="Arial" w:hAnsi="Arial" w:cs="Arial"/>
          <w:sz w:val="20"/>
          <w:szCs w:val="20"/>
          <w:lang w:val="sr-Latn-RS"/>
        </w:rPr>
        <w:t>A. Chailloux, F. Ohnsorge and D. Vavra (2010) 'Euroisation in Serbia', EBRD Working Paper No. 120.</w:t>
      </w:r>
    </w:p>
    <w:p w:rsidR="006D61C7" w:rsidRDefault="00527131" w:rsidP="006D61C7">
      <w:pPr>
        <w:spacing w:after="0" w:line="240" w:lineRule="auto"/>
        <w:ind w:firstLine="720"/>
        <w:contextualSpacing/>
        <w:jc w:val="both"/>
        <w:rPr>
          <w:rFonts w:ascii="Arial" w:hAnsi="Arial" w:cs="Arial"/>
          <w:sz w:val="20"/>
          <w:szCs w:val="20"/>
          <w:lang w:val="sr-Latn-RS"/>
        </w:rPr>
      </w:pPr>
      <w:r w:rsidRPr="00527131">
        <w:rPr>
          <w:rFonts w:ascii="Arial" w:hAnsi="Arial" w:cs="Arial"/>
          <w:sz w:val="20"/>
          <w:szCs w:val="20"/>
          <w:lang w:val="sr-Latn-RS"/>
        </w:rPr>
        <w:t>http://www.ebrd.com/downloads/research/economics/workingpapers/wp0120.pdf</w:t>
      </w:r>
    </w:p>
    <w:p w:rsidR="00BD7499" w:rsidRDefault="00BD7499" w:rsidP="00BD7499">
      <w:pPr>
        <w:spacing w:after="0" w:line="240" w:lineRule="auto"/>
        <w:contextualSpacing/>
        <w:jc w:val="both"/>
        <w:rPr>
          <w:rFonts w:ascii="Arial" w:hAnsi="Arial" w:cs="Arial"/>
          <w:sz w:val="20"/>
          <w:szCs w:val="20"/>
          <w:lang w:val="sr-Latn-RS"/>
        </w:rPr>
      </w:pPr>
      <w:r w:rsidRPr="00BD7499">
        <w:rPr>
          <w:rFonts w:ascii="Arial" w:hAnsi="Arial" w:cs="Arial"/>
          <w:sz w:val="20"/>
          <w:szCs w:val="20"/>
          <w:lang w:val="sr-Latn-RS"/>
        </w:rPr>
        <w:t>Darvas,</w:t>
      </w:r>
      <w:r>
        <w:rPr>
          <w:rFonts w:ascii="Arial" w:hAnsi="Arial" w:cs="Arial"/>
          <w:sz w:val="20"/>
          <w:szCs w:val="20"/>
          <w:lang w:val="sr-Latn-RS"/>
        </w:rPr>
        <w:t xml:space="preserve"> Z.,(2013) </w:t>
      </w:r>
      <w:r w:rsidRPr="00BD7499">
        <w:rPr>
          <w:rFonts w:ascii="Arial" w:hAnsi="Arial" w:cs="Arial"/>
          <w:sz w:val="20"/>
          <w:szCs w:val="20"/>
          <w:lang w:val="sr-Latn-RS"/>
        </w:rPr>
        <w:t>Monetary transmission in three central European economies: evidence from time-</w:t>
      </w:r>
    </w:p>
    <w:p w:rsidR="00BD7499" w:rsidRPr="007B3D1F" w:rsidRDefault="00BD7499" w:rsidP="00BD7499">
      <w:pPr>
        <w:spacing w:after="0" w:line="240" w:lineRule="auto"/>
        <w:ind w:firstLine="720"/>
        <w:contextualSpacing/>
        <w:jc w:val="both"/>
        <w:rPr>
          <w:rFonts w:ascii="Arial" w:hAnsi="Arial" w:cs="Arial"/>
          <w:sz w:val="20"/>
          <w:szCs w:val="20"/>
          <w:lang w:val="sr-Latn-RS"/>
        </w:rPr>
      </w:pPr>
      <w:r w:rsidRPr="00BD7499">
        <w:rPr>
          <w:rFonts w:ascii="Arial" w:hAnsi="Arial" w:cs="Arial"/>
          <w:sz w:val="20"/>
          <w:szCs w:val="20"/>
          <w:lang w:val="sr-Latn-RS"/>
        </w:rPr>
        <w:t>varying coefficient vector au</w:t>
      </w:r>
      <w:r>
        <w:rPr>
          <w:rFonts w:ascii="Arial" w:hAnsi="Arial" w:cs="Arial"/>
          <w:sz w:val="20"/>
          <w:szCs w:val="20"/>
          <w:lang w:val="sr-Latn-RS"/>
        </w:rPr>
        <w:t>toregressions,</w:t>
      </w:r>
      <w:r w:rsidRPr="00BD7499">
        <w:rPr>
          <w:rFonts w:ascii="Arial" w:hAnsi="Arial" w:cs="Arial"/>
          <w:sz w:val="20"/>
          <w:szCs w:val="20"/>
          <w:lang w:val="sr-Latn-RS"/>
        </w:rPr>
        <w:t xml:space="preserve"> Empirica, Springer, vol. 40(2), pages 363-390, May</w:t>
      </w:r>
    </w:p>
    <w:p w:rsidR="00CA4224" w:rsidRDefault="0062089A" w:rsidP="00CA4224">
      <w:pPr>
        <w:spacing w:after="0" w:line="240" w:lineRule="auto"/>
        <w:contextualSpacing/>
        <w:jc w:val="both"/>
        <w:rPr>
          <w:rFonts w:ascii="Arial" w:hAnsi="Arial" w:cs="Arial"/>
          <w:sz w:val="20"/>
          <w:szCs w:val="20"/>
          <w:lang w:val="sr-Latn-RS"/>
        </w:rPr>
      </w:pPr>
      <w:proofErr w:type="spellStart"/>
      <w:r>
        <w:rPr>
          <w:rFonts w:ascii="Arial" w:hAnsi="Arial" w:cs="Arial"/>
          <w:sz w:val="20"/>
          <w:szCs w:val="20"/>
        </w:rPr>
        <w:t>Dragutinovi</w:t>
      </w:r>
      <w:proofErr w:type="spellEnd"/>
      <w:r>
        <w:rPr>
          <w:rFonts w:ascii="Arial" w:hAnsi="Arial" w:cs="Arial"/>
          <w:sz w:val="20"/>
          <w:szCs w:val="20"/>
          <w:lang w:val="sr-Latn-RS"/>
        </w:rPr>
        <w:t xml:space="preserve">ć, D. (2008) </w:t>
      </w:r>
      <w:r w:rsidRPr="0062089A">
        <w:rPr>
          <w:rFonts w:ascii="Arial" w:hAnsi="Arial" w:cs="Arial"/>
          <w:sz w:val="20"/>
          <w:szCs w:val="20"/>
          <w:lang w:val="sr-Latn-RS"/>
        </w:rPr>
        <w:t>M</w:t>
      </w:r>
      <w:r w:rsidR="005F5BD7">
        <w:rPr>
          <w:rFonts w:ascii="Arial" w:hAnsi="Arial" w:cs="Arial"/>
          <w:sz w:val="20"/>
          <w:szCs w:val="20"/>
          <w:lang w:val="sr-Latn-RS"/>
        </w:rPr>
        <w:t xml:space="preserve">oć i nemoć monetarne politike uuspostavljanju ravnoteže između </w:t>
      </w:r>
    </w:p>
    <w:p w:rsidR="0062089A" w:rsidRDefault="0062089A" w:rsidP="00CA4224">
      <w:pPr>
        <w:spacing w:after="0" w:line="240" w:lineRule="auto"/>
        <w:ind w:left="720"/>
        <w:contextualSpacing/>
        <w:jc w:val="both"/>
        <w:rPr>
          <w:rFonts w:ascii="Arial" w:hAnsi="Arial" w:cs="Arial"/>
          <w:sz w:val="20"/>
          <w:szCs w:val="20"/>
          <w:lang w:val="sr-Latn-RS"/>
        </w:rPr>
      </w:pPr>
      <w:r w:rsidRPr="0062089A">
        <w:rPr>
          <w:rFonts w:ascii="Arial" w:hAnsi="Arial" w:cs="Arial"/>
          <w:sz w:val="20"/>
          <w:szCs w:val="20"/>
          <w:lang w:val="sr-Latn-RS"/>
        </w:rPr>
        <w:t>platnobilansnih ciljeva i ciljeva inflacije</w:t>
      </w:r>
      <w:r w:rsidR="005F5BD7">
        <w:rPr>
          <w:rFonts w:ascii="Arial" w:hAnsi="Arial" w:cs="Arial"/>
          <w:sz w:val="20"/>
          <w:szCs w:val="20"/>
          <w:lang w:val="sr-Latn-RS"/>
        </w:rPr>
        <w:t xml:space="preserve"> in Working Paper, National Bank of Serbia, (12), </w:t>
      </w:r>
    </w:p>
    <w:p w:rsidR="005F5BD7" w:rsidRDefault="00B8555B" w:rsidP="003A69C5">
      <w:pPr>
        <w:spacing w:after="0" w:line="240" w:lineRule="auto"/>
        <w:ind w:firstLine="720"/>
        <w:contextualSpacing/>
        <w:jc w:val="both"/>
        <w:rPr>
          <w:rStyle w:val="Hyperlink"/>
          <w:rFonts w:ascii="Arial" w:hAnsi="Arial" w:cs="Arial"/>
          <w:sz w:val="20"/>
          <w:szCs w:val="20"/>
          <w:lang w:val="sr-Latn-RS"/>
        </w:rPr>
      </w:pPr>
      <w:hyperlink r:id="rId25" w:history="1">
        <w:r w:rsidR="005F5BD7" w:rsidRPr="00022E91">
          <w:rPr>
            <w:rStyle w:val="Hyperlink"/>
            <w:rFonts w:ascii="Arial" w:hAnsi="Arial" w:cs="Arial"/>
            <w:sz w:val="20"/>
            <w:szCs w:val="20"/>
            <w:lang w:val="sr-Latn-RS"/>
          </w:rPr>
          <w:t>http://www.nbs.rs/export/sites/default/internet/latinica/90/90_0/2008_12_DD.pdf</w:t>
        </w:r>
      </w:hyperlink>
    </w:p>
    <w:p w:rsidR="00BD5BB6" w:rsidRDefault="00BD5BB6" w:rsidP="00BD5BB6">
      <w:pPr>
        <w:spacing w:after="0" w:line="240" w:lineRule="auto"/>
        <w:contextualSpacing/>
        <w:jc w:val="both"/>
        <w:rPr>
          <w:rFonts w:ascii="Arial" w:hAnsi="Arial" w:cs="Arial"/>
          <w:sz w:val="20"/>
          <w:szCs w:val="20"/>
          <w:lang w:val="sr-Latn-RS"/>
        </w:rPr>
      </w:pPr>
      <w:r>
        <w:rPr>
          <w:rFonts w:ascii="Arial" w:hAnsi="Arial" w:cs="Arial"/>
          <w:sz w:val="20"/>
          <w:szCs w:val="20"/>
          <w:lang w:val="sr-Latn-RS"/>
        </w:rPr>
        <w:t>Favero, C. A. (1999</w:t>
      </w:r>
      <w:r w:rsidRPr="00BD5BB6">
        <w:rPr>
          <w:rFonts w:ascii="Arial" w:hAnsi="Arial" w:cs="Arial"/>
          <w:sz w:val="20"/>
          <w:szCs w:val="20"/>
          <w:lang w:val="sr-Latn-RS"/>
        </w:rPr>
        <w:t>), Applied Macroeconometrics, (Oxford: University Press).</w:t>
      </w:r>
    </w:p>
    <w:p w:rsidR="00BD5BB6" w:rsidRPr="0062089A" w:rsidRDefault="00BD5BB6" w:rsidP="00BD5BB6">
      <w:pPr>
        <w:spacing w:after="0" w:line="240" w:lineRule="auto"/>
        <w:ind w:firstLine="720"/>
        <w:contextualSpacing/>
        <w:jc w:val="both"/>
        <w:rPr>
          <w:rFonts w:ascii="Arial" w:hAnsi="Arial" w:cs="Arial"/>
          <w:sz w:val="20"/>
          <w:szCs w:val="20"/>
          <w:lang w:val="sr-Latn-RS"/>
        </w:rPr>
      </w:pPr>
      <w:r w:rsidRPr="00BD5BB6">
        <w:rPr>
          <w:rFonts w:ascii="Arial" w:hAnsi="Arial" w:cs="Arial"/>
          <w:sz w:val="20"/>
          <w:szCs w:val="20"/>
          <w:lang w:val="sr-Latn-RS"/>
        </w:rPr>
        <w:t>http://www.bseu.by/russian/faculty5/stat/docs/4/Favero-Applied%20Macroeconometrics.pdf</w:t>
      </w:r>
    </w:p>
    <w:p w:rsidR="003A69C5" w:rsidRDefault="00E10487" w:rsidP="00632153">
      <w:pPr>
        <w:spacing w:line="240" w:lineRule="auto"/>
        <w:contextualSpacing/>
        <w:rPr>
          <w:rFonts w:ascii="Arial" w:hAnsi="Arial" w:cs="Arial"/>
          <w:sz w:val="20"/>
          <w:szCs w:val="20"/>
        </w:rPr>
      </w:pPr>
      <w:proofErr w:type="spellStart"/>
      <w:r>
        <w:rPr>
          <w:rFonts w:ascii="Arial" w:hAnsi="Arial" w:cs="Arial"/>
          <w:sz w:val="20"/>
          <w:szCs w:val="20"/>
        </w:rPr>
        <w:t>Franta</w:t>
      </w:r>
      <w:proofErr w:type="spellEnd"/>
      <w:r>
        <w:rPr>
          <w:rFonts w:ascii="Arial" w:hAnsi="Arial" w:cs="Arial"/>
          <w:sz w:val="20"/>
          <w:szCs w:val="20"/>
        </w:rPr>
        <w:t>, M., R. Horvath, AND M. Rusnak</w:t>
      </w:r>
      <w:r w:rsidRPr="00E10487">
        <w:rPr>
          <w:rFonts w:ascii="Arial" w:hAnsi="Arial" w:cs="Arial"/>
          <w:sz w:val="20"/>
          <w:szCs w:val="20"/>
        </w:rPr>
        <w:t xml:space="preserve"> (2014): “Evaluating the Changes of Monetary</w:t>
      </w:r>
      <w:r w:rsidR="006911DA">
        <w:rPr>
          <w:rFonts w:ascii="Arial" w:hAnsi="Arial" w:cs="Arial"/>
          <w:sz w:val="20"/>
          <w:szCs w:val="20"/>
        </w:rPr>
        <w:t xml:space="preserve"> </w:t>
      </w:r>
      <w:r w:rsidRPr="00E10487">
        <w:rPr>
          <w:rFonts w:ascii="Arial" w:hAnsi="Arial" w:cs="Arial"/>
          <w:sz w:val="20"/>
          <w:szCs w:val="20"/>
        </w:rPr>
        <w:t xml:space="preserve">Transmission </w:t>
      </w:r>
    </w:p>
    <w:p w:rsidR="00E10487" w:rsidRDefault="00E10487" w:rsidP="003A69C5">
      <w:pPr>
        <w:spacing w:line="240" w:lineRule="auto"/>
        <w:ind w:firstLine="720"/>
        <w:contextualSpacing/>
        <w:rPr>
          <w:rFonts w:ascii="Arial" w:hAnsi="Arial" w:cs="Arial"/>
          <w:sz w:val="20"/>
          <w:szCs w:val="20"/>
        </w:rPr>
      </w:pPr>
      <w:proofErr w:type="gramStart"/>
      <w:r w:rsidRPr="00E10487">
        <w:rPr>
          <w:rFonts w:ascii="Arial" w:hAnsi="Arial" w:cs="Arial"/>
          <w:sz w:val="20"/>
          <w:szCs w:val="20"/>
        </w:rPr>
        <w:t>Mechanism in the Czech Republi</w:t>
      </w:r>
      <w:r w:rsidR="006911DA">
        <w:rPr>
          <w:rFonts w:ascii="Arial" w:hAnsi="Arial" w:cs="Arial"/>
          <w:sz w:val="20"/>
          <w:szCs w:val="20"/>
        </w:rPr>
        <w:t>c.”</w:t>
      </w:r>
      <w:proofErr w:type="gramEnd"/>
      <w:r w:rsidR="006911DA">
        <w:rPr>
          <w:rFonts w:ascii="Arial" w:hAnsi="Arial" w:cs="Arial"/>
          <w:sz w:val="20"/>
          <w:szCs w:val="20"/>
        </w:rPr>
        <w:t xml:space="preserve"> Empirical Economics, 46(3), </w:t>
      </w:r>
      <w:r w:rsidRPr="00E10487">
        <w:rPr>
          <w:rFonts w:ascii="Arial" w:hAnsi="Arial" w:cs="Arial"/>
          <w:sz w:val="20"/>
          <w:szCs w:val="20"/>
        </w:rPr>
        <w:t>pp. 827-842.</w:t>
      </w:r>
      <w:r w:rsidR="005F3C25" w:rsidRPr="00BD5001">
        <w:rPr>
          <w:rFonts w:ascii="Arial" w:hAnsi="Arial" w:cs="Arial"/>
          <w:sz w:val="20"/>
          <w:szCs w:val="20"/>
        </w:rPr>
        <w:t xml:space="preserve">  </w:t>
      </w:r>
    </w:p>
    <w:p w:rsidR="003C2F53" w:rsidRPr="003C2F53" w:rsidRDefault="003C2F53" w:rsidP="003C2F53">
      <w:pPr>
        <w:spacing w:line="240" w:lineRule="auto"/>
        <w:contextualSpacing/>
        <w:rPr>
          <w:rFonts w:ascii="Arial" w:hAnsi="Arial" w:cs="Arial"/>
          <w:sz w:val="20"/>
          <w:szCs w:val="20"/>
        </w:rPr>
      </w:pPr>
      <w:r>
        <w:rPr>
          <w:rFonts w:ascii="Arial" w:hAnsi="Arial" w:cs="Arial"/>
          <w:sz w:val="20"/>
          <w:szCs w:val="20"/>
        </w:rPr>
        <w:t xml:space="preserve">International Monetary Fund (2010) </w:t>
      </w:r>
      <w:r w:rsidRPr="003C2F53">
        <w:rPr>
          <w:rFonts w:ascii="Arial" w:hAnsi="Arial" w:cs="Arial"/>
          <w:sz w:val="20"/>
          <w:szCs w:val="20"/>
        </w:rPr>
        <w:t>Republic of Serbia: Financial Sector Assessment Program Update—</w:t>
      </w:r>
    </w:p>
    <w:p w:rsidR="003C2F53" w:rsidRDefault="003C2F53" w:rsidP="003C2F53">
      <w:pPr>
        <w:spacing w:line="240" w:lineRule="auto"/>
        <w:ind w:left="720"/>
        <w:contextualSpacing/>
        <w:rPr>
          <w:rFonts w:ascii="Arial" w:hAnsi="Arial" w:cs="Arial"/>
          <w:sz w:val="20"/>
          <w:szCs w:val="20"/>
        </w:rPr>
      </w:pPr>
      <w:r w:rsidRPr="003C2F53">
        <w:rPr>
          <w:rFonts w:ascii="Arial" w:hAnsi="Arial" w:cs="Arial"/>
          <w:sz w:val="20"/>
          <w:szCs w:val="20"/>
        </w:rPr>
        <w:t>Technical Note on Systemic Liquidity Management</w:t>
      </w:r>
      <w:r>
        <w:rPr>
          <w:rFonts w:ascii="Arial" w:hAnsi="Arial" w:cs="Arial"/>
          <w:sz w:val="20"/>
          <w:szCs w:val="20"/>
        </w:rPr>
        <w:t xml:space="preserve">, </w:t>
      </w:r>
      <w:r w:rsidRPr="003C2F53">
        <w:rPr>
          <w:rFonts w:ascii="Arial" w:hAnsi="Arial" w:cs="Arial"/>
          <w:sz w:val="20"/>
          <w:szCs w:val="20"/>
        </w:rPr>
        <w:t>IMF Country Report No. 10/153</w:t>
      </w:r>
      <w:r w:rsidRPr="003C2F53">
        <w:rPr>
          <w:rFonts w:ascii="Arial" w:hAnsi="Arial" w:cs="Arial"/>
          <w:sz w:val="20"/>
          <w:szCs w:val="20"/>
        </w:rPr>
        <w:cr/>
        <w:t xml:space="preserve"> </w:t>
      </w:r>
      <w:hyperlink r:id="rId26" w:history="1">
        <w:r w:rsidRPr="00022E91">
          <w:rPr>
            <w:rStyle w:val="Hyperlink"/>
            <w:rFonts w:ascii="Arial" w:hAnsi="Arial" w:cs="Arial"/>
            <w:sz w:val="20"/>
            <w:szCs w:val="20"/>
          </w:rPr>
          <w:t>https://www.imf.org/external/pubs/ft/scr/2010/cr10153.pdf</w:t>
        </w:r>
      </w:hyperlink>
    </w:p>
    <w:p w:rsidR="003A69C5" w:rsidRDefault="00C26499" w:rsidP="003A69C5">
      <w:pPr>
        <w:spacing w:line="240" w:lineRule="auto"/>
        <w:contextualSpacing/>
        <w:rPr>
          <w:rFonts w:ascii="Arial" w:hAnsi="Arial" w:cs="Arial"/>
          <w:sz w:val="20"/>
          <w:szCs w:val="20"/>
        </w:rPr>
      </w:pPr>
      <w:proofErr w:type="spellStart"/>
      <w:r w:rsidRPr="00C26499">
        <w:rPr>
          <w:rFonts w:ascii="Arial" w:hAnsi="Arial" w:cs="Arial"/>
          <w:sz w:val="20"/>
          <w:szCs w:val="20"/>
        </w:rPr>
        <w:t>Josifidis</w:t>
      </w:r>
      <w:proofErr w:type="spellEnd"/>
      <w:r w:rsidRPr="00C26499">
        <w:rPr>
          <w:rFonts w:ascii="Arial" w:hAnsi="Arial" w:cs="Arial"/>
          <w:sz w:val="20"/>
          <w:szCs w:val="20"/>
        </w:rPr>
        <w:t xml:space="preserve">, K., </w:t>
      </w:r>
      <w:proofErr w:type="spellStart"/>
      <w:r w:rsidRPr="00C26499">
        <w:rPr>
          <w:rFonts w:ascii="Arial" w:hAnsi="Arial" w:cs="Arial"/>
          <w:sz w:val="20"/>
          <w:szCs w:val="20"/>
        </w:rPr>
        <w:t>Allegret</w:t>
      </w:r>
      <w:proofErr w:type="spellEnd"/>
      <w:r w:rsidRPr="00C26499">
        <w:rPr>
          <w:rFonts w:ascii="Arial" w:hAnsi="Arial" w:cs="Arial"/>
          <w:sz w:val="20"/>
          <w:szCs w:val="20"/>
        </w:rPr>
        <w:t xml:space="preserve">, J., </w:t>
      </w:r>
      <w:proofErr w:type="spellStart"/>
      <w:r w:rsidRPr="00C26499">
        <w:rPr>
          <w:rFonts w:ascii="Arial" w:hAnsi="Arial" w:cs="Arial"/>
          <w:sz w:val="20"/>
          <w:szCs w:val="20"/>
        </w:rPr>
        <w:t>Beker-Pucar</w:t>
      </w:r>
      <w:proofErr w:type="spellEnd"/>
      <w:r w:rsidRPr="00C26499">
        <w:rPr>
          <w:rFonts w:ascii="Arial" w:hAnsi="Arial" w:cs="Arial"/>
          <w:sz w:val="20"/>
          <w:szCs w:val="20"/>
        </w:rPr>
        <w:t xml:space="preserve">, E. (2009) Monetary and exchange rate regimes changes: The </w:t>
      </w:r>
    </w:p>
    <w:p w:rsidR="00C26499" w:rsidRDefault="006D61C7" w:rsidP="003A69C5">
      <w:pPr>
        <w:spacing w:line="240" w:lineRule="auto"/>
        <w:ind w:left="720"/>
        <w:contextualSpacing/>
        <w:rPr>
          <w:rFonts w:ascii="Arial" w:hAnsi="Arial" w:cs="Arial"/>
          <w:sz w:val="20"/>
          <w:szCs w:val="20"/>
        </w:rPr>
      </w:pPr>
      <w:proofErr w:type="gramStart"/>
      <w:r>
        <w:rPr>
          <w:rFonts w:ascii="Arial" w:hAnsi="Arial" w:cs="Arial"/>
          <w:sz w:val="20"/>
          <w:szCs w:val="20"/>
        </w:rPr>
        <w:t>C</w:t>
      </w:r>
      <w:r w:rsidR="00C26499" w:rsidRPr="00C26499">
        <w:rPr>
          <w:rFonts w:ascii="Arial" w:hAnsi="Arial" w:cs="Arial"/>
          <w:sz w:val="20"/>
          <w:szCs w:val="20"/>
        </w:rPr>
        <w:t>ases of Poland, Czech Republic, Slovakia and Republic of Serbia.</w:t>
      </w:r>
      <w:proofErr w:type="gramEnd"/>
      <w:r w:rsidR="00C26499" w:rsidRPr="00C26499">
        <w:rPr>
          <w:rFonts w:ascii="Arial" w:hAnsi="Arial" w:cs="Arial"/>
          <w:sz w:val="20"/>
          <w:szCs w:val="20"/>
        </w:rPr>
        <w:t xml:space="preserve"> </w:t>
      </w:r>
      <w:proofErr w:type="spellStart"/>
      <w:r w:rsidR="00C26499" w:rsidRPr="00C26499">
        <w:rPr>
          <w:rFonts w:ascii="Arial" w:hAnsi="Arial" w:cs="Arial"/>
          <w:sz w:val="20"/>
          <w:szCs w:val="20"/>
        </w:rPr>
        <w:t>Panoeconomicus</w:t>
      </w:r>
      <w:proofErr w:type="spellEnd"/>
      <w:r w:rsidR="00C26499" w:rsidRPr="00C26499">
        <w:rPr>
          <w:rFonts w:ascii="Arial" w:hAnsi="Arial" w:cs="Arial"/>
          <w:sz w:val="20"/>
          <w:szCs w:val="20"/>
        </w:rPr>
        <w:t>, vol. 56, br. 2, str. 199-226</w:t>
      </w:r>
    </w:p>
    <w:p w:rsidR="003A69C5" w:rsidRDefault="005F5BD7" w:rsidP="003A69C5">
      <w:pPr>
        <w:spacing w:line="240" w:lineRule="auto"/>
        <w:contextualSpacing/>
        <w:rPr>
          <w:rFonts w:ascii="Arial" w:hAnsi="Arial" w:cs="Arial"/>
          <w:sz w:val="20"/>
          <w:szCs w:val="20"/>
        </w:rPr>
      </w:pPr>
      <w:proofErr w:type="spellStart"/>
      <w:r w:rsidRPr="00BD5001">
        <w:rPr>
          <w:rFonts w:ascii="Arial" w:hAnsi="Arial" w:cs="Arial"/>
          <w:sz w:val="20"/>
          <w:szCs w:val="20"/>
        </w:rPr>
        <w:t>Kujundzic</w:t>
      </w:r>
      <w:proofErr w:type="spellEnd"/>
      <w:r>
        <w:rPr>
          <w:rFonts w:ascii="Arial" w:hAnsi="Arial" w:cs="Arial"/>
          <w:sz w:val="20"/>
          <w:szCs w:val="20"/>
        </w:rPr>
        <w:t xml:space="preserve">, S., </w:t>
      </w:r>
      <w:proofErr w:type="spellStart"/>
      <w:r w:rsidRPr="00BD5001">
        <w:rPr>
          <w:rFonts w:ascii="Arial" w:hAnsi="Arial" w:cs="Arial"/>
          <w:sz w:val="20"/>
          <w:szCs w:val="20"/>
        </w:rPr>
        <w:t>Otasevic</w:t>
      </w:r>
      <w:proofErr w:type="spellEnd"/>
      <w:r>
        <w:rPr>
          <w:rFonts w:ascii="Arial" w:hAnsi="Arial" w:cs="Arial"/>
          <w:sz w:val="20"/>
          <w:szCs w:val="20"/>
        </w:rPr>
        <w:t xml:space="preserve"> D., (2012) </w:t>
      </w:r>
      <w:proofErr w:type="gramStart"/>
      <w:r>
        <w:rPr>
          <w:rFonts w:ascii="Arial" w:hAnsi="Arial" w:cs="Arial"/>
          <w:sz w:val="20"/>
          <w:szCs w:val="20"/>
        </w:rPr>
        <w:t>The</w:t>
      </w:r>
      <w:proofErr w:type="gramEnd"/>
      <w:r>
        <w:rPr>
          <w:rFonts w:ascii="Arial" w:hAnsi="Arial" w:cs="Arial"/>
          <w:sz w:val="20"/>
          <w:szCs w:val="20"/>
        </w:rPr>
        <w:t xml:space="preserve"> Bank Lending Channel in an </w:t>
      </w:r>
      <w:proofErr w:type="spellStart"/>
      <w:r>
        <w:rPr>
          <w:rFonts w:ascii="Arial" w:hAnsi="Arial" w:cs="Arial"/>
          <w:sz w:val="20"/>
          <w:szCs w:val="20"/>
        </w:rPr>
        <w:t>Euroised</w:t>
      </w:r>
      <w:proofErr w:type="spellEnd"/>
      <w:r>
        <w:rPr>
          <w:rFonts w:ascii="Arial" w:hAnsi="Arial" w:cs="Arial"/>
          <w:sz w:val="20"/>
          <w:szCs w:val="20"/>
        </w:rPr>
        <w:t xml:space="preserve"> Economy: the C</w:t>
      </w:r>
      <w:r w:rsidR="003A69C5">
        <w:rPr>
          <w:rFonts w:ascii="Arial" w:hAnsi="Arial" w:cs="Arial"/>
          <w:sz w:val="20"/>
          <w:szCs w:val="20"/>
        </w:rPr>
        <w:t xml:space="preserve">ase of </w:t>
      </w:r>
    </w:p>
    <w:p w:rsidR="005F5BD7" w:rsidRDefault="005F5BD7" w:rsidP="003A69C5">
      <w:pPr>
        <w:spacing w:line="240" w:lineRule="auto"/>
        <w:ind w:firstLine="720"/>
        <w:contextualSpacing/>
        <w:rPr>
          <w:rFonts w:ascii="Arial" w:hAnsi="Arial" w:cs="Arial"/>
          <w:sz w:val="20"/>
          <w:szCs w:val="20"/>
        </w:rPr>
      </w:pPr>
      <w:r w:rsidRPr="005F5BD7">
        <w:rPr>
          <w:rFonts w:ascii="Arial" w:hAnsi="Arial" w:cs="Arial"/>
          <w:sz w:val="20"/>
          <w:szCs w:val="20"/>
        </w:rPr>
        <w:t>Serbia</w:t>
      </w:r>
      <w:r>
        <w:rPr>
          <w:rFonts w:ascii="Arial" w:hAnsi="Arial" w:cs="Arial"/>
          <w:sz w:val="20"/>
          <w:szCs w:val="20"/>
        </w:rPr>
        <w:t xml:space="preserve"> in Working Paper, National Bank of Serbia </w:t>
      </w:r>
    </w:p>
    <w:p w:rsidR="009705DF" w:rsidRDefault="00B8555B" w:rsidP="003A69C5">
      <w:pPr>
        <w:spacing w:line="240" w:lineRule="auto"/>
        <w:ind w:firstLine="720"/>
        <w:contextualSpacing/>
        <w:rPr>
          <w:rFonts w:ascii="Arial" w:hAnsi="Arial" w:cs="Arial"/>
          <w:sz w:val="20"/>
          <w:szCs w:val="20"/>
        </w:rPr>
      </w:pPr>
      <w:hyperlink r:id="rId27" w:history="1">
        <w:r w:rsidR="009705DF" w:rsidRPr="00022E91">
          <w:rPr>
            <w:rStyle w:val="Hyperlink"/>
            <w:rFonts w:ascii="Arial" w:hAnsi="Arial" w:cs="Arial"/>
            <w:sz w:val="20"/>
            <w:szCs w:val="20"/>
          </w:rPr>
          <w:t>http://www.nbs.rs/export/sites/default/internet/english/90/90_0/2012_24_SK_DO_e.pdf</w:t>
        </w:r>
      </w:hyperlink>
    </w:p>
    <w:p w:rsidR="00BD7499" w:rsidRDefault="00BD7499" w:rsidP="00BD7499">
      <w:pPr>
        <w:spacing w:line="240" w:lineRule="auto"/>
        <w:contextualSpacing/>
        <w:rPr>
          <w:rFonts w:ascii="Arial" w:hAnsi="Arial" w:cs="Arial"/>
          <w:sz w:val="20"/>
          <w:szCs w:val="20"/>
        </w:rPr>
      </w:pPr>
      <w:proofErr w:type="spellStart"/>
      <w:r>
        <w:rPr>
          <w:rFonts w:ascii="Arial" w:hAnsi="Arial" w:cs="Arial"/>
          <w:sz w:val="20"/>
          <w:szCs w:val="20"/>
        </w:rPr>
        <w:t>Łyziak</w:t>
      </w:r>
      <w:proofErr w:type="spellEnd"/>
      <w:r>
        <w:rPr>
          <w:rFonts w:ascii="Arial" w:hAnsi="Arial" w:cs="Arial"/>
          <w:sz w:val="20"/>
          <w:szCs w:val="20"/>
        </w:rPr>
        <w:t>, T.</w:t>
      </w:r>
      <w:proofErr w:type="gramStart"/>
      <w:r>
        <w:rPr>
          <w:rFonts w:ascii="Arial" w:hAnsi="Arial" w:cs="Arial"/>
          <w:sz w:val="20"/>
          <w:szCs w:val="20"/>
        </w:rPr>
        <w:t>,</w:t>
      </w:r>
      <w:proofErr w:type="spellStart"/>
      <w:r w:rsidRPr="00BD7499">
        <w:rPr>
          <w:rFonts w:ascii="Arial" w:hAnsi="Arial" w:cs="Arial"/>
          <w:sz w:val="20"/>
          <w:szCs w:val="20"/>
        </w:rPr>
        <w:t>Kapuściński</w:t>
      </w:r>
      <w:proofErr w:type="spellEnd"/>
      <w:proofErr w:type="gramEnd"/>
      <w:r>
        <w:rPr>
          <w:rFonts w:ascii="Arial" w:hAnsi="Arial" w:cs="Arial"/>
          <w:sz w:val="20"/>
          <w:szCs w:val="20"/>
        </w:rPr>
        <w:t>, M.,</w:t>
      </w:r>
      <w:proofErr w:type="spellStart"/>
      <w:r>
        <w:rPr>
          <w:rFonts w:ascii="Arial" w:hAnsi="Arial" w:cs="Arial"/>
          <w:sz w:val="20"/>
          <w:szCs w:val="20"/>
        </w:rPr>
        <w:t>Stanislawska</w:t>
      </w:r>
      <w:proofErr w:type="spellEnd"/>
      <w:r>
        <w:rPr>
          <w:rFonts w:ascii="Arial" w:hAnsi="Arial" w:cs="Arial"/>
          <w:sz w:val="20"/>
          <w:szCs w:val="20"/>
        </w:rPr>
        <w:t xml:space="preserve">, E., </w:t>
      </w:r>
      <w:proofErr w:type="spellStart"/>
      <w:r>
        <w:rPr>
          <w:rFonts w:ascii="Arial" w:hAnsi="Arial" w:cs="Arial"/>
          <w:sz w:val="20"/>
          <w:szCs w:val="20"/>
        </w:rPr>
        <w:t>Przystupa</w:t>
      </w:r>
      <w:proofErr w:type="spellEnd"/>
      <w:r>
        <w:rPr>
          <w:rFonts w:ascii="Arial" w:hAnsi="Arial" w:cs="Arial"/>
          <w:sz w:val="20"/>
          <w:szCs w:val="20"/>
        </w:rPr>
        <w:t>, J.,</w:t>
      </w:r>
      <w:r w:rsidRPr="00BD7499">
        <w:rPr>
          <w:rFonts w:ascii="Arial" w:hAnsi="Arial" w:cs="Arial"/>
          <w:sz w:val="20"/>
          <w:szCs w:val="20"/>
        </w:rPr>
        <w:t xml:space="preserve"> </w:t>
      </w:r>
      <w:proofErr w:type="spellStart"/>
      <w:r w:rsidRPr="00BD7499">
        <w:rPr>
          <w:rFonts w:ascii="Arial" w:hAnsi="Arial" w:cs="Arial"/>
          <w:sz w:val="20"/>
          <w:szCs w:val="20"/>
        </w:rPr>
        <w:t>Wrobel</w:t>
      </w:r>
      <w:proofErr w:type="spellEnd"/>
      <w:r>
        <w:rPr>
          <w:rFonts w:ascii="Arial" w:hAnsi="Arial" w:cs="Arial"/>
          <w:sz w:val="20"/>
          <w:szCs w:val="20"/>
        </w:rPr>
        <w:t xml:space="preserve">, E., </w:t>
      </w:r>
      <w:proofErr w:type="spellStart"/>
      <w:r w:rsidRPr="00BD7499">
        <w:rPr>
          <w:rFonts w:ascii="Arial" w:hAnsi="Arial" w:cs="Arial"/>
          <w:sz w:val="20"/>
          <w:szCs w:val="20"/>
        </w:rPr>
        <w:t>Sznajderska</w:t>
      </w:r>
      <w:proofErr w:type="spellEnd"/>
      <w:r w:rsidRPr="00BD7499">
        <w:rPr>
          <w:rFonts w:ascii="Arial" w:hAnsi="Arial" w:cs="Arial"/>
          <w:sz w:val="20"/>
          <w:szCs w:val="20"/>
        </w:rPr>
        <w:t>,</w:t>
      </w:r>
      <w:r>
        <w:rPr>
          <w:rFonts w:ascii="Arial" w:hAnsi="Arial" w:cs="Arial"/>
          <w:sz w:val="20"/>
          <w:szCs w:val="20"/>
        </w:rPr>
        <w:t xml:space="preserve"> A.,(2014) </w:t>
      </w:r>
      <w:r w:rsidRPr="00BD7499">
        <w:rPr>
          <w:rFonts w:ascii="Arial" w:hAnsi="Arial" w:cs="Arial"/>
          <w:sz w:val="20"/>
          <w:szCs w:val="20"/>
        </w:rPr>
        <w:t xml:space="preserve">Monetary </w:t>
      </w:r>
    </w:p>
    <w:p w:rsidR="00BD7499" w:rsidRDefault="00BD7499" w:rsidP="00BD7499">
      <w:pPr>
        <w:spacing w:line="240" w:lineRule="auto"/>
        <w:ind w:left="720"/>
        <w:contextualSpacing/>
        <w:rPr>
          <w:rFonts w:ascii="Arial" w:hAnsi="Arial" w:cs="Arial"/>
          <w:sz w:val="20"/>
          <w:szCs w:val="20"/>
        </w:rPr>
      </w:pPr>
      <w:proofErr w:type="gramStart"/>
      <w:r w:rsidRPr="00BD7499">
        <w:rPr>
          <w:rFonts w:ascii="Arial" w:hAnsi="Arial" w:cs="Arial"/>
          <w:sz w:val="20"/>
          <w:szCs w:val="20"/>
        </w:rPr>
        <w:t>policy</w:t>
      </w:r>
      <w:proofErr w:type="gramEnd"/>
      <w:r w:rsidRPr="00BD7499">
        <w:rPr>
          <w:rFonts w:ascii="Arial" w:hAnsi="Arial" w:cs="Arial"/>
          <w:sz w:val="20"/>
          <w:szCs w:val="20"/>
        </w:rPr>
        <w:t xml:space="preserve"> transmission mechanism in P</w:t>
      </w:r>
      <w:r>
        <w:rPr>
          <w:rFonts w:ascii="Arial" w:hAnsi="Arial" w:cs="Arial"/>
          <w:sz w:val="20"/>
          <w:szCs w:val="20"/>
        </w:rPr>
        <w:t>oland What do we know in 2013?,</w:t>
      </w:r>
      <w:r w:rsidRPr="00BD7499">
        <w:rPr>
          <w:rFonts w:ascii="Arial" w:hAnsi="Arial" w:cs="Arial"/>
          <w:sz w:val="20"/>
          <w:szCs w:val="20"/>
        </w:rPr>
        <w:t xml:space="preserve"> National Bank of Poland Working Papers 180, National Bank of Poland, Economic Institute.</w:t>
      </w:r>
    </w:p>
    <w:p w:rsidR="00BD7499" w:rsidRDefault="00BD7499" w:rsidP="00BD7499">
      <w:pPr>
        <w:spacing w:line="240" w:lineRule="auto"/>
        <w:ind w:firstLine="720"/>
        <w:contextualSpacing/>
        <w:rPr>
          <w:rFonts w:ascii="Arial" w:hAnsi="Arial" w:cs="Arial"/>
          <w:sz w:val="20"/>
          <w:szCs w:val="20"/>
        </w:rPr>
      </w:pPr>
      <w:r w:rsidRPr="00BD7499">
        <w:rPr>
          <w:rFonts w:ascii="Arial" w:hAnsi="Arial" w:cs="Arial"/>
          <w:sz w:val="20"/>
          <w:szCs w:val="20"/>
        </w:rPr>
        <w:t>http://www.nbp.pl/publikacje/materialy_i_studia/180_en.pdf</w:t>
      </w:r>
    </w:p>
    <w:p w:rsidR="00E052D3" w:rsidRDefault="00DC1395" w:rsidP="00632153">
      <w:pPr>
        <w:spacing w:line="240" w:lineRule="auto"/>
        <w:contextualSpacing/>
        <w:rPr>
          <w:rFonts w:ascii="Arial" w:hAnsi="Arial" w:cs="Arial"/>
          <w:sz w:val="20"/>
          <w:szCs w:val="20"/>
        </w:rPr>
      </w:pPr>
      <w:proofErr w:type="spellStart"/>
      <w:r>
        <w:rPr>
          <w:rFonts w:ascii="Arial" w:hAnsi="Arial" w:cs="Arial"/>
          <w:sz w:val="20"/>
          <w:szCs w:val="20"/>
        </w:rPr>
        <w:t>Lutkepohl</w:t>
      </w:r>
      <w:proofErr w:type="spellEnd"/>
      <w:r>
        <w:rPr>
          <w:rFonts w:ascii="Arial" w:hAnsi="Arial" w:cs="Arial"/>
          <w:sz w:val="20"/>
          <w:szCs w:val="20"/>
        </w:rPr>
        <w:t xml:space="preserve">, H. (1991) </w:t>
      </w:r>
      <w:r w:rsidR="005F3C25" w:rsidRPr="00BD5001">
        <w:rPr>
          <w:rFonts w:ascii="Arial" w:hAnsi="Arial" w:cs="Arial"/>
          <w:sz w:val="20"/>
          <w:szCs w:val="20"/>
        </w:rPr>
        <w:t xml:space="preserve">Introduction </w:t>
      </w:r>
      <w:r>
        <w:rPr>
          <w:rFonts w:ascii="Arial" w:hAnsi="Arial" w:cs="Arial"/>
          <w:sz w:val="20"/>
          <w:szCs w:val="20"/>
        </w:rPr>
        <w:t>to Multiple Time Series Analysis</w:t>
      </w:r>
      <w:r w:rsidR="005F3C25" w:rsidRPr="00BD5001">
        <w:rPr>
          <w:rFonts w:ascii="Arial" w:hAnsi="Arial" w:cs="Arial"/>
          <w:sz w:val="20"/>
          <w:szCs w:val="20"/>
        </w:rPr>
        <w:t>, Springer-</w:t>
      </w:r>
      <w:proofErr w:type="spellStart"/>
      <w:r w:rsidR="005F3C25" w:rsidRPr="00BD5001">
        <w:rPr>
          <w:rFonts w:ascii="Arial" w:hAnsi="Arial" w:cs="Arial"/>
          <w:sz w:val="20"/>
          <w:szCs w:val="20"/>
        </w:rPr>
        <w:t>Verlag</w:t>
      </w:r>
      <w:proofErr w:type="spellEnd"/>
      <w:r w:rsidR="005F3C25" w:rsidRPr="00BD5001">
        <w:rPr>
          <w:rFonts w:ascii="Arial" w:hAnsi="Arial" w:cs="Arial"/>
          <w:sz w:val="20"/>
          <w:szCs w:val="20"/>
        </w:rPr>
        <w:t>, Berlin.</w:t>
      </w:r>
    </w:p>
    <w:p w:rsidR="00632153" w:rsidRDefault="00632153" w:rsidP="00BD7499">
      <w:pPr>
        <w:spacing w:line="240" w:lineRule="auto"/>
        <w:contextualSpacing/>
        <w:rPr>
          <w:rFonts w:ascii="Arial" w:hAnsi="Arial" w:cs="Arial"/>
          <w:sz w:val="20"/>
          <w:szCs w:val="20"/>
        </w:rPr>
      </w:pPr>
      <w:r>
        <w:rPr>
          <w:rFonts w:ascii="Arial" w:hAnsi="Arial" w:cs="Arial"/>
          <w:sz w:val="20"/>
          <w:szCs w:val="20"/>
        </w:rPr>
        <w:t>Reports on Banking Sector, National Bank of Serbia</w:t>
      </w:r>
    </w:p>
    <w:p w:rsidR="00632153" w:rsidRDefault="00B8555B" w:rsidP="003A69C5">
      <w:pPr>
        <w:spacing w:line="240" w:lineRule="auto"/>
        <w:ind w:firstLine="720"/>
        <w:contextualSpacing/>
        <w:rPr>
          <w:rFonts w:ascii="Arial" w:hAnsi="Arial" w:cs="Arial"/>
          <w:sz w:val="20"/>
          <w:szCs w:val="20"/>
        </w:rPr>
      </w:pPr>
      <w:hyperlink r:id="rId28" w:history="1">
        <w:r w:rsidR="00632153" w:rsidRPr="00022E91">
          <w:rPr>
            <w:rStyle w:val="Hyperlink"/>
            <w:rFonts w:ascii="Arial" w:hAnsi="Arial" w:cs="Arial"/>
            <w:sz w:val="20"/>
            <w:szCs w:val="20"/>
          </w:rPr>
          <w:t>http://www.nbs.rs/internet/latinica/55/55_4/index.html</w:t>
        </w:r>
      </w:hyperlink>
    </w:p>
    <w:p w:rsidR="00DA0173" w:rsidRDefault="00C26499" w:rsidP="00DA0173">
      <w:pPr>
        <w:spacing w:line="240" w:lineRule="auto"/>
        <w:contextualSpacing/>
        <w:rPr>
          <w:rFonts w:ascii="Arial" w:hAnsi="Arial" w:cs="Arial"/>
          <w:sz w:val="20"/>
          <w:szCs w:val="20"/>
        </w:rPr>
      </w:pPr>
      <w:proofErr w:type="spellStart"/>
      <w:r w:rsidRPr="00C26499">
        <w:rPr>
          <w:rFonts w:ascii="Arial" w:hAnsi="Arial" w:cs="Arial"/>
          <w:sz w:val="20"/>
          <w:szCs w:val="20"/>
        </w:rPr>
        <w:t>Tasić</w:t>
      </w:r>
      <w:proofErr w:type="spellEnd"/>
      <w:r w:rsidRPr="00C26499">
        <w:rPr>
          <w:rFonts w:ascii="Arial" w:hAnsi="Arial" w:cs="Arial"/>
          <w:sz w:val="20"/>
          <w:szCs w:val="20"/>
        </w:rPr>
        <w:t xml:space="preserve">, N. (2008) Pass-Through of Exchange Rates to Prices in Serbia: 2001-2007. </w:t>
      </w:r>
      <w:proofErr w:type="gramStart"/>
      <w:r w:rsidRPr="00C26499">
        <w:rPr>
          <w:rFonts w:ascii="Arial" w:hAnsi="Arial" w:cs="Arial"/>
          <w:sz w:val="20"/>
          <w:szCs w:val="20"/>
        </w:rPr>
        <w:t>in</w:t>
      </w:r>
      <w:proofErr w:type="gramEnd"/>
      <w:r w:rsidRPr="00C26499">
        <w:rPr>
          <w:rFonts w:ascii="Arial" w:hAnsi="Arial" w:cs="Arial"/>
          <w:sz w:val="20"/>
          <w:szCs w:val="20"/>
        </w:rPr>
        <w:t xml:space="preserve">: Working paper, </w:t>
      </w:r>
    </w:p>
    <w:p w:rsidR="001D6992" w:rsidRDefault="00C26499" w:rsidP="00DA0173">
      <w:pPr>
        <w:spacing w:line="240" w:lineRule="auto"/>
        <w:ind w:firstLine="720"/>
        <w:contextualSpacing/>
        <w:rPr>
          <w:rFonts w:ascii="Arial" w:hAnsi="Arial" w:cs="Arial"/>
          <w:sz w:val="20"/>
          <w:szCs w:val="20"/>
        </w:rPr>
      </w:pPr>
      <w:r w:rsidRPr="00C26499">
        <w:rPr>
          <w:rFonts w:ascii="Arial" w:hAnsi="Arial" w:cs="Arial"/>
          <w:sz w:val="20"/>
          <w:szCs w:val="20"/>
        </w:rPr>
        <w:t xml:space="preserve">National Bank of Serbia, (10), </w:t>
      </w:r>
    </w:p>
    <w:p w:rsidR="001D6992" w:rsidRDefault="00C26499" w:rsidP="001D6992">
      <w:pPr>
        <w:spacing w:line="240" w:lineRule="auto"/>
        <w:ind w:firstLine="720"/>
        <w:contextualSpacing/>
        <w:rPr>
          <w:rFonts w:ascii="Arial" w:hAnsi="Arial" w:cs="Arial"/>
          <w:sz w:val="20"/>
          <w:szCs w:val="20"/>
        </w:rPr>
      </w:pPr>
      <w:r w:rsidRPr="00C26499">
        <w:rPr>
          <w:rFonts w:ascii="Arial" w:hAnsi="Arial" w:cs="Arial"/>
          <w:sz w:val="20"/>
          <w:szCs w:val="20"/>
        </w:rPr>
        <w:t>http://www.nbs.rs/internet/english/90/90_0/</w:t>
      </w:r>
    </w:p>
    <w:p w:rsidR="00DA0173" w:rsidRDefault="00C26499" w:rsidP="00632153">
      <w:pPr>
        <w:spacing w:line="240" w:lineRule="auto"/>
        <w:contextualSpacing/>
        <w:rPr>
          <w:rFonts w:ascii="Arial" w:hAnsi="Arial" w:cs="Arial"/>
          <w:sz w:val="20"/>
          <w:szCs w:val="20"/>
        </w:rPr>
      </w:pPr>
      <w:proofErr w:type="spellStart"/>
      <w:proofErr w:type="gramStart"/>
      <w:r w:rsidRPr="00C26499">
        <w:rPr>
          <w:rFonts w:ascii="Arial" w:hAnsi="Arial" w:cs="Arial"/>
          <w:sz w:val="20"/>
          <w:szCs w:val="20"/>
        </w:rPr>
        <w:t>Vilaret</w:t>
      </w:r>
      <w:proofErr w:type="spellEnd"/>
      <w:r w:rsidRPr="00C26499">
        <w:rPr>
          <w:rFonts w:ascii="Arial" w:hAnsi="Arial" w:cs="Arial"/>
          <w:sz w:val="20"/>
          <w:szCs w:val="20"/>
        </w:rPr>
        <w:t xml:space="preserve">, S., </w:t>
      </w:r>
      <w:proofErr w:type="spellStart"/>
      <w:r w:rsidRPr="00C26499">
        <w:rPr>
          <w:rFonts w:ascii="Arial" w:hAnsi="Arial" w:cs="Arial"/>
          <w:sz w:val="20"/>
          <w:szCs w:val="20"/>
        </w:rPr>
        <w:t>Palić</w:t>
      </w:r>
      <w:proofErr w:type="spellEnd"/>
      <w:r w:rsidRPr="00C26499">
        <w:rPr>
          <w:rFonts w:ascii="Arial" w:hAnsi="Arial" w:cs="Arial"/>
          <w:sz w:val="20"/>
          <w:szCs w:val="20"/>
        </w:rPr>
        <w:t>, M. (2006) Exchange rate pass-through effect on prices in Serbia.</w:t>
      </w:r>
      <w:proofErr w:type="gramEnd"/>
      <w:r w:rsidRPr="00C26499">
        <w:rPr>
          <w:rFonts w:ascii="Arial" w:hAnsi="Arial" w:cs="Arial"/>
          <w:sz w:val="20"/>
          <w:szCs w:val="20"/>
        </w:rPr>
        <w:t xml:space="preserve"> </w:t>
      </w:r>
      <w:proofErr w:type="gramStart"/>
      <w:r w:rsidRPr="00C26499">
        <w:rPr>
          <w:rFonts w:ascii="Arial" w:hAnsi="Arial" w:cs="Arial"/>
          <w:sz w:val="20"/>
          <w:szCs w:val="20"/>
        </w:rPr>
        <w:t>in</w:t>
      </w:r>
      <w:proofErr w:type="gramEnd"/>
      <w:r w:rsidRPr="00C26499">
        <w:rPr>
          <w:rFonts w:ascii="Arial" w:hAnsi="Arial" w:cs="Arial"/>
          <w:sz w:val="20"/>
          <w:szCs w:val="20"/>
        </w:rPr>
        <w:t xml:space="preserve">: Working Paper, </w:t>
      </w:r>
    </w:p>
    <w:p w:rsidR="001D6992" w:rsidRDefault="00C26499" w:rsidP="00DA0173">
      <w:pPr>
        <w:spacing w:line="240" w:lineRule="auto"/>
        <w:ind w:firstLine="720"/>
        <w:contextualSpacing/>
        <w:rPr>
          <w:rFonts w:ascii="Arial" w:hAnsi="Arial" w:cs="Arial"/>
          <w:sz w:val="20"/>
          <w:szCs w:val="20"/>
        </w:rPr>
      </w:pPr>
      <w:r w:rsidRPr="00C26499">
        <w:rPr>
          <w:rFonts w:ascii="Arial" w:hAnsi="Arial" w:cs="Arial"/>
          <w:sz w:val="20"/>
          <w:szCs w:val="20"/>
        </w:rPr>
        <w:lastRenderedPageBreak/>
        <w:t xml:space="preserve">National Bank of Serbia, (5), </w:t>
      </w:r>
    </w:p>
    <w:p w:rsidR="00C26499" w:rsidRPr="00BD5001" w:rsidRDefault="00C26499" w:rsidP="00DA0173">
      <w:pPr>
        <w:spacing w:line="240" w:lineRule="auto"/>
        <w:ind w:firstLine="720"/>
        <w:contextualSpacing/>
        <w:rPr>
          <w:rFonts w:ascii="Arial" w:hAnsi="Arial" w:cs="Arial"/>
          <w:sz w:val="20"/>
          <w:szCs w:val="20"/>
        </w:rPr>
      </w:pPr>
      <w:r w:rsidRPr="00C26499">
        <w:rPr>
          <w:rFonts w:ascii="Arial" w:hAnsi="Arial" w:cs="Arial"/>
          <w:sz w:val="20"/>
          <w:szCs w:val="20"/>
        </w:rPr>
        <w:t>http://www.nbs.rs/internet/english/90/90_0/</w:t>
      </w:r>
    </w:p>
    <w:sectPr w:rsidR="00C26499" w:rsidRPr="00BD5001" w:rsidSect="000F6865">
      <w:type w:val="continuous"/>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55B" w:rsidRDefault="00B8555B" w:rsidP="00F21B79">
      <w:pPr>
        <w:spacing w:after="0" w:line="240" w:lineRule="auto"/>
      </w:pPr>
      <w:r>
        <w:separator/>
      </w:r>
    </w:p>
  </w:endnote>
  <w:endnote w:type="continuationSeparator" w:id="0">
    <w:p w:rsidR="00B8555B" w:rsidRDefault="00B8555B" w:rsidP="00F2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55B" w:rsidRDefault="00B8555B" w:rsidP="00F21B79">
      <w:pPr>
        <w:spacing w:after="0" w:line="240" w:lineRule="auto"/>
      </w:pPr>
      <w:r>
        <w:separator/>
      </w:r>
    </w:p>
  </w:footnote>
  <w:footnote w:type="continuationSeparator" w:id="0">
    <w:p w:rsidR="00B8555B" w:rsidRDefault="00B8555B" w:rsidP="00F21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291"/>
    <w:multiLevelType w:val="hybridMultilevel"/>
    <w:tmpl w:val="0E0C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60EBD"/>
    <w:multiLevelType w:val="hybridMultilevel"/>
    <w:tmpl w:val="513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79"/>
    <w:rsid w:val="000220EB"/>
    <w:rsid w:val="00024114"/>
    <w:rsid w:val="00030880"/>
    <w:rsid w:val="00097109"/>
    <w:rsid w:val="000B0B8D"/>
    <w:rsid w:val="000C4335"/>
    <w:rsid w:val="000E11D0"/>
    <w:rsid w:val="000F6865"/>
    <w:rsid w:val="001040EB"/>
    <w:rsid w:val="001847A8"/>
    <w:rsid w:val="001A7DA6"/>
    <w:rsid w:val="001D3306"/>
    <w:rsid w:val="001D6992"/>
    <w:rsid w:val="00271D25"/>
    <w:rsid w:val="00295B16"/>
    <w:rsid w:val="002A57D1"/>
    <w:rsid w:val="002E5A3C"/>
    <w:rsid w:val="002E7A42"/>
    <w:rsid w:val="002F1757"/>
    <w:rsid w:val="00314697"/>
    <w:rsid w:val="003906A4"/>
    <w:rsid w:val="003A3EE3"/>
    <w:rsid w:val="003A69C5"/>
    <w:rsid w:val="003A6A77"/>
    <w:rsid w:val="003B6BCD"/>
    <w:rsid w:val="003C2F53"/>
    <w:rsid w:val="003D5F65"/>
    <w:rsid w:val="00444194"/>
    <w:rsid w:val="00456903"/>
    <w:rsid w:val="00487C47"/>
    <w:rsid w:val="00497CCE"/>
    <w:rsid w:val="004A0CB1"/>
    <w:rsid w:val="004A1341"/>
    <w:rsid w:val="004B30B1"/>
    <w:rsid w:val="004D042F"/>
    <w:rsid w:val="0050305C"/>
    <w:rsid w:val="00513748"/>
    <w:rsid w:val="0052319C"/>
    <w:rsid w:val="00527131"/>
    <w:rsid w:val="00541A23"/>
    <w:rsid w:val="005A63B3"/>
    <w:rsid w:val="005D6DD3"/>
    <w:rsid w:val="005F3C25"/>
    <w:rsid w:val="005F5BD7"/>
    <w:rsid w:val="0062089A"/>
    <w:rsid w:val="00632153"/>
    <w:rsid w:val="00642242"/>
    <w:rsid w:val="00642E9D"/>
    <w:rsid w:val="00667F54"/>
    <w:rsid w:val="006911DA"/>
    <w:rsid w:val="006946C4"/>
    <w:rsid w:val="006A3894"/>
    <w:rsid w:val="006D2E38"/>
    <w:rsid w:val="006D61C7"/>
    <w:rsid w:val="006D6A5D"/>
    <w:rsid w:val="00775079"/>
    <w:rsid w:val="007B0C26"/>
    <w:rsid w:val="007B3D1F"/>
    <w:rsid w:val="007E620B"/>
    <w:rsid w:val="00814EC5"/>
    <w:rsid w:val="00853A21"/>
    <w:rsid w:val="00861993"/>
    <w:rsid w:val="00882EFA"/>
    <w:rsid w:val="008A2D92"/>
    <w:rsid w:val="00901915"/>
    <w:rsid w:val="0094794E"/>
    <w:rsid w:val="009705DF"/>
    <w:rsid w:val="009943EB"/>
    <w:rsid w:val="009B7484"/>
    <w:rsid w:val="009D4319"/>
    <w:rsid w:val="00A04024"/>
    <w:rsid w:val="00A064E0"/>
    <w:rsid w:val="00A33964"/>
    <w:rsid w:val="00A654BA"/>
    <w:rsid w:val="00A907A7"/>
    <w:rsid w:val="00AF5B16"/>
    <w:rsid w:val="00B63358"/>
    <w:rsid w:val="00B8555B"/>
    <w:rsid w:val="00B93F7A"/>
    <w:rsid w:val="00B94B5B"/>
    <w:rsid w:val="00BA587E"/>
    <w:rsid w:val="00BC365A"/>
    <w:rsid w:val="00BD5001"/>
    <w:rsid w:val="00BD5BB6"/>
    <w:rsid w:val="00BD7499"/>
    <w:rsid w:val="00BF7F89"/>
    <w:rsid w:val="00C26499"/>
    <w:rsid w:val="00CA4224"/>
    <w:rsid w:val="00CB12DF"/>
    <w:rsid w:val="00CC13FF"/>
    <w:rsid w:val="00CE254F"/>
    <w:rsid w:val="00D26E0D"/>
    <w:rsid w:val="00DA0173"/>
    <w:rsid w:val="00DC1395"/>
    <w:rsid w:val="00E052D3"/>
    <w:rsid w:val="00E10487"/>
    <w:rsid w:val="00E125F2"/>
    <w:rsid w:val="00E5754B"/>
    <w:rsid w:val="00E77AC3"/>
    <w:rsid w:val="00ED0D15"/>
    <w:rsid w:val="00EE2D71"/>
    <w:rsid w:val="00EF17EA"/>
    <w:rsid w:val="00EF6401"/>
    <w:rsid w:val="00F215D5"/>
    <w:rsid w:val="00F21B79"/>
    <w:rsid w:val="00F71A8B"/>
    <w:rsid w:val="00F76913"/>
    <w:rsid w:val="00F76F34"/>
    <w:rsid w:val="00F81CFF"/>
    <w:rsid w:val="00FF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1B79"/>
    <w:pPr>
      <w:spacing w:after="0" w:line="240" w:lineRule="auto"/>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F21B79"/>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F21B79"/>
    <w:rPr>
      <w:vertAlign w:val="superscript"/>
    </w:rPr>
  </w:style>
  <w:style w:type="paragraph" w:styleId="Caption">
    <w:name w:val="caption"/>
    <w:basedOn w:val="Normal"/>
    <w:next w:val="Normal"/>
    <w:uiPriority w:val="35"/>
    <w:unhideWhenUsed/>
    <w:qFormat/>
    <w:rsid w:val="009943EB"/>
    <w:pPr>
      <w:spacing w:line="240" w:lineRule="auto"/>
    </w:pPr>
    <w:rPr>
      <w:b/>
      <w:bCs/>
      <w:szCs w:val="18"/>
    </w:rPr>
  </w:style>
  <w:style w:type="paragraph" w:styleId="ListParagraph">
    <w:name w:val="List Paragraph"/>
    <w:basedOn w:val="Normal"/>
    <w:uiPriority w:val="34"/>
    <w:qFormat/>
    <w:rsid w:val="00F21B79"/>
    <w:pPr>
      <w:ind w:left="720"/>
      <w:contextualSpacing/>
    </w:pPr>
  </w:style>
  <w:style w:type="paragraph" w:styleId="BalloonText">
    <w:name w:val="Balloon Text"/>
    <w:basedOn w:val="Normal"/>
    <w:link w:val="BalloonTextChar"/>
    <w:uiPriority w:val="99"/>
    <w:semiHidden/>
    <w:unhideWhenUsed/>
    <w:rsid w:val="00F71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8B"/>
    <w:rPr>
      <w:rFonts w:ascii="Tahoma" w:hAnsi="Tahoma" w:cs="Tahoma"/>
      <w:sz w:val="16"/>
      <w:szCs w:val="16"/>
    </w:rPr>
  </w:style>
  <w:style w:type="table" w:customStyle="1" w:styleId="LightList-Accent11">
    <w:name w:val="Light List - Accent 11"/>
    <w:basedOn w:val="TableNormal"/>
    <w:uiPriority w:val="61"/>
    <w:rsid w:val="00667F54"/>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shd w:val="clear" w:color="auto" w:fill="FFFFFF"/>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1D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1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1B79"/>
    <w:pPr>
      <w:spacing w:after="0" w:line="240" w:lineRule="auto"/>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F21B79"/>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F21B79"/>
    <w:rPr>
      <w:vertAlign w:val="superscript"/>
    </w:rPr>
  </w:style>
  <w:style w:type="paragraph" w:styleId="Caption">
    <w:name w:val="caption"/>
    <w:basedOn w:val="Normal"/>
    <w:next w:val="Normal"/>
    <w:uiPriority w:val="35"/>
    <w:unhideWhenUsed/>
    <w:qFormat/>
    <w:rsid w:val="009943EB"/>
    <w:pPr>
      <w:spacing w:line="240" w:lineRule="auto"/>
    </w:pPr>
    <w:rPr>
      <w:b/>
      <w:bCs/>
      <w:szCs w:val="18"/>
    </w:rPr>
  </w:style>
  <w:style w:type="paragraph" w:styleId="ListParagraph">
    <w:name w:val="List Paragraph"/>
    <w:basedOn w:val="Normal"/>
    <w:uiPriority w:val="34"/>
    <w:qFormat/>
    <w:rsid w:val="00F21B79"/>
    <w:pPr>
      <w:ind w:left="720"/>
      <w:contextualSpacing/>
    </w:pPr>
  </w:style>
  <w:style w:type="paragraph" w:styleId="BalloonText">
    <w:name w:val="Balloon Text"/>
    <w:basedOn w:val="Normal"/>
    <w:link w:val="BalloonTextChar"/>
    <w:uiPriority w:val="99"/>
    <w:semiHidden/>
    <w:unhideWhenUsed/>
    <w:rsid w:val="00F71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8B"/>
    <w:rPr>
      <w:rFonts w:ascii="Tahoma" w:hAnsi="Tahoma" w:cs="Tahoma"/>
      <w:sz w:val="16"/>
      <w:szCs w:val="16"/>
    </w:rPr>
  </w:style>
  <w:style w:type="table" w:customStyle="1" w:styleId="LightList-Accent11">
    <w:name w:val="Light List - Accent 11"/>
    <w:basedOn w:val="TableNormal"/>
    <w:uiPriority w:val="61"/>
    <w:rsid w:val="00667F54"/>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shd w:val="clear" w:color="auto" w:fill="FFFFFF"/>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1D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1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s://www.imf.org/external/pubs/ft/scr/2010/cr10153.pdf" TargetMode="Externa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www.nbs.rs/export/sites/default/internet/latinica/90/90_0/2008_12_DD.pdf"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emf"/><Relationship Id="rId28" Type="http://schemas.openxmlformats.org/officeDocument/2006/relationships/hyperlink" Target="http://www.nbs.rs/internet/latinica/55/55_4/index.html" TargetMode="Externa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hyperlink" Target="http://www.nbs.rs/export/sites/default/internet/english/90/90_0/2012_24_SK_DO_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0C2E314-92B4-4E83-8EDF-D9C5C239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12</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Bungin</dc:creator>
  <cp:lastModifiedBy>Sanja Bungin</cp:lastModifiedBy>
  <cp:revision>74</cp:revision>
  <dcterms:created xsi:type="dcterms:W3CDTF">2015-09-12T16:09:00Z</dcterms:created>
  <dcterms:modified xsi:type="dcterms:W3CDTF">2015-09-14T06:40:00Z</dcterms:modified>
</cp:coreProperties>
</file>