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D9" w:rsidRDefault="00882118" w:rsidP="001958D9">
      <w:pPr>
        <w:ind w:left="-720" w:right="-60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277495</wp:posOffset>
                </wp:positionV>
                <wp:extent cx="9344025" cy="542925"/>
                <wp:effectExtent l="9525" t="9525" r="19050" b="2857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402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17365D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17365D">
                                <a:alpha val="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1BDC" w:rsidRPr="00585679" w:rsidRDefault="00531BDC" w:rsidP="0058567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85679">
                              <w:rPr>
                                <w:b/>
                                <w:sz w:val="40"/>
                                <w:szCs w:val="40"/>
                              </w:rPr>
                              <w:t>ANALIZA MEDIJSKOG IZVEŠTAVANJA O EVROPS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</w:t>
                            </w:r>
                            <w:r w:rsidRPr="00585679">
                              <w:rPr>
                                <w:b/>
                                <w:sz w:val="40"/>
                                <w:szCs w:val="40"/>
                              </w:rPr>
                              <w:t>IM INTEGRACIJAMA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-29.25pt;margin-top:21.85pt;width:735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" fillcolor="#0b192b" strokecolor="#17365d [2415]" strokeweight="1pt">
                <v:fill color2="#17365d" o:opacity2="0" angle="135" focus="100%" type="gradient"/>
                <v:shadow on="t" color="#243f60 [1604]" opacity=".5" offset="1pt"/>
                <v:textbox>
                  <w:txbxContent>
                    <w:p w:rsidR="00531BDC" w:rsidRPr="00585679" w:rsidRDefault="00531BDC" w:rsidP="0058567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85679">
                        <w:rPr>
                          <w:b/>
                          <w:sz w:val="40"/>
                          <w:szCs w:val="40"/>
                        </w:rPr>
                        <w:t>ANALIZA MEDIJSKOG IZVEŠTAVANJA O EVROPS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K</w:t>
                      </w:r>
                      <w:r w:rsidRPr="00585679">
                        <w:rPr>
                          <w:b/>
                          <w:sz w:val="40"/>
                          <w:szCs w:val="40"/>
                        </w:rPr>
                        <w:t>IM INTEGRACIJAMA</w:t>
                      </w:r>
                    </w:p>
                  </w:txbxContent>
                </v:textbox>
              </v:roundrect>
            </w:pict>
          </mc:Fallback>
        </mc:AlternateContent>
      </w:r>
      <w:r w:rsidR="00573E35">
        <w:rPr>
          <w:b/>
          <w:sz w:val="32"/>
          <w:szCs w:val="32"/>
        </w:rPr>
        <w:t xml:space="preserve">                                     </w:t>
      </w:r>
    </w:p>
    <w:p w:rsidR="00585679" w:rsidRDefault="00585679" w:rsidP="00585679">
      <w:pPr>
        <w:ind w:right="-600"/>
        <w:rPr>
          <w:b/>
          <w:sz w:val="32"/>
          <w:szCs w:val="32"/>
        </w:rPr>
      </w:pPr>
    </w:p>
    <w:p w:rsidR="00585679" w:rsidRPr="00C042D8" w:rsidRDefault="00882118" w:rsidP="00585679">
      <w:pPr>
        <w:ind w:right="-600"/>
        <w:rPr>
          <w:b/>
          <w:color w:val="FFFFFF" w:themeColor="background1"/>
          <w:sz w:val="32"/>
          <w:szCs w:val="32"/>
        </w:rPr>
      </w:pPr>
      <w:r>
        <w:rPr>
          <w:b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111125</wp:posOffset>
                </wp:positionV>
                <wp:extent cx="4010025" cy="2818130"/>
                <wp:effectExtent l="19050" t="20320" r="38100" b="476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2818130"/>
                        </a:xfrm>
                        <a:prstGeom prst="flowChartAlternateProcess">
                          <a:avLst/>
                        </a:prstGeom>
                        <a:solidFill>
                          <a:srgbClr val="FF0000">
                            <a:alpha val="46001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1BDC" w:rsidRPr="00BC2FEF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Dnevno-politička deš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avanja                         36</w:t>
                            </w: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:rsidR="00531BDC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Pregovori sa EU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24</w:t>
                            </w: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:rsidR="00531BDC" w:rsidRPr="00BC2FEF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EU fondovi         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16</w:t>
                            </w: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:rsidR="00531BDC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EU i KiM                                             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:rsidR="00531BDC" w:rsidRPr="00BC2FEF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Reformski procesi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8</w:t>
                            </w: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  <w:p w:rsidR="00531BDC" w:rsidRPr="00676F77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Analitički komentar                                           4%</w:t>
                            </w:r>
                          </w:p>
                          <w:p w:rsidR="00531BDC" w:rsidRPr="00BC2FEF" w:rsidRDefault="00531BD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EU i Rusija                    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3</w:t>
                            </w:r>
                            <w:r w:rsidRPr="00BC2FE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7" type="#_x0000_t176" style="position:absolute;margin-left:370.5pt;margin-top:8.75pt;width:315.75pt;height:2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" fillcolor="red" strokecolor="red" strokeweight="3pt">
                <v:fill opacity="30069f"/>
                <v:shadow on="t" color="#622423 [1605]" opacity=".5" offset="1pt"/>
                <v:textbox>
                  <w:txbxContent>
                    <w:p w:rsidR="00531BDC" w:rsidRPr="00BC2FEF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Dnevno-politička deš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avanja                         36</w:t>
                      </w: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</w:p>
                    <w:p w:rsidR="00531BDC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Pregovori sa EU    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24</w:t>
                      </w: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</w:p>
                    <w:p w:rsidR="00531BDC" w:rsidRPr="00BC2FEF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EU fondovi             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16</w:t>
                      </w: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</w:p>
                    <w:p w:rsidR="00531BDC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EU i KiM                                                 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</w:p>
                    <w:p w:rsidR="00531BDC" w:rsidRPr="00BC2FEF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Reformski procesi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8</w:t>
                      </w: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</w:p>
                    <w:p w:rsidR="00531BDC" w:rsidRPr="00676F77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Analitički komentar                                           4%</w:t>
                      </w:r>
                    </w:p>
                    <w:p w:rsidR="00531BDC" w:rsidRPr="00BC2FEF" w:rsidRDefault="00531BDC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EU i Rusija                         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3</w:t>
                      </w:r>
                      <w:r w:rsidRPr="00BC2FE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196850</wp:posOffset>
                </wp:positionV>
                <wp:extent cx="3533775" cy="2018030"/>
                <wp:effectExtent l="19050" t="20320" r="38100" b="4762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20180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1BDC" w:rsidRDefault="00531BDC" w:rsidP="000331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7768</w:t>
                            </w:r>
                          </w:p>
                          <w:p w:rsidR="00531BDC" w:rsidRPr="00817AAB" w:rsidRDefault="00531BDC" w:rsidP="000331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medijskih objava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margin-left:27.75pt;margin-top:15.5pt;width:278.25pt;height:1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" fillcolor="#4f81bd [3204]" strokecolor="#f2f2f2 [3041]" strokeweight="3pt">
                <v:shadow on="t" color="#243f60 [1604]" opacity=".5" offset="1pt"/>
                <v:textbox>
                  <w:txbxContent>
                    <w:p w:rsidR="00531BDC" w:rsidRDefault="00531BDC" w:rsidP="000331D0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7768</w:t>
                      </w:r>
                    </w:p>
                    <w:p w:rsidR="00531BDC" w:rsidRPr="00817AAB" w:rsidRDefault="00531BDC" w:rsidP="000331D0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medijskih objava</w:t>
                      </w:r>
                    </w:p>
                  </w:txbxContent>
                </v:textbox>
              </v:oval>
            </w:pict>
          </mc:Fallback>
        </mc:AlternateContent>
      </w:r>
      <w:r w:rsidR="00585679">
        <w:rPr>
          <w:b/>
          <w:sz w:val="32"/>
          <w:szCs w:val="32"/>
        </w:rPr>
        <w:t xml:space="preserve">                                                        </w:t>
      </w:r>
      <w:r w:rsidR="00585679" w:rsidRPr="00C042D8">
        <w:rPr>
          <w:b/>
          <w:color w:val="FFFFFF" w:themeColor="background1"/>
          <w:sz w:val="32"/>
          <w:szCs w:val="32"/>
        </w:rPr>
        <w:t>ANALIZA IZVEŠTAVANJA  EVROPSKIM INTEGRACIJAMA</w:t>
      </w:r>
    </w:p>
    <w:p w:rsidR="001958D9" w:rsidRDefault="001958D9" w:rsidP="001958D9">
      <w:pPr>
        <w:ind w:left="-720" w:right="-600"/>
        <w:rPr>
          <w:b/>
          <w:sz w:val="32"/>
          <w:szCs w:val="32"/>
        </w:rPr>
      </w:pPr>
    </w:p>
    <w:p w:rsidR="0009208A" w:rsidRDefault="0009208A" w:rsidP="001958D9">
      <w:pPr>
        <w:ind w:left="-720" w:right="-6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D39A0">
        <w:rPr>
          <w:b/>
          <w:sz w:val="32"/>
          <w:szCs w:val="32"/>
        </w:rPr>
        <w:t xml:space="preserve">   </w:t>
      </w:r>
    </w:p>
    <w:p w:rsidR="00FD39A0" w:rsidRDefault="0009208A" w:rsidP="00FC5FDF">
      <w:pPr>
        <w:ind w:left="-720" w:right="-6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FD39A0">
        <w:rPr>
          <w:b/>
          <w:sz w:val="32"/>
          <w:szCs w:val="32"/>
        </w:rPr>
        <w:t xml:space="preserve">                                                                                          </w:t>
      </w:r>
    </w:p>
    <w:p w:rsidR="00FC5FDF" w:rsidRDefault="00FC5FDF" w:rsidP="00CC00AC">
      <w:pPr>
        <w:ind w:right="-600"/>
        <w:rPr>
          <w:b/>
          <w:sz w:val="32"/>
          <w:szCs w:val="32"/>
        </w:rPr>
      </w:pPr>
    </w:p>
    <w:p w:rsidR="00465B80" w:rsidRDefault="00465B80" w:rsidP="00CC00AC">
      <w:pPr>
        <w:ind w:right="-600"/>
        <w:rPr>
          <w:b/>
          <w:sz w:val="32"/>
          <w:szCs w:val="32"/>
        </w:rPr>
      </w:pPr>
    </w:p>
    <w:p w:rsidR="00946358" w:rsidRPr="00BE1761" w:rsidRDefault="00BE1761" w:rsidP="00CC00AC">
      <w:pPr>
        <w:ind w:right="-60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br/>
      </w:r>
    </w:p>
    <w:p w:rsidR="00676F77" w:rsidRDefault="00676F77" w:rsidP="00CC00AC">
      <w:pPr>
        <w:ind w:right="-600"/>
        <w:rPr>
          <w:b/>
          <w:noProof/>
          <w:sz w:val="32"/>
          <w:szCs w:val="32"/>
        </w:rPr>
      </w:pPr>
      <w:r w:rsidRPr="00676F77">
        <w:rPr>
          <w:b/>
          <w:noProof/>
          <w:sz w:val="32"/>
          <w:szCs w:val="32"/>
        </w:rPr>
        <w:drawing>
          <wp:inline distT="0" distB="0" distL="0" distR="0">
            <wp:extent cx="9029700" cy="2514600"/>
            <wp:effectExtent l="1905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6F77" w:rsidRDefault="00676F77" w:rsidP="00CC00AC">
      <w:pPr>
        <w:ind w:right="-600"/>
        <w:rPr>
          <w:b/>
          <w:noProof/>
          <w:sz w:val="32"/>
          <w:szCs w:val="32"/>
        </w:rPr>
      </w:pPr>
      <w:r w:rsidRPr="00676F77">
        <w:rPr>
          <w:b/>
          <w:noProof/>
          <w:sz w:val="32"/>
          <w:szCs w:val="32"/>
        </w:rPr>
        <w:drawing>
          <wp:inline distT="0" distB="0" distL="0" distR="0">
            <wp:extent cx="4038600" cy="3286125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31BDC" w:rsidRPr="00531BDC">
        <w:rPr>
          <w:noProof/>
        </w:rPr>
        <w:t xml:space="preserve"> </w:t>
      </w:r>
      <w:r w:rsidR="00755036" w:rsidRPr="00755036">
        <w:rPr>
          <w:noProof/>
        </w:rPr>
        <w:drawing>
          <wp:inline distT="0" distB="0" distL="0" distR="0">
            <wp:extent cx="5010150" cy="3286125"/>
            <wp:effectExtent l="1905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6C24" w:rsidRPr="001958D9" w:rsidRDefault="00D104B0" w:rsidP="00D104B0">
      <w:pPr>
        <w:ind w:right="-600"/>
        <w:rPr>
          <w:b/>
          <w:sz w:val="32"/>
          <w:szCs w:val="32"/>
        </w:rPr>
      </w:pPr>
      <w:r w:rsidRPr="00D104B0">
        <w:rPr>
          <w:b/>
          <w:noProof/>
          <w:sz w:val="32"/>
          <w:szCs w:val="32"/>
        </w:rPr>
        <w:drawing>
          <wp:inline distT="0" distB="0" distL="0" distR="0">
            <wp:extent cx="8905875" cy="2781300"/>
            <wp:effectExtent l="0" t="0" r="0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86C24" w:rsidRPr="001958D9" w:rsidSect="00FD39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DC" w:rsidRDefault="00531BDC" w:rsidP="001958D9">
      <w:pPr>
        <w:spacing w:after="0" w:line="240" w:lineRule="auto"/>
      </w:pPr>
      <w:r>
        <w:separator/>
      </w:r>
    </w:p>
  </w:endnote>
  <w:endnote w:type="continuationSeparator" w:id="0">
    <w:p w:rsidR="00531BDC" w:rsidRDefault="00531BDC" w:rsidP="0019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18" w:rsidRDefault="008821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18" w:rsidRDefault="008821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18" w:rsidRDefault="00882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DC" w:rsidRDefault="00531BDC" w:rsidP="001958D9">
      <w:pPr>
        <w:spacing w:after="0" w:line="240" w:lineRule="auto"/>
      </w:pPr>
      <w:r>
        <w:separator/>
      </w:r>
    </w:p>
  </w:footnote>
  <w:footnote w:type="continuationSeparator" w:id="0">
    <w:p w:rsidR="00531BDC" w:rsidRDefault="00531BDC" w:rsidP="0019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18" w:rsidRDefault="008821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DC" w:rsidRPr="001958D9" w:rsidRDefault="00531BDC">
    <w:pPr>
      <w:pStyle w:val="Header"/>
      <w:rPr>
        <w:b/>
      </w:rPr>
    </w:pPr>
    <w:r>
      <w:rPr>
        <w:noProof/>
      </w:rPr>
      <w:drawing>
        <wp:inline distT="0" distB="0" distL="0" distR="0">
          <wp:extent cx="749785" cy="714375"/>
          <wp:effectExtent l="19050" t="0" r="0" b="0"/>
          <wp:docPr id="3" name="Picture 2" descr="\\seio\dfs\sistem\redirekcija\sbikic\Desktop\Sei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io\dfs\sistem\redirekcija\sbikic\Desktop\Sei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" cy="7242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505C5A">
      <w:rPr>
        <w:sz w:val="44"/>
        <w:szCs w:val="44"/>
      </w:rPr>
      <w:t xml:space="preserve">  </w:t>
    </w:r>
    <w:r w:rsidRPr="00505C5A">
      <w:rPr>
        <w:b/>
        <w:sz w:val="44"/>
        <w:szCs w:val="44"/>
      </w:rPr>
      <w:t xml:space="preserve">Kancelarija za evropske integracije    </w:t>
    </w:r>
    <w:r>
      <w:rPr>
        <w:sz w:val="44"/>
        <w:szCs w:val="44"/>
      </w:rPr>
      <w:t xml:space="preserve">      </w:t>
    </w:r>
    <w:r w:rsidRPr="00676F77">
      <w:rPr>
        <w:b/>
        <w:sz w:val="44"/>
        <w:szCs w:val="44"/>
      </w:rPr>
      <w:t xml:space="preserve"> JANUAR -</w:t>
    </w:r>
    <w:r>
      <w:rPr>
        <w:b/>
        <w:sz w:val="44"/>
        <w:szCs w:val="44"/>
      </w:rPr>
      <w:t xml:space="preserve"> DECEMBAR</w:t>
    </w:r>
    <w:r w:rsidRPr="00502F63">
      <w:rPr>
        <w:b/>
        <w:sz w:val="44"/>
        <w:szCs w:val="44"/>
      </w:rPr>
      <w:t xml:space="preserve"> </w:t>
    </w:r>
    <w:r>
      <w:rPr>
        <w:b/>
        <w:sz w:val="44"/>
        <w:szCs w:val="44"/>
      </w:rPr>
      <w:t>2015</w:t>
    </w:r>
    <w:r w:rsidRPr="00505C5A">
      <w:rPr>
        <w:b/>
        <w:sz w:val="44"/>
        <w:szCs w:val="44"/>
      </w:rPr>
      <w:t>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18" w:rsidRDefault="00882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D9"/>
    <w:rsid w:val="000331D0"/>
    <w:rsid w:val="0005003F"/>
    <w:rsid w:val="0009208A"/>
    <w:rsid w:val="000F33E7"/>
    <w:rsid w:val="00113141"/>
    <w:rsid w:val="00171A01"/>
    <w:rsid w:val="001958D9"/>
    <w:rsid w:val="001E1BE6"/>
    <w:rsid w:val="00241934"/>
    <w:rsid w:val="00242C37"/>
    <w:rsid w:val="00284046"/>
    <w:rsid w:val="002D699D"/>
    <w:rsid w:val="002E6241"/>
    <w:rsid w:val="00302643"/>
    <w:rsid w:val="003355C1"/>
    <w:rsid w:val="00375E7F"/>
    <w:rsid w:val="003F1E9E"/>
    <w:rsid w:val="00414567"/>
    <w:rsid w:val="00431E82"/>
    <w:rsid w:val="00465B80"/>
    <w:rsid w:val="00495493"/>
    <w:rsid w:val="004A018E"/>
    <w:rsid w:val="004D06ED"/>
    <w:rsid w:val="00502F63"/>
    <w:rsid w:val="00505C5A"/>
    <w:rsid w:val="0051688A"/>
    <w:rsid w:val="00527049"/>
    <w:rsid w:val="00531BDC"/>
    <w:rsid w:val="00573E35"/>
    <w:rsid w:val="00585679"/>
    <w:rsid w:val="005902A5"/>
    <w:rsid w:val="005D3CB6"/>
    <w:rsid w:val="00651642"/>
    <w:rsid w:val="00676F77"/>
    <w:rsid w:val="006D2BDC"/>
    <w:rsid w:val="00755036"/>
    <w:rsid w:val="007D7097"/>
    <w:rsid w:val="007F2203"/>
    <w:rsid w:val="00817AAB"/>
    <w:rsid w:val="00831F27"/>
    <w:rsid w:val="00854CB8"/>
    <w:rsid w:val="008630BF"/>
    <w:rsid w:val="008662E5"/>
    <w:rsid w:val="00882118"/>
    <w:rsid w:val="008F1963"/>
    <w:rsid w:val="009125B3"/>
    <w:rsid w:val="00946358"/>
    <w:rsid w:val="00956462"/>
    <w:rsid w:val="0095677E"/>
    <w:rsid w:val="009B2860"/>
    <w:rsid w:val="00A02897"/>
    <w:rsid w:val="00AB415A"/>
    <w:rsid w:val="00AB6442"/>
    <w:rsid w:val="00AD5468"/>
    <w:rsid w:val="00B828C3"/>
    <w:rsid w:val="00B97405"/>
    <w:rsid w:val="00BC2FEF"/>
    <w:rsid w:val="00BE1761"/>
    <w:rsid w:val="00C042D8"/>
    <w:rsid w:val="00C211E4"/>
    <w:rsid w:val="00CA723C"/>
    <w:rsid w:val="00CC00AC"/>
    <w:rsid w:val="00CC2079"/>
    <w:rsid w:val="00CE0F1A"/>
    <w:rsid w:val="00D104B0"/>
    <w:rsid w:val="00D56F6F"/>
    <w:rsid w:val="00DD1FD8"/>
    <w:rsid w:val="00E029A5"/>
    <w:rsid w:val="00E502D2"/>
    <w:rsid w:val="00E77869"/>
    <w:rsid w:val="00E85B70"/>
    <w:rsid w:val="00E943C4"/>
    <w:rsid w:val="00ED47EF"/>
    <w:rsid w:val="00EF0857"/>
    <w:rsid w:val="00EF22ED"/>
    <w:rsid w:val="00F279FF"/>
    <w:rsid w:val="00F27B86"/>
    <w:rsid w:val="00F86C24"/>
    <w:rsid w:val="00FC5FDF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#17365d" strokecolor="none [2415]">
      <v:fill color="#17365d" opacity="0" color2="fill darken(118)" angle="-45" method="linear sigma" type="gradient"/>
      <v:stroke color="none [2415]" weight="1pt"/>
      <v:shadow on="t" type="perspective" color="none [1604]" opacity=".5" offset="1pt" offset2="-3pt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D9"/>
  </w:style>
  <w:style w:type="paragraph" w:styleId="Footer">
    <w:name w:val="footer"/>
    <w:basedOn w:val="Normal"/>
    <w:link w:val="FooterChar"/>
    <w:uiPriority w:val="99"/>
    <w:unhideWhenUsed/>
    <w:rsid w:val="0019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D9"/>
  </w:style>
  <w:style w:type="table" w:styleId="TableGrid">
    <w:name w:val="Table Grid"/>
    <w:basedOn w:val="TableNormal"/>
    <w:uiPriority w:val="59"/>
    <w:rsid w:val="00C0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D9"/>
  </w:style>
  <w:style w:type="paragraph" w:styleId="Footer">
    <w:name w:val="footer"/>
    <w:basedOn w:val="Normal"/>
    <w:link w:val="FooterChar"/>
    <w:uiPriority w:val="99"/>
    <w:unhideWhenUsed/>
    <w:rsid w:val="0019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D9"/>
  </w:style>
  <w:style w:type="table" w:styleId="TableGrid">
    <w:name w:val="Table Grid"/>
    <w:basedOn w:val="TableNormal"/>
    <w:uiPriority w:val="59"/>
    <w:rsid w:val="00C0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v-av\s\KLIPING\kodeks%20kliping\2015\godisnji%20presek%202015\2015%20prese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v-av\s\KLIPING\kodeks%20kliping\2015\godisnji%20presek%202015\2015%20prese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v-av\s\KLIPING\kodeks%20kliping\2015\godisnji%20presek%202015\2015%20presek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v-av\s\KLIPING\kodeks%20kliping\2015\godisnji%20presek%202015\2015%20prese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sr-Latn-RS"/>
              <a:t>Odnos</a:t>
            </a:r>
            <a:r>
              <a:rPr lang="sr-Latn-RS" baseline="0"/>
              <a:t> prema EU u odabranim temama</a:t>
            </a:r>
            <a:endParaRPr lang="en-US"/>
          </a:p>
        </c:rich>
      </c:tx>
      <c:layout>
        <c:manualLayout>
          <c:xMode val="edge"/>
          <c:yMode val="edge"/>
          <c:x val="0.29115684906475325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5967112065537264"/>
          <c:w val="0.98897826062881378"/>
          <c:h val="0.651130994989262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Sheet1!$D$46</c:f>
              <c:strCache>
                <c:ptCount val="1"/>
                <c:pt idx="0">
                  <c:v>Pozitivan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Sheet1!$A$47:$C$53</c:f>
              <c:strCache>
                <c:ptCount val="7"/>
                <c:pt idx="0">
                  <c:v>Pregovori sa EU</c:v>
                </c:pt>
                <c:pt idx="1">
                  <c:v>EU fondovi</c:v>
                </c:pt>
                <c:pt idx="2">
                  <c:v>Reformski procesi</c:v>
                </c:pt>
                <c:pt idx="3">
                  <c:v>Dnevno-politička dešavanja</c:v>
                </c:pt>
                <c:pt idx="4">
                  <c:v>EU i KiM</c:v>
                </c:pt>
                <c:pt idx="5">
                  <c:v>EU i Rusija</c:v>
                </c:pt>
                <c:pt idx="6">
                  <c:v>Analitički komentar</c:v>
                </c:pt>
              </c:strCache>
            </c:strRef>
          </c:cat>
          <c:val>
            <c:numRef>
              <c:f>Sheet1!$D$47:$D$53</c:f>
              <c:numCache>
                <c:formatCode>0%</c:formatCode>
                <c:ptCount val="7"/>
                <c:pt idx="0">
                  <c:v>0.32000000000000017</c:v>
                </c:pt>
                <c:pt idx="1">
                  <c:v>0.34000000000000025</c:v>
                </c:pt>
                <c:pt idx="2">
                  <c:v>0.28000000000000008</c:v>
                </c:pt>
                <c:pt idx="3">
                  <c:v>0.31000000000000016</c:v>
                </c:pt>
                <c:pt idx="4">
                  <c:v>7.0000000000000034E-2</c:v>
                </c:pt>
                <c:pt idx="5">
                  <c:v>7.0000000000000034E-2</c:v>
                </c:pt>
                <c:pt idx="6">
                  <c:v>0.22000000000000008</c:v>
                </c:pt>
              </c:numCache>
            </c:numRef>
          </c:val>
        </c:ser>
        <c:ser>
          <c:idx val="1"/>
          <c:order val="1"/>
          <c:tx>
            <c:strRef>
              <c:f>Sheet1!$E$46</c:f>
              <c:strCache>
                <c:ptCount val="1"/>
                <c:pt idx="0">
                  <c:v>Neutralan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Sheet1!$A$47:$C$53</c:f>
              <c:strCache>
                <c:ptCount val="7"/>
                <c:pt idx="0">
                  <c:v>Pregovori sa EU</c:v>
                </c:pt>
                <c:pt idx="1">
                  <c:v>EU fondovi</c:v>
                </c:pt>
                <c:pt idx="2">
                  <c:v>Reformski procesi</c:v>
                </c:pt>
                <c:pt idx="3">
                  <c:v>Dnevno-politička dešavanja</c:v>
                </c:pt>
                <c:pt idx="4">
                  <c:v>EU i KiM</c:v>
                </c:pt>
                <c:pt idx="5">
                  <c:v>EU i Rusija</c:v>
                </c:pt>
                <c:pt idx="6">
                  <c:v>Analitički komentar</c:v>
                </c:pt>
              </c:strCache>
            </c:strRef>
          </c:cat>
          <c:val>
            <c:numRef>
              <c:f>Sheet1!$E$47:$E$53</c:f>
              <c:numCache>
                <c:formatCode>0%</c:formatCode>
                <c:ptCount val="7"/>
                <c:pt idx="0">
                  <c:v>0.64000000000000035</c:v>
                </c:pt>
                <c:pt idx="1">
                  <c:v>0.66000000000000036</c:v>
                </c:pt>
                <c:pt idx="2">
                  <c:v>0.6800000000000006</c:v>
                </c:pt>
                <c:pt idx="3">
                  <c:v>0.55000000000000004</c:v>
                </c:pt>
                <c:pt idx="4">
                  <c:v>0.66000000000000036</c:v>
                </c:pt>
                <c:pt idx="5">
                  <c:v>0.63000000000000034</c:v>
                </c:pt>
                <c:pt idx="6">
                  <c:v>0.38000000000000017</c:v>
                </c:pt>
              </c:numCache>
            </c:numRef>
          </c:val>
        </c:ser>
        <c:ser>
          <c:idx val="2"/>
          <c:order val="2"/>
          <c:tx>
            <c:strRef>
              <c:f>Sheet1!$F$46</c:f>
              <c:strCache>
                <c:ptCount val="1"/>
                <c:pt idx="0">
                  <c:v>Negativan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857442348008546E-3"/>
                  <c:y val="-2.6402640264026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064697609001406E-2"/>
                  <c:y val="5.050505050505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952480782669487E-3"/>
                  <c:y val="-8.06738021894339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857442348008546E-3"/>
                  <c:y val="-8.06738021894339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9049615653389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7952480782669487E-3"/>
                  <c:y val="-8.06738021894339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98812019566747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Sheet1!$A$47:$C$53</c:f>
              <c:strCache>
                <c:ptCount val="7"/>
                <c:pt idx="0">
                  <c:v>Pregovori sa EU</c:v>
                </c:pt>
                <c:pt idx="1">
                  <c:v>EU fondovi</c:v>
                </c:pt>
                <c:pt idx="2">
                  <c:v>Reformski procesi</c:v>
                </c:pt>
                <c:pt idx="3">
                  <c:v>Dnevno-politička dešavanja</c:v>
                </c:pt>
                <c:pt idx="4">
                  <c:v>EU i KiM</c:v>
                </c:pt>
                <c:pt idx="5">
                  <c:v>EU i Rusija</c:v>
                </c:pt>
                <c:pt idx="6">
                  <c:v>Analitički komentar</c:v>
                </c:pt>
              </c:strCache>
            </c:strRef>
          </c:cat>
          <c:val>
            <c:numRef>
              <c:f>Sheet1!$F$47:$F$53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2.0000000000000014E-2</c:v>
                </c:pt>
                <c:pt idx="3">
                  <c:v>5.0000000000000031E-2</c:v>
                </c:pt>
                <c:pt idx="4">
                  <c:v>9.0000000000000052E-2</c:v>
                </c:pt>
                <c:pt idx="5">
                  <c:v>5.0000000000000031E-2</c:v>
                </c:pt>
                <c:pt idx="6">
                  <c:v>9.0000000000000052E-2</c:v>
                </c:pt>
              </c:numCache>
            </c:numRef>
          </c:val>
        </c:ser>
        <c:ser>
          <c:idx val="3"/>
          <c:order val="3"/>
          <c:tx>
            <c:strRef>
              <c:f>Sheet1!$G$46</c:f>
              <c:strCache>
                <c:ptCount val="1"/>
                <c:pt idx="0">
                  <c:v>Kritički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5786163522012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582278481012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88120195667376E-3"/>
                  <c:y val="-8.06738021894339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8574423480085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9287211740041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9881201956672719E-3"/>
                  <c:y val="-8.067380218943392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9881201956673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Sheet1!$A$47:$C$53</c:f>
              <c:strCache>
                <c:ptCount val="7"/>
                <c:pt idx="0">
                  <c:v>Pregovori sa EU</c:v>
                </c:pt>
                <c:pt idx="1">
                  <c:v>EU fondovi</c:v>
                </c:pt>
                <c:pt idx="2">
                  <c:v>Reformski procesi</c:v>
                </c:pt>
                <c:pt idx="3">
                  <c:v>Dnevno-politička dešavanja</c:v>
                </c:pt>
                <c:pt idx="4">
                  <c:v>EU i KiM</c:v>
                </c:pt>
                <c:pt idx="5">
                  <c:v>EU i Rusija</c:v>
                </c:pt>
                <c:pt idx="6">
                  <c:v>Analitički komentar</c:v>
                </c:pt>
              </c:strCache>
            </c:strRef>
          </c:cat>
          <c:val>
            <c:numRef>
              <c:f>Sheet1!$G$47:$G$53</c:f>
              <c:numCache>
                <c:formatCode>0%</c:formatCode>
                <c:ptCount val="7"/>
                <c:pt idx="0">
                  <c:v>4.0000000000000029E-2</c:v>
                </c:pt>
                <c:pt idx="1">
                  <c:v>0</c:v>
                </c:pt>
                <c:pt idx="2">
                  <c:v>2.0000000000000014E-2</c:v>
                </c:pt>
                <c:pt idx="3">
                  <c:v>9.0000000000000052E-2</c:v>
                </c:pt>
                <c:pt idx="4">
                  <c:v>0.18000000000000008</c:v>
                </c:pt>
                <c:pt idx="5">
                  <c:v>0.23</c:v>
                </c:pt>
                <c:pt idx="6">
                  <c:v>0.31000000000000016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7467008"/>
        <c:axId val="124674048"/>
        <c:axId val="0"/>
      </c:bar3DChart>
      <c:catAx>
        <c:axId val="1174670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24674048"/>
        <c:crosses val="autoZero"/>
        <c:auto val="1"/>
        <c:lblAlgn val="ctr"/>
        <c:lblOffset val="100"/>
        <c:noMultiLvlLbl val="0"/>
      </c:catAx>
      <c:valAx>
        <c:axId val="12467404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174670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427799373179631"/>
          <c:y val="0.12750292352069853"/>
          <c:w val="0.30368672270396602"/>
          <c:h val="6.4421379145788632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sr-Latn-RS"/>
              <a:t>Odnos prema EU</a:t>
            </a:r>
            <a:endParaRPr lang="en-US"/>
          </a:p>
        </c:rich>
      </c:tx>
      <c:layout>
        <c:manualLayout>
          <c:xMode val="edge"/>
          <c:yMode val="edge"/>
          <c:x val="0.4465174550078614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349081364829396"/>
          <c:y val="0.18019220674338784"/>
          <c:w val="0.66381949273047314"/>
          <c:h val="0.81980763694860725"/>
        </c:manualLayout>
      </c:layout>
      <c:pieChart>
        <c:varyColors val="1"/>
        <c:ser>
          <c:idx val="0"/>
          <c:order val="0"/>
          <c:explosion val="9"/>
          <c:dLbls>
            <c:dLbl>
              <c:idx val="0"/>
              <c:layout>
                <c:manualLayout>
                  <c:x val="2.4758660486588108E-2"/>
                  <c:y val="0.1253168146225488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1733679566649978E-2"/>
                  <c:y val="2.33038875680706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7591630833379962E-2"/>
                  <c:y val="6.94524541772998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333258874555583E-3"/>
                  <c:y val="1.158636333893167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Sheet1!$A$30:$A$33</c:f>
              <c:strCache>
                <c:ptCount val="4"/>
                <c:pt idx="0">
                  <c:v>Pozitivan</c:v>
                </c:pt>
                <c:pt idx="1">
                  <c:v>Neutralan</c:v>
                </c:pt>
                <c:pt idx="2">
                  <c:v>Negativan</c:v>
                </c:pt>
                <c:pt idx="3">
                  <c:v>Kritički</c:v>
                </c:pt>
              </c:strCache>
            </c:strRef>
          </c:cat>
          <c:val>
            <c:numRef>
              <c:f>Sheet1!$B$30:$B$33</c:f>
              <c:numCache>
                <c:formatCode>0%</c:formatCode>
                <c:ptCount val="4"/>
                <c:pt idx="0">
                  <c:v>0.28000000000000008</c:v>
                </c:pt>
                <c:pt idx="1">
                  <c:v>0.60000000000000031</c:v>
                </c:pt>
                <c:pt idx="2">
                  <c:v>4.0000000000000022E-2</c:v>
                </c:pt>
                <c:pt idx="3">
                  <c:v>8.0000000000000043E-2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/>
            </a:pPr>
            <a:r>
              <a:rPr lang="sr-Latn-RS"/>
              <a:t>Za</a:t>
            </a:r>
            <a:r>
              <a:rPr lang="en-US"/>
              <a:t>s</a:t>
            </a:r>
            <a:r>
              <a:rPr lang="sr-Latn-RS"/>
              <a:t>tupljenost objava po izvorima</a:t>
            </a:r>
            <a:endParaRPr lang="en-US"/>
          </a:p>
        </c:rich>
      </c:tx>
      <c:layout>
        <c:manualLayout>
          <c:xMode val="edge"/>
          <c:yMode val="edge"/>
          <c:x val="0.15834351663272234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0.23739521358200896"/>
          <c:y val="0.10689316613201127"/>
          <c:w val="0.73273377487691838"/>
          <c:h val="0.84783934415605455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cat>
            <c:strRef>
              <c:f>Sheet1!$A$70:$A$84</c:f>
              <c:strCache>
                <c:ptCount val="15"/>
                <c:pt idx="0">
                  <c:v>Ostalo</c:v>
                </c:pt>
                <c:pt idx="1">
                  <c:v>Danas</c:v>
                </c:pt>
                <c:pt idx="2">
                  <c:v>Dnevnik</c:v>
                </c:pt>
                <c:pt idx="3">
                  <c:v>Blic</c:v>
                </c:pt>
                <c:pt idx="4">
                  <c:v>Večernje novosti</c:v>
                </c:pt>
                <c:pt idx="5">
                  <c:v>Politika</c:v>
                </c:pt>
                <c:pt idx="6">
                  <c:v>Narodne novine</c:v>
                </c:pt>
                <c:pt idx="7">
                  <c:v>RTS</c:v>
                </c:pt>
                <c:pt idx="8">
                  <c:v>Kurir</c:v>
                </c:pt>
                <c:pt idx="9">
                  <c:v>Tanjug</c:v>
                </c:pt>
                <c:pt idx="10">
                  <c:v>B92</c:v>
                </c:pt>
                <c:pt idx="11">
                  <c:v>Naše novine</c:v>
                </c:pt>
                <c:pt idx="12">
                  <c:v>Privredni pregled</c:v>
                </c:pt>
                <c:pt idx="13">
                  <c:v>Alo</c:v>
                </c:pt>
                <c:pt idx="14">
                  <c:v>Informer</c:v>
                </c:pt>
              </c:strCache>
            </c:strRef>
          </c:cat>
          <c:val>
            <c:numRef>
              <c:f>Sheet1!$B$70:$B$84</c:f>
              <c:numCache>
                <c:formatCode>General</c:formatCode>
                <c:ptCount val="15"/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Sheet1!$A$70:$A$84</c:f>
              <c:strCache>
                <c:ptCount val="15"/>
                <c:pt idx="0">
                  <c:v>Ostalo</c:v>
                </c:pt>
                <c:pt idx="1">
                  <c:v>Danas</c:v>
                </c:pt>
                <c:pt idx="2">
                  <c:v>Dnevnik</c:v>
                </c:pt>
                <c:pt idx="3">
                  <c:v>Blic</c:v>
                </c:pt>
                <c:pt idx="4">
                  <c:v>Večernje novosti</c:v>
                </c:pt>
                <c:pt idx="5">
                  <c:v>Politika</c:v>
                </c:pt>
                <c:pt idx="6">
                  <c:v>Narodne novine</c:v>
                </c:pt>
                <c:pt idx="7">
                  <c:v>RTS</c:v>
                </c:pt>
                <c:pt idx="8">
                  <c:v>Kurir</c:v>
                </c:pt>
                <c:pt idx="9">
                  <c:v>Tanjug</c:v>
                </c:pt>
                <c:pt idx="10">
                  <c:v>B92</c:v>
                </c:pt>
                <c:pt idx="11">
                  <c:v>Naše novine</c:v>
                </c:pt>
                <c:pt idx="12">
                  <c:v>Privredni pregled</c:v>
                </c:pt>
                <c:pt idx="13">
                  <c:v>Alo</c:v>
                </c:pt>
                <c:pt idx="14">
                  <c:v>Informer</c:v>
                </c:pt>
              </c:strCache>
            </c:strRef>
          </c:cat>
          <c:val>
            <c:numRef>
              <c:f>Sheet1!$C$70:$C$84</c:f>
              <c:numCache>
                <c:formatCode>0%</c:formatCode>
                <c:ptCount val="15"/>
                <c:pt idx="0">
                  <c:v>0.27</c:v>
                </c:pt>
                <c:pt idx="1">
                  <c:v>0.14000000000000001</c:v>
                </c:pt>
                <c:pt idx="2">
                  <c:v>7.0000000000000021E-2</c:v>
                </c:pt>
                <c:pt idx="3">
                  <c:v>7.0000000000000021E-2</c:v>
                </c:pt>
                <c:pt idx="4">
                  <c:v>7.0000000000000021E-2</c:v>
                </c:pt>
                <c:pt idx="5">
                  <c:v>6.0000000000000019E-2</c:v>
                </c:pt>
                <c:pt idx="6">
                  <c:v>6.0000000000000019E-2</c:v>
                </c:pt>
                <c:pt idx="7">
                  <c:v>0.05</c:v>
                </c:pt>
                <c:pt idx="8">
                  <c:v>4.0000000000000015E-2</c:v>
                </c:pt>
                <c:pt idx="9">
                  <c:v>4.0000000000000015E-2</c:v>
                </c:pt>
                <c:pt idx="10">
                  <c:v>3.0000000000000002E-2</c:v>
                </c:pt>
                <c:pt idx="11">
                  <c:v>3.0000000000000002E-2</c:v>
                </c:pt>
                <c:pt idx="12">
                  <c:v>3.0000000000000002E-2</c:v>
                </c:pt>
                <c:pt idx="13">
                  <c:v>2.0000000000000007E-2</c:v>
                </c:pt>
                <c:pt idx="14">
                  <c:v>2.0000000000000007E-2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170"/>
        <c:shape val="cylinder"/>
        <c:axId val="90767744"/>
        <c:axId val="90769280"/>
        <c:axId val="0"/>
      </c:bar3DChart>
      <c:catAx>
        <c:axId val="9076774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90769280"/>
        <c:crosses val="autoZero"/>
        <c:auto val="1"/>
        <c:lblAlgn val="ctr"/>
        <c:lblOffset val="100"/>
        <c:noMultiLvlLbl val="0"/>
      </c:catAx>
      <c:valAx>
        <c:axId val="907692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907677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/>
            </a:pPr>
            <a:r>
              <a:rPr lang="sr-Latn-RS"/>
              <a:t>Broj objava po mesecima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1.5652792600498042E-2"/>
          <c:y val="0.15801298876102049"/>
          <c:w val="0.96869441479900453"/>
          <c:h val="0.73492866276330893"/>
        </c:manualLayout>
      </c:layout>
      <c:lineChart>
        <c:grouping val="standard"/>
        <c:varyColors val="0"/>
        <c:ser>
          <c:idx val="0"/>
          <c:order val="0"/>
          <c:marker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2.4190679473496981E-2"/>
                  <c:y val="-6.8376068376068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036641764496629E-2"/>
                  <c:y val="-6.41025641025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9882604055496271E-2"/>
                  <c:y val="-6.41025641025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2728566346495909E-2"/>
                  <c:y val="-6.41025641025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7036641764496685E-2"/>
                  <c:y val="-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305585200996085E-2"/>
                  <c:y val="-6.41025641025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036641764496629E-2"/>
                  <c:y val="-7.2649572649572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4190679473496981E-2"/>
                  <c:y val="-9.4017094017094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8420490928495199E-2"/>
                  <c:y val="-9.829059829059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6997509782995285E-2"/>
                  <c:y val="-7.2649572649572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7036641764496629E-2"/>
                  <c:y val="-8.1196581196581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Sheet1!$A$107:$A$118</c:f>
              <c:strCache>
                <c:ptCount val="12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  <c:pt idx="9">
                  <c:v>Oktobar</c:v>
                </c:pt>
                <c:pt idx="10">
                  <c:v>Novembar</c:v>
                </c:pt>
                <c:pt idx="11">
                  <c:v>Decembar</c:v>
                </c:pt>
              </c:strCache>
            </c:strRef>
          </c:cat>
          <c:val>
            <c:numRef>
              <c:f>Sheet1!$B$107:$B$118</c:f>
              <c:numCache>
                <c:formatCode>General</c:formatCode>
                <c:ptCount val="12"/>
                <c:pt idx="0">
                  <c:v>428</c:v>
                </c:pt>
                <c:pt idx="1">
                  <c:v>517</c:v>
                </c:pt>
                <c:pt idx="2">
                  <c:v>529</c:v>
                </c:pt>
                <c:pt idx="3">
                  <c:v>463</c:v>
                </c:pt>
                <c:pt idx="4">
                  <c:v>582</c:v>
                </c:pt>
                <c:pt idx="5">
                  <c:v>535</c:v>
                </c:pt>
                <c:pt idx="6">
                  <c:v>485</c:v>
                </c:pt>
                <c:pt idx="7">
                  <c:v>307</c:v>
                </c:pt>
                <c:pt idx="8">
                  <c:v>495</c:v>
                </c:pt>
                <c:pt idx="9">
                  <c:v>662</c:v>
                </c:pt>
                <c:pt idx="10">
                  <c:v>827</c:v>
                </c:pt>
                <c:pt idx="11">
                  <c:v>1938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0822528"/>
        <c:axId val="90824064"/>
      </c:lineChart>
      <c:catAx>
        <c:axId val="9082252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90824064"/>
        <c:crosses val="autoZero"/>
        <c:auto val="1"/>
        <c:lblAlgn val="ctr"/>
        <c:lblOffset val="100"/>
        <c:noMultiLvlLbl val="0"/>
      </c:catAx>
      <c:valAx>
        <c:axId val="90824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0822528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0.67236</cdr:x>
      <cdr:y>0.04808</cdr:y>
    </cdr:from>
    <cdr:to>
      <cdr:x>0.83031</cdr:x>
      <cdr:y>0.31731</cdr:y>
    </cdr:to>
    <cdr:sp macro="" textlink="">
      <cdr:nvSpPr>
        <cdr:cNvPr id="2" name="Rounded Rectangular Callout 1"/>
        <cdr:cNvSpPr/>
      </cdr:nvSpPr>
      <cdr:spPr>
        <a:xfrm xmlns:a="http://schemas.openxmlformats.org/drawingml/2006/main">
          <a:off x="6000750" y="142874"/>
          <a:ext cx="1409699" cy="800099"/>
        </a:xfrm>
        <a:prstGeom xmlns:a="http://schemas.openxmlformats.org/drawingml/2006/main" prst="wedgeRoundRectCallout">
          <a:avLst>
            <a:gd name="adj1" fmla="val 108322"/>
            <a:gd name="adj2" fmla="val 52721"/>
            <a:gd name="adj3" fmla="val 16667"/>
          </a:avLst>
        </a:prstGeom>
        <a:solidFill xmlns:a="http://schemas.openxmlformats.org/drawingml/2006/main">
          <a:schemeClr val="tx2">
            <a:lumMod val="60000"/>
            <a:lumOff val="40000"/>
          </a:schemeClr>
        </a:solidFill>
        <a:effectLst xmlns:a="http://schemas.openxmlformats.org/drawingml/2006/main">
          <a:innerShdw blurRad="63500" dist="50800" dir="16200000">
            <a:prstClr val="black">
              <a:alpha val="50000"/>
            </a:prstClr>
          </a:innerShdw>
        </a:effectLst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sr-Latn-RS" b="1">
              <a:solidFill>
                <a:schemeClr val="bg1"/>
              </a:solidFill>
            </a:rPr>
            <a:t>Otvaranje</a:t>
          </a:r>
          <a:r>
            <a:rPr lang="sr-Latn-RS" b="1" baseline="0">
              <a:solidFill>
                <a:schemeClr val="bg1"/>
              </a:solidFill>
            </a:rPr>
            <a:t> prvih pregovaračkih poglavlja - 32 i 35</a:t>
          </a:r>
          <a:endParaRPr lang="en-US" b="1">
            <a:solidFill>
              <a:schemeClr val="bg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E03C-3F2E-4748-8D00-447A1778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sbikic</dc:creator>
  <cp:lastModifiedBy>mtomic</cp:lastModifiedBy>
  <cp:revision>2</cp:revision>
  <cp:lastPrinted>2014-06-03T08:47:00Z</cp:lastPrinted>
  <dcterms:created xsi:type="dcterms:W3CDTF">2016-10-31T16:26:00Z</dcterms:created>
  <dcterms:modified xsi:type="dcterms:W3CDTF">2016-10-31T16:26:00Z</dcterms:modified>
</cp:coreProperties>
</file>