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65" w:rsidRPr="00615DED" w:rsidRDefault="00046C65" w:rsidP="00046C65">
      <w:pPr>
        <w:spacing w:after="60"/>
        <w:ind w:left="1026" w:hanging="1026"/>
        <w:jc w:val="left"/>
        <w:rPr>
          <w:rFonts w:cs="Arial"/>
          <w:spacing w:val="-3"/>
          <w:sz w:val="22"/>
          <w:szCs w:val="22"/>
          <w:lang w:val="sr-Cyrl-CS"/>
        </w:rPr>
      </w:pPr>
      <w:r w:rsidRPr="00615DED">
        <w:rPr>
          <w:rFonts w:cs="Arial"/>
          <w:spacing w:val="-3"/>
          <w:sz w:val="22"/>
          <w:szCs w:val="22"/>
          <w:lang w:val="sr-Cyrl-CS"/>
        </w:rPr>
        <w:t>Табела 1. Промена укупног броја становника, природног прираштаја и миграционог салда у периодима 1991</w:t>
      </w:r>
      <w:r w:rsidRPr="00615DED">
        <w:rPr>
          <w:spacing w:val="-3"/>
          <w:sz w:val="22"/>
          <w:szCs w:val="22"/>
        </w:rPr>
        <w:t>–</w:t>
      </w:r>
      <w:r w:rsidRPr="00615DED">
        <w:rPr>
          <w:rFonts w:cs="Arial"/>
          <w:spacing w:val="-3"/>
          <w:sz w:val="22"/>
          <w:szCs w:val="22"/>
          <w:lang w:val="sr-Cyrl-CS"/>
        </w:rPr>
        <w:t>2002. и 2002</w:t>
      </w:r>
      <w:r w:rsidRPr="00615DED">
        <w:rPr>
          <w:spacing w:val="-3"/>
          <w:sz w:val="22"/>
          <w:szCs w:val="22"/>
        </w:rPr>
        <w:t>–</w:t>
      </w:r>
      <w:r w:rsidRPr="00615DED">
        <w:rPr>
          <w:rFonts w:cs="Arial"/>
          <w:spacing w:val="-3"/>
          <w:sz w:val="22"/>
          <w:szCs w:val="22"/>
          <w:lang w:val="sr-Cyrl-CS"/>
        </w:rPr>
        <w:t xml:space="preserve">2011. </w:t>
      </w:r>
      <w:r>
        <w:rPr>
          <w:rFonts w:cs="Arial"/>
          <w:spacing w:val="-3"/>
          <w:sz w:val="22"/>
          <w:szCs w:val="22"/>
          <w:lang w:val="sr-Cyrl-CS"/>
        </w:rPr>
        <w:t>г</w:t>
      </w:r>
      <w:r w:rsidRPr="00615DED">
        <w:rPr>
          <w:rFonts w:cs="Arial"/>
          <w:spacing w:val="-3"/>
          <w:sz w:val="22"/>
          <w:szCs w:val="22"/>
          <w:lang w:val="sr-Cyrl-CS"/>
        </w:rPr>
        <w:t>одина</w:t>
      </w:r>
    </w:p>
    <w:p w:rsidR="00046C65" w:rsidRPr="00D5168E" w:rsidRDefault="00046C65" w:rsidP="00046C65">
      <w:pPr>
        <w:spacing w:after="60"/>
        <w:ind w:left="709" w:hanging="709"/>
        <w:jc w:val="left"/>
        <w:rPr>
          <w:rFonts w:cs="Arial"/>
          <w:i/>
          <w:spacing w:val="-3"/>
          <w:sz w:val="22"/>
          <w:szCs w:val="22"/>
          <w:lang w:val="sr-Cyrl-CS"/>
        </w:rPr>
      </w:pPr>
      <w:proofErr w:type="gramStart"/>
      <w:r>
        <w:t>Tab. 1.</w:t>
      </w:r>
      <w:proofErr w:type="gramEnd"/>
      <w:r>
        <w:t xml:space="preserve"> </w:t>
      </w:r>
      <w:r w:rsidRPr="00927CD4">
        <w:t>Change of the total population, natural increase and migration balance in the period of 1991–2002</w:t>
      </w:r>
      <w:r>
        <w:t>.</w:t>
      </w:r>
      <w:r w:rsidRPr="00927CD4">
        <w:t xml:space="preserve"> </w:t>
      </w:r>
      <w:proofErr w:type="gramStart"/>
      <w:r>
        <w:t>and</w:t>
      </w:r>
      <w:proofErr w:type="gramEnd"/>
      <w:r w:rsidRPr="00927CD4">
        <w:t xml:space="preserve"> 2002–2011</w:t>
      </w:r>
      <w:r>
        <w:t>.</w:t>
      </w:r>
    </w:p>
    <w:tbl>
      <w:tblPr>
        <w:tblW w:w="9502" w:type="dxa"/>
        <w:tblInd w:w="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705"/>
        <w:gridCol w:w="596"/>
        <w:gridCol w:w="596"/>
        <w:gridCol w:w="651"/>
        <w:gridCol w:w="567"/>
        <w:gridCol w:w="567"/>
        <w:gridCol w:w="567"/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</w:tblGrid>
      <w:tr w:rsidR="00046C65" w:rsidRPr="004E0E30" w:rsidTr="00D5016E">
        <w:trPr>
          <w:trHeight w:val="20"/>
          <w:tblHeader/>
        </w:trPr>
        <w:tc>
          <w:tcPr>
            <w:tcW w:w="170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D5168E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Подручје</w:t>
            </w:r>
            <w:proofErr w:type="spellEnd"/>
          </w:p>
        </w:tc>
        <w:tc>
          <w:tcPr>
            <w:tcW w:w="1843" w:type="dxa"/>
            <w:gridSpan w:val="3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D5168E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4E0E30">
              <w:rPr>
                <w:rFonts w:ascii="Arial Narrow" w:hAnsi="Arial Narrow" w:cs="Arial"/>
                <w:sz w:val="16"/>
                <w:szCs w:val="16"/>
                <w:lang w:val="sr-Latn-CS" w:eastAsia="sr-Latn-CS"/>
              </w:rPr>
              <w:t xml:space="preserve">Број становника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eastAsia="sr-Latn-CS"/>
              </w:rPr>
              <w:t>по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eastAsia="sr-Latn-CS"/>
              </w:rPr>
              <w:t>пописима</w:t>
            </w:r>
            <w:proofErr w:type="spellEnd"/>
          </w:p>
        </w:tc>
        <w:tc>
          <w:tcPr>
            <w:tcW w:w="3402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D5168E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Промене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по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међупописним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периодима</w:t>
            </w:r>
            <w:proofErr w:type="spellEnd"/>
          </w:p>
        </w:tc>
        <w:tc>
          <w:tcPr>
            <w:tcW w:w="2552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D5168E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Просечне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годишње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стопе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по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међупописним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периодима</w:t>
            </w:r>
            <w:proofErr w:type="spellEnd"/>
          </w:p>
        </w:tc>
      </w:tr>
      <w:tr w:rsidR="00046C65" w:rsidRPr="004E0E30" w:rsidTr="00D5016E">
        <w:trPr>
          <w:trHeight w:val="20"/>
          <w:tblHeader/>
        </w:trPr>
        <w:tc>
          <w:tcPr>
            <w:tcW w:w="17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D5168E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укупан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становника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природни прираштај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м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играциони салдо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D5168E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укупно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природни прираштај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м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играциони салдо</w:t>
            </w:r>
          </w:p>
        </w:tc>
      </w:tr>
      <w:tr w:rsidR="00046C65" w:rsidRPr="004E0E30" w:rsidTr="00D5016E">
        <w:trPr>
          <w:trHeight w:val="20"/>
          <w:tblHeader/>
        </w:trPr>
        <w:tc>
          <w:tcPr>
            <w:tcW w:w="17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 w:cs="Arial"/>
                <w:sz w:val="16"/>
                <w:szCs w:val="16"/>
                <w:lang w:val="sr-Latn-CS" w:eastAsia="sr-Latn-CS"/>
              </w:rPr>
              <w:t>1991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 w:cs="Arial"/>
                <w:sz w:val="16"/>
                <w:szCs w:val="16"/>
                <w:lang w:val="sr-Latn-CS" w:eastAsia="sr-Latn-CS"/>
              </w:rPr>
              <w:t>2002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 w:cs="Arial"/>
                <w:sz w:val="16"/>
                <w:szCs w:val="16"/>
                <w:lang w:val="sr-Latn-CS" w:eastAsia="sr-Latn-CS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1991-2002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2002-2011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1991-2002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2002-2011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1991-2002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2002-2011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1991-2002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2002-2011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1991-2002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2002-2011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1991-2002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2002-2011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РЕПУБЛИКА СРБИЈЕ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7576837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7498001</w:t>
            </w:r>
          </w:p>
        </w:tc>
        <w:tc>
          <w:tcPr>
            <w:tcW w:w="6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7186862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-78836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-311139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-162411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-311787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83575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648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-2,0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046C65" w:rsidRPr="00E34D33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0,0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1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СРБИЈА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– 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СЕВЕР</w:t>
            </w: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3522346</w:t>
            </w: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3608116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3591249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85770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-16867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-103115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-133641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188885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116774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-0,5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-3,7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3,2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left"/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Београдски  регион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1552151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1576124</w:t>
            </w:r>
          </w:p>
        </w:tc>
        <w:tc>
          <w:tcPr>
            <w:tcW w:w="6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1659440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23973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83316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-21944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-33358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45917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116674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-1,3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-2,1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7,2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left"/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eastAsia="sr-Latn-CS"/>
              </w:rPr>
              <w:t>Р</w:t>
            </w: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егион</w:t>
            </w:r>
            <w:r w:rsidRPr="004E0E30"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  <w:t xml:space="preserve">  Војводина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1970195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2031992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1931809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61797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-100183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-81171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-100283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142968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2,8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E34D33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0,0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1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Западнобачк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210679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214011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188087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3332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-25924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-11519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-15463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14851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-10461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-12,9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-5,2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Јужнобанатск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315633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313937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293730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-1696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-20207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-13645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-16339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11949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-3868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-0,5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-1,3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Јужнобачк</w:t>
            </w:r>
            <w:r w:rsidRPr="00C44088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 w:rsidRPr="00C44088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543878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593666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615371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49788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21705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-8934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-12388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58722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34093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8,0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C44088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5,6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Севернобанатск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177542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165881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147770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-11661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-18111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-10998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-12475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-5636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-11,5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-3,6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Северно-бачки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202493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200140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186906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-2353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-13234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-12827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-12971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10474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-263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4,7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-0,1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Средњебанатски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216754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208456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187667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-8298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-20789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-14320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-14751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6022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-6038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2,6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-3,0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Сремск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303216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335901</w:t>
            </w:r>
          </w:p>
        </w:tc>
        <w:tc>
          <w:tcPr>
            <w:tcW w:w="6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312278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32685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-23623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-8928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-15896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41613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-7727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9,3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-7,3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-4,9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11,8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-2,4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СРБИЈА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– 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ЈУГ</w:t>
            </w: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4054491</w:t>
            </w: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3889885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3595613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-164606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-294272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-59296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-178146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-105310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-116126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-3,8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-7,9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-4,8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-2,4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-3,1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left"/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eastAsia="sr-Latn-CS"/>
              </w:rPr>
              <w:t>Р</w:t>
            </w: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егион</w:t>
            </w:r>
            <w:r w:rsidRPr="004E0E30"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  <w:t xml:space="preserve">  шумадије  и западне  србије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2196689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2136881</w:t>
            </w:r>
          </w:p>
        </w:tc>
        <w:tc>
          <w:tcPr>
            <w:tcW w:w="6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2031697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-59808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-105184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-24104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-83100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-35704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-22084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-5,0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-4,0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-1,5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-1,1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Златиборск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332470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313396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286549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-19074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-26847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2385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-8062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-21459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-18785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-8,9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-6,3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Колубарск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196556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192204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174513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-4352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-17691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-7419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-12124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3067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-5567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-9,6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-3,0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Мачванск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329226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329625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298931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399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-30694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-5192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-13851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5591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-16843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0,1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-9,8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-5,4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Моравичк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228093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224772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212603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-3321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-12169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-5810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-10618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2489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-1551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-0,7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Поморавск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240715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227435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214536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-13280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-12899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-7786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-16662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-5494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3763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1,7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Расинск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272834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259441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241999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-13393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-17442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-7785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-15740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-5608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-1702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-0,7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Рашк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293311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291230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309258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-2081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18028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13668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6704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-15749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11324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3,8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Шумадијск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303484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298778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293308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-4706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-5470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-12747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1459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7277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2,5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left"/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eastAsia="sr-Latn-CS"/>
              </w:rPr>
              <w:t>Р</w:t>
            </w: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егион</w:t>
            </w:r>
            <w:r w:rsidRPr="004E0E30"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  <w:t xml:space="preserve">  јужнеи  источне србије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1857802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1753004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1563916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-104798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-189088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-35192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-95046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-69606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-94042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-11,4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046C65" w:rsidRPr="004E0E30" w:rsidRDefault="00046C65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-5,7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Борск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163229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146551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124992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-16678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-21559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-4137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-11136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-12541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-10423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-9,8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-15,9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-7,7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Браничевск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220225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200503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183625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-19722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-16878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-5237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-16109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-14485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-769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-0,4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Зајечарск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154176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137561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119967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-16615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-17594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-12055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-13877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-4560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-3717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-13,7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-2,9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Јабланички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251301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240923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216304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-10378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-24619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-3178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-12938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-11681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-5,1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Нишавск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389838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381757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376319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-8081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-5438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-12047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-19241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3966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13803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3,6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Пиротск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115970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105654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92479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-10316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-13175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-8555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-9961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-1761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-3214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-13,3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-3,2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Подунавск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216056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210290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199395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-5766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-10895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-2322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-8940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-3444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-1955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-1,0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BC6C3A">
              <w:rPr>
                <w:rFonts w:ascii="Arial Narrow" w:hAnsi="Arial Narrow"/>
                <w:color w:val="000000"/>
                <w:sz w:val="16"/>
                <w:szCs w:val="16"/>
                <w:highlight w:val="lightGray"/>
                <w:shd w:val="clear" w:color="auto" w:fill="D9D9D9" w:themeFill="background1" w:themeFillShade="D9"/>
                <w:lang w:val="sr-Latn-CS" w:eastAsia="sr-Latn-CS"/>
              </w:rPr>
              <w:t>Пчињск</w:t>
            </w:r>
            <w:r w:rsidRPr="00BC6C3A">
              <w:rPr>
                <w:rFonts w:ascii="Arial Narrow" w:hAnsi="Arial Narrow"/>
                <w:color w:val="000000"/>
                <w:sz w:val="16"/>
                <w:szCs w:val="16"/>
                <w:highlight w:val="lightGray"/>
                <w:shd w:val="clear" w:color="auto" w:fill="D9D9D9" w:themeFill="background1" w:themeFillShade="D9"/>
                <w:lang w:eastAsia="sr-Latn-CS"/>
              </w:rPr>
              <w:t xml:space="preserve">а </w:t>
            </w:r>
            <w:r w:rsidRPr="00BC6C3A">
              <w:rPr>
                <w:rFonts w:ascii="Arial Narrow" w:hAnsi="Arial Narrow"/>
                <w:color w:val="000000"/>
                <w:sz w:val="16"/>
                <w:szCs w:val="16"/>
                <w:highlight w:val="lightGray"/>
                <w:shd w:val="clear" w:color="auto" w:fill="D9D9D9" w:themeFill="background1" w:themeFillShade="D9"/>
                <w:lang w:val="sr-Latn-CS" w:eastAsia="sr-Latn-CS"/>
              </w:rPr>
              <w:t>о</w:t>
            </w:r>
            <w:proofErr w:type="spellStart"/>
            <w:r w:rsidRPr="00BC6C3A">
              <w:rPr>
                <w:rFonts w:ascii="Arial Narrow" w:hAnsi="Arial Narrow"/>
                <w:color w:val="000000"/>
                <w:sz w:val="16"/>
                <w:szCs w:val="16"/>
                <w:highlight w:val="lightGray"/>
                <w:shd w:val="clear" w:color="auto" w:fill="D9D9D9" w:themeFill="background1" w:themeFillShade="D9"/>
                <w:lang w:eastAsia="sr-Latn-CS"/>
              </w:rPr>
              <w:t>бласт</w:t>
            </w:r>
            <w:proofErr w:type="spellEnd"/>
            <w:r w:rsidRPr="00BC6C3A">
              <w:rPr>
                <w:rFonts w:ascii="Arial Narrow" w:hAnsi="Arial Narrow"/>
                <w:color w:val="000000"/>
                <w:sz w:val="16"/>
                <w:szCs w:val="16"/>
                <w:highlight w:val="lightGray"/>
                <w:vertAlign w:val="superscript"/>
                <w:lang w:val="sr-Latn-CS" w:eastAsia="sr-Latn-CS"/>
              </w:rPr>
              <w:t xml:space="preserve"> 1)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237399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227690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159081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-9709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-68609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17372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3344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-27081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-71953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-3,8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-35,5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6C0224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-10,6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6C0224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-37,2</w:t>
            </w:r>
          </w:p>
        </w:tc>
      </w:tr>
      <w:tr w:rsidR="00046C65" w:rsidRPr="004E0E30" w:rsidTr="00D5016E">
        <w:trPr>
          <w:trHeight w:val="20"/>
        </w:trPr>
        <w:tc>
          <w:tcPr>
            <w:tcW w:w="1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Топличк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109608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102075</w:t>
            </w:r>
          </w:p>
        </w:tc>
        <w:tc>
          <w:tcPr>
            <w:tcW w:w="6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91754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-7533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-10321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-5033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-6188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-2500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-4133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-6,5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-10,6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-4,3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-6,4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-2,1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46C65" w:rsidRPr="004E0E30" w:rsidRDefault="00046C65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-4,3</w:t>
            </w:r>
          </w:p>
        </w:tc>
      </w:tr>
    </w:tbl>
    <w:p w:rsidR="00046C65" w:rsidRDefault="00046C65" w:rsidP="00046C65">
      <w:pPr>
        <w:pStyle w:val="izvod"/>
      </w:pPr>
      <w:proofErr w:type="spellStart"/>
      <w:r>
        <w:t>Извор</w:t>
      </w:r>
      <w:proofErr w:type="spellEnd"/>
      <w:r>
        <w:t xml:space="preserve">: </w:t>
      </w:r>
      <w:proofErr w:type="spellStart"/>
      <w:r>
        <w:t>Природно</w:t>
      </w:r>
      <w:proofErr w:type="spellEnd"/>
      <w:r>
        <w:t xml:space="preserve"> </w:t>
      </w:r>
      <w:proofErr w:type="spellStart"/>
      <w:r>
        <w:t>кретање</w:t>
      </w:r>
      <w:proofErr w:type="spellEnd"/>
      <w:r>
        <w:t xml:space="preserve"> </w:t>
      </w:r>
      <w:proofErr w:type="spellStart"/>
      <w:r>
        <w:t>становништва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1961-2010,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општинама</w:t>
      </w:r>
      <w:proofErr w:type="spellEnd"/>
      <w:r>
        <w:t xml:space="preserve">, РЗС, </w:t>
      </w:r>
      <w:proofErr w:type="spellStart"/>
      <w:r>
        <w:t>Београд</w:t>
      </w:r>
      <w:proofErr w:type="spellEnd"/>
      <w:r>
        <w:t>, 2012.</w:t>
      </w:r>
    </w:p>
    <w:p w:rsidR="00046C65" w:rsidRPr="00000468" w:rsidRDefault="00046C65" w:rsidP="00046C65">
      <w:pPr>
        <w:pStyle w:val="izvod"/>
      </w:pPr>
      <w:r w:rsidRPr="007D6932">
        <w:rPr>
          <w:highlight w:val="lightGray"/>
          <w:vertAlign w:val="superscript"/>
        </w:rPr>
        <w:t>1)</w:t>
      </w:r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пописано</w:t>
      </w:r>
      <w:proofErr w:type="spellEnd"/>
      <w:r>
        <w:t xml:space="preserve"> </w:t>
      </w:r>
      <w:proofErr w:type="spellStart"/>
      <w:r>
        <w:t>становништво</w:t>
      </w:r>
      <w:proofErr w:type="spellEnd"/>
      <w:r>
        <w:t xml:space="preserve">. </w:t>
      </w:r>
      <w:proofErr w:type="gramStart"/>
      <w:r>
        <w:t xml:space="preserve">У </w:t>
      </w:r>
      <w:proofErr w:type="spellStart"/>
      <w:r>
        <w:t>општинама</w:t>
      </w:r>
      <w:proofErr w:type="spellEnd"/>
      <w:r>
        <w:t xml:space="preserve"> </w:t>
      </w:r>
      <w:proofErr w:type="spellStart"/>
      <w:r>
        <w:t>Прешево</w:t>
      </w:r>
      <w:proofErr w:type="spellEnd"/>
      <w:r>
        <w:t xml:space="preserve"> и </w:t>
      </w:r>
      <w:proofErr w:type="spellStart"/>
      <w:r>
        <w:t>Бујановац</w:t>
      </w:r>
      <w:proofErr w:type="spellEnd"/>
      <w:r>
        <w:t xml:space="preserve"> </w:t>
      </w:r>
      <w:proofErr w:type="spellStart"/>
      <w:r>
        <w:t>албанско</w:t>
      </w:r>
      <w:proofErr w:type="spellEnd"/>
      <w:r>
        <w:t xml:space="preserve"> </w:t>
      </w:r>
      <w:proofErr w:type="spellStart"/>
      <w:r>
        <w:t>становништво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учествовало</w:t>
      </w:r>
      <w:proofErr w:type="spellEnd"/>
      <w:r>
        <w:t xml:space="preserve"> у </w:t>
      </w:r>
      <w:proofErr w:type="spellStart"/>
      <w:r>
        <w:t>Попису</w:t>
      </w:r>
      <w:proofErr w:type="spellEnd"/>
      <w:r>
        <w:t xml:space="preserve"> 2011.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. </w:t>
      </w:r>
    </w:p>
    <w:p w:rsidR="00767089" w:rsidRDefault="00767089">
      <w:bookmarkStart w:id="0" w:name="_GoBack"/>
      <w:bookmarkEnd w:id="0"/>
    </w:p>
    <w:sectPr w:rsidR="00767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65"/>
    <w:rsid w:val="00046C65"/>
    <w:rsid w:val="007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1</cp:revision>
  <dcterms:created xsi:type="dcterms:W3CDTF">2014-02-03T10:49:00Z</dcterms:created>
  <dcterms:modified xsi:type="dcterms:W3CDTF">2014-02-03T10:49:00Z</dcterms:modified>
</cp:coreProperties>
</file>